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6.xml" ContentType="application/vnd.openxmlformats-officedocument.wordprocessingml.footer+xml"/>
  <Override PartName="/word/footer587.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70.xml" ContentType="application/vnd.openxmlformats-officedocument.wordprocessingml.footer+xml"/>
  <Override PartName="/word/footer550.xml" ContentType="application/vnd.openxmlformats-officedocument.wordprocessingml.footer+xml"/>
  <Override PartName="/word/footer59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فرائد الاصول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46439_3224264995">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5446441_3224264995">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5446443_3224264995">
            <w:r>
              <w:rPr>
                <w:webHidden/>
                <w:rStyle w:val="IndexLink"/>
                <w:rtl w:val="true"/>
              </w:rPr>
              <w:t>تقدیم</w:t>
            </w:r>
            <w:r>
              <w:rPr>
                <w:rStyle w:val="IndexLink"/>
                <w:rtl w:val="true"/>
              </w:rPr>
              <w:t>:</w:t>
              <w:tab/>
            </w:r>
            <w:r>
              <w:rPr>
                <w:rStyle w:val="IndexLink"/>
              </w:rPr>
              <w:t>22</w:t>
            </w:r>
          </w:hyperlink>
        </w:p>
        <w:p>
          <w:pPr>
            <w:pStyle w:val="Contents2"/>
            <w:tabs>
              <w:tab w:val="clear" w:pos="8743"/>
              <w:tab w:val="right" w:pos="9026" w:leader="dot"/>
            </w:tabs>
            <w:rPr/>
          </w:pPr>
          <w:hyperlink w:anchor="__RefHeading___Toc5446445_3224264995">
            <w:r>
              <w:rPr>
                <w:webHidden/>
                <w:rStyle w:val="IndexLink"/>
                <w:rtl w:val="true"/>
              </w:rPr>
              <w:t>مقدمة</w:t>
            </w:r>
            <w:r>
              <w:rPr>
                <w:rStyle w:val="IndexLink"/>
                <w:rtl w:val="true"/>
              </w:rPr>
              <w:tab/>
            </w:r>
            <w:r>
              <w:rPr>
                <w:rStyle w:val="IndexLink"/>
              </w:rPr>
              <w:t>26</w:t>
            </w:r>
          </w:hyperlink>
        </w:p>
        <w:p>
          <w:pPr>
            <w:pStyle w:val="Contents3"/>
            <w:tabs>
              <w:tab w:val="clear" w:pos="8459"/>
              <w:tab w:val="right" w:pos="9026" w:leader="dot"/>
            </w:tabs>
            <w:rPr/>
          </w:pPr>
          <w:hyperlink w:anchor="__RefHeading___Toc5446447_3224264995">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5446449_3224264995">
            <w:r>
              <w:rPr>
                <w:webHidden/>
                <w:rStyle w:val="IndexLink"/>
                <w:rtl w:val="true"/>
              </w:rPr>
              <w:t>النسخ المعتمدة فی التحقیق</w:t>
            </w:r>
            <w:r>
              <w:rPr>
                <w:rStyle w:val="IndexLink"/>
                <w:rtl w:val="true"/>
              </w:rPr>
              <w:t>:</w:t>
              <w:tab/>
            </w:r>
            <w:r>
              <w:rPr>
                <w:rStyle w:val="IndexLink"/>
              </w:rPr>
              <w:t>27</w:t>
            </w:r>
          </w:hyperlink>
        </w:p>
        <w:p>
          <w:pPr>
            <w:pStyle w:val="Contents3"/>
            <w:tabs>
              <w:tab w:val="clear" w:pos="8459"/>
              <w:tab w:val="right" w:pos="9026" w:leader="dot"/>
            </w:tabs>
            <w:rPr/>
          </w:pPr>
          <w:hyperlink w:anchor="__RefHeading___Toc5446451_3224264995">
            <w:r>
              <w:rPr>
                <w:webHidden/>
                <w:rStyle w:val="IndexLink"/>
                <w:rtl w:val="true"/>
              </w:rPr>
              <w:t>مراحل التحقیق</w:t>
            </w:r>
            <w:r>
              <w:rPr>
                <w:rStyle w:val="IndexLink"/>
                <w:rtl w:val="true"/>
              </w:rPr>
              <w:t>:</w:t>
              <w:tab/>
            </w:r>
            <w:r>
              <w:rPr>
                <w:rStyle w:val="IndexLink"/>
              </w:rPr>
              <w:t>31</w:t>
            </w:r>
          </w:hyperlink>
        </w:p>
        <w:p>
          <w:pPr>
            <w:pStyle w:val="Contents4"/>
            <w:tabs>
              <w:tab w:val="clear" w:pos="8176"/>
              <w:tab w:val="right" w:pos="9026" w:leader="dot"/>
            </w:tabs>
            <w:rPr/>
          </w:pPr>
          <w:hyperlink w:anchor="__RefHeading___Toc5446453_3224264995">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5446455_3224264995">
            <w:r>
              <w:rPr>
                <w:webHidden/>
                <w:rStyle w:val="IndexLink"/>
                <w:rtl w:val="true"/>
              </w:rPr>
              <w:t>أ</w:t>
            </w:r>
            <w:r>
              <w:rPr>
                <w:rStyle w:val="IndexLink"/>
                <w:rtl w:val="true"/>
              </w:rPr>
              <w:t>-</w:t>
            </w:r>
            <w:r>
              <w:rPr>
                <w:rStyle w:val="IndexLink"/>
                <w:rtl w:val="true"/>
              </w:rPr>
              <w:t>مقابلة النسخ</w:t>
            </w:r>
            <w:r>
              <w:rPr>
                <w:rStyle w:val="IndexLink"/>
                <w:rtl w:val="true"/>
              </w:rPr>
              <w:t>:</w:t>
              <w:tab/>
            </w:r>
            <w:r>
              <w:rPr>
                <w:rStyle w:val="IndexLink"/>
              </w:rPr>
              <w:t>31</w:t>
            </w:r>
          </w:hyperlink>
        </w:p>
        <w:p>
          <w:pPr>
            <w:pStyle w:val="Contents4"/>
            <w:tabs>
              <w:tab w:val="clear" w:pos="8176"/>
              <w:tab w:val="right" w:pos="9026" w:leader="dot"/>
            </w:tabs>
            <w:rPr/>
          </w:pPr>
          <w:hyperlink w:anchor="__RefHeading___Toc5446457_3224264995">
            <w:r>
              <w:rPr>
                <w:webHidden/>
                <w:rStyle w:val="IndexLink"/>
                <w:rtl w:val="true"/>
              </w:rPr>
              <w:t>ب</w:t>
            </w:r>
            <w:r>
              <w:rPr>
                <w:rStyle w:val="IndexLink"/>
                <w:rtl w:val="true"/>
              </w:rPr>
              <w:t>-</w:t>
            </w:r>
            <w:r>
              <w:rPr>
                <w:rStyle w:val="IndexLink"/>
                <w:rtl w:val="true"/>
              </w:rPr>
              <w:t>استخراج مصادر النصوص</w:t>
            </w:r>
            <w:r>
              <w:rPr>
                <w:rStyle w:val="IndexLink"/>
                <w:rtl w:val="true"/>
              </w:rPr>
              <w:t>:</w:t>
              <w:tab/>
            </w:r>
            <w:r>
              <w:rPr>
                <w:rStyle w:val="IndexLink"/>
              </w:rPr>
              <w:t>31</w:t>
            </w:r>
          </w:hyperlink>
        </w:p>
        <w:p>
          <w:pPr>
            <w:pStyle w:val="Contents4"/>
            <w:tabs>
              <w:tab w:val="clear" w:pos="8176"/>
              <w:tab w:val="right" w:pos="9026" w:leader="dot"/>
            </w:tabs>
            <w:rPr/>
          </w:pPr>
          <w:hyperlink w:anchor="__RefHeading___Toc5446459_3224264995">
            <w:r>
              <w:rPr>
                <w:webHidden/>
                <w:rStyle w:val="IndexLink"/>
                <w:rtl w:val="true"/>
              </w:rPr>
              <w:t>ج</w:t>
            </w:r>
            <w:r>
              <w:rPr>
                <w:rStyle w:val="IndexLink"/>
                <w:rtl w:val="true"/>
              </w:rPr>
              <w:t>-</w:t>
            </w:r>
            <w:r>
              <w:rPr>
                <w:rStyle w:val="IndexLink"/>
                <w:rtl w:val="true"/>
              </w:rPr>
              <w:t>تقویم النص</w:t>
            </w:r>
            <w:r>
              <w:rPr>
                <w:rStyle w:val="IndexLink"/>
                <w:rtl w:val="true"/>
              </w:rPr>
              <w:t>:</w:t>
              <w:tab/>
            </w:r>
            <w:r>
              <w:rPr>
                <w:rStyle w:val="IndexLink"/>
              </w:rPr>
              <w:t>32</w:t>
            </w:r>
          </w:hyperlink>
        </w:p>
        <w:p>
          <w:pPr>
            <w:pStyle w:val="Contents4"/>
            <w:tabs>
              <w:tab w:val="clear" w:pos="8176"/>
              <w:tab w:val="right" w:pos="9026" w:leader="dot"/>
            </w:tabs>
            <w:rPr/>
          </w:pPr>
          <w:hyperlink w:anchor="__RefHeading___Toc5446461_3224264995">
            <w:r>
              <w:rPr>
                <w:webHidden/>
                <w:rStyle w:val="IndexLink"/>
                <w:rtl w:val="true"/>
              </w:rPr>
              <w:t>د</w:t>
            </w:r>
            <w:r>
              <w:rPr>
                <w:rStyle w:val="IndexLink"/>
                <w:rtl w:val="true"/>
              </w:rPr>
              <w:t>-</w:t>
            </w:r>
            <w:r>
              <w:rPr>
                <w:rStyle w:val="IndexLink"/>
                <w:rtl w:val="true"/>
              </w:rPr>
              <w:t>المراجعة العامة للکتاب</w:t>
            </w:r>
            <w:r>
              <w:rPr>
                <w:rStyle w:val="IndexLink"/>
                <w:rtl w:val="true"/>
              </w:rPr>
              <w:t>:</w:t>
              <w:tab/>
            </w:r>
            <w:r>
              <w:rPr>
                <w:rStyle w:val="IndexLink"/>
              </w:rPr>
              <w:t>32</w:t>
            </w:r>
          </w:hyperlink>
        </w:p>
        <w:p>
          <w:pPr>
            <w:pStyle w:val="Contents4"/>
            <w:tabs>
              <w:tab w:val="clear" w:pos="8176"/>
              <w:tab w:val="right" w:pos="9026" w:leader="dot"/>
            </w:tabs>
            <w:rPr/>
          </w:pPr>
          <w:hyperlink w:anchor="__RefHeading___Toc5446463_3224264995">
            <w:r>
              <w:rPr>
                <w:webHidden/>
                <w:rStyle w:val="IndexLink"/>
                <w:rtl w:val="true"/>
              </w:rPr>
              <w:t>و</w:t>
            </w:r>
            <w:r>
              <w:rPr>
                <w:rStyle w:val="IndexLink"/>
                <w:rtl w:val="true"/>
              </w:rPr>
              <w:t>-</w:t>
            </w:r>
            <w:r>
              <w:rPr>
                <w:rStyle w:val="IndexLink"/>
                <w:rtl w:val="true"/>
              </w:rPr>
              <w:t>نضد الحروف</w:t>
            </w:r>
            <w:r>
              <w:rPr>
                <w:rStyle w:val="IndexLink"/>
                <w:rtl w:val="true"/>
              </w:rPr>
              <w:t>:</w:t>
              <w:tab/>
            </w:r>
            <w:r>
              <w:rPr>
                <w:rStyle w:val="IndexLink"/>
              </w:rPr>
              <w:t>32</w:t>
            </w:r>
          </w:hyperlink>
        </w:p>
        <w:p>
          <w:pPr>
            <w:pStyle w:val="Contents2"/>
            <w:tabs>
              <w:tab w:val="clear" w:pos="8743"/>
              <w:tab w:val="right" w:pos="9026" w:leader="dot"/>
            </w:tabs>
            <w:rPr/>
          </w:pPr>
          <w:hyperlink w:anchor="__RefHeading___Toc5446465_3224264995">
            <w:r>
              <w:rPr>
                <w:webHidden/>
                <w:rStyle w:val="IndexLink"/>
                <w:rtl w:val="true"/>
              </w:rPr>
              <w:t>تمهید</w:t>
            </w:r>
            <w:r>
              <w:rPr>
                <w:rStyle w:val="IndexLink"/>
                <w:rtl w:val="true"/>
              </w:rPr>
              <w:tab/>
            </w:r>
            <w:r>
              <w:rPr>
                <w:rStyle w:val="IndexLink"/>
              </w:rPr>
              <w:t>40</w:t>
            </w:r>
          </w:hyperlink>
        </w:p>
        <w:p>
          <w:pPr>
            <w:pStyle w:val="Contents3"/>
            <w:tabs>
              <w:tab w:val="clear" w:pos="8459"/>
              <w:tab w:val="right" w:pos="9026" w:leader="dot"/>
            </w:tabs>
            <w:rPr/>
          </w:pPr>
          <w:hyperlink w:anchor="__RefHeading___Toc5446467_3224264995">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5446469_3224264995">
            <w:r>
              <w:rPr>
                <w:webHidden/>
                <w:rStyle w:val="IndexLink"/>
                <w:rtl w:val="true"/>
              </w:rPr>
              <w:t>المکلّف إذا التفت إلی حکم شرعیّ</w:t>
            </w:r>
            <w:r>
              <w:rPr>
                <w:rStyle w:val="IndexLink"/>
                <w:rtl w:val="true"/>
              </w:rPr>
              <w:tab/>
            </w:r>
            <w:r>
              <w:rPr>
                <w:rStyle w:val="IndexLink"/>
              </w:rPr>
              <w:t>40</w:t>
            </w:r>
          </w:hyperlink>
        </w:p>
        <w:p>
          <w:pPr>
            <w:pStyle w:val="Contents3"/>
            <w:tabs>
              <w:tab w:val="clear" w:pos="8459"/>
              <w:tab w:val="right" w:pos="9026" w:leader="dot"/>
            </w:tabs>
            <w:rPr/>
          </w:pPr>
          <w:hyperlink w:anchor="__RefHeading___Toc5446471_3224264995">
            <w:r>
              <w:rPr>
                <w:webHidden/>
                <w:rStyle w:val="IndexLink"/>
                <w:rtl w:val="true"/>
              </w:rPr>
              <w:t>الأصول العملیة الأربعة و مجاریها</w:t>
            </w:r>
            <w:r>
              <w:rPr>
                <w:rStyle w:val="IndexLink"/>
                <w:rtl w:val="true"/>
              </w:rPr>
              <w:tab/>
            </w:r>
            <w:r>
              <w:rPr>
                <w:rStyle w:val="IndexLink"/>
              </w:rPr>
              <w:t>40</w:t>
            </w:r>
          </w:hyperlink>
        </w:p>
        <w:p>
          <w:pPr>
            <w:pStyle w:val="Contents3"/>
            <w:tabs>
              <w:tab w:val="clear" w:pos="8459"/>
              <w:tab w:val="right" w:pos="9026" w:leader="dot"/>
            </w:tabs>
            <w:rPr/>
          </w:pPr>
          <w:hyperlink w:anchor="__RefHeading___Toc5446473_3224264995">
            <w:r>
              <w:rPr>
                <w:webHidden/>
                <w:rStyle w:val="IndexLink"/>
                <w:rtl w:val="true"/>
              </w:rPr>
              <w:t>تقریر آخر لمجاری الاصول العملیّة</w:t>
            </w:r>
            <w:r>
              <w:rPr>
                <w:rStyle w:val="IndexLink"/>
                <w:rtl w:val="true"/>
              </w:rPr>
              <w:tab/>
            </w:r>
            <w:r>
              <w:rPr>
                <w:rStyle w:val="IndexLink"/>
              </w:rPr>
              <w:t>41</w:t>
            </w:r>
          </w:hyperlink>
        </w:p>
        <w:p>
          <w:pPr>
            <w:pStyle w:val="Contents2"/>
            <w:tabs>
              <w:tab w:val="clear" w:pos="8743"/>
              <w:tab w:val="right" w:pos="9026" w:leader="dot"/>
            </w:tabs>
            <w:rPr/>
          </w:pPr>
          <w:hyperlink w:anchor="__RefHeading___Toc5446475_3224264995">
            <w:r>
              <w:rPr>
                <w:webHidden/>
                <w:rStyle w:val="IndexLink"/>
                <w:rtl w:val="true"/>
              </w:rPr>
              <w:t>المقصد الأوّل</w:t>
            </w:r>
            <w:r>
              <w:rPr>
                <w:rStyle w:val="IndexLink"/>
                <w:rtl w:val="true"/>
              </w:rPr>
              <w:t xml:space="preserve">: </w:t>
            </w:r>
            <w:r>
              <w:rPr>
                <w:rStyle w:val="IndexLink"/>
                <w:rtl w:val="true"/>
              </w:rPr>
              <w:t>فی القطع</w:t>
            </w:r>
            <w:r>
              <w:rPr>
                <w:rStyle w:val="IndexLink"/>
                <w:rtl w:val="true"/>
              </w:rPr>
              <w:tab/>
            </w:r>
            <w:r>
              <w:rPr>
                <w:rStyle w:val="IndexLink"/>
              </w:rPr>
              <w:t>44</w:t>
            </w:r>
          </w:hyperlink>
        </w:p>
        <w:p>
          <w:pPr>
            <w:pStyle w:val="Contents3"/>
            <w:tabs>
              <w:tab w:val="clear" w:pos="8459"/>
              <w:tab w:val="right" w:pos="9026" w:leader="dot"/>
            </w:tabs>
            <w:rPr/>
          </w:pPr>
          <w:hyperlink w:anchor="__RefHeading___Toc5446477_3224264995">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5446479_3224264995">
            <w:r>
              <w:rPr>
                <w:webHidden/>
                <w:rStyle w:val="IndexLink"/>
                <w:rtl w:val="true"/>
              </w:rPr>
              <w:t>وجوب متابعة القطع</w:t>
            </w:r>
            <w:r>
              <w:rPr>
                <w:rStyle w:val="IndexLink"/>
                <w:rtl w:val="true"/>
              </w:rPr>
              <w:tab/>
            </w:r>
            <w:r>
              <w:rPr>
                <w:rStyle w:val="IndexLink"/>
              </w:rPr>
              <w:t>44</w:t>
            </w:r>
          </w:hyperlink>
        </w:p>
        <w:p>
          <w:pPr>
            <w:pStyle w:val="Contents3"/>
            <w:tabs>
              <w:tab w:val="clear" w:pos="8459"/>
              <w:tab w:val="right" w:pos="9026" w:leader="dot"/>
            </w:tabs>
            <w:rPr/>
          </w:pPr>
          <w:hyperlink w:anchor="__RefHeading___Toc5446481_3224264995">
            <w:r>
              <w:rPr>
                <w:webHidden/>
                <w:rStyle w:val="IndexLink"/>
                <w:rtl w:val="true"/>
              </w:rPr>
              <w:t>إطلاق الحجّة علی القطع و المراد منه</w:t>
            </w:r>
            <w:r>
              <w:rPr>
                <w:rStyle w:val="IndexLink"/>
                <w:rtl w:val="true"/>
              </w:rPr>
              <w:tab/>
            </w:r>
            <w:r>
              <w:rPr>
                <w:rStyle w:val="IndexLink"/>
              </w:rPr>
              <w:t>44</w:t>
            </w:r>
          </w:hyperlink>
        </w:p>
        <w:p>
          <w:pPr>
            <w:pStyle w:val="Contents3"/>
            <w:tabs>
              <w:tab w:val="clear" w:pos="8459"/>
              <w:tab w:val="right" w:pos="9026" w:leader="dot"/>
            </w:tabs>
            <w:rPr/>
          </w:pPr>
          <w:hyperlink w:anchor="__RefHeading___Toc5446483_3224264995">
            <w:r>
              <w:rPr>
                <w:webHidden/>
                <w:rStyle w:val="IndexLink"/>
                <w:rtl w:val="true"/>
              </w:rPr>
              <w:t>انقسام القطع إلی طریقی و موضوعی</w:t>
            </w:r>
            <w:r>
              <w:rPr>
                <w:rStyle w:val="IndexLink"/>
                <w:rtl w:val="true"/>
              </w:rPr>
              <w:t>:</w:t>
              <w:tab/>
            </w:r>
            <w:r>
              <w:rPr>
                <w:rStyle w:val="IndexLink"/>
              </w:rPr>
              <w:t>45</w:t>
            </w:r>
          </w:hyperlink>
        </w:p>
        <w:p>
          <w:pPr>
            <w:pStyle w:val="Contents4"/>
            <w:tabs>
              <w:tab w:val="clear" w:pos="8176"/>
              <w:tab w:val="right" w:pos="9026" w:leader="dot"/>
            </w:tabs>
            <w:rPr/>
          </w:pPr>
          <w:hyperlink w:anchor="__RefHeading___Toc5446485_3224264995">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5446487_3224264995">
            <w:r>
              <w:rPr>
                <w:webHidden/>
                <w:rStyle w:val="IndexLink"/>
                <w:rtl w:val="true"/>
              </w:rPr>
              <w:t>خواص القسمین</w:t>
            </w:r>
            <w:r>
              <w:rPr>
                <w:rStyle w:val="IndexLink"/>
                <w:rtl w:val="true"/>
              </w:rPr>
              <w:t>:</w:t>
              <w:tab/>
            </w:r>
            <w:r>
              <w:rPr>
                <w:rStyle w:val="IndexLink"/>
              </w:rPr>
              <w:t>46</w:t>
            </w:r>
          </w:hyperlink>
        </w:p>
        <w:p>
          <w:pPr>
            <w:pStyle w:val="Contents5"/>
            <w:tabs>
              <w:tab w:val="clear" w:pos="7892"/>
              <w:tab w:val="right" w:pos="9026" w:leader="dot"/>
            </w:tabs>
            <w:rPr/>
          </w:pPr>
          <w:hyperlink w:anchor="__RefHeading___Toc5446489_3224264995">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5446491_3224264995">
            <w:r>
              <w:rPr>
                <w:webHidden/>
                <w:rStyle w:val="IndexLink"/>
              </w:rPr>
              <w:t>1</w:t>
            </w:r>
            <w:r>
              <w:rPr>
                <w:rStyle w:val="IndexLink"/>
                <w:rtl w:val="true"/>
              </w:rPr>
              <w:t>-</w:t>
            </w:r>
            <w:r>
              <w:rPr>
                <w:rStyle w:val="IndexLink"/>
                <w:rtl w:val="true"/>
              </w:rPr>
              <w:t>عدم جواز النهی عن العمل فی الطریقی و جوازه فی الموضوعی</w:t>
            </w:r>
            <w:r>
              <w:rPr>
                <w:rStyle w:val="IndexLink"/>
                <w:rtl w:val="true"/>
              </w:rPr>
              <w:tab/>
            </w:r>
            <w:r>
              <w:rPr>
                <w:rStyle w:val="IndexLink"/>
              </w:rPr>
              <w:t>46</w:t>
            </w:r>
          </w:hyperlink>
        </w:p>
        <w:p>
          <w:pPr>
            <w:pStyle w:val="Contents6"/>
            <w:tabs>
              <w:tab w:val="clear" w:pos="7609"/>
              <w:tab w:val="right" w:pos="9026" w:leader="dot"/>
            </w:tabs>
            <w:rPr/>
          </w:pPr>
          <w:hyperlink w:anchor="__RefHeading___Toc5446493_3224264995">
            <w:r>
              <w:rPr>
                <w:webHidden/>
                <w:rStyle w:val="IndexLink"/>
                <w:rtl w:val="true"/>
              </w:rPr>
              <w:t>اشارة</w:t>
            </w:r>
            <w:r>
              <w:rPr>
                <w:rStyle w:val="IndexLink"/>
                <w:rtl w:val="true"/>
              </w:rPr>
              <w:tab/>
            </w:r>
            <w:r>
              <w:rPr>
                <w:rStyle w:val="IndexLink"/>
              </w:rPr>
              <w:t>46</w:t>
            </w:r>
          </w:hyperlink>
        </w:p>
        <w:p>
          <w:pPr>
            <w:pStyle w:val="Contents6"/>
            <w:tabs>
              <w:tab w:val="clear" w:pos="7609"/>
              <w:tab w:val="right" w:pos="9026" w:leader="dot"/>
            </w:tabs>
            <w:rPr/>
          </w:pPr>
          <w:hyperlink w:anchor="__RefHeading___Toc5446495_3224264995">
            <w:r>
              <w:rPr>
                <w:webHidden/>
                <w:rStyle w:val="IndexLink"/>
                <w:rtl w:val="true"/>
              </w:rPr>
              <w:t>القطع الموضوعی تابع فی اعتباره مطلقا او علی وجه خاص لدلیل الحکم</w:t>
            </w:r>
            <w:r>
              <w:rPr>
                <w:rStyle w:val="IndexLink"/>
                <w:rtl w:val="true"/>
              </w:rPr>
              <w:tab/>
            </w:r>
            <w:r>
              <w:rPr>
                <w:rStyle w:val="IndexLink"/>
              </w:rPr>
              <w:t>46</w:t>
            </w:r>
          </w:hyperlink>
        </w:p>
        <w:p>
          <w:pPr>
            <w:pStyle w:val="Contents6"/>
            <w:tabs>
              <w:tab w:val="clear" w:pos="7609"/>
              <w:tab w:val="right" w:pos="9026" w:leader="dot"/>
            </w:tabs>
            <w:rPr/>
          </w:pPr>
          <w:hyperlink w:anchor="__RefHeading___Toc5446497_3224264995">
            <w:r>
              <w:rPr>
                <w:webHidden/>
                <w:rStyle w:val="IndexLink"/>
                <w:rtl w:val="true"/>
              </w:rPr>
              <w:t>أمثلة للقطع الموضوعی المعتبر مطلقا</w:t>
            </w:r>
            <w:r>
              <w:rPr>
                <w:rStyle w:val="IndexLink"/>
                <w:rtl w:val="true"/>
              </w:rPr>
              <w:t>:</w:t>
              <w:tab/>
            </w:r>
            <w:r>
              <w:rPr>
                <w:rStyle w:val="IndexLink"/>
              </w:rPr>
              <w:t>46</w:t>
            </w:r>
          </w:hyperlink>
        </w:p>
        <w:p>
          <w:pPr>
            <w:pStyle w:val="Contents6"/>
            <w:tabs>
              <w:tab w:val="clear" w:pos="7609"/>
              <w:tab w:val="right" w:pos="9026" w:leader="dot"/>
            </w:tabs>
            <w:rPr/>
          </w:pPr>
          <w:hyperlink w:anchor="__RefHeading___Toc5446499_3224264995">
            <w:r>
              <w:rPr>
                <w:webHidden/>
                <w:rStyle w:val="IndexLink"/>
                <w:rtl w:val="true"/>
              </w:rPr>
              <w:t>أمثلة للقطع الموضوعی المعتبر علی وجه خاص</w:t>
            </w:r>
            <w:r>
              <w:rPr>
                <w:rStyle w:val="IndexLink"/>
                <w:rtl w:val="true"/>
              </w:rPr>
              <w:t>:</w:t>
              <w:tab/>
            </w:r>
            <w:r>
              <w:rPr>
                <w:rStyle w:val="IndexLink"/>
              </w:rPr>
              <w:t>47</w:t>
            </w:r>
          </w:hyperlink>
        </w:p>
        <w:p>
          <w:pPr>
            <w:pStyle w:val="Contents6"/>
            <w:tabs>
              <w:tab w:val="clear" w:pos="7609"/>
              <w:tab w:val="right" w:pos="9026" w:leader="dot"/>
            </w:tabs>
            <w:rPr/>
          </w:pPr>
          <w:hyperlink w:anchor="__RefHeading___Toc5446501_3224264995">
            <w:r>
              <w:rPr>
                <w:webHidden/>
                <w:rStyle w:val="IndexLink"/>
                <w:rtl w:val="true"/>
              </w:rPr>
              <w:t>أمثلة للقطع الموضوعی بالنسبة إلی حکم غیر القاطع</w:t>
            </w:r>
            <w:r>
              <w:rPr>
                <w:rStyle w:val="IndexLink"/>
                <w:rtl w:val="true"/>
              </w:rPr>
              <w:t>:</w:t>
              <w:tab/>
            </w:r>
            <w:r>
              <w:rPr>
                <w:rStyle w:val="IndexLink"/>
              </w:rPr>
              <w:t>48</w:t>
            </w:r>
          </w:hyperlink>
        </w:p>
        <w:p>
          <w:pPr>
            <w:pStyle w:val="Contents5"/>
            <w:tabs>
              <w:tab w:val="clear" w:pos="7892"/>
              <w:tab w:val="right" w:pos="9026" w:leader="dot"/>
            </w:tabs>
            <w:rPr/>
          </w:pPr>
          <w:hyperlink w:anchor="__RefHeading___Toc5446503_3224264995">
            <w:r>
              <w:rPr>
                <w:webHidden/>
                <w:rStyle w:val="IndexLink"/>
              </w:rPr>
              <w:t>2</w:t>
            </w:r>
            <w:r>
              <w:rPr>
                <w:rStyle w:val="IndexLink"/>
                <w:rtl w:val="true"/>
              </w:rPr>
              <w:t>-</w:t>
            </w:r>
            <w:r>
              <w:rPr>
                <w:rStyle w:val="IndexLink"/>
                <w:rtl w:val="true"/>
              </w:rPr>
              <w:t>قیام الأمارات و بعض الأصول مقام القطع الموضوعی و الطریقی</w:t>
            </w:r>
            <w:r>
              <w:rPr>
                <w:rStyle w:val="IndexLink"/>
                <w:rtl w:val="true"/>
              </w:rPr>
              <w:t>:</w:t>
              <w:tab/>
            </w:r>
            <w:r>
              <w:rPr>
                <w:rStyle w:val="IndexLink"/>
              </w:rPr>
              <w:t>48</w:t>
            </w:r>
          </w:hyperlink>
        </w:p>
        <w:p>
          <w:pPr>
            <w:pStyle w:val="Contents6"/>
            <w:tabs>
              <w:tab w:val="clear" w:pos="7609"/>
              <w:tab w:val="right" w:pos="9026" w:leader="dot"/>
            </w:tabs>
            <w:rPr/>
          </w:pPr>
          <w:hyperlink w:anchor="__RefHeading___Toc5446505_3224264995">
            <w:r>
              <w:rPr>
                <w:webHidden/>
                <w:rStyle w:val="IndexLink"/>
                <w:rtl w:val="true"/>
              </w:rPr>
              <w:t>اشارة</w:t>
            </w:r>
            <w:r>
              <w:rPr>
                <w:rStyle w:val="IndexLink"/>
                <w:rtl w:val="true"/>
              </w:rPr>
              <w:tab/>
            </w:r>
            <w:r>
              <w:rPr>
                <w:rStyle w:val="IndexLink"/>
              </w:rPr>
              <w:t>48</w:t>
            </w:r>
          </w:hyperlink>
        </w:p>
        <w:p>
          <w:pPr>
            <w:pStyle w:val="Contents6"/>
            <w:tabs>
              <w:tab w:val="clear" w:pos="7609"/>
              <w:tab w:val="right" w:pos="9026" w:leader="dot"/>
            </w:tabs>
            <w:rPr/>
          </w:pPr>
          <w:hyperlink w:anchor="__RefHeading___Toc5446507_3224264995">
            <w:r>
              <w:rPr>
                <w:webHidden/>
                <w:rStyle w:val="IndexLink"/>
                <w:rtl w:val="true"/>
              </w:rPr>
              <w:t>عدم قیامها مقام القطع الموضوعی الصفتی</w:t>
            </w:r>
            <w:r>
              <w:rPr>
                <w:rStyle w:val="IndexLink"/>
                <w:rtl w:val="true"/>
              </w:rPr>
              <w:t>:</w:t>
              <w:tab/>
            </w:r>
            <w:r>
              <w:rPr>
                <w:rStyle w:val="IndexLink"/>
              </w:rPr>
              <w:t>49</w:t>
            </w:r>
          </w:hyperlink>
        </w:p>
        <w:p>
          <w:pPr>
            <w:pStyle w:val="Contents3"/>
            <w:tabs>
              <w:tab w:val="clear" w:pos="8459"/>
              <w:tab w:val="right" w:pos="9026" w:leader="dot"/>
            </w:tabs>
            <w:rPr/>
          </w:pPr>
          <w:hyperlink w:anchor="__RefHeading___Toc5446509_3224264995">
            <w:r>
              <w:rPr>
                <w:webHidden/>
                <w:rStyle w:val="IndexLink"/>
                <w:rtl w:val="true"/>
              </w:rPr>
              <w:t>انقسام الظن کالقطع إلی طریقی و موضوعی</w:t>
            </w:r>
            <w:r>
              <w:rPr>
                <w:rStyle w:val="IndexLink"/>
                <w:rtl w:val="true"/>
              </w:rPr>
              <w:t>:</w:t>
              <w:tab/>
            </w:r>
            <w:r>
              <w:rPr>
                <w:rStyle w:val="IndexLink"/>
              </w:rPr>
              <w:t>50</w:t>
            </w:r>
          </w:hyperlink>
        </w:p>
        <w:p>
          <w:pPr>
            <w:pStyle w:val="Contents4"/>
            <w:tabs>
              <w:tab w:val="clear" w:pos="8176"/>
              <w:tab w:val="right" w:pos="9026" w:leader="dot"/>
            </w:tabs>
            <w:rPr/>
          </w:pPr>
          <w:hyperlink w:anchor="__RefHeading___Toc5446511_3224264995">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5446513_3224264995">
            <w:r>
              <w:rPr>
                <w:webHidden/>
                <w:rStyle w:val="IndexLink"/>
                <w:rtl w:val="true"/>
              </w:rPr>
              <w:t>التنبیه علی امور</w:t>
            </w:r>
            <w:r>
              <w:rPr>
                <w:rStyle w:val="IndexLink"/>
                <w:rtl w:val="true"/>
              </w:rPr>
              <w:t>:</w:t>
              <w:tab/>
            </w:r>
            <w:r>
              <w:rPr>
                <w:rStyle w:val="IndexLink"/>
              </w:rPr>
              <w:t>52</w:t>
            </w:r>
          </w:hyperlink>
        </w:p>
        <w:p>
          <w:pPr>
            <w:pStyle w:val="Contents5"/>
            <w:tabs>
              <w:tab w:val="clear" w:pos="7892"/>
              <w:tab w:val="right" w:pos="9026" w:leader="dot"/>
            </w:tabs>
            <w:rPr/>
          </w:pPr>
          <w:hyperlink w:anchor="__RefHeading___Toc5446515_3224264995">
            <w:r>
              <w:rPr>
                <w:webHidden/>
                <w:rStyle w:val="IndexLink"/>
                <w:rtl w:val="true"/>
              </w:rPr>
              <w:t xml:space="preserve">الامر الأوّل </w:t>
            </w:r>
            <w:r>
              <w:rPr>
                <w:rStyle w:val="IndexLink"/>
                <w:rtl w:val="true"/>
              </w:rPr>
              <w:t>:</w:t>
            </w:r>
            <w:r>
              <w:rPr>
                <w:rStyle w:val="IndexLink"/>
                <w:rtl w:val="true"/>
              </w:rPr>
              <w:t>الکلام فی التجرّی و أنّه حرام أم لا؟</w:t>
            </w:r>
            <w:r>
              <w:rPr>
                <w:rStyle w:val="IndexLink"/>
                <w:rtl w:val="true"/>
              </w:rPr>
              <w:tab/>
            </w:r>
            <w:r>
              <w:rPr>
                <w:rStyle w:val="IndexLink"/>
              </w:rPr>
              <w:t>52</w:t>
            </w:r>
          </w:hyperlink>
        </w:p>
        <w:p>
          <w:pPr>
            <w:pStyle w:val="Contents6"/>
            <w:tabs>
              <w:tab w:val="clear" w:pos="7609"/>
              <w:tab w:val="right" w:pos="9026" w:leader="dot"/>
            </w:tabs>
            <w:rPr/>
          </w:pPr>
          <w:hyperlink w:anchor="__RefHeading___Toc5446517_3224264995">
            <w:r>
              <w:rPr>
                <w:webHidden/>
                <w:rStyle w:val="IndexLink"/>
                <w:rtl w:val="true"/>
              </w:rPr>
              <w:t>اشارة</w:t>
            </w:r>
            <w:r>
              <w:rPr>
                <w:rStyle w:val="IndexLink"/>
                <w:rtl w:val="true"/>
              </w:rPr>
              <w:tab/>
            </w:r>
            <w:r>
              <w:rPr>
                <w:rStyle w:val="IndexLink"/>
              </w:rPr>
              <w:t>52</w:t>
            </w:r>
          </w:hyperlink>
        </w:p>
        <w:p>
          <w:pPr>
            <w:pStyle w:val="Contents6"/>
            <w:tabs>
              <w:tab w:val="clear" w:pos="7609"/>
              <w:tab w:val="right" w:pos="9026" w:leader="dot"/>
            </w:tabs>
            <w:rPr/>
          </w:pPr>
          <w:hyperlink w:anchor="__RefHeading___Toc5446519_3224264995">
            <w:r>
              <w:rPr>
                <w:webHidden/>
                <w:rStyle w:val="IndexLink"/>
                <w:rtl w:val="true"/>
              </w:rPr>
              <w:t>هل القطع حجّة مطلقا أو فی خصوص صورة مصادفته للواقع؟</w:t>
            </w:r>
            <w:r>
              <w:rPr>
                <w:rStyle w:val="IndexLink"/>
                <w:rtl w:val="true"/>
              </w:rPr>
              <w:tab/>
            </w:r>
            <w:r>
              <w:rPr>
                <w:rStyle w:val="IndexLink"/>
              </w:rPr>
              <w:t>52</w:t>
            </w:r>
          </w:hyperlink>
        </w:p>
        <w:p>
          <w:pPr>
            <w:pStyle w:val="Contents6"/>
            <w:tabs>
              <w:tab w:val="clear" w:pos="7609"/>
              <w:tab w:val="right" w:pos="9026" w:leader="dot"/>
            </w:tabs>
            <w:rPr/>
          </w:pPr>
          <w:hyperlink w:anchor="__RefHeading___Toc5446521_3224264995">
            <w:r>
              <w:rPr>
                <w:webHidden/>
                <w:rStyle w:val="IndexLink"/>
                <w:rtl w:val="true"/>
              </w:rPr>
              <w:t>الاستدلال علی حرمة التجرّی بالإجماع</w:t>
            </w:r>
            <w:r>
              <w:rPr>
                <w:rStyle w:val="IndexLink"/>
                <w:rtl w:val="true"/>
              </w:rPr>
              <w:tab/>
            </w:r>
            <w:r>
              <w:rPr>
                <w:rStyle w:val="IndexLink"/>
              </w:rPr>
              <w:t>52</w:t>
            </w:r>
          </w:hyperlink>
        </w:p>
        <w:p>
          <w:pPr>
            <w:pStyle w:val="Contents6"/>
            <w:tabs>
              <w:tab w:val="clear" w:pos="7609"/>
              <w:tab w:val="right" w:pos="9026" w:leader="dot"/>
            </w:tabs>
            <w:rPr/>
          </w:pPr>
          <w:hyperlink w:anchor="__RefHeading___Toc5446523_3224264995">
            <w:r>
              <w:rPr>
                <w:webHidden/>
                <w:rStyle w:val="IndexLink"/>
                <w:rtl w:val="true"/>
              </w:rPr>
              <w:t>تأیید الحرمة ببناء العقلاء</w:t>
            </w:r>
            <w:r>
              <w:rPr>
                <w:rStyle w:val="IndexLink"/>
                <w:rtl w:val="true"/>
              </w:rPr>
              <w:tab/>
            </w:r>
            <w:r>
              <w:rPr>
                <w:rStyle w:val="IndexLink"/>
              </w:rPr>
              <w:t>53</w:t>
            </w:r>
          </w:hyperlink>
        </w:p>
        <w:p>
          <w:pPr>
            <w:pStyle w:val="Contents6"/>
            <w:tabs>
              <w:tab w:val="clear" w:pos="7609"/>
              <w:tab w:val="right" w:pos="9026" w:leader="dot"/>
            </w:tabs>
            <w:rPr/>
          </w:pPr>
          <w:hyperlink w:anchor="__RefHeading___Toc5446525_3224264995">
            <w:r>
              <w:rPr>
                <w:webHidden/>
                <w:rStyle w:val="IndexLink"/>
                <w:rtl w:val="true"/>
              </w:rPr>
              <w:t>الاستدلال علی الحرمة بالدلیل العقلی</w:t>
            </w:r>
            <w:r>
              <w:rPr>
                <w:rStyle w:val="IndexLink"/>
                <w:rtl w:val="true"/>
              </w:rPr>
              <w:tab/>
            </w:r>
            <w:r>
              <w:rPr>
                <w:rStyle w:val="IndexLink"/>
              </w:rPr>
              <w:t>53</w:t>
            </w:r>
          </w:hyperlink>
        </w:p>
        <w:p>
          <w:pPr>
            <w:pStyle w:val="Contents6"/>
            <w:tabs>
              <w:tab w:val="clear" w:pos="7609"/>
              <w:tab w:val="right" w:pos="9026" w:leader="dot"/>
            </w:tabs>
            <w:rPr/>
          </w:pPr>
          <w:hyperlink w:anchor="__RefHeading___Toc5446527_3224264995">
            <w:r>
              <w:rPr>
                <w:webHidden/>
                <w:rStyle w:val="IndexLink"/>
                <w:rtl w:val="true"/>
              </w:rPr>
              <w:t>المناقشة فی الإجماع</w:t>
            </w:r>
            <w:r>
              <w:rPr>
                <w:rStyle w:val="IndexLink"/>
                <w:rtl w:val="true"/>
              </w:rPr>
              <w:tab/>
            </w:r>
            <w:r>
              <w:rPr>
                <w:rStyle w:val="IndexLink"/>
              </w:rPr>
              <w:t>54</w:t>
            </w:r>
          </w:hyperlink>
        </w:p>
        <w:p>
          <w:pPr>
            <w:pStyle w:val="Contents6"/>
            <w:tabs>
              <w:tab w:val="clear" w:pos="7609"/>
              <w:tab w:val="right" w:pos="9026" w:leader="dot"/>
            </w:tabs>
            <w:rPr/>
          </w:pPr>
          <w:hyperlink w:anchor="__RefHeading___Toc5446529_3224264995">
            <w:r>
              <w:rPr>
                <w:webHidden/>
                <w:rStyle w:val="IndexLink"/>
                <w:rtl w:val="true"/>
              </w:rPr>
              <w:t>المناقشة فی بناء العقلاء</w:t>
            </w:r>
            <w:r>
              <w:rPr>
                <w:rStyle w:val="IndexLink"/>
                <w:rtl w:val="true"/>
              </w:rPr>
              <w:tab/>
            </w:r>
            <w:r>
              <w:rPr>
                <w:rStyle w:val="IndexLink"/>
              </w:rPr>
              <w:t>54</w:t>
            </w:r>
          </w:hyperlink>
        </w:p>
        <w:p>
          <w:pPr>
            <w:pStyle w:val="Contents6"/>
            <w:tabs>
              <w:tab w:val="clear" w:pos="7609"/>
              <w:tab w:val="right" w:pos="9026" w:leader="dot"/>
            </w:tabs>
            <w:rPr/>
          </w:pPr>
          <w:hyperlink w:anchor="__RefHeading___Toc5446531_3224264995">
            <w:r>
              <w:rPr>
                <w:webHidden/>
                <w:rStyle w:val="IndexLink"/>
                <w:rtl w:val="true"/>
              </w:rPr>
              <w:t>المناقشة فی الدلیل العقلی</w:t>
            </w:r>
            <w:r>
              <w:rPr>
                <w:rStyle w:val="IndexLink"/>
                <w:rtl w:val="true"/>
              </w:rPr>
              <w:tab/>
            </w:r>
            <w:r>
              <w:rPr>
                <w:rStyle w:val="IndexLink"/>
              </w:rPr>
              <w:t>55</w:t>
            </w:r>
          </w:hyperlink>
        </w:p>
        <w:p>
          <w:pPr>
            <w:pStyle w:val="Contents6"/>
            <w:tabs>
              <w:tab w:val="clear" w:pos="7609"/>
              <w:tab w:val="right" w:pos="9026" w:leader="dot"/>
            </w:tabs>
            <w:rPr/>
          </w:pPr>
          <w:hyperlink w:anchor="__RefHeading___Toc5446533_3224264995">
            <w:r>
              <w:rPr>
                <w:webHidden/>
                <w:rStyle w:val="IndexLink"/>
                <w:rtl w:val="true"/>
              </w:rPr>
              <w:t>تفصیل صاحب الفصول فی التجرّی</w:t>
            </w:r>
            <w:r>
              <w:rPr>
                <w:rStyle w:val="IndexLink"/>
                <w:rtl w:val="true"/>
              </w:rPr>
              <w:t>:</w:t>
              <w:tab/>
            </w:r>
            <w:r>
              <w:rPr>
                <w:rStyle w:val="IndexLink"/>
              </w:rPr>
              <w:t>56</w:t>
            </w:r>
          </w:hyperlink>
        </w:p>
        <w:p>
          <w:pPr>
            <w:pStyle w:val="Contents6"/>
            <w:tabs>
              <w:tab w:val="clear" w:pos="7609"/>
              <w:tab w:val="right" w:pos="9026" w:leader="dot"/>
            </w:tabs>
            <w:rPr/>
          </w:pPr>
          <w:hyperlink w:anchor="__RefHeading___Toc5446535_3224264995">
            <w:r>
              <w:rPr>
                <w:webHidden/>
                <w:rStyle w:val="IndexLink"/>
                <w:rtl w:val="true"/>
              </w:rPr>
              <w:t>المناقشة فی تفصیل صاحب الفصول</w:t>
            </w:r>
            <w:r>
              <w:rPr>
                <w:rStyle w:val="IndexLink"/>
                <w:rtl w:val="true"/>
              </w:rPr>
              <w:t>:</w:t>
              <w:tab/>
            </w:r>
            <w:r>
              <w:rPr>
                <w:rStyle w:val="IndexLink"/>
              </w:rPr>
              <w:t>58</w:t>
            </w:r>
          </w:hyperlink>
        </w:p>
        <w:p>
          <w:pPr>
            <w:pStyle w:val="Contents6"/>
            <w:tabs>
              <w:tab w:val="clear" w:pos="7609"/>
              <w:tab w:val="right" w:pos="9026" w:leader="dot"/>
            </w:tabs>
            <w:rPr/>
          </w:pPr>
          <w:hyperlink w:anchor="__RefHeading___Toc5446537_3224264995">
            <w:r>
              <w:rPr>
                <w:webHidden/>
                <w:rStyle w:val="IndexLink"/>
                <w:rtl w:val="true"/>
              </w:rPr>
              <w:t>عدم الإشکال فی القبح الفاعلی</w:t>
            </w:r>
            <w:r>
              <w:rPr>
                <w:rStyle w:val="IndexLink"/>
                <w:rtl w:val="true"/>
              </w:rPr>
              <w:t>:</w:t>
              <w:tab/>
            </w:r>
            <w:r>
              <w:rPr>
                <w:rStyle w:val="IndexLink"/>
              </w:rPr>
              <w:t>60</w:t>
            </w:r>
          </w:hyperlink>
        </w:p>
        <w:p>
          <w:pPr>
            <w:pStyle w:val="Contents6"/>
            <w:tabs>
              <w:tab w:val="clear" w:pos="7609"/>
              <w:tab w:val="right" w:pos="9026" w:leader="dot"/>
            </w:tabs>
            <w:rPr/>
          </w:pPr>
          <w:hyperlink w:anchor="__RefHeading___Toc5446539_3224264995">
            <w:r>
              <w:rPr>
                <w:webHidden/>
                <w:rStyle w:val="IndexLink"/>
                <w:rtl w:val="true"/>
              </w:rPr>
              <w:t>الإشکال فی القبح الفعلی</w:t>
            </w:r>
            <w:r>
              <w:rPr>
                <w:rStyle w:val="IndexLink"/>
                <w:rtl w:val="true"/>
              </w:rPr>
              <w:t>:</w:t>
              <w:tab/>
            </w:r>
            <w:r>
              <w:rPr>
                <w:rStyle w:val="IndexLink"/>
              </w:rPr>
              <w:t>60</w:t>
            </w:r>
          </w:hyperlink>
        </w:p>
        <w:p>
          <w:pPr>
            <w:pStyle w:val="Contents6"/>
            <w:tabs>
              <w:tab w:val="clear" w:pos="7609"/>
              <w:tab w:val="right" w:pos="9026" w:leader="dot"/>
            </w:tabs>
            <w:rPr/>
          </w:pPr>
          <w:hyperlink w:anchor="__RefHeading___Toc5446541_3224264995">
            <w:r>
              <w:rPr>
                <w:webHidden/>
                <w:rStyle w:val="IndexLink"/>
                <w:rtl w:val="true"/>
              </w:rPr>
              <w:t>دلالة الأخبار الکثیرة علی العفو عن التجرّی بمجرّد القصد إلی المعصیة</w:t>
            </w:r>
            <w:r>
              <w:rPr>
                <w:rStyle w:val="IndexLink"/>
                <w:rtl w:val="true"/>
              </w:rPr>
              <w:tab/>
            </w:r>
            <w:r>
              <w:rPr>
                <w:rStyle w:val="IndexLink"/>
              </w:rPr>
              <w:t>61</w:t>
            </w:r>
          </w:hyperlink>
        </w:p>
        <w:p>
          <w:pPr>
            <w:pStyle w:val="Contents6"/>
            <w:tabs>
              <w:tab w:val="clear" w:pos="7609"/>
              <w:tab w:val="right" w:pos="9026" w:leader="dot"/>
            </w:tabs>
            <w:rPr/>
          </w:pPr>
          <w:hyperlink w:anchor="__RefHeading___Toc5446543_3224264995">
            <w:r>
              <w:rPr>
                <w:webHidden/>
                <w:rStyle w:val="IndexLink"/>
                <w:rtl w:val="true"/>
              </w:rPr>
              <w:t>دلالة بعض الأخبار علی العقاب فی القصد</w:t>
            </w:r>
            <w:r>
              <w:rPr>
                <w:rStyle w:val="IndexLink"/>
                <w:rtl w:val="true"/>
              </w:rPr>
              <w:t>:</w:t>
              <w:tab/>
            </w:r>
            <w:r>
              <w:rPr>
                <w:rStyle w:val="IndexLink"/>
              </w:rPr>
              <w:t>61</w:t>
            </w:r>
          </w:hyperlink>
        </w:p>
        <w:p>
          <w:pPr>
            <w:pStyle w:val="Contents6"/>
            <w:tabs>
              <w:tab w:val="clear" w:pos="7609"/>
              <w:tab w:val="right" w:pos="9026" w:leader="dot"/>
            </w:tabs>
            <w:rPr/>
          </w:pPr>
          <w:hyperlink w:anchor="__RefHeading___Toc5446545_3224264995">
            <w:r>
              <w:rPr>
                <w:webHidden/>
                <w:rStyle w:val="IndexLink"/>
                <w:rtl w:val="true"/>
              </w:rPr>
              <w:t>الجمع بین أخبار العفو و العقاب</w:t>
            </w:r>
            <w:r>
              <w:rPr>
                <w:rStyle w:val="IndexLink"/>
                <w:rtl w:val="true"/>
              </w:rPr>
              <w:t>:</w:t>
              <w:tab/>
            </w:r>
            <w:r>
              <w:rPr>
                <w:rStyle w:val="IndexLink"/>
              </w:rPr>
              <w:t>63</w:t>
            </w:r>
          </w:hyperlink>
        </w:p>
        <w:p>
          <w:pPr>
            <w:pStyle w:val="Contents6"/>
            <w:tabs>
              <w:tab w:val="clear" w:pos="7609"/>
              <w:tab w:val="right" w:pos="9026" w:leader="dot"/>
            </w:tabs>
            <w:rPr/>
          </w:pPr>
          <w:hyperlink w:anchor="__RefHeading___Toc5446547_3224264995">
            <w:r>
              <w:rPr>
                <w:webHidden/>
                <w:rStyle w:val="IndexLink"/>
                <w:rtl w:val="true"/>
              </w:rPr>
              <w:t>أقسام التجرّی</w:t>
            </w:r>
            <w:r>
              <w:rPr>
                <w:rStyle w:val="IndexLink"/>
                <w:rtl w:val="true"/>
              </w:rPr>
              <w:t>:</w:t>
              <w:tab/>
            </w:r>
            <w:r>
              <w:rPr>
                <w:rStyle w:val="IndexLink"/>
              </w:rPr>
              <w:t>63</w:t>
            </w:r>
          </w:hyperlink>
        </w:p>
        <w:p>
          <w:pPr>
            <w:pStyle w:val="Contents6"/>
            <w:tabs>
              <w:tab w:val="clear" w:pos="7609"/>
              <w:tab w:val="right" w:pos="9026" w:leader="dot"/>
            </w:tabs>
            <w:rPr/>
          </w:pPr>
          <w:hyperlink w:anchor="__RefHeading___Toc5446549_3224264995">
            <w:r>
              <w:rPr>
                <w:webHidden/>
                <w:rStyle w:val="IndexLink"/>
                <w:rtl w:val="true"/>
              </w:rPr>
              <w:t>ما أفاده الشهید حول بعض الأقسام المذکورة</w:t>
            </w:r>
            <w:r>
              <w:rPr>
                <w:rStyle w:val="IndexLink"/>
                <w:rtl w:val="true"/>
              </w:rPr>
              <w:t>:</w:t>
              <w:tab/>
            </w:r>
            <w:r>
              <w:rPr>
                <w:rStyle w:val="IndexLink"/>
              </w:rPr>
              <w:t>64</w:t>
            </w:r>
          </w:hyperlink>
        </w:p>
        <w:p>
          <w:pPr>
            <w:pStyle w:val="Contents5"/>
            <w:tabs>
              <w:tab w:val="clear" w:pos="7892"/>
              <w:tab w:val="right" w:pos="9026" w:leader="dot"/>
            </w:tabs>
            <w:rPr/>
          </w:pPr>
          <w:hyperlink w:anchor="__RefHeading___Toc5446551_3224264995">
            <w:r>
              <w:rPr>
                <w:webHidden/>
                <w:rStyle w:val="IndexLink"/>
                <w:rtl w:val="true"/>
              </w:rPr>
              <w:t>الأمر الثانی</w:t>
            </w:r>
            <w:r>
              <w:rPr>
                <w:rStyle w:val="IndexLink"/>
                <w:rtl w:val="true"/>
              </w:rPr>
              <w:t>:</w:t>
            </w:r>
            <w:r>
              <w:rPr>
                <w:rStyle w:val="IndexLink"/>
                <w:rtl w:val="true"/>
              </w:rPr>
              <w:t>عدم حجّیة القطع الحاصل من المقدّمات العقلیّة عند الأخباریّین</w:t>
            </w:r>
            <w:r>
              <w:rPr>
                <w:rStyle w:val="IndexLink"/>
                <w:rtl w:val="true"/>
              </w:rPr>
              <w:tab/>
            </w:r>
            <w:r>
              <w:rPr>
                <w:rStyle w:val="IndexLink"/>
              </w:rPr>
              <w:t>66</w:t>
            </w:r>
          </w:hyperlink>
        </w:p>
        <w:p>
          <w:pPr>
            <w:pStyle w:val="Contents6"/>
            <w:tabs>
              <w:tab w:val="clear" w:pos="7609"/>
              <w:tab w:val="right" w:pos="9026" w:leader="dot"/>
            </w:tabs>
            <w:rPr/>
          </w:pPr>
          <w:hyperlink w:anchor="__RefHeading___Toc5446553_3224264995">
            <w:r>
              <w:rPr>
                <w:webHidden/>
                <w:rStyle w:val="IndexLink"/>
                <w:rtl w:val="true"/>
              </w:rPr>
              <w:t>اشارة</w:t>
            </w:r>
            <w:r>
              <w:rPr>
                <w:rStyle w:val="IndexLink"/>
                <w:rtl w:val="true"/>
              </w:rPr>
              <w:tab/>
            </w:r>
            <w:r>
              <w:rPr>
                <w:rStyle w:val="IndexLink"/>
              </w:rPr>
              <w:t>66</w:t>
            </w:r>
          </w:hyperlink>
        </w:p>
        <w:p>
          <w:pPr>
            <w:pStyle w:val="Contents6"/>
            <w:tabs>
              <w:tab w:val="clear" w:pos="7609"/>
              <w:tab w:val="right" w:pos="9026" w:leader="dot"/>
            </w:tabs>
            <w:rPr/>
          </w:pPr>
          <w:hyperlink w:anchor="__RefHeading___Toc5446555_3224264995">
            <w:r>
              <w:rPr>
                <w:webHidden/>
                <w:rStyle w:val="IndexLink"/>
                <w:rtl w:val="true"/>
              </w:rPr>
              <w:t>مناقشة الأخباریّین</w:t>
            </w:r>
            <w:r>
              <w:rPr>
                <w:rStyle w:val="IndexLink"/>
                <w:rtl w:val="true"/>
              </w:rPr>
              <w:t>:</w:t>
              <w:tab/>
            </w:r>
            <w:r>
              <w:rPr>
                <w:rStyle w:val="IndexLink"/>
              </w:rPr>
              <w:t>66</w:t>
            </w:r>
          </w:hyperlink>
        </w:p>
        <w:p>
          <w:pPr>
            <w:pStyle w:val="Contents6"/>
            <w:tabs>
              <w:tab w:val="clear" w:pos="7609"/>
              <w:tab w:val="right" w:pos="9026" w:leader="dot"/>
            </w:tabs>
            <w:rPr/>
          </w:pPr>
          <w:hyperlink w:anchor="__RefHeading___Toc5446557_3224264995">
            <w:r>
              <w:rPr>
                <w:webHidden/>
                <w:rStyle w:val="IndexLink"/>
                <w:rtl w:val="true"/>
              </w:rPr>
              <w:t>کلام المحدّث الأسترابادی فی المسألة</w:t>
            </w:r>
            <w:r>
              <w:rPr>
                <w:rStyle w:val="IndexLink"/>
                <w:rtl w:val="true"/>
              </w:rPr>
              <w:tab/>
            </w:r>
            <w:r>
              <w:rPr>
                <w:rStyle w:val="IndexLink"/>
              </w:rPr>
              <w:t>67</w:t>
            </w:r>
          </w:hyperlink>
        </w:p>
        <w:p>
          <w:pPr>
            <w:pStyle w:val="Contents6"/>
            <w:tabs>
              <w:tab w:val="clear" w:pos="7609"/>
              <w:tab w:val="right" w:pos="9026" w:leader="dot"/>
            </w:tabs>
            <w:rPr/>
          </w:pPr>
          <w:hyperlink w:anchor="__RefHeading___Toc5446559_3224264995">
            <w:r>
              <w:rPr>
                <w:webHidden/>
                <w:rStyle w:val="IndexLink"/>
                <w:rtl w:val="true"/>
              </w:rPr>
              <w:t>کلام المحدث الجزائری فی المسألة</w:t>
            </w:r>
            <w:r>
              <w:rPr>
                <w:rStyle w:val="IndexLink"/>
                <w:rtl w:val="true"/>
              </w:rPr>
              <w:t>:</w:t>
              <w:tab/>
            </w:r>
            <w:r>
              <w:rPr>
                <w:rStyle w:val="IndexLink"/>
              </w:rPr>
              <w:t>69</w:t>
            </w:r>
          </w:hyperlink>
        </w:p>
        <w:p>
          <w:pPr>
            <w:pStyle w:val="Contents6"/>
            <w:tabs>
              <w:tab w:val="clear" w:pos="7609"/>
              <w:tab w:val="right" w:pos="9026" w:leader="dot"/>
            </w:tabs>
            <w:rPr/>
          </w:pPr>
          <w:hyperlink w:anchor="__RefHeading___Toc5446561_3224264995">
            <w:r>
              <w:rPr>
                <w:webHidden/>
                <w:rStyle w:val="IndexLink"/>
                <w:rtl w:val="true"/>
              </w:rPr>
              <w:t>مناقشة ما أفاده المحدث الجزائری</w:t>
            </w:r>
            <w:r>
              <w:rPr>
                <w:rStyle w:val="IndexLink"/>
                <w:rtl w:val="true"/>
              </w:rPr>
              <w:t>:</w:t>
              <w:tab/>
            </w:r>
            <w:r>
              <w:rPr>
                <w:rStyle w:val="IndexLink"/>
              </w:rPr>
              <w:t>70</w:t>
            </w:r>
          </w:hyperlink>
        </w:p>
        <w:p>
          <w:pPr>
            <w:pStyle w:val="Contents6"/>
            <w:tabs>
              <w:tab w:val="clear" w:pos="7609"/>
              <w:tab w:val="right" w:pos="9026" w:leader="dot"/>
            </w:tabs>
            <w:rPr/>
          </w:pPr>
          <w:hyperlink w:anchor="__RefHeading___Toc5446563_3224264995">
            <w:r>
              <w:rPr>
                <w:webHidden/>
                <w:rStyle w:val="IndexLink"/>
                <w:rtl w:val="true"/>
              </w:rPr>
              <w:t>کلام المحدث البحرانی فی المسألة</w:t>
            </w:r>
            <w:r>
              <w:rPr>
                <w:rStyle w:val="IndexLink"/>
                <w:rtl w:val="true"/>
              </w:rPr>
              <w:t>:</w:t>
              <w:tab/>
            </w:r>
            <w:r>
              <w:rPr>
                <w:rStyle w:val="IndexLink"/>
              </w:rPr>
              <w:t>70</w:t>
            </w:r>
          </w:hyperlink>
        </w:p>
        <w:p>
          <w:pPr>
            <w:pStyle w:val="Contents6"/>
            <w:tabs>
              <w:tab w:val="clear" w:pos="7609"/>
              <w:tab w:val="right" w:pos="9026" w:leader="dot"/>
            </w:tabs>
            <w:rPr/>
          </w:pPr>
          <w:hyperlink w:anchor="__RefHeading___Toc5446565_3224264995">
            <w:r>
              <w:rPr>
                <w:webHidden/>
                <w:rStyle w:val="IndexLink"/>
                <w:rtl w:val="true"/>
              </w:rPr>
              <w:t>مناقشة ما أفاده المحدث البحرانی</w:t>
            </w:r>
            <w:r>
              <w:rPr>
                <w:rStyle w:val="IndexLink"/>
                <w:rtl w:val="true"/>
              </w:rPr>
              <w:t>:</w:t>
              <w:tab/>
            </w:r>
            <w:r>
              <w:rPr>
                <w:rStyle w:val="IndexLink"/>
              </w:rPr>
              <w:t>71</w:t>
            </w:r>
          </w:hyperlink>
        </w:p>
        <w:p>
          <w:pPr>
            <w:pStyle w:val="Contents6"/>
            <w:tabs>
              <w:tab w:val="clear" w:pos="7609"/>
              <w:tab w:val="right" w:pos="9026" w:leader="dot"/>
            </w:tabs>
            <w:rPr/>
          </w:pPr>
          <w:hyperlink w:anchor="__RefHeading___Toc5446567_3224264995">
            <w:r>
              <w:rPr>
                <w:webHidden/>
                <w:rStyle w:val="IndexLink"/>
                <w:rtl w:val="true"/>
              </w:rPr>
              <w:t>نظریة المصنف فی المسألة</w:t>
            </w:r>
            <w:r>
              <w:rPr>
                <w:rStyle w:val="IndexLink"/>
                <w:rtl w:val="true"/>
              </w:rPr>
              <w:t>:</w:t>
              <w:tab/>
            </w:r>
            <w:r>
              <w:rPr>
                <w:rStyle w:val="IndexLink"/>
              </w:rPr>
              <w:t>72</w:t>
            </w:r>
          </w:hyperlink>
        </w:p>
        <w:p>
          <w:pPr>
            <w:pStyle w:val="Contents6"/>
            <w:tabs>
              <w:tab w:val="clear" w:pos="7609"/>
              <w:tab w:val="right" w:pos="9026" w:leader="dot"/>
            </w:tabs>
            <w:rPr/>
          </w:pPr>
          <w:hyperlink w:anchor="__RefHeading___Toc5446569_3224264995">
            <w:r>
              <w:rPr>
                <w:webHidden/>
                <w:rStyle w:val="IndexLink"/>
                <w:rtl w:val="true"/>
              </w:rPr>
              <w:t>کلام السید الصدر فی المسألة</w:t>
            </w:r>
            <w:r>
              <w:rPr>
                <w:rStyle w:val="IndexLink"/>
                <w:rtl w:val="true"/>
              </w:rPr>
              <w:t>:</w:t>
              <w:tab/>
            </w:r>
            <w:r>
              <w:rPr>
                <w:rStyle w:val="IndexLink"/>
              </w:rPr>
              <w:t>75</w:t>
            </w:r>
          </w:hyperlink>
        </w:p>
        <w:p>
          <w:pPr>
            <w:pStyle w:val="Contents6"/>
            <w:tabs>
              <w:tab w:val="clear" w:pos="7609"/>
              <w:tab w:val="right" w:pos="9026" w:leader="dot"/>
            </w:tabs>
            <w:rPr/>
          </w:pPr>
          <w:hyperlink w:anchor="__RefHeading___Toc5446571_3224264995">
            <w:r>
              <w:rPr>
                <w:webHidden/>
                <w:rStyle w:val="IndexLink"/>
                <w:rtl w:val="true"/>
              </w:rPr>
              <w:t>تفسیر الأخبار الدالّة علی مدخلیّة تبلیغ الحجّة</w:t>
            </w:r>
            <w:r>
              <w:rPr>
                <w:rStyle w:val="IndexLink"/>
                <w:rtl w:val="true"/>
              </w:rPr>
              <w:t>:</w:t>
              <w:tab/>
            </w:r>
            <w:r>
              <w:rPr>
                <w:rStyle w:val="IndexLink"/>
              </w:rPr>
              <w:t>75</w:t>
            </w:r>
          </w:hyperlink>
        </w:p>
        <w:p>
          <w:pPr>
            <w:pStyle w:val="Contents6"/>
            <w:tabs>
              <w:tab w:val="clear" w:pos="7609"/>
              <w:tab w:val="right" w:pos="9026" w:leader="dot"/>
            </w:tabs>
            <w:rPr/>
          </w:pPr>
          <w:hyperlink w:anchor="__RefHeading___Toc5446573_3224264995">
            <w:r>
              <w:rPr>
                <w:webHidden/>
                <w:rStyle w:val="IndexLink"/>
                <w:rtl w:val="true"/>
              </w:rPr>
              <w:t>عدم جواز الرکون إلی العقل فیما یتعلّق بمناطات الأحکام</w:t>
            </w:r>
            <w:r>
              <w:rPr>
                <w:rStyle w:val="IndexLink"/>
                <w:rtl w:val="true"/>
              </w:rPr>
              <w:t>:</w:t>
              <w:tab/>
            </w:r>
            <w:r>
              <w:rPr>
                <w:rStyle w:val="IndexLink"/>
              </w:rPr>
              <w:t>77</w:t>
            </w:r>
          </w:hyperlink>
        </w:p>
        <w:p>
          <w:pPr>
            <w:pStyle w:val="Contents6"/>
            <w:tabs>
              <w:tab w:val="clear" w:pos="7609"/>
              <w:tab w:val="right" w:pos="9026" w:leader="dot"/>
            </w:tabs>
            <w:rPr/>
          </w:pPr>
          <w:hyperlink w:anchor="__RefHeading___Toc5446575_3224264995">
            <w:r>
              <w:rPr>
                <w:webHidden/>
                <w:rStyle w:val="IndexLink"/>
                <w:rtl w:val="true"/>
              </w:rPr>
              <w:t>ترک الخوض فی المطالب العقلیّة فیما یتعلّق باصول الدین</w:t>
            </w:r>
            <w:r>
              <w:rPr>
                <w:rStyle w:val="IndexLink"/>
                <w:rtl w:val="true"/>
              </w:rPr>
              <w:t>:</w:t>
              <w:tab/>
            </w:r>
            <w:r>
              <w:rPr>
                <w:rStyle w:val="IndexLink"/>
              </w:rPr>
              <w:t>79</w:t>
            </w:r>
          </w:hyperlink>
        </w:p>
        <w:p>
          <w:pPr>
            <w:pStyle w:val="Contents5"/>
            <w:tabs>
              <w:tab w:val="clear" w:pos="7892"/>
              <w:tab w:val="right" w:pos="9026" w:leader="dot"/>
            </w:tabs>
            <w:rPr/>
          </w:pPr>
          <w:hyperlink w:anchor="__RefHeading___Toc5446577_3224264995">
            <w:r>
              <w:rPr>
                <w:webHidden/>
                <w:rStyle w:val="IndexLink"/>
                <w:rtl w:val="true"/>
              </w:rPr>
              <w:t xml:space="preserve">الأمر الثالث </w:t>
            </w:r>
            <w:r>
              <w:rPr>
                <w:rStyle w:val="IndexLink"/>
                <w:rtl w:val="true"/>
              </w:rPr>
              <w:t>:</w:t>
            </w:r>
            <w:r>
              <w:rPr>
                <w:rStyle w:val="IndexLink"/>
                <w:rtl w:val="true"/>
              </w:rPr>
              <w:t>المشهور عدم اعتبار قطع القطّاع</w:t>
            </w:r>
            <w:r>
              <w:rPr>
                <w:rStyle w:val="IndexLink"/>
                <w:rtl w:val="true"/>
              </w:rPr>
              <w:tab/>
            </w:r>
            <w:r>
              <w:rPr>
                <w:rStyle w:val="IndexLink"/>
              </w:rPr>
              <w:t>80</w:t>
            </w:r>
          </w:hyperlink>
        </w:p>
        <w:p>
          <w:pPr>
            <w:pStyle w:val="Contents6"/>
            <w:tabs>
              <w:tab w:val="clear" w:pos="7609"/>
              <w:tab w:val="right" w:pos="9026" w:leader="dot"/>
            </w:tabs>
            <w:rPr/>
          </w:pPr>
          <w:hyperlink w:anchor="__RefHeading___Toc5446579_3224264995">
            <w:r>
              <w:rPr>
                <w:webHidden/>
                <w:rStyle w:val="IndexLink"/>
                <w:rtl w:val="true"/>
              </w:rPr>
              <w:t>اشارة</w:t>
            </w:r>
            <w:r>
              <w:rPr>
                <w:rStyle w:val="IndexLink"/>
                <w:rtl w:val="true"/>
              </w:rPr>
              <w:tab/>
            </w:r>
            <w:r>
              <w:rPr>
                <w:rStyle w:val="IndexLink"/>
              </w:rPr>
              <w:t>80</w:t>
            </w:r>
          </w:hyperlink>
        </w:p>
        <w:p>
          <w:pPr>
            <w:pStyle w:val="Contents6"/>
            <w:tabs>
              <w:tab w:val="clear" w:pos="7609"/>
              <w:tab w:val="right" w:pos="9026" w:leader="dot"/>
            </w:tabs>
            <w:rPr/>
          </w:pPr>
          <w:hyperlink w:anchor="__RefHeading___Toc5446581_3224264995">
            <w:r>
              <w:rPr>
                <w:webHidden/>
                <w:rStyle w:val="IndexLink"/>
                <w:rtl w:val="true"/>
              </w:rPr>
              <w:t>کلام کاشف الغطاء فی المسألة</w:t>
            </w:r>
            <w:r>
              <w:rPr>
                <w:rStyle w:val="IndexLink"/>
                <w:rtl w:val="true"/>
              </w:rPr>
              <w:t>:</w:t>
              <w:tab/>
            </w:r>
            <w:r>
              <w:rPr>
                <w:rStyle w:val="IndexLink"/>
              </w:rPr>
              <w:t>80</w:t>
            </w:r>
          </w:hyperlink>
        </w:p>
        <w:p>
          <w:pPr>
            <w:pStyle w:val="Contents6"/>
            <w:tabs>
              <w:tab w:val="clear" w:pos="7609"/>
              <w:tab w:val="right" w:pos="9026" w:leader="dot"/>
            </w:tabs>
            <w:rPr/>
          </w:pPr>
          <w:hyperlink w:anchor="__RefHeading___Toc5446583_3224264995">
            <w:r>
              <w:rPr>
                <w:webHidden/>
                <w:rStyle w:val="IndexLink"/>
                <w:rtl w:val="true"/>
              </w:rPr>
              <w:t>مناقشة ما أفاده کاشف الغطاء</w:t>
            </w:r>
            <w:r>
              <w:rPr>
                <w:rStyle w:val="IndexLink"/>
                <w:rtl w:val="true"/>
              </w:rPr>
              <w:tab/>
            </w:r>
            <w:r>
              <w:rPr>
                <w:rStyle w:val="IndexLink"/>
              </w:rPr>
              <w:t>80</w:t>
            </w:r>
          </w:hyperlink>
        </w:p>
        <w:p>
          <w:pPr>
            <w:pStyle w:val="Contents6"/>
            <w:tabs>
              <w:tab w:val="clear" w:pos="7609"/>
              <w:tab w:val="right" w:pos="9026" w:leader="dot"/>
            </w:tabs>
            <w:rPr/>
          </w:pPr>
          <w:hyperlink w:anchor="__RefHeading___Toc5446585_3224264995">
            <w:r>
              <w:rPr>
                <w:webHidden/>
                <w:rStyle w:val="IndexLink"/>
                <w:rtl w:val="true"/>
              </w:rPr>
              <w:t>توجیه الحکم بعدم اعتبار قطع القطّاع</w:t>
            </w:r>
            <w:r>
              <w:rPr>
                <w:rStyle w:val="IndexLink"/>
                <w:rtl w:val="true"/>
              </w:rPr>
              <w:t>:</w:t>
              <w:tab/>
            </w:r>
            <w:r>
              <w:rPr>
                <w:rStyle w:val="IndexLink"/>
              </w:rPr>
              <w:t>82</w:t>
            </w:r>
          </w:hyperlink>
        </w:p>
        <w:p>
          <w:pPr>
            <w:pStyle w:val="Contents6"/>
            <w:tabs>
              <w:tab w:val="clear" w:pos="7609"/>
              <w:tab w:val="right" w:pos="9026" w:leader="dot"/>
            </w:tabs>
            <w:rPr/>
          </w:pPr>
          <w:hyperlink w:anchor="__RefHeading___Toc5446587_3224264995">
            <w:r>
              <w:rPr>
                <w:webHidden/>
                <w:rStyle w:val="IndexLink"/>
                <w:rtl w:val="true"/>
              </w:rPr>
              <w:t>مناقشة التوجیه المذکور</w:t>
            </w:r>
            <w:r>
              <w:rPr>
                <w:rStyle w:val="IndexLink"/>
                <w:rtl w:val="true"/>
              </w:rPr>
              <w:t>:</w:t>
              <w:tab/>
            </w:r>
            <w:r>
              <w:rPr>
                <w:rStyle w:val="IndexLink"/>
              </w:rPr>
              <w:t>82</w:t>
            </w:r>
          </w:hyperlink>
        </w:p>
        <w:p>
          <w:pPr>
            <w:pStyle w:val="Contents5"/>
            <w:tabs>
              <w:tab w:val="clear" w:pos="7892"/>
              <w:tab w:val="right" w:pos="9026" w:leader="dot"/>
            </w:tabs>
            <w:rPr/>
          </w:pPr>
          <w:hyperlink w:anchor="__RefHeading___Toc5446589_3224264995">
            <w:r>
              <w:rPr>
                <w:webHidden/>
                <w:rStyle w:val="IndexLink"/>
                <w:rtl w:val="true"/>
              </w:rPr>
              <w:t xml:space="preserve">الأمر الرابع </w:t>
            </w:r>
            <w:r>
              <w:rPr>
                <w:rStyle w:val="IndexLink"/>
                <w:rtl w:val="true"/>
              </w:rPr>
              <w:t>:</w:t>
            </w:r>
            <w:r>
              <w:rPr>
                <w:rStyle w:val="IndexLink"/>
                <w:rtl w:val="true"/>
              </w:rPr>
              <w:t>الکلام فی اعتبار العلم الإجمالی،و فیه مقامان</w:t>
            </w:r>
            <w:r>
              <w:rPr>
                <w:rStyle w:val="IndexLink"/>
                <w:rtl w:val="true"/>
              </w:rPr>
              <w:t>:</w:t>
              <w:tab/>
            </w:r>
            <w:r>
              <w:rPr>
                <w:rStyle w:val="IndexLink"/>
              </w:rPr>
              <w:t>84</w:t>
            </w:r>
          </w:hyperlink>
        </w:p>
        <w:p>
          <w:pPr>
            <w:pStyle w:val="Contents6"/>
            <w:tabs>
              <w:tab w:val="clear" w:pos="7609"/>
              <w:tab w:val="right" w:pos="9026" w:leader="dot"/>
            </w:tabs>
            <w:rPr/>
          </w:pPr>
          <w:hyperlink w:anchor="__RefHeading___Toc5446591_3224264995">
            <w:r>
              <w:rPr>
                <w:webHidden/>
                <w:rStyle w:val="IndexLink"/>
                <w:rtl w:val="true"/>
              </w:rPr>
              <w:t>اشارة</w:t>
            </w:r>
            <w:r>
              <w:rPr>
                <w:rStyle w:val="IndexLink"/>
                <w:rtl w:val="true"/>
              </w:rPr>
              <w:tab/>
            </w:r>
            <w:r>
              <w:rPr>
                <w:rStyle w:val="IndexLink"/>
              </w:rPr>
              <w:t>84</w:t>
            </w:r>
          </w:hyperlink>
        </w:p>
        <w:p>
          <w:pPr>
            <w:pStyle w:val="Contents6"/>
            <w:tabs>
              <w:tab w:val="clear" w:pos="7609"/>
              <w:tab w:val="right" w:pos="9026" w:leader="dot"/>
            </w:tabs>
            <w:rPr/>
          </w:pPr>
          <w:hyperlink w:anchor="__RefHeading___Toc5446593_3224264995">
            <w:r>
              <w:rPr>
                <w:webHidden/>
                <w:rStyle w:val="IndexLink"/>
                <w:rtl w:val="true"/>
              </w:rPr>
              <w:t>المقام الثانی</w:t>
            </w:r>
            <w:r>
              <w:rPr>
                <w:rStyle w:val="IndexLink"/>
                <w:rtl w:val="true"/>
              </w:rPr>
              <w:t>:</w:t>
              <w:tab/>
            </w:r>
            <w:r>
              <w:rPr>
                <w:rStyle w:val="IndexLink"/>
              </w:rPr>
              <w:t>86</w:t>
            </w:r>
          </w:hyperlink>
        </w:p>
        <w:p>
          <w:pPr>
            <w:pStyle w:val="Contents6"/>
            <w:tabs>
              <w:tab w:val="clear" w:pos="7609"/>
              <w:tab w:val="right" w:pos="9026" w:leader="dot"/>
            </w:tabs>
            <w:rPr/>
          </w:pPr>
          <w:hyperlink w:anchor="__RefHeading___Toc5446595_3224264995">
            <w:r>
              <w:rPr>
                <w:webHidden/>
                <w:rStyle w:val="IndexLink"/>
                <w:rtl w:val="true"/>
              </w:rPr>
              <w:t>الامتثال الإجمالی فی العبادات</w:t>
            </w:r>
            <w:r>
              <w:rPr>
                <w:rStyle w:val="IndexLink"/>
                <w:rtl w:val="true"/>
              </w:rPr>
              <w:t>:</w:t>
              <w:tab/>
            </w:r>
            <w:r>
              <w:rPr>
                <w:rStyle w:val="IndexLink"/>
              </w:rPr>
              <w:t>86</w:t>
            </w:r>
          </w:hyperlink>
        </w:p>
        <w:p>
          <w:pPr>
            <w:pStyle w:val="Contents6"/>
            <w:tabs>
              <w:tab w:val="clear" w:pos="7609"/>
              <w:tab w:val="right" w:pos="9026" w:leader="dot"/>
            </w:tabs>
            <w:rPr/>
          </w:pPr>
          <w:hyperlink w:anchor="__RefHeading___Toc5446597_3224264995">
            <w:r>
              <w:rPr>
                <w:webHidden/>
                <w:rStyle w:val="IndexLink"/>
                <w:rtl w:val="true"/>
              </w:rPr>
              <w:t>لو توقّف الاحتیاط علی تکرار العبادة</w:t>
            </w:r>
            <w:r>
              <w:rPr>
                <w:rStyle w:val="IndexLink"/>
                <w:rtl w:val="true"/>
              </w:rPr>
              <w:tab/>
            </w:r>
            <w:r>
              <w:rPr>
                <w:rStyle w:val="IndexLink"/>
              </w:rPr>
              <w:t>87</w:t>
            </w:r>
          </w:hyperlink>
        </w:p>
        <w:p>
          <w:pPr>
            <w:pStyle w:val="Contents6"/>
            <w:tabs>
              <w:tab w:val="clear" w:pos="7609"/>
              <w:tab w:val="right" w:pos="9026" w:leader="dot"/>
            </w:tabs>
            <w:rPr/>
          </w:pPr>
          <w:hyperlink w:anchor="__RefHeading___Toc5446599_3224264995">
            <w:r>
              <w:rPr>
                <w:webHidden/>
                <w:rStyle w:val="IndexLink"/>
                <w:rtl w:val="true"/>
              </w:rPr>
              <w:t>لو لم یتوقّف الاحتیاط علی التکرار</w:t>
            </w:r>
            <w:r>
              <w:rPr>
                <w:rStyle w:val="IndexLink"/>
                <w:rtl w:val="true"/>
              </w:rPr>
              <w:t>:</w:t>
              <w:tab/>
            </w:r>
            <w:r>
              <w:rPr>
                <w:rStyle w:val="IndexLink"/>
              </w:rPr>
              <w:t>87</w:t>
            </w:r>
          </w:hyperlink>
        </w:p>
        <w:p>
          <w:pPr>
            <w:pStyle w:val="Contents6"/>
            <w:tabs>
              <w:tab w:val="clear" w:pos="7609"/>
              <w:tab w:val="right" w:pos="9026" w:leader="dot"/>
            </w:tabs>
            <w:rPr/>
          </w:pPr>
          <w:hyperlink w:anchor="__RefHeading___Toc5446601_3224264995">
            <w:r>
              <w:rPr>
                <w:webHidden/>
                <w:rStyle w:val="IndexLink"/>
                <w:rtl w:val="true"/>
              </w:rPr>
              <w:t>هل یقدّم الظنّ التفصیلی المعتبر علی العلم الإجمالی؟</w:t>
            </w:r>
            <w:r>
              <w:rPr>
                <w:rStyle w:val="IndexLink"/>
                <w:rtl w:val="true"/>
              </w:rPr>
              <w:tab/>
            </w:r>
            <w:r>
              <w:rPr>
                <w:rStyle w:val="IndexLink"/>
              </w:rPr>
              <w:t>88</w:t>
            </w:r>
          </w:hyperlink>
        </w:p>
        <w:p>
          <w:pPr>
            <w:pStyle w:val="Contents6"/>
            <w:tabs>
              <w:tab w:val="clear" w:pos="7609"/>
              <w:tab w:val="right" w:pos="9026" w:leader="dot"/>
            </w:tabs>
            <w:rPr/>
          </w:pPr>
          <w:hyperlink w:anchor="__RefHeading___Toc5446603_3224264995">
            <w:r>
              <w:rPr>
                <w:webHidden/>
                <w:rStyle w:val="IndexLink"/>
                <w:rtl w:val="true"/>
              </w:rPr>
              <w:t>لو کان الظنّ ممّا ثبت اعتباره بدلیل الانسداد</w:t>
            </w:r>
            <w:r>
              <w:rPr>
                <w:rStyle w:val="IndexLink"/>
                <w:rtl w:val="true"/>
              </w:rPr>
              <w:t>:</w:t>
              <w:tab/>
            </w:r>
            <w:r>
              <w:rPr>
                <w:rStyle w:val="IndexLink"/>
              </w:rPr>
              <w:t>88</w:t>
            </w:r>
          </w:hyperlink>
        </w:p>
        <w:p>
          <w:pPr>
            <w:pStyle w:val="Contents6"/>
            <w:tabs>
              <w:tab w:val="clear" w:pos="7609"/>
              <w:tab w:val="right" w:pos="9026" w:leader="dot"/>
            </w:tabs>
            <w:rPr/>
          </w:pPr>
          <w:hyperlink w:anchor="__RefHeading___Toc5446605_3224264995">
            <w:r>
              <w:rPr>
                <w:webHidden/>
                <w:rStyle w:val="IndexLink"/>
                <w:rtl w:val="true"/>
              </w:rPr>
              <w:t>لو کان الظنّ ممّا ثبت اعتباره بالخصوص</w:t>
            </w:r>
            <w:r>
              <w:rPr>
                <w:rStyle w:val="IndexLink"/>
                <w:rtl w:val="true"/>
              </w:rPr>
              <w:t>:</w:t>
              <w:tab/>
            </w:r>
            <w:r>
              <w:rPr>
                <w:rStyle w:val="IndexLink"/>
              </w:rPr>
              <w:t>89</w:t>
            </w:r>
          </w:hyperlink>
        </w:p>
        <w:p>
          <w:pPr>
            <w:pStyle w:val="Contents6"/>
            <w:tabs>
              <w:tab w:val="clear" w:pos="7609"/>
              <w:tab w:val="right" w:pos="9026" w:leader="dot"/>
            </w:tabs>
            <w:rPr/>
          </w:pPr>
          <w:hyperlink w:anchor="__RefHeading___Toc5446607_3224264995">
            <w:r>
              <w:rPr>
                <w:webHidden/>
                <w:rStyle w:val="IndexLink"/>
                <w:rtl w:val="true"/>
              </w:rPr>
              <w:t>المقام الأوّل</w:t>
            </w:r>
            <w:r>
              <w:rPr>
                <w:rStyle w:val="IndexLink"/>
                <w:rtl w:val="true"/>
              </w:rPr>
              <w:tab/>
            </w:r>
            <w:r>
              <w:rPr>
                <w:rStyle w:val="IndexLink"/>
              </w:rPr>
              <w:t>92</w:t>
            </w:r>
          </w:hyperlink>
        </w:p>
        <w:p>
          <w:pPr>
            <w:pStyle w:val="Contents6"/>
            <w:tabs>
              <w:tab w:val="clear" w:pos="7609"/>
              <w:tab w:val="right" w:pos="9026" w:leader="dot"/>
            </w:tabs>
            <w:rPr/>
          </w:pPr>
          <w:hyperlink w:anchor="__RefHeading___Toc5446609_3224264995">
            <w:r>
              <w:rPr>
                <w:webHidden/>
                <w:rStyle w:val="IndexLink"/>
                <w:rtl w:val="true"/>
              </w:rPr>
              <w:t>صور العلم الإجمالی</w:t>
            </w:r>
            <w:r>
              <w:rPr>
                <w:rStyle w:val="IndexLink"/>
                <w:rtl w:val="true"/>
              </w:rPr>
              <w:t>:</w:t>
              <w:tab/>
            </w:r>
            <w:r>
              <w:rPr>
                <w:rStyle w:val="IndexLink"/>
              </w:rPr>
              <w:t>92</w:t>
            </w:r>
          </w:hyperlink>
        </w:p>
        <w:p>
          <w:pPr>
            <w:pStyle w:val="Contents6"/>
            <w:tabs>
              <w:tab w:val="clear" w:pos="7609"/>
              <w:tab w:val="right" w:pos="9026" w:leader="dot"/>
            </w:tabs>
            <w:rPr/>
          </w:pPr>
          <w:hyperlink w:anchor="__RefHeading___Toc5446611_3224264995">
            <w:r>
              <w:rPr>
                <w:webHidden/>
                <w:rStyle w:val="IndexLink"/>
                <w:rtl w:val="true"/>
              </w:rPr>
              <w:t>العلم الإجمالی الطریقی و الموضوعی</w:t>
            </w:r>
            <w:r>
              <w:rPr>
                <w:rStyle w:val="IndexLink"/>
                <w:rtl w:val="true"/>
              </w:rPr>
              <w:tab/>
            </w:r>
            <w:r>
              <w:rPr>
                <w:rStyle w:val="IndexLink"/>
              </w:rPr>
              <w:t>93</w:t>
            </w:r>
          </w:hyperlink>
        </w:p>
        <w:p>
          <w:pPr>
            <w:pStyle w:val="Contents6"/>
            <w:tabs>
              <w:tab w:val="clear" w:pos="7609"/>
              <w:tab w:val="right" w:pos="9026" w:leader="dot"/>
            </w:tabs>
            <w:rPr/>
          </w:pPr>
          <w:hyperlink w:anchor="__RefHeading___Toc5446613_3224264995">
            <w:r>
              <w:rPr>
                <w:webHidden/>
                <w:rStyle w:val="IndexLink"/>
                <w:rtl w:val="true"/>
              </w:rPr>
              <w:t>إذا تولّد من العلم الإجمالی علم تفصیلی بالحکم الشرعی</w:t>
            </w:r>
            <w:r>
              <w:rPr>
                <w:rStyle w:val="IndexLink"/>
                <w:rtl w:val="true"/>
              </w:rPr>
              <w:t>:</w:t>
              <w:tab/>
            </w:r>
            <w:r>
              <w:rPr>
                <w:rStyle w:val="IndexLink"/>
              </w:rPr>
              <w:t>94</w:t>
            </w:r>
          </w:hyperlink>
        </w:p>
        <w:p>
          <w:pPr>
            <w:pStyle w:val="Contents6"/>
            <w:tabs>
              <w:tab w:val="clear" w:pos="7609"/>
              <w:tab w:val="right" w:pos="9026" w:leader="dot"/>
            </w:tabs>
            <w:rPr/>
          </w:pPr>
          <w:hyperlink w:anchor="__RefHeading___Toc5446615_3224264995">
            <w:r>
              <w:rPr>
                <w:webHidden/>
                <w:rStyle w:val="IndexLink"/>
                <w:rtl w:val="true"/>
              </w:rPr>
              <w:t>عدم الفرق بین هذا العلم التفصیلی و غیره من العلوم التفصیلیّة</w:t>
            </w:r>
            <w:r>
              <w:rPr>
                <w:rStyle w:val="IndexLink"/>
                <w:rtl w:val="true"/>
              </w:rPr>
              <w:t>:</w:t>
              <w:tab/>
            </w:r>
            <w:r>
              <w:rPr>
                <w:rStyle w:val="IndexLink"/>
              </w:rPr>
              <w:t>94</w:t>
            </w:r>
          </w:hyperlink>
        </w:p>
        <w:p>
          <w:pPr>
            <w:pStyle w:val="Contents6"/>
            <w:tabs>
              <w:tab w:val="clear" w:pos="7609"/>
              <w:tab w:val="right" w:pos="9026" w:leader="dot"/>
            </w:tabs>
            <w:rPr/>
          </w:pPr>
          <w:hyperlink w:anchor="__RefHeading___Toc5446617_3224264995">
            <w:r>
              <w:rPr>
                <w:webHidden/>
                <w:rStyle w:val="IndexLink"/>
                <w:rtl w:val="true"/>
              </w:rPr>
              <w:t>الموارد التی توهم خلاف ذلک</w:t>
            </w:r>
            <w:r>
              <w:rPr>
                <w:rStyle w:val="IndexLink"/>
                <w:rtl w:val="true"/>
              </w:rPr>
              <w:tab/>
            </w:r>
            <w:r>
              <w:rPr>
                <w:rStyle w:val="IndexLink"/>
              </w:rPr>
              <w:t>94</w:t>
            </w:r>
          </w:hyperlink>
        </w:p>
        <w:p>
          <w:pPr>
            <w:pStyle w:val="Contents6"/>
            <w:tabs>
              <w:tab w:val="clear" w:pos="7609"/>
              <w:tab w:val="right" w:pos="9026" w:leader="dot"/>
            </w:tabs>
            <w:rPr/>
          </w:pPr>
          <w:hyperlink w:anchor="__RefHeading___Toc5446619_3224264995">
            <w:r>
              <w:rPr>
                <w:webHidden/>
                <w:rStyle w:val="IndexLink"/>
                <w:rtl w:val="true"/>
              </w:rPr>
              <w:t>الجواب عن الموارد المذکورة</w:t>
            </w:r>
            <w:r>
              <w:rPr>
                <w:rStyle w:val="IndexLink"/>
                <w:rtl w:val="true"/>
              </w:rPr>
              <w:t>:</w:t>
              <w:tab/>
            </w:r>
            <w:r>
              <w:rPr>
                <w:rStyle w:val="IndexLink"/>
              </w:rPr>
              <w:t>97</w:t>
            </w:r>
          </w:hyperlink>
        </w:p>
        <w:p>
          <w:pPr>
            <w:pStyle w:val="Contents6"/>
            <w:tabs>
              <w:tab w:val="clear" w:pos="7609"/>
              <w:tab w:val="right" w:pos="9026" w:leader="dot"/>
            </w:tabs>
            <w:rPr/>
          </w:pPr>
          <w:hyperlink w:anchor="__RefHeading___Toc5446621_3224264995">
            <w:r>
              <w:rPr>
                <w:webHidden/>
                <w:rStyle w:val="IndexLink"/>
                <w:rtl w:val="true"/>
              </w:rPr>
              <w:t>أقسام مخالفة العلم الإجمالی</w:t>
            </w:r>
            <w:r>
              <w:rPr>
                <w:rStyle w:val="IndexLink"/>
                <w:rtl w:val="true"/>
              </w:rPr>
              <w:t>:</w:t>
              <w:tab/>
            </w:r>
            <w:r>
              <w:rPr>
                <w:rStyle w:val="IndexLink"/>
              </w:rPr>
              <w:t>98</w:t>
            </w:r>
          </w:hyperlink>
        </w:p>
        <w:p>
          <w:pPr>
            <w:pStyle w:val="Contents6"/>
            <w:tabs>
              <w:tab w:val="clear" w:pos="7609"/>
              <w:tab w:val="right" w:pos="9026" w:leader="dot"/>
            </w:tabs>
            <w:rPr/>
          </w:pPr>
          <w:hyperlink w:anchor="__RefHeading___Toc5446623_3224264995">
            <w:r>
              <w:rPr>
                <w:webHidden/>
                <w:rStyle w:val="IndexLink"/>
                <w:rtl w:val="true"/>
              </w:rPr>
              <w:t>جواز المخالفة الالتزامیّة للعلم الإجمالی</w:t>
            </w:r>
            <w:r>
              <w:rPr>
                <w:rStyle w:val="IndexLink"/>
                <w:rtl w:val="true"/>
              </w:rPr>
              <w:t>:</w:t>
              <w:tab/>
            </w:r>
            <w:r>
              <w:rPr>
                <w:rStyle w:val="IndexLink"/>
              </w:rPr>
              <w:t>99</w:t>
            </w:r>
          </w:hyperlink>
        </w:p>
        <w:p>
          <w:pPr>
            <w:pStyle w:val="Contents6"/>
            <w:tabs>
              <w:tab w:val="clear" w:pos="7609"/>
              <w:tab w:val="right" w:pos="9026" w:leader="dot"/>
            </w:tabs>
            <w:rPr/>
          </w:pPr>
          <w:hyperlink w:anchor="__RefHeading___Toc5446625_3224264995">
            <w:r>
              <w:rPr>
                <w:webHidden/>
                <w:rStyle w:val="IndexLink"/>
                <w:rtl w:val="true"/>
              </w:rPr>
              <w:t>المخالفة الالتزامیّة لیست مخالفة</w:t>
            </w:r>
            <w:r>
              <w:rPr>
                <w:rStyle w:val="IndexLink"/>
                <w:rtl w:val="true"/>
              </w:rPr>
              <w:t>:</w:t>
              <w:tab/>
            </w:r>
            <w:r>
              <w:rPr>
                <w:rStyle w:val="IndexLink"/>
              </w:rPr>
              <w:t>102</w:t>
            </w:r>
          </w:hyperlink>
        </w:p>
        <w:p>
          <w:pPr>
            <w:pStyle w:val="Contents6"/>
            <w:tabs>
              <w:tab w:val="clear" w:pos="7609"/>
              <w:tab w:val="right" w:pos="9026" w:leader="dot"/>
            </w:tabs>
            <w:rPr/>
          </w:pPr>
          <w:hyperlink w:anchor="__RefHeading___Toc5446627_3224264995">
            <w:r>
              <w:rPr>
                <w:webHidden/>
                <w:rStyle w:val="IndexLink"/>
                <w:rtl w:val="true"/>
              </w:rPr>
              <w:t>دلیل الجواز بوجه أخصر</w:t>
            </w:r>
            <w:r>
              <w:rPr>
                <w:rStyle w:val="IndexLink"/>
                <w:rtl w:val="true"/>
              </w:rPr>
              <w:t>:</w:t>
              <w:tab/>
            </w:r>
            <w:r>
              <w:rPr>
                <w:rStyle w:val="IndexLink"/>
              </w:rPr>
              <w:t>102</w:t>
            </w:r>
          </w:hyperlink>
        </w:p>
        <w:p>
          <w:pPr>
            <w:pStyle w:val="Contents6"/>
            <w:tabs>
              <w:tab w:val="clear" w:pos="7609"/>
              <w:tab w:val="right" w:pos="9026" w:leader="dot"/>
            </w:tabs>
            <w:rPr/>
          </w:pPr>
          <w:hyperlink w:anchor="__RefHeading___Toc5446629_3224264995">
            <w:r>
              <w:rPr>
                <w:webHidden/>
                <w:rStyle w:val="IndexLink"/>
                <w:rtl w:val="true"/>
              </w:rPr>
              <w:t>المخالفة العملیّة للعلم الإجمالی</w:t>
            </w:r>
            <w:r>
              <w:rPr>
                <w:rStyle w:val="IndexLink"/>
                <w:rtl w:val="true"/>
              </w:rPr>
              <w:t>:</w:t>
              <w:tab/>
            </w:r>
            <w:r>
              <w:rPr>
                <w:rStyle w:val="IndexLink"/>
              </w:rPr>
              <w:t>108</w:t>
            </w:r>
          </w:hyperlink>
        </w:p>
        <w:p>
          <w:pPr>
            <w:pStyle w:val="Contents6"/>
            <w:tabs>
              <w:tab w:val="clear" w:pos="7609"/>
              <w:tab w:val="right" w:pos="9026" w:leader="dot"/>
            </w:tabs>
            <w:rPr/>
          </w:pPr>
          <w:hyperlink w:anchor="__RefHeading___Toc5446631_3224264995">
            <w:r>
              <w:rPr>
                <w:webHidden/>
                <w:rStyle w:val="IndexLink"/>
                <w:rtl w:val="true"/>
              </w:rPr>
              <w:t>لو کانت المخالفة لخطاب تفصیلی</w:t>
            </w:r>
            <w:r>
              <w:rPr>
                <w:rStyle w:val="IndexLink"/>
                <w:rtl w:val="true"/>
              </w:rPr>
              <w:t>:</w:t>
              <w:tab/>
            </w:r>
            <w:r>
              <w:rPr>
                <w:rStyle w:val="IndexLink"/>
              </w:rPr>
              <w:t>108</w:t>
            </w:r>
          </w:hyperlink>
        </w:p>
        <w:p>
          <w:pPr>
            <w:pStyle w:val="Contents6"/>
            <w:tabs>
              <w:tab w:val="clear" w:pos="7609"/>
              <w:tab w:val="right" w:pos="9026" w:leader="dot"/>
            </w:tabs>
            <w:rPr/>
          </w:pPr>
          <w:hyperlink w:anchor="__RefHeading___Toc5446633_3224264995">
            <w:r>
              <w:rPr>
                <w:webHidden/>
                <w:rStyle w:val="IndexLink"/>
                <w:rtl w:val="true"/>
              </w:rPr>
              <w:t>لو کانت المخالفة لخطاب مردّد،ففیها وجوه</w:t>
            </w:r>
            <w:r>
              <w:rPr>
                <w:rStyle w:val="IndexLink"/>
                <w:rtl w:val="true"/>
              </w:rPr>
              <w:t>:</w:t>
              <w:tab/>
            </w:r>
            <w:r>
              <w:rPr>
                <w:rStyle w:val="IndexLink"/>
              </w:rPr>
              <w:t>109</w:t>
            </w:r>
          </w:hyperlink>
        </w:p>
        <w:p>
          <w:pPr>
            <w:pStyle w:val="Contents6"/>
            <w:tabs>
              <w:tab w:val="clear" w:pos="7609"/>
              <w:tab w:val="right" w:pos="9026" w:leader="dot"/>
            </w:tabs>
            <w:rPr/>
          </w:pPr>
          <w:hyperlink w:anchor="__RefHeading___Toc5446635_3224264995">
            <w:r>
              <w:rPr>
                <w:webHidden/>
                <w:rStyle w:val="IndexLink"/>
                <w:rtl w:val="true"/>
              </w:rPr>
              <w:t>الأقوی عدم الجواز مطلقا</w:t>
            </w:r>
            <w:r>
              <w:rPr>
                <w:rStyle w:val="IndexLink"/>
                <w:rtl w:val="true"/>
              </w:rPr>
              <w:t>:</w:t>
              <w:tab/>
            </w:r>
            <w:r>
              <w:rPr>
                <w:rStyle w:val="IndexLink"/>
              </w:rPr>
              <w:t>111</w:t>
            </w:r>
          </w:hyperlink>
        </w:p>
        <w:p>
          <w:pPr>
            <w:pStyle w:val="Contents6"/>
            <w:tabs>
              <w:tab w:val="clear" w:pos="7609"/>
              <w:tab w:val="right" w:pos="9026" w:leader="dot"/>
            </w:tabs>
            <w:rPr/>
          </w:pPr>
          <w:hyperlink w:anchor="__RefHeading___Toc5446637_3224264995">
            <w:r>
              <w:rPr>
                <w:webHidden/>
                <w:rStyle w:val="IndexLink"/>
                <w:rtl w:val="true"/>
              </w:rPr>
              <w:t>الاشتباه من حیث شخص المکلّف</w:t>
            </w:r>
            <w:r>
              <w:rPr>
                <w:rStyle w:val="IndexLink"/>
                <w:rtl w:val="true"/>
              </w:rPr>
              <w:tab/>
            </w:r>
            <w:r>
              <w:rPr>
                <w:rStyle w:val="IndexLink"/>
              </w:rPr>
              <w:t>111</w:t>
            </w:r>
          </w:hyperlink>
        </w:p>
        <w:p>
          <w:pPr>
            <w:pStyle w:val="Contents6"/>
            <w:tabs>
              <w:tab w:val="clear" w:pos="7609"/>
              <w:tab w:val="right" w:pos="9026" w:leader="dot"/>
            </w:tabs>
            <w:rPr/>
          </w:pPr>
          <w:hyperlink w:anchor="__RefHeading___Toc5446639_3224264995">
            <w:r>
              <w:rPr>
                <w:webHidden/>
                <w:rStyle w:val="IndexLink"/>
                <w:rtl w:val="true"/>
              </w:rPr>
              <w:t>لو تردّد التکلیف بین شخصین</w:t>
            </w:r>
            <w:r>
              <w:rPr>
                <w:rStyle w:val="IndexLink"/>
                <w:rtl w:val="true"/>
              </w:rPr>
              <w:tab/>
            </w:r>
            <w:r>
              <w:rPr>
                <w:rStyle w:val="IndexLink"/>
              </w:rPr>
              <w:t>111</w:t>
            </w:r>
          </w:hyperlink>
        </w:p>
        <w:p>
          <w:pPr>
            <w:pStyle w:val="Contents6"/>
            <w:tabs>
              <w:tab w:val="clear" w:pos="7609"/>
              <w:tab w:val="right" w:pos="9026" w:leader="dot"/>
            </w:tabs>
            <w:rPr/>
          </w:pPr>
          <w:hyperlink w:anchor="__RefHeading___Toc5446641_3224264995">
            <w:r>
              <w:rPr>
                <w:webHidden/>
                <w:rStyle w:val="IndexLink"/>
                <w:rtl w:val="true"/>
              </w:rPr>
              <w:t>لو اتّفق لأحدهما أو لثالث علم بتوجّه خطاب إلیه</w:t>
            </w:r>
            <w:r>
              <w:rPr>
                <w:rStyle w:val="IndexLink"/>
                <w:rtl w:val="true"/>
              </w:rPr>
              <w:t>:</w:t>
              <w:tab/>
            </w:r>
            <w:r>
              <w:rPr>
                <w:rStyle w:val="IndexLink"/>
              </w:rPr>
              <w:t>111</w:t>
            </w:r>
          </w:hyperlink>
        </w:p>
        <w:p>
          <w:pPr>
            <w:pStyle w:val="Contents6"/>
            <w:tabs>
              <w:tab w:val="clear" w:pos="7609"/>
              <w:tab w:val="right" w:pos="9026" w:leader="dot"/>
            </w:tabs>
            <w:rPr/>
          </w:pPr>
          <w:hyperlink w:anchor="__RefHeading___Toc5446643_3224264995">
            <w:r>
              <w:rPr>
                <w:webHidden/>
                <w:rStyle w:val="IndexLink"/>
                <w:rtl w:val="true"/>
              </w:rPr>
              <w:t>بعض فروع المسألة</w:t>
            </w:r>
            <w:r>
              <w:rPr>
                <w:rStyle w:val="IndexLink"/>
                <w:rtl w:val="true"/>
              </w:rPr>
              <w:t>:</w:t>
              <w:tab/>
            </w:r>
            <w:r>
              <w:rPr>
                <w:rStyle w:val="IndexLink"/>
              </w:rPr>
              <w:t>112</w:t>
            </w:r>
          </w:hyperlink>
        </w:p>
        <w:p>
          <w:pPr>
            <w:pStyle w:val="Contents6"/>
            <w:tabs>
              <w:tab w:val="clear" w:pos="7609"/>
              <w:tab w:val="right" w:pos="9026" w:leader="dot"/>
            </w:tabs>
            <w:rPr/>
          </w:pPr>
          <w:hyperlink w:anchor="__RefHeading___Toc5446645_3224264995">
            <w:r>
              <w:rPr>
                <w:webHidden/>
                <w:rStyle w:val="IndexLink"/>
                <w:rtl w:val="true"/>
              </w:rPr>
              <w:t>أحکام الخنثی</w:t>
            </w:r>
            <w:r>
              <w:rPr>
                <w:rStyle w:val="IndexLink"/>
                <w:rtl w:val="true"/>
              </w:rPr>
              <w:t>:</w:t>
              <w:tab/>
            </w:r>
            <w:r>
              <w:rPr>
                <w:rStyle w:val="IndexLink"/>
              </w:rPr>
              <w:t>113</w:t>
            </w:r>
          </w:hyperlink>
        </w:p>
        <w:p>
          <w:pPr>
            <w:pStyle w:val="Contents6"/>
            <w:tabs>
              <w:tab w:val="clear" w:pos="7609"/>
              <w:tab w:val="right" w:pos="9026" w:leader="dot"/>
            </w:tabs>
            <w:rPr/>
          </w:pPr>
          <w:hyperlink w:anchor="__RefHeading___Toc5446647_3224264995">
            <w:r>
              <w:rPr>
                <w:webHidden/>
                <w:rStyle w:val="IndexLink"/>
                <w:rtl w:val="true"/>
              </w:rPr>
              <w:t>معاملتها مع الغیر</w:t>
            </w:r>
            <w:r>
              <w:rPr>
                <w:rStyle w:val="IndexLink"/>
                <w:rtl w:val="true"/>
              </w:rPr>
              <w:t>:</w:t>
              <w:tab/>
            </w:r>
            <w:r>
              <w:rPr>
                <w:rStyle w:val="IndexLink"/>
              </w:rPr>
              <w:t>114</w:t>
            </w:r>
          </w:hyperlink>
        </w:p>
        <w:p>
          <w:pPr>
            <w:pStyle w:val="Contents6"/>
            <w:tabs>
              <w:tab w:val="clear" w:pos="7609"/>
              <w:tab w:val="right" w:pos="9026" w:leader="dot"/>
            </w:tabs>
            <w:rPr/>
          </w:pPr>
          <w:hyperlink w:anchor="__RefHeading___Toc5446649_3224264995">
            <w:r>
              <w:rPr>
                <w:webHidden/>
                <w:rStyle w:val="IndexLink"/>
                <w:rtl w:val="true"/>
              </w:rPr>
              <w:t>حکمها بالنسبة إلی التکالیف المختصّة بکل من الفریقین</w:t>
            </w:r>
            <w:r>
              <w:rPr>
                <w:rStyle w:val="IndexLink"/>
                <w:rtl w:val="true"/>
              </w:rPr>
              <w:tab/>
            </w:r>
            <w:r>
              <w:rPr>
                <w:rStyle w:val="IndexLink"/>
              </w:rPr>
              <w:t>115</w:t>
            </w:r>
          </w:hyperlink>
        </w:p>
        <w:p>
          <w:pPr>
            <w:pStyle w:val="Contents6"/>
            <w:tabs>
              <w:tab w:val="clear" w:pos="7609"/>
              <w:tab w:val="right" w:pos="9026" w:leader="dot"/>
            </w:tabs>
            <w:rPr/>
          </w:pPr>
          <w:hyperlink w:anchor="__RefHeading___Toc5446651_3224264995">
            <w:r>
              <w:rPr>
                <w:webHidden/>
                <w:rStyle w:val="IndexLink"/>
                <w:rtl w:val="true"/>
              </w:rPr>
              <w:t>معاملة الغیر معها</w:t>
            </w:r>
            <w:r>
              <w:rPr>
                <w:rStyle w:val="IndexLink"/>
                <w:rtl w:val="true"/>
              </w:rPr>
              <w:t>:</w:t>
              <w:tab/>
            </w:r>
            <w:r>
              <w:rPr>
                <w:rStyle w:val="IndexLink"/>
              </w:rPr>
              <w:t>116</w:t>
            </w:r>
          </w:hyperlink>
        </w:p>
        <w:p>
          <w:pPr>
            <w:pStyle w:val="Contents2"/>
            <w:tabs>
              <w:tab w:val="clear" w:pos="8743"/>
              <w:tab w:val="right" w:pos="9026" w:leader="dot"/>
            </w:tabs>
            <w:rPr/>
          </w:pPr>
          <w:hyperlink w:anchor="__RefHeading___Toc5446653_3224264995">
            <w:r>
              <w:rPr>
                <w:webHidden/>
                <w:rStyle w:val="IndexLink"/>
                <w:rtl w:val="true"/>
              </w:rPr>
              <w:t>المقصد الثّانی</w:t>
            </w:r>
            <w:r>
              <w:rPr>
                <w:rStyle w:val="IndexLink"/>
                <w:rtl w:val="true"/>
              </w:rPr>
              <w:t xml:space="preserve">: </w:t>
            </w:r>
            <w:r>
              <w:rPr>
                <w:rStyle w:val="IndexLink"/>
                <w:rtl w:val="true"/>
              </w:rPr>
              <w:t>فی الظّنّ</w:t>
            </w:r>
            <w:r>
              <w:rPr>
                <w:rStyle w:val="IndexLink"/>
                <w:rtl w:val="true"/>
              </w:rPr>
              <w:tab/>
            </w:r>
            <w:r>
              <w:rPr>
                <w:rStyle w:val="IndexLink"/>
              </w:rPr>
              <w:t>118</w:t>
            </w:r>
          </w:hyperlink>
        </w:p>
        <w:p>
          <w:pPr>
            <w:pStyle w:val="Contents3"/>
            <w:tabs>
              <w:tab w:val="clear" w:pos="8459"/>
              <w:tab w:val="right" w:pos="9026" w:leader="dot"/>
            </w:tabs>
            <w:rPr/>
          </w:pPr>
          <w:hyperlink w:anchor="__RefHeading___Toc5446655_3224264995">
            <w:r>
              <w:rPr>
                <w:webHidden/>
                <w:rStyle w:val="IndexLink"/>
                <w:rtl w:val="true"/>
              </w:rPr>
              <w:t>اشارة</w:t>
            </w:r>
            <w:r>
              <w:rPr>
                <w:rStyle w:val="IndexLink"/>
                <w:rtl w:val="true"/>
              </w:rPr>
              <w:tab/>
            </w:r>
            <w:r>
              <w:rPr>
                <w:rStyle w:val="IndexLink"/>
              </w:rPr>
              <w:t>118</w:t>
            </w:r>
          </w:hyperlink>
        </w:p>
        <w:p>
          <w:pPr>
            <w:pStyle w:val="Contents3"/>
            <w:tabs>
              <w:tab w:val="clear" w:pos="8459"/>
              <w:tab w:val="right" w:pos="9026" w:leader="dot"/>
            </w:tabs>
            <w:rPr/>
          </w:pPr>
          <w:hyperlink w:anchor="__RefHeading___Toc5446657_3224264995">
            <w:r>
              <w:rPr>
                <w:webHidden/>
                <w:rStyle w:val="IndexLink"/>
                <w:rtl w:val="true"/>
              </w:rPr>
              <w:t>أمّا المقام الأوّل</w:t>
            </w:r>
            <w:r>
              <w:rPr>
                <w:rStyle w:val="IndexLink"/>
                <w:rtl w:val="true"/>
              </w:rPr>
              <w:tab/>
            </w:r>
            <w:r>
              <w:rPr>
                <w:rStyle w:val="IndexLink"/>
              </w:rPr>
              <w:t>120</w:t>
            </w:r>
          </w:hyperlink>
        </w:p>
        <w:p>
          <w:pPr>
            <w:pStyle w:val="Contents4"/>
            <w:tabs>
              <w:tab w:val="clear" w:pos="8176"/>
              <w:tab w:val="right" w:pos="9026" w:leader="dot"/>
            </w:tabs>
            <w:rPr/>
          </w:pPr>
          <w:hyperlink w:anchor="__RefHeading___Toc5446659_3224264995">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5446661_3224264995">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5446663_3224264995">
            <w:r>
              <w:rPr>
                <w:webHidden/>
                <w:rStyle w:val="IndexLink"/>
                <w:rtl w:val="true"/>
              </w:rPr>
              <w:t>أدلّة ابن قبة علی الامتناع</w:t>
            </w:r>
            <w:r>
              <w:rPr>
                <w:rStyle w:val="IndexLink"/>
                <w:rtl w:val="true"/>
              </w:rPr>
              <w:t>:</w:t>
              <w:tab/>
            </w:r>
            <w:r>
              <w:rPr>
                <w:rStyle w:val="IndexLink"/>
              </w:rPr>
              <w:t>120</w:t>
            </w:r>
          </w:hyperlink>
        </w:p>
        <w:p>
          <w:pPr>
            <w:pStyle w:val="Contents4"/>
            <w:tabs>
              <w:tab w:val="clear" w:pos="8176"/>
              <w:tab w:val="right" w:pos="9026" w:leader="dot"/>
            </w:tabs>
            <w:rPr/>
          </w:pPr>
          <w:hyperlink w:anchor="__RefHeading___Toc5446665_3224264995">
            <w:r>
              <w:rPr>
                <w:webHidden/>
                <w:rStyle w:val="IndexLink"/>
                <w:rtl w:val="true"/>
              </w:rPr>
              <w:t>استدلال المشهور علی الإمکان</w:t>
            </w:r>
            <w:r>
              <w:rPr>
                <w:rStyle w:val="IndexLink"/>
                <w:rtl w:val="true"/>
              </w:rPr>
              <w:t>:</w:t>
              <w:tab/>
            </w:r>
            <w:r>
              <w:rPr>
                <w:rStyle w:val="IndexLink"/>
              </w:rPr>
              <w:t>121</w:t>
            </w:r>
          </w:hyperlink>
        </w:p>
        <w:p>
          <w:pPr>
            <w:pStyle w:val="Contents5"/>
            <w:tabs>
              <w:tab w:val="clear" w:pos="7892"/>
              <w:tab w:val="right" w:pos="9026" w:leader="dot"/>
            </w:tabs>
            <w:rPr/>
          </w:pPr>
          <w:hyperlink w:anchor="__RefHeading___Toc5446667_3224264995">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5446669_3224264995">
            <w:r>
              <w:rPr>
                <w:webHidden/>
                <w:rStyle w:val="IndexLink"/>
                <w:rtl w:val="true"/>
              </w:rPr>
              <w:t>الأولی فی وجه الاستدلال</w:t>
            </w:r>
            <w:r>
              <w:rPr>
                <w:rStyle w:val="IndexLink"/>
                <w:rtl w:val="true"/>
              </w:rPr>
              <w:t>:</w:t>
              <w:tab/>
            </w:r>
            <w:r>
              <w:rPr>
                <w:rStyle w:val="IndexLink"/>
              </w:rPr>
              <w:t>121</w:t>
            </w:r>
          </w:hyperlink>
        </w:p>
        <w:p>
          <w:pPr>
            <w:pStyle w:val="Contents4"/>
            <w:tabs>
              <w:tab w:val="clear" w:pos="8176"/>
              <w:tab w:val="right" w:pos="9026" w:leader="dot"/>
            </w:tabs>
            <w:rPr/>
          </w:pPr>
          <w:hyperlink w:anchor="__RefHeading___Toc5446671_3224264995">
            <w:r>
              <w:rPr>
                <w:webHidden/>
                <w:rStyle w:val="IndexLink"/>
                <w:rtl w:val="true"/>
              </w:rPr>
              <w:t>المناقشة فی أدلّة ابن قبة</w:t>
            </w:r>
            <w:r>
              <w:rPr>
                <w:rStyle w:val="IndexLink"/>
                <w:rtl w:val="true"/>
              </w:rPr>
              <w:t>:</w:t>
              <w:tab/>
            </w:r>
            <w:r>
              <w:rPr>
                <w:rStyle w:val="IndexLink"/>
              </w:rPr>
              <w:t>121</w:t>
            </w:r>
          </w:hyperlink>
        </w:p>
        <w:p>
          <w:pPr>
            <w:pStyle w:val="Contents5"/>
            <w:tabs>
              <w:tab w:val="clear" w:pos="7892"/>
              <w:tab w:val="right" w:pos="9026" w:leader="dot"/>
            </w:tabs>
            <w:rPr/>
          </w:pPr>
          <w:hyperlink w:anchor="__RefHeading___Toc5446673_3224264995">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5446675_3224264995">
            <w:r>
              <w:rPr>
                <w:webHidden/>
                <w:rStyle w:val="IndexLink"/>
                <w:rtl w:val="true"/>
              </w:rPr>
              <w:t>الأولی فی الجواب عن دلیله الثانی</w:t>
            </w:r>
            <w:r>
              <w:rPr>
                <w:rStyle w:val="IndexLink"/>
                <w:rtl w:val="true"/>
              </w:rPr>
              <w:t>:</w:t>
              <w:tab/>
            </w:r>
            <w:r>
              <w:rPr>
                <w:rStyle w:val="IndexLink"/>
              </w:rPr>
              <w:t>122</w:t>
            </w:r>
          </w:hyperlink>
        </w:p>
        <w:p>
          <w:pPr>
            <w:pStyle w:val="Contents4"/>
            <w:tabs>
              <w:tab w:val="clear" w:pos="8176"/>
              <w:tab w:val="right" w:pos="9026" w:leader="dot"/>
            </w:tabs>
            <w:rPr/>
          </w:pPr>
          <w:hyperlink w:anchor="__RefHeading___Toc5446677_3224264995">
            <w:r>
              <w:rPr>
                <w:webHidden/>
                <w:rStyle w:val="IndexLink"/>
                <w:rtl w:val="true"/>
              </w:rPr>
              <w:t>التعبّد بالخبر علی وجهین</w:t>
            </w:r>
            <w:r>
              <w:rPr>
                <w:rStyle w:val="IndexLink"/>
                <w:rtl w:val="true"/>
              </w:rPr>
              <w:t>:</w:t>
            </w:r>
            <w:r>
              <w:rPr>
                <w:rStyle w:val="IndexLink"/>
                <w:rtl w:val="true"/>
              </w:rPr>
              <w:t>الطریقیّة و السببیّة</w:t>
            </w:r>
            <w:r>
              <w:rPr>
                <w:rStyle w:val="IndexLink"/>
                <w:rtl w:val="true"/>
              </w:rPr>
              <w:t>:</w:t>
              <w:tab/>
            </w:r>
            <w:r>
              <w:rPr>
                <w:rStyle w:val="IndexLink"/>
              </w:rPr>
              <w:t>123</w:t>
            </w:r>
          </w:hyperlink>
        </w:p>
        <w:p>
          <w:pPr>
            <w:pStyle w:val="Contents4"/>
            <w:tabs>
              <w:tab w:val="clear" w:pos="8176"/>
              <w:tab w:val="right" w:pos="9026" w:leader="dot"/>
            </w:tabs>
            <w:rPr/>
          </w:pPr>
          <w:hyperlink w:anchor="__RefHeading___Toc5446679_3224264995">
            <w:r>
              <w:rPr>
                <w:webHidden/>
                <w:rStyle w:val="IndexLink"/>
                <w:rtl w:val="true"/>
              </w:rPr>
              <w:t>عدم الامتناع بناء علی الطریقیّة</w:t>
            </w:r>
            <w:r>
              <w:rPr>
                <w:rStyle w:val="IndexLink"/>
                <w:rtl w:val="true"/>
              </w:rPr>
              <w:t>:</w:t>
              <w:tab/>
            </w:r>
            <w:r>
              <w:rPr>
                <w:rStyle w:val="IndexLink"/>
              </w:rPr>
              <w:t>124</w:t>
            </w:r>
          </w:hyperlink>
        </w:p>
        <w:p>
          <w:pPr>
            <w:pStyle w:val="Contents4"/>
            <w:tabs>
              <w:tab w:val="clear" w:pos="8176"/>
              <w:tab w:val="right" w:pos="9026" w:leader="dot"/>
            </w:tabs>
            <w:rPr/>
          </w:pPr>
          <w:hyperlink w:anchor="__RefHeading___Toc5446681_3224264995">
            <w:r>
              <w:rPr>
                <w:webHidden/>
                <w:rStyle w:val="IndexLink"/>
                <w:rtl w:val="true"/>
              </w:rPr>
              <w:t>عدم الامتناع بناء علی السببیّة</w:t>
            </w:r>
            <w:r>
              <w:rPr>
                <w:rStyle w:val="IndexLink"/>
                <w:rtl w:val="true"/>
              </w:rPr>
              <w:t>:</w:t>
              <w:tab/>
            </w:r>
            <w:r>
              <w:rPr>
                <w:rStyle w:val="IndexLink"/>
              </w:rPr>
              <w:t>125</w:t>
            </w:r>
          </w:hyperlink>
        </w:p>
        <w:p>
          <w:pPr>
            <w:pStyle w:val="Contents4"/>
            <w:tabs>
              <w:tab w:val="clear" w:pos="8176"/>
              <w:tab w:val="right" w:pos="9026" w:leader="dot"/>
            </w:tabs>
            <w:rPr/>
          </w:pPr>
          <w:hyperlink w:anchor="__RefHeading___Toc5446683_3224264995">
            <w:r>
              <w:rPr>
                <w:webHidden/>
                <w:rStyle w:val="IndexLink"/>
                <w:rtl w:val="true"/>
              </w:rPr>
              <w:t>التعبّد بالأمارات غیر العلمیّة</w:t>
            </w:r>
            <w:r>
              <w:rPr>
                <w:rStyle w:val="IndexLink"/>
                <w:rtl w:val="true"/>
              </w:rPr>
              <w:tab/>
            </w:r>
            <w:r>
              <w:rPr>
                <w:rStyle w:val="IndexLink"/>
              </w:rPr>
              <w:t>127</w:t>
            </w:r>
          </w:hyperlink>
        </w:p>
        <w:p>
          <w:pPr>
            <w:pStyle w:val="Contents5"/>
            <w:tabs>
              <w:tab w:val="clear" w:pos="7892"/>
              <w:tab w:val="right" w:pos="9026" w:leader="dot"/>
            </w:tabs>
            <w:rPr/>
          </w:pPr>
          <w:hyperlink w:anchor="__RefHeading___Toc5446685_3224264995">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5446687_3224264995">
            <w:r>
              <w:rPr>
                <w:webHidden/>
                <w:rStyle w:val="IndexLink"/>
              </w:rPr>
              <w:t>1</w:t>
            </w:r>
            <w:r>
              <w:rPr>
                <w:rStyle w:val="IndexLink"/>
                <w:rtl w:val="true"/>
              </w:rPr>
              <w:t>-</w:t>
            </w:r>
            <w:r>
              <w:rPr>
                <w:rStyle w:val="IndexLink"/>
                <w:rtl w:val="true"/>
              </w:rPr>
              <w:t>مسلک الطریقیّة</w:t>
            </w:r>
            <w:r>
              <w:rPr>
                <w:rStyle w:val="IndexLink"/>
                <w:rtl w:val="true"/>
              </w:rPr>
              <w:t>:</w:t>
              <w:tab/>
            </w:r>
            <w:r>
              <w:rPr>
                <w:rStyle w:val="IndexLink"/>
              </w:rPr>
              <w:t>127</w:t>
            </w:r>
          </w:hyperlink>
        </w:p>
        <w:p>
          <w:pPr>
            <w:pStyle w:val="Contents5"/>
            <w:tabs>
              <w:tab w:val="clear" w:pos="7892"/>
              <w:tab w:val="right" w:pos="9026" w:leader="dot"/>
            </w:tabs>
            <w:rPr/>
          </w:pPr>
          <w:hyperlink w:anchor="__RefHeading___Toc5446689_3224264995">
            <w:r>
              <w:rPr>
                <w:webHidden/>
                <w:rStyle w:val="IndexLink"/>
              </w:rPr>
              <w:t>2</w:t>
            </w:r>
            <w:r>
              <w:rPr>
                <w:rStyle w:val="IndexLink"/>
                <w:rtl w:val="true"/>
              </w:rPr>
              <w:t>-</w:t>
            </w:r>
            <w:r>
              <w:rPr>
                <w:rStyle w:val="IndexLink"/>
                <w:rtl w:val="true"/>
              </w:rPr>
              <w:t>مسلک السببیّة</w:t>
            </w:r>
            <w:r>
              <w:rPr>
                <w:rStyle w:val="IndexLink"/>
                <w:rtl w:val="true"/>
              </w:rPr>
              <w:t>:</w:t>
              <w:tab/>
            </w:r>
            <w:r>
              <w:rPr>
                <w:rStyle w:val="IndexLink"/>
              </w:rPr>
              <w:t>127</w:t>
            </w:r>
          </w:hyperlink>
        </w:p>
        <w:p>
          <w:pPr>
            <w:pStyle w:val="Contents4"/>
            <w:tabs>
              <w:tab w:val="clear" w:pos="8176"/>
              <w:tab w:val="right" w:pos="9026" w:leader="dot"/>
            </w:tabs>
            <w:rPr/>
          </w:pPr>
          <w:hyperlink w:anchor="__RefHeading___Toc5446691_3224264995">
            <w:r>
              <w:rPr>
                <w:webHidden/>
                <w:rStyle w:val="IndexLink"/>
                <w:rtl w:val="true"/>
              </w:rPr>
              <w:t>وجوه الطریقیّة</w:t>
            </w:r>
            <w:r>
              <w:rPr>
                <w:rStyle w:val="IndexLink"/>
                <w:rtl w:val="true"/>
              </w:rPr>
              <w:t>:</w:t>
              <w:tab/>
            </w:r>
            <w:r>
              <w:rPr>
                <w:rStyle w:val="IndexLink"/>
              </w:rPr>
              <w:t>127</w:t>
            </w:r>
          </w:hyperlink>
        </w:p>
        <w:p>
          <w:pPr>
            <w:pStyle w:val="Contents4"/>
            <w:tabs>
              <w:tab w:val="clear" w:pos="8176"/>
              <w:tab w:val="right" w:pos="9026" w:leader="dot"/>
            </w:tabs>
            <w:rPr/>
          </w:pPr>
          <w:hyperlink w:anchor="__RefHeading___Toc5446693_3224264995">
            <w:r>
              <w:rPr>
                <w:webHidden/>
                <w:rStyle w:val="IndexLink"/>
                <w:rtl w:val="true"/>
              </w:rPr>
              <w:t>وجوه السببیّة</w:t>
            </w:r>
            <w:r>
              <w:rPr>
                <w:rStyle w:val="IndexLink"/>
                <w:rtl w:val="true"/>
              </w:rPr>
              <w:t>:</w:t>
              <w:tab/>
            </w:r>
            <w:r>
              <w:rPr>
                <w:rStyle w:val="IndexLink"/>
              </w:rPr>
              <w:t>128</w:t>
            </w:r>
          </w:hyperlink>
        </w:p>
        <w:p>
          <w:pPr>
            <w:pStyle w:val="Contents5"/>
            <w:tabs>
              <w:tab w:val="clear" w:pos="7892"/>
              <w:tab w:val="right" w:pos="9026" w:leader="dot"/>
            </w:tabs>
            <w:rPr/>
          </w:pPr>
          <w:hyperlink w:anchor="__RefHeading___Toc5446695_3224264995">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5446697_3224264995">
            <w:r>
              <w:rPr>
                <w:webHidden/>
                <w:rStyle w:val="IndexLink"/>
                <w:rtl w:val="true"/>
              </w:rPr>
              <w:t>أحدها</w:t>
            </w:r>
            <w:r>
              <w:rPr>
                <w:rStyle w:val="IndexLink"/>
                <w:rtl w:val="true"/>
              </w:rPr>
              <w:t>:</w:t>
            </w:r>
            <w:r>
              <w:rPr>
                <w:rStyle w:val="IndexLink"/>
                <w:rtl w:val="true"/>
              </w:rPr>
              <w:t>أن یکون الحکم</w:t>
            </w:r>
            <w:r>
              <w:rPr>
                <w:rStyle w:val="IndexLink"/>
                <w:rtl w:val="true"/>
              </w:rPr>
              <w:t>-</w:t>
            </w:r>
            <w:r>
              <w:rPr>
                <w:rStyle w:val="IndexLink"/>
                <w:rtl w:val="true"/>
              </w:rPr>
              <w:t>مطلقا</w:t>
            </w:r>
            <w:r>
              <w:rPr>
                <w:rStyle w:val="IndexLink"/>
                <w:rtl w:val="true"/>
              </w:rPr>
              <w:tab/>
            </w:r>
            <w:r>
              <w:rPr>
                <w:rStyle w:val="IndexLink"/>
              </w:rPr>
              <w:t>128</w:t>
            </w:r>
          </w:hyperlink>
        </w:p>
        <w:p>
          <w:pPr>
            <w:pStyle w:val="Contents5"/>
            <w:tabs>
              <w:tab w:val="clear" w:pos="7892"/>
              <w:tab w:val="right" w:pos="9026" w:leader="dot"/>
            </w:tabs>
            <w:rPr/>
          </w:pPr>
          <w:hyperlink w:anchor="__RefHeading___Toc5446699_3224264995">
            <w:r>
              <w:rPr>
                <w:webHidden/>
                <w:rStyle w:val="IndexLink"/>
                <w:rtl w:val="true"/>
              </w:rPr>
              <w:t>الثانی</w:t>
            </w:r>
            <w:r>
              <w:rPr>
                <w:rStyle w:val="IndexLink"/>
                <w:rtl w:val="true"/>
              </w:rPr>
              <w:t>:</w:t>
            </w:r>
            <w:r>
              <w:rPr>
                <w:rStyle w:val="IndexLink"/>
                <w:rtl w:val="true"/>
              </w:rPr>
              <w:t>أن یکون الحکم الفعلی تابعا لهذه الأمارة</w:t>
            </w:r>
            <w:r>
              <w:rPr>
                <w:rStyle w:val="IndexLink"/>
                <w:rtl w:val="true"/>
              </w:rPr>
              <w:tab/>
            </w:r>
            <w:r>
              <w:rPr>
                <w:rStyle w:val="IndexLink"/>
              </w:rPr>
              <w:t>129</w:t>
            </w:r>
          </w:hyperlink>
        </w:p>
        <w:p>
          <w:pPr>
            <w:pStyle w:val="Contents5"/>
            <w:tabs>
              <w:tab w:val="clear" w:pos="7892"/>
              <w:tab w:val="right" w:pos="9026" w:leader="dot"/>
            </w:tabs>
            <w:rPr/>
          </w:pPr>
          <w:hyperlink w:anchor="__RefHeading___Toc5446701_3224264995">
            <w:r>
              <w:rPr>
                <w:webHidden/>
                <w:rStyle w:val="IndexLink"/>
                <w:rtl w:val="true"/>
              </w:rPr>
              <w:t>الفرق بین هذین الوجهین</w:t>
            </w:r>
            <w:r>
              <w:rPr>
                <w:rStyle w:val="IndexLink"/>
                <w:rtl w:val="true"/>
              </w:rPr>
              <w:t>:</w:t>
              <w:tab/>
            </w:r>
            <w:r>
              <w:rPr>
                <w:rStyle w:val="IndexLink"/>
              </w:rPr>
              <w:t>129</w:t>
            </w:r>
          </w:hyperlink>
        </w:p>
        <w:p>
          <w:pPr>
            <w:pStyle w:val="Contents5"/>
            <w:tabs>
              <w:tab w:val="clear" w:pos="7892"/>
              <w:tab w:val="right" w:pos="9026" w:leader="dot"/>
            </w:tabs>
            <w:rPr/>
          </w:pPr>
          <w:hyperlink w:anchor="__RefHeading___Toc5446703_3224264995">
            <w:r>
              <w:rPr>
                <w:webHidden/>
                <w:rStyle w:val="IndexLink"/>
                <w:rtl w:val="true"/>
              </w:rPr>
              <w:t>الثالث</w:t>
            </w:r>
            <w:r>
              <w:rPr>
                <w:rStyle w:val="IndexLink"/>
                <w:rtl w:val="true"/>
              </w:rPr>
              <w:t>:</w:t>
            </w:r>
            <w:r>
              <w:rPr>
                <w:rStyle w:val="IndexLink"/>
                <w:rtl w:val="true"/>
              </w:rPr>
              <w:t>المصلحة السلوکیّة</w:t>
            </w:r>
            <w:r>
              <w:rPr>
                <w:rStyle w:val="IndexLink"/>
                <w:rtl w:val="true"/>
              </w:rPr>
              <w:tab/>
            </w:r>
            <w:r>
              <w:rPr>
                <w:rStyle w:val="IndexLink"/>
              </w:rPr>
              <w:t>129</w:t>
            </w:r>
          </w:hyperlink>
        </w:p>
        <w:p>
          <w:pPr>
            <w:pStyle w:val="Contents5"/>
            <w:tabs>
              <w:tab w:val="clear" w:pos="7892"/>
              <w:tab w:val="right" w:pos="9026" w:leader="dot"/>
            </w:tabs>
            <w:rPr/>
          </w:pPr>
          <w:hyperlink w:anchor="__RefHeading___Toc5446705_3224264995">
            <w:r>
              <w:rPr>
                <w:webHidden/>
                <w:rStyle w:val="IndexLink"/>
                <w:rtl w:val="true"/>
              </w:rPr>
              <w:t>الفرق بین الوجهین الأخیرین</w:t>
            </w:r>
            <w:r>
              <w:rPr>
                <w:rStyle w:val="IndexLink"/>
                <w:rtl w:val="true"/>
              </w:rPr>
              <w:t>:</w:t>
              <w:tab/>
            </w:r>
            <w:r>
              <w:rPr>
                <w:rStyle w:val="IndexLink"/>
              </w:rPr>
              <w:t>131</w:t>
            </w:r>
          </w:hyperlink>
        </w:p>
        <w:p>
          <w:pPr>
            <w:pStyle w:val="Contents4"/>
            <w:tabs>
              <w:tab w:val="clear" w:pos="8176"/>
              <w:tab w:val="right" w:pos="9026" w:leader="dot"/>
            </w:tabs>
            <w:rPr/>
          </w:pPr>
          <w:hyperlink w:anchor="__RefHeading___Toc5446707_3224264995">
            <w:r>
              <w:rPr>
                <w:webHidden/>
                <w:rStyle w:val="IndexLink"/>
                <w:rtl w:val="true"/>
              </w:rPr>
              <w:t>معنی وجوب العمل علی طبق الأمارة</w:t>
            </w:r>
            <w:r>
              <w:rPr>
                <w:rStyle w:val="IndexLink"/>
                <w:rtl w:val="true"/>
              </w:rPr>
              <w:t>:</w:t>
              <w:tab/>
            </w:r>
            <w:r>
              <w:rPr>
                <w:rStyle w:val="IndexLink"/>
              </w:rPr>
              <w:t>132</w:t>
            </w:r>
          </w:hyperlink>
        </w:p>
        <w:p>
          <w:pPr>
            <w:pStyle w:val="Contents4"/>
            <w:tabs>
              <w:tab w:val="clear" w:pos="8176"/>
              <w:tab w:val="right" w:pos="9026" w:leader="dot"/>
            </w:tabs>
            <w:rPr/>
          </w:pPr>
          <w:hyperlink w:anchor="__RefHeading___Toc5446709_3224264995">
            <w:r>
              <w:rPr>
                <w:webHidden/>
                <w:rStyle w:val="IndexLink"/>
                <w:rtl w:val="true"/>
              </w:rPr>
              <w:t>إشکال الجمع بین الحکم الواقعی و الظاهری</w:t>
            </w:r>
            <w:r>
              <w:rPr>
                <w:rStyle w:val="IndexLink"/>
                <w:rtl w:val="true"/>
              </w:rPr>
              <w:t>:</w:t>
              <w:tab/>
            </w:r>
            <w:r>
              <w:rPr>
                <w:rStyle w:val="IndexLink"/>
              </w:rPr>
              <w:t>136</w:t>
            </w:r>
          </w:hyperlink>
        </w:p>
        <w:p>
          <w:pPr>
            <w:pStyle w:val="Contents5"/>
            <w:tabs>
              <w:tab w:val="clear" w:pos="7892"/>
              <w:tab w:val="right" w:pos="9026" w:leader="dot"/>
            </w:tabs>
            <w:rPr/>
          </w:pPr>
          <w:hyperlink w:anchor="__RefHeading___Toc5446711_3224264995">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5446713_3224264995">
            <w:r>
              <w:rPr>
                <w:webHidden/>
                <w:rStyle w:val="IndexLink"/>
                <w:rtl w:val="true"/>
              </w:rPr>
              <w:t>جواب الإشکال</w:t>
            </w:r>
            <w:r>
              <w:rPr>
                <w:rStyle w:val="IndexLink"/>
                <w:rtl w:val="true"/>
              </w:rPr>
              <w:t>:</w:t>
              <w:tab/>
            </w:r>
            <w:r>
              <w:rPr>
                <w:rStyle w:val="IndexLink"/>
              </w:rPr>
              <w:t>137</w:t>
            </w:r>
          </w:hyperlink>
        </w:p>
        <w:p>
          <w:pPr>
            <w:pStyle w:val="Contents4"/>
            <w:tabs>
              <w:tab w:val="clear" w:pos="8176"/>
              <w:tab w:val="right" w:pos="9026" w:leader="dot"/>
            </w:tabs>
            <w:rPr/>
          </w:pPr>
          <w:hyperlink w:anchor="__RefHeading___Toc5446715_3224264995">
            <w:r>
              <w:rPr>
                <w:webHidden/>
                <w:rStyle w:val="IndexLink"/>
                <w:rtl w:val="true"/>
              </w:rPr>
              <w:t>حال الأمارة علی الموضوعات الخارجیّة</w:t>
            </w:r>
            <w:r>
              <w:rPr>
                <w:rStyle w:val="IndexLink"/>
                <w:rtl w:val="true"/>
              </w:rPr>
              <w:t>:</w:t>
              <w:tab/>
            </w:r>
            <w:r>
              <w:rPr>
                <w:rStyle w:val="IndexLink"/>
              </w:rPr>
              <w:t>137</w:t>
            </w:r>
          </w:hyperlink>
        </w:p>
        <w:p>
          <w:pPr>
            <w:pStyle w:val="Contents4"/>
            <w:tabs>
              <w:tab w:val="clear" w:pos="8176"/>
              <w:tab w:val="right" w:pos="9026" w:leader="dot"/>
            </w:tabs>
            <w:rPr/>
          </w:pPr>
          <w:hyperlink w:anchor="__RefHeading___Toc5446717_3224264995">
            <w:r>
              <w:rPr>
                <w:webHidden/>
                <w:rStyle w:val="IndexLink"/>
                <w:rtl w:val="true"/>
              </w:rPr>
              <w:t>القول بوجوب التعبّد بالأمارة و المناقشة فیه</w:t>
            </w:r>
            <w:r>
              <w:rPr>
                <w:rStyle w:val="IndexLink"/>
                <w:rtl w:val="true"/>
              </w:rPr>
              <w:t>:</w:t>
              <w:tab/>
            </w:r>
            <w:r>
              <w:rPr>
                <w:rStyle w:val="IndexLink"/>
              </w:rPr>
              <w:t>138</w:t>
            </w:r>
          </w:hyperlink>
        </w:p>
        <w:p>
          <w:pPr>
            <w:pStyle w:val="Contents3"/>
            <w:tabs>
              <w:tab w:val="clear" w:pos="8459"/>
              <w:tab w:val="right" w:pos="9026" w:leader="dot"/>
            </w:tabs>
            <w:rPr/>
          </w:pPr>
          <w:hyperlink w:anchor="__RefHeading___Toc5446719_3224264995">
            <w:r>
              <w:rPr>
                <w:webHidden/>
                <w:rStyle w:val="IndexLink"/>
                <w:rtl w:val="true"/>
              </w:rPr>
              <w:t>المقام الثانی</w:t>
            </w:r>
            <w:r>
              <w:rPr>
                <w:rStyle w:val="IndexLink"/>
                <w:rtl w:val="true"/>
              </w:rPr>
              <w:tab/>
            </w:r>
            <w:r>
              <w:rPr>
                <w:rStyle w:val="IndexLink"/>
              </w:rPr>
              <w:t>140</w:t>
            </w:r>
          </w:hyperlink>
        </w:p>
        <w:p>
          <w:pPr>
            <w:pStyle w:val="Contents4"/>
            <w:tabs>
              <w:tab w:val="clear" w:pos="8176"/>
              <w:tab w:val="right" w:pos="9026" w:leader="dot"/>
            </w:tabs>
            <w:rPr/>
          </w:pPr>
          <w:hyperlink w:anchor="__RefHeading___Toc5446721_3224264995">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5446723_3224264995">
            <w:r>
              <w:rPr>
                <w:webHidden/>
                <w:rStyle w:val="IndexLink"/>
                <w:rtl w:val="true"/>
              </w:rPr>
              <w:t>أصالة حرمة العمل بالظنّ للأدلّة الأربعة</w:t>
            </w:r>
            <w:r>
              <w:rPr>
                <w:rStyle w:val="IndexLink"/>
                <w:rtl w:val="true"/>
              </w:rPr>
              <w:t>:</w:t>
              <w:tab/>
            </w:r>
            <w:r>
              <w:rPr>
                <w:rStyle w:val="IndexLink"/>
              </w:rPr>
              <w:t>140</w:t>
            </w:r>
          </w:hyperlink>
        </w:p>
        <w:p>
          <w:pPr>
            <w:pStyle w:val="Contents4"/>
            <w:tabs>
              <w:tab w:val="clear" w:pos="8176"/>
              <w:tab w:val="right" w:pos="9026" w:leader="dot"/>
            </w:tabs>
            <w:rPr/>
          </w:pPr>
          <w:hyperlink w:anchor="__RefHeading___Toc5446725_3224264995">
            <w:r>
              <w:rPr>
                <w:webHidden/>
                <w:rStyle w:val="IndexLink"/>
                <w:rtl w:val="true"/>
              </w:rPr>
              <w:t>تقریر هذا الأصل بوجوه أخر و المناقشة فیها</w:t>
            </w:r>
            <w:r>
              <w:rPr>
                <w:rStyle w:val="IndexLink"/>
                <w:rtl w:val="true"/>
              </w:rPr>
              <w:t>:</w:t>
              <w:tab/>
            </w:r>
            <w:r>
              <w:rPr>
                <w:rStyle w:val="IndexLink"/>
              </w:rPr>
              <w:t>142</w:t>
            </w:r>
          </w:hyperlink>
        </w:p>
        <w:p>
          <w:pPr>
            <w:pStyle w:val="Contents4"/>
            <w:tabs>
              <w:tab w:val="clear" w:pos="8176"/>
              <w:tab w:val="right" w:pos="9026" w:leader="dot"/>
            </w:tabs>
            <w:rPr/>
          </w:pPr>
          <w:hyperlink w:anchor="__RefHeading___Toc5446727_3224264995">
            <w:r>
              <w:rPr>
                <w:webHidden/>
                <w:rStyle w:val="IndexLink"/>
                <w:rtl w:val="true"/>
              </w:rPr>
              <w:t>للحرمة فی العمل بالظنّ جهتان</w:t>
            </w:r>
            <w:r>
              <w:rPr>
                <w:rStyle w:val="IndexLink"/>
                <w:rtl w:val="true"/>
              </w:rPr>
              <w:t>:</w:t>
              <w:tab/>
            </w:r>
            <w:r>
              <w:rPr>
                <w:rStyle w:val="IndexLink"/>
              </w:rPr>
              <w:t>146</w:t>
            </w:r>
          </w:hyperlink>
        </w:p>
        <w:p>
          <w:pPr>
            <w:pStyle w:val="Contents4"/>
            <w:tabs>
              <w:tab w:val="clear" w:pos="8176"/>
              <w:tab w:val="right" w:pos="9026" w:leader="dot"/>
            </w:tabs>
            <w:rPr/>
          </w:pPr>
          <w:hyperlink w:anchor="__RefHeading___Toc5446729_3224264995">
            <w:r>
              <w:rPr>
                <w:webHidden/>
                <w:rStyle w:val="IndexLink"/>
                <w:rtl w:val="true"/>
              </w:rPr>
              <w:t>الإشارة إلی هاتین الجهتین فی الکتاب و السنّة</w:t>
            </w:r>
            <w:r>
              <w:rPr>
                <w:rStyle w:val="IndexLink"/>
                <w:rtl w:val="true"/>
              </w:rPr>
              <w:t>:</w:t>
              <w:tab/>
            </w:r>
            <w:r>
              <w:rPr>
                <w:rStyle w:val="IndexLink"/>
              </w:rPr>
              <w:t>147</w:t>
            </w:r>
          </w:hyperlink>
        </w:p>
        <w:p>
          <w:pPr>
            <w:pStyle w:val="Contents4"/>
            <w:tabs>
              <w:tab w:val="clear" w:pos="8176"/>
              <w:tab w:val="right" w:pos="9026" w:leader="dot"/>
            </w:tabs>
            <w:rPr/>
          </w:pPr>
          <w:hyperlink w:anchor="__RefHeading___Toc5446731_3224264995">
            <w:r>
              <w:rPr>
                <w:webHidden/>
                <w:rStyle w:val="IndexLink"/>
                <w:rtl w:val="true"/>
              </w:rPr>
              <w:t>الاستدلال علی أصالة الحرمة بالآیات الناهیة عن العمل بالظنّ</w:t>
            </w:r>
            <w:r>
              <w:rPr>
                <w:rStyle w:val="IndexLink"/>
                <w:rtl w:val="true"/>
              </w:rPr>
              <w:t>:</w:t>
              <w:tab/>
            </w:r>
            <w:r>
              <w:rPr>
                <w:rStyle w:val="IndexLink"/>
              </w:rPr>
              <w:t>148</w:t>
            </w:r>
          </w:hyperlink>
        </w:p>
        <w:p>
          <w:pPr>
            <w:pStyle w:val="Contents4"/>
            <w:tabs>
              <w:tab w:val="clear" w:pos="8176"/>
              <w:tab w:val="right" w:pos="9026" w:leader="dot"/>
            </w:tabs>
            <w:rPr/>
          </w:pPr>
          <w:hyperlink w:anchor="__RefHeading___Toc5446733_3224264995">
            <w:r>
              <w:rPr>
                <w:webHidden/>
                <w:rStyle w:val="IndexLink"/>
                <w:rtl w:val="true"/>
              </w:rPr>
              <w:t>موضوع هذه الرسالة هی الظنون المعتبرة الخارجة عن الأصل المتقدّم</w:t>
            </w:r>
            <w:r>
              <w:rPr>
                <w:rStyle w:val="IndexLink"/>
                <w:rtl w:val="true"/>
              </w:rPr>
              <w:tab/>
            </w:r>
            <w:r>
              <w:rPr>
                <w:rStyle w:val="IndexLink"/>
              </w:rPr>
              <w:t>149</w:t>
            </w:r>
          </w:hyperlink>
        </w:p>
        <w:p>
          <w:pPr>
            <w:pStyle w:val="Contents4"/>
            <w:tabs>
              <w:tab w:val="clear" w:pos="8176"/>
              <w:tab w:val="right" w:pos="9026" w:leader="dot"/>
            </w:tabs>
            <w:rPr/>
          </w:pPr>
          <w:hyperlink w:anchor="__RefHeading___Toc5446735_3224264995">
            <w:r>
              <w:rPr>
                <w:webHidden/>
                <w:rStyle w:val="IndexLink"/>
                <w:rtl w:val="true"/>
              </w:rPr>
              <w:t>الأمارات المستعملة فی استنباط الأحکام من ألفاظ الکتاب و السنّة</w:t>
            </w:r>
            <w:r>
              <w:rPr>
                <w:rStyle w:val="IndexLink"/>
                <w:rtl w:val="true"/>
              </w:rPr>
              <w:tab/>
            </w:r>
            <w:r>
              <w:rPr>
                <w:rStyle w:val="IndexLink"/>
              </w:rPr>
              <w:t>150</w:t>
            </w:r>
          </w:hyperlink>
        </w:p>
        <w:p>
          <w:pPr>
            <w:pStyle w:val="Contents5"/>
            <w:tabs>
              <w:tab w:val="clear" w:pos="7892"/>
              <w:tab w:val="right" w:pos="9026" w:leader="dot"/>
            </w:tabs>
            <w:rPr/>
          </w:pPr>
          <w:hyperlink w:anchor="__RefHeading___Toc5446737_3224264995">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5446739_3224264995">
            <w:r>
              <w:rPr>
                <w:webHidden/>
                <w:rStyle w:val="IndexLink"/>
                <w:rtl w:val="true"/>
              </w:rPr>
              <w:t>القسم الأوّل</w:t>
            </w:r>
            <w:r>
              <w:rPr>
                <w:rStyle w:val="IndexLink"/>
                <w:rtl w:val="true"/>
              </w:rPr>
              <w:t>:</w:t>
            </w:r>
            <w:r>
              <w:rPr>
                <w:rStyle w:val="IndexLink"/>
                <w:rtl w:val="true"/>
              </w:rPr>
              <w:t>ما یعمل لتشخیص مراد المتکلّم</w:t>
            </w:r>
            <w:r>
              <w:rPr>
                <w:rStyle w:val="IndexLink"/>
                <w:rtl w:val="true"/>
              </w:rPr>
              <w:tab/>
            </w:r>
            <w:r>
              <w:rPr>
                <w:rStyle w:val="IndexLink"/>
              </w:rPr>
              <w:t>150</w:t>
            </w:r>
          </w:hyperlink>
        </w:p>
        <w:p>
          <w:pPr>
            <w:pStyle w:val="Contents6"/>
            <w:tabs>
              <w:tab w:val="clear" w:pos="7609"/>
              <w:tab w:val="right" w:pos="9026" w:leader="dot"/>
            </w:tabs>
            <w:rPr/>
          </w:pPr>
          <w:hyperlink w:anchor="__RefHeading___Toc5446741_3224264995">
            <w:r>
              <w:rPr>
                <w:webHidden/>
                <w:rStyle w:val="IndexLink"/>
                <w:rtl w:val="true"/>
              </w:rPr>
              <w:t>اشارة</w:t>
            </w:r>
            <w:r>
              <w:rPr>
                <w:rStyle w:val="IndexLink"/>
                <w:rtl w:val="true"/>
              </w:rPr>
              <w:tab/>
            </w:r>
            <w:r>
              <w:rPr>
                <w:rStyle w:val="IndexLink"/>
              </w:rPr>
              <w:t>150</w:t>
            </w:r>
          </w:hyperlink>
        </w:p>
        <w:p>
          <w:pPr>
            <w:pStyle w:val="Contents6"/>
            <w:tabs>
              <w:tab w:val="clear" w:pos="7609"/>
              <w:tab w:val="right" w:pos="9026" w:leader="dot"/>
            </w:tabs>
            <w:rPr/>
          </w:pPr>
          <w:hyperlink w:anchor="__RefHeading___Toc5446743_3224264995">
            <w:r>
              <w:rPr>
                <w:webHidden/>
                <w:rStyle w:val="IndexLink"/>
                <w:rtl w:val="true"/>
              </w:rPr>
              <w:t>و إنّما الخلاف و الإشکال وقع فی موضعین</w:t>
            </w:r>
            <w:r>
              <w:rPr>
                <w:rStyle w:val="IndexLink"/>
                <w:rtl w:val="true"/>
              </w:rPr>
              <w:t>:</w:t>
              <w:tab/>
            </w:r>
            <w:r>
              <w:rPr>
                <w:rStyle w:val="IndexLink"/>
              </w:rPr>
              <w:t>152</w:t>
            </w:r>
          </w:hyperlink>
        </w:p>
        <w:p>
          <w:pPr>
            <w:pStyle w:val="Contents6"/>
            <w:tabs>
              <w:tab w:val="clear" w:pos="7609"/>
              <w:tab w:val="right" w:pos="9026" w:leader="dot"/>
            </w:tabs>
            <w:rPr/>
          </w:pPr>
          <w:hyperlink w:anchor="__RefHeading___Toc5446745_3224264995">
            <w:r>
              <w:rPr>
                <w:webHidden/>
                <w:rStyle w:val="IndexLink"/>
              </w:rPr>
              <w:t>1</w:t>
            </w:r>
            <w:r>
              <w:rPr>
                <w:rStyle w:val="IndexLink"/>
                <w:rtl w:val="true"/>
              </w:rPr>
              <w:t>-</w:t>
            </w:r>
            <w:r>
              <w:rPr>
                <w:rStyle w:val="IndexLink"/>
                <w:rtl w:val="true"/>
              </w:rPr>
              <w:t>حجّیة ظواهر الکتاب</w:t>
            </w:r>
            <w:r>
              <w:rPr>
                <w:rStyle w:val="IndexLink"/>
                <w:rtl w:val="true"/>
              </w:rPr>
              <w:tab/>
            </w:r>
            <w:r>
              <w:rPr>
                <w:rStyle w:val="IndexLink"/>
              </w:rPr>
              <w:t>154</w:t>
            </w:r>
          </w:hyperlink>
        </w:p>
        <w:p>
          <w:pPr>
            <w:pStyle w:val="Contents6"/>
            <w:tabs>
              <w:tab w:val="clear" w:pos="7609"/>
              <w:tab w:val="right" w:pos="9026" w:leader="dot"/>
            </w:tabs>
            <w:rPr/>
          </w:pPr>
          <w:hyperlink w:anchor="__RefHeading___Toc5446747_3224264995">
            <w:r>
              <w:rPr>
                <w:webHidden/>
                <w:rStyle w:val="IndexLink"/>
                <w:rtl w:val="true"/>
              </w:rPr>
              <w:t>عدم حجّیة ظواهر الکتاب عند جماعة من الأخباریین</w:t>
            </w:r>
            <w:r>
              <w:rPr>
                <w:rStyle w:val="IndexLink"/>
                <w:rtl w:val="true"/>
              </w:rPr>
              <w:t>:</w:t>
              <w:tab/>
            </w:r>
            <w:r>
              <w:rPr>
                <w:rStyle w:val="IndexLink"/>
              </w:rPr>
              <w:t>154</w:t>
            </w:r>
          </w:hyperlink>
        </w:p>
        <w:p>
          <w:pPr>
            <w:pStyle w:val="Contents6"/>
            <w:tabs>
              <w:tab w:val="clear" w:pos="7609"/>
              <w:tab w:val="right" w:pos="9026" w:leader="dot"/>
            </w:tabs>
            <w:rPr/>
          </w:pPr>
          <w:hyperlink w:anchor="__RefHeading___Toc5446749_3224264995">
            <w:r>
              <w:rPr>
                <w:webHidden/>
                <w:rStyle w:val="IndexLink"/>
                <w:rtl w:val="true"/>
              </w:rPr>
              <w:t>الدلیل الاول</w:t>
            </w:r>
            <w:r>
              <w:rPr>
                <w:rStyle w:val="IndexLink"/>
                <w:rtl w:val="true"/>
              </w:rPr>
              <w:t>:</w:t>
            </w:r>
            <w:r>
              <w:rPr>
                <w:rStyle w:val="IndexLink"/>
                <w:rtl w:val="true"/>
              </w:rPr>
              <w:t>الاستدلال علی ذلک بالأخبار</w:t>
            </w:r>
            <w:r>
              <w:rPr>
                <w:rStyle w:val="IndexLink"/>
                <w:rtl w:val="true"/>
              </w:rPr>
              <w:t>:</w:t>
              <w:tab/>
            </w:r>
            <w:r>
              <w:rPr>
                <w:rStyle w:val="IndexLink"/>
              </w:rPr>
              <w:t>154</w:t>
            </w:r>
          </w:hyperlink>
        </w:p>
        <w:p>
          <w:pPr>
            <w:pStyle w:val="Contents6"/>
            <w:tabs>
              <w:tab w:val="clear" w:pos="7609"/>
              <w:tab w:val="right" w:pos="9026" w:leader="dot"/>
            </w:tabs>
            <w:rPr/>
          </w:pPr>
          <w:hyperlink w:anchor="__RefHeading___Toc5446751_3224264995">
            <w:r>
              <w:rPr>
                <w:webHidden/>
                <w:rStyle w:val="IndexLink"/>
                <w:rtl w:val="true"/>
              </w:rPr>
              <w:t>الجواب عن الاستدلال بالأخبار</w:t>
            </w:r>
            <w:r>
              <w:rPr>
                <w:rStyle w:val="IndexLink"/>
                <w:rtl w:val="true"/>
              </w:rPr>
              <w:t>:</w:t>
              <w:tab/>
            </w:r>
            <w:r>
              <w:rPr>
                <w:rStyle w:val="IndexLink"/>
              </w:rPr>
              <w:t>157</w:t>
            </w:r>
          </w:hyperlink>
        </w:p>
        <w:p>
          <w:pPr>
            <w:pStyle w:val="Contents6"/>
            <w:tabs>
              <w:tab w:val="clear" w:pos="7609"/>
              <w:tab w:val="right" w:pos="9026" w:leader="dot"/>
            </w:tabs>
            <w:rPr/>
          </w:pPr>
          <w:hyperlink w:anchor="__RefHeading___Toc5446753_3224264995">
            <w:r>
              <w:rPr>
                <w:webHidden/>
                <w:rStyle w:val="IndexLink"/>
                <w:rtl w:val="true"/>
              </w:rPr>
              <w:t>لمراد من التفسیر بالرأی</w:t>
            </w:r>
            <w:r>
              <w:rPr>
                <w:rStyle w:val="IndexLink"/>
                <w:rtl w:val="true"/>
              </w:rPr>
              <w:t>:</w:t>
              <w:tab/>
            </w:r>
            <w:r>
              <w:rPr>
                <w:rStyle w:val="IndexLink"/>
              </w:rPr>
              <w:t>157</w:t>
            </w:r>
          </w:hyperlink>
        </w:p>
        <w:p>
          <w:pPr>
            <w:pStyle w:val="Contents6"/>
            <w:tabs>
              <w:tab w:val="clear" w:pos="7609"/>
              <w:tab w:val="right" w:pos="9026" w:leader="dot"/>
            </w:tabs>
            <w:rPr/>
          </w:pPr>
          <w:hyperlink w:anchor="__RefHeading___Toc5446755_3224264995">
            <w:r>
              <w:rPr>
                <w:webHidden/>
                <w:rStyle w:val="IndexLink"/>
                <w:rtl w:val="true"/>
              </w:rPr>
              <w:t>الأخبار الدالّة علی جواز التمسّک بظاهر القرآن</w:t>
            </w:r>
            <w:r>
              <w:rPr>
                <w:rStyle w:val="IndexLink"/>
                <w:rtl w:val="true"/>
              </w:rPr>
              <w:t>:</w:t>
              <w:tab/>
            </w:r>
            <w:r>
              <w:rPr>
                <w:rStyle w:val="IndexLink"/>
              </w:rPr>
              <w:t>159</w:t>
            </w:r>
          </w:hyperlink>
        </w:p>
        <w:p>
          <w:pPr>
            <w:pStyle w:val="Contents6"/>
            <w:tabs>
              <w:tab w:val="clear" w:pos="7609"/>
              <w:tab w:val="right" w:pos="9026" w:leader="dot"/>
            </w:tabs>
            <w:rPr/>
          </w:pPr>
          <w:hyperlink w:anchor="__RefHeading___Toc5446757_3224264995">
            <w:r>
              <w:rPr>
                <w:webHidden/>
                <w:rStyle w:val="IndexLink"/>
                <w:rtl w:val="true"/>
              </w:rPr>
              <w:t>الدلیل الثانی علی عدم حجّیة ظواهر الکتاب و الجواب عنه</w:t>
            </w:r>
            <w:r>
              <w:rPr>
                <w:rStyle w:val="IndexLink"/>
                <w:rtl w:val="true"/>
              </w:rPr>
              <w:t>:</w:t>
              <w:tab/>
            </w:r>
            <w:r>
              <w:rPr>
                <w:rStyle w:val="IndexLink"/>
              </w:rPr>
              <w:t>164</w:t>
            </w:r>
          </w:hyperlink>
        </w:p>
        <w:p>
          <w:pPr>
            <w:pStyle w:val="Contents6"/>
            <w:tabs>
              <w:tab w:val="clear" w:pos="7609"/>
              <w:tab w:val="right" w:pos="9026" w:leader="dot"/>
            </w:tabs>
            <w:rPr/>
          </w:pPr>
          <w:hyperlink w:anchor="__RefHeading___Toc5446759_3224264995">
            <w:r>
              <w:rPr>
                <w:webHidden/>
                <w:rStyle w:val="IndexLink"/>
                <w:rtl w:val="true"/>
              </w:rPr>
              <w:t>الأمر الأوّل</w:t>
            </w:r>
            <w:r>
              <w:rPr>
                <w:rStyle w:val="IndexLink"/>
                <w:rtl w:val="true"/>
              </w:rPr>
              <w:t xml:space="preserve">: </w:t>
            </w:r>
            <w:r>
              <w:rPr>
                <w:rStyle w:val="IndexLink"/>
                <w:rtl w:val="true"/>
              </w:rPr>
              <w:t>توهّم عدم الثمرة فی الخلاف فی حجّیة ظواهر الکتاب</w:t>
            </w:r>
            <w:r>
              <w:rPr>
                <w:rStyle w:val="IndexLink"/>
                <w:rtl w:val="true"/>
              </w:rPr>
              <w:tab/>
            </w:r>
            <w:r>
              <w:rPr>
                <w:rStyle w:val="IndexLink"/>
              </w:rPr>
              <w:t>170</w:t>
            </w:r>
          </w:hyperlink>
        </w:p>
        <w:p>
          <w:pPr>
            <w:pStyle w:val="Contents6"/>
            <w:tabs>
              <w:tab w:val="clear" w:pos="7609"/>
              <w:tab w:val="right" w:pos="9026" w:leader="dot"/>
            </w:tabs>
            <w:rPr/>
          </w:pPr>
          <w:hyperlink w:anchor="__RefHeading___Toc5446761_3224264995">
            <w:r>
              <w:rPr>
                <w:webHidden/>
                <w:rStyle w:val="IndexLink"/>
                <w:rtl w:val="true"/>
              </w:rPr>
              <w:t>الجواب عن التوهّم المذکور</w:t>
            </w:r>
            <w:r>
              <w:rPr>
                <w:rStyle w:val="IndexLink"/>
                <w:rtl w:val="true"/>
              </w:rPr>
              <w:t>:</w:t>
              <w:tab/>
            </w:r>
            <w:r>
              <w:rPr>
                <w:rStyle w:val="IndexLink"/>
              </w:rPr>
              <w:t>170</w:t>
            </w:r>
          </w:hyperlink>
        </w:p>
        <w:p>
          <w:pPr>
            <w:pStyle w:val="Contents6"/>
            <w:tabs>
              <w:tab w:val="clear" w:pos="7609"/>
              <w:tab w:val="right" w:pos="9026" w:leader="dot"/>
            </w:tabs>
            <w:rPr/>
          </w:pPr>
          <w:hyperlink w:anchor="__RefHeading___Toc5446763_3224264995">
            <w:r>
              <w:rPr>
                <w:webHidden/>
                <w:rStyle w:val="IndexLink"/>
                <w:rtl w:val="true"/>
              </w:rPr>
              <w:t>الامر الثانی</w:t>
            </w:r>
            <w:r>
              <w:rPr>
                <w:rStyle w:val="IndexLink"/>
                <w:rtl w:val="true"/>
              </w:rPr>
              <w:t xml:space="preserve">: </w:t>
            </w:r>
            <w:r>
              <w:rPr>
                <w:rStyle w:val="IndexLink"/>
                <w:rtl w:val="true"/>
              </w:rPr>
              <w:t>لو اختلفت القراءة فی الکتاب</w:t>
            </w:r>
            <w:r>
              <w:rPr>
                <w:rStyle w:val="IndexLink"/>
                <w:rtl w:val="true"/>
              </w:rPr>
              <w:tab/>
            </w:r>
            <w:r>
              <w:rPr>
                <w:rStyle w:val="IndexLink"/>
              </w:rPr>
              <w:t>172</w:t>
            </w:r>
          </w:hyperlink>
        </w:p>
        <w:p>
          <w:pPr>
            <w:pStyle w:val="Contents6"/>
            <w:tabs>
              <w:tab w:val="clear" w:pos="7609"/>
              <w:tab w:val="right" w:pos="9026" w:leader="dot"/>
            </w:tabs>
            <w:rPr/>
          </w:pPr>
          <w:hyperlink w:anchor="__RefHeading___Toc5446765_3224264995">
            <w:r>
              <w:rPr>
                <w:webHidden/>
                <w:rStyle w:val="IndexLink"/>
                <w:rtl w:val="true"/>
              </w:rPr>
              <w:t>الثالث</w:t>
            </w:r>
            <w:r>
              <w:rPr>
                <w:rStyle w:val="IndexLink"/>
                <w:rtl w:val="true"/>
              </w:rPr>
              <w:t xml:space="preserve">: </w:t>
            </w:r>
            <w:r>
              <w:rPr>
                <w:rStyle w:val="IndexLink"/>
                <w:rtl w:val="true"/>
              </w:rPr>
              <w:t>وقوع التحریف فی القرآن لا یمنع من التمسّک بالظواهر</w:t>
            </w:r>
            <w:r>
              <w:rPr>
                <w:rStyle w:val="IndexLink"/>
                <w:rtl w:val="true"/>
              </w:rPr>
              <w:tab/>
            </w:r>
            <w:r>
              <w:rPr>
                <w:rStyle w:val="IndexLink"/>
              </w:rPr>
              <w:t>173</w:t>
            </w:r>
          </w:hyperlink>
        </w:p>
        <w:p>
          <w:pPr>
            <w:pStyle w:val="Contents6"/>
            <w:tabs>
              <w:tab w:val="clear" w:pos="7609"/>
              <w:tab w:val="right" w:pos="9026" w:leader="dot"/>
            </w:tabs>
            <w:rPr/>
          </w:pPr>
          <w:hyperlink w:anchor="__RefHeading___Toc5446767_3224264995">
            <w:r>
              <w:rPr>
                <w:webHidden/>
                <w:rStyle w:val="IndexLink"/>
                <w:rtl w:val="true"/>
              </w:rPr>
              <w:t>الامر الرابع</w:t>
            </w:r>
            <w:r>
              <w:rPr>
                <w:rStyle w:val="IndexLink"/>
                <w:rtl w:val="true"/>
              </w:rPr>
              <w:t xml:space="preserve">: </w:t>
            </w:r>
            <w:r>
              <w:rPr>
                <w:rStyle w:val="IndexLink"/>
                <w:rtl w:val="true"/>
              </w:rPr>
              <w:t>توهّم و دفع</w:t>
            </w:r>
            <w:r>
              <w:rPr>
                <w:rStyle w:val="IndexLink"/>
                <w:rtl w:val="true"/>
              </w:rPr>
              <w:tab/>
            </w:r>
            <w:r>
              <w:rPr>
                <w:rStyle w:val="IndexLink"/>
              </w:rPr>
              <w:t>173</w:t>
            </w:r>
          </w:hyperlink>
        </w:p>
        <w:p>
          <w:pPr>
            <w:pStyle w:val="Contents6"/>
            <w:tabs>
              <w:tab w:val="clear" w:pos="7609"/>
              <w:tab w:val="right" w:pos="9026" w:leader="dot"/>
            </w:tabs>
            <w:rPr/>
          </w:pPr>
          <w:hyperlink w:anchor="__RefHeading___Toc5446769_3224264995">
            <w:r>
              <w:rPr>
                <w:webHidden/>
                <w:rStyle w:val="IndexLink"/>
              </w:rPr>
              <w:t>2</w:t>
            </w:r>
            <w:r>
              <w:rPr>
                <w:rStyle w:val="IndexLink"/>
                <w:rtl w:val="true"/>
              </w:rPr>
              <w:t>-</w:t>
            </w:r>
            <w:r>
              <w:rPr>
                <w:rStyle w:val="IndexLink"/>
                <w:rtl w:val="true"/>
              </w:rPr>
              <w:t>حجّیة الظواهر بالنسبة إلی من لم یقصد إفهامه</w:t>
            </w:r>
            <w:r>
              <w:rPr>
                <w:rStyle w:val="IndexLink"/>
                <w:rtl w:val="true"/>
              </w:rPr>
              <w:tab/>
            </w:r>
            <w:r>
              <w:rPr>
                <w:rStyle w:val="IndexLink"/>
              </w:rPr>
              <w:t>175</w:t>
            </w:r>
          </w:hyperlink>
        </w:p>
        <w:p>
          <w:pPr>
            <w:pStyle w:val="Contents6"/>
            <w:tabs>
              <w:tab w:val="clear" w:pos="7609"/>
              <w:tab w:val="right" w:pos="9026" w:leader="dot"/>
            </w:tabs>
            <w:rPr/>
          </w:pPr>
          <w:hyperlink w:anchor="__RefHeading___Toc5446771_3224264995">
            <w:r>
              <w:rPr>
                <w:webHidden/>
                <w:rStyle w:val="IndexLink"/>
                <w:rtl w:val="true"/>
              </w:rPr>
              <w:t>تفصیل صاحب القوانین بین من قصد إفهامه و غیره</w:t>
            </w:r>
            <w:r>
              <w:rPr>
                <w:rStyle w:val="IndexLink"/>
                <w:rtl w:val="true"/>
              </w:rPr>
              <w:t>:</w:t>
              <w:tab/>
            </w:r>
            <w:r>
              <w:rPr>
                <w:rStyle w:val="IndexLink"/>
              </w:rPr>
              <w:t>175</w:t>
            </w:r>
          </w:hyperlink>
        </w:p>
        <w:p>
          <w:pPr>
            <w:pStyle w:val="Contents6"/>
            <w:tabs>
              <w:tab w:val="clear" w:pos="7609"/>
              <w:tab w:val="right" w:pos="9026" w:leader="dot"/>
            </w:tabs>
            <w:rPr/>
          </w:pPr>
          <w:hyperlink w:anchor="__RefHeading___Toc5446773_3224264995">
            <w:r>
              <w:rPr>
                <w:webHidden/>
                <w:rStyle w:val="IndexLink"/>
                <w:rtl w:val="true"/>
              </w:rPr>
              <w:t>توجیه هذا التفصیل</w:t>
            </w:r>
            <w:r>
              <w:rPr>
                <w:rStyle w:val="IndexLink"/>
                <w:rtl w:val="true"/>
              </w:rPr>
              <w:t>:</w:t>
              <w:tab/>
            </w:r>
            <w:r>
              <w:rPr>
                <w:rStyle w:val="IndexLink"/>
              </w:rPr>
              <w:t>175</w:t>
            </w:r>
          </w:hyperlink>
        </w:p>
        <w:p>
          <w:pPr>
            <w:pStyle w:val="Contents6"/>
            <w:tabs>
              <w:tab w:val="clear" w:pos="7609"/>
              <w:tab w:val="right" w:pos="9026" w:leader="dot"/>
            </w:tabs>
            <w:rPr/>
          </w:pPr>
          <w:hyperlink w:anchor="__RefHeading___Toc5446775_3224264995">
            <w:r>
              <w:rPr>
                <w:webHidden/>
                <w:rStyle w:val="IndexLink"/>
                <w:rtl w:val="true"/>
              </w:rPr>
              <w:t>المناقشة فی التفصیل المذکور</w:t>
            </w:r>
            <w:r>
              <w:rPr>
                <w:rStyle w:val="IndexLink"/>
                <w:rtl w:val="true"/>
              </w:rPr>
              <w:t>:</w:t>
              <w:tab/>
            </w:r>
            <w:r>
              <w:rPr>
                <w:rStyle w:val="IndexLink"/>
              </w:rPr>
              <w:t>178</w:t>
            </w:r>
          </w:hyperlink>
        </w:p>
        <w:p>
          <w:pPr>
            <w:pStyle w:val="Contents6"/>
            <w:tabs>
              <w:tab w:val="clear" w:pos="7609"/>
              <w:tab w:val="right" w:pos="9026" w:leader="dot"/>
            </w:tabs>
            <w:rPr/>
          </w:pPr>
          <w:hyperlink w:anchor="__RefHeading___Toc5446777_3224264995">
            <w:r>
              <w:rPr>
                <w:webHidden/>
                <w:rStyle w:val="IndexLink"/>
                <w:rtl w:val="true"/>
              </w:rPr>
              <w:t>احتمال التفصیل المتقدّم فی کلام صاحب المعالم</w:t>
            </w:r>
            <w:r>
              <w:rPr>
                <w:rStyle w:val="IndexLink"/>
                <w:rtl w:val="true"/>
              </w:rPr>
              <w:tab/>
            </w:r>
            <w:r>
              <w:rPr>
                <w:rStyle w:val="IndexLink"/>
              </w:rPr>
              <w:t>183</w:t>
            </w:r>
          </w:hyperlink>
        </w:p>
        <w:p>
          <w:pPr>
            <w:pStyle w:val="Contents6"/>
            <w:tabs>
              <w:tab w:val="clear" w:pos="7609"/>
              <w:tab w:val="right" w:pos="9026" w:leader="dot"/>
            </w:tabs>
            <w:rPr/>
          </w:pPr>
          <w:hyperlink w:anchor="__RefHeading___Toc5446779_3224264995">
            <w:r>
              <w:rPr>
                <w:webHidden/>
                <w:rStyle w:val="IndexLink"/>
                <w:rtl w:val="true"/>
              </w:rPr>
              <w:t>عدم الفرق فی حجّیة الظواهر بین ما یفید الظنّ بالمراد و غیره</w:t>
            </w:r>
            <w:r>
              <w:rPr>
                <w:rStyle w:val="IndexLink"/>
                <w:rtl w:val="true"/>
              </w:rPr>
              <w:t>:</w:t>
              <w:tab/>
            </w:r>
            <w:r>
              <w:rPr>
                <w:rStyle w:val="IndexLink"/>
              </w:rPr>
              <w:t>184</w:t>
            </w:r>
          </w:hyperlink>
        </w:p>
        <w:p>
          <w:pPr>
            <w:pStyle w:val="Contents6"/>
            <w:tabs>
              <w:tab w:val="clear" w:pos="7609"/>
              <w:tab w:val="right" w:pos="9026" w:leader="dot"/>
            </w:tabs>
            <w:rPr/>
          </w:pPr>
          <w:hyperlink w:anchor="__RefHeading___Toc5446781_3224264995">
            <w:r>
              <w:rPr>
                <w:webHidden/>
                <w:rStyle w:val="IndexLink"/>
                <w:rtl w:val="true"/>
              </w:rPr>
              <w:t>نظریّة المحقّق الکلباسی و المناقشة فیها</w:t>
            </w:r>
            <w:r>
              <w:rPr>
                <w:rStyle w:val="IndexLink"/>
                <w:rtl w:val="true"/>
              </w:rPr>
              <w:t>:</w:t>
              <w:tab/>
            </w:r>
            <w:r>
              <w:rPr>
                <w:rStyle w:val="IndexLink"/>
              </w:rPr>
              <w:t>185</w:t>
            </w:r>
          </w:hyperlink>
        </w:p>
        <w:p>
          <w:pPr>
            <w:pStyle w:val="Contents6"/>
            <w:tabs>
              <w:tab w:val="clear" w:pos="7609"/>
              <w:tab w:val="right" w:pos="9026" w:leader="dot"/>
            </w:tabs>
            <w:rPr/>
          </w:pPr>
          <w:hyperlink w:anchor="__RefHeading___Toc5446783_3224264995">
            <w:r>
              <w:rPr>
                <w:webHidden/>
                <w:rStyle w:val="IndexLink"/>
                <w:rtl w:val="true"/>
              </w:rPr>
              <w:t>تفصیل صاحب هدایة المسترشدین و المناقشة فیه</w:t>
            </w:r>
            <w:r>
              <w:rPr>
                <w:rStyle w:val="IndexLink"/>
                <w:rtl w:val="true"/>
              </w:rPr>
              <w:t>:</w:t>
              <w:tab/>
            </w:r>
            <w:r>
              <w:rPr>
                <w:rStyle w:val="IndexLink"/>
              </w:rPr>
              <w:t>185</w:t>
            </w:r>
          </w:hyperlink>
        </w:p>
        <w:p>
          <w:pPr>
            <w:pStyle w:val="Contents6"/>
            <w:tabs>
              <w:tab w:val="clear" w:pos="7609"/>
              <w:tab w:val="right" w:pos="9026" w:leader="dot"/>
            </w:tabs>
            <w:rPr/>
          </w:pPr>
          <w:hyperlink w:anchor="__RefHeading___Toc5446785_3224264995">
            <w:r>
              <w:rPr>
                <w:webHidden/>
                <w:rStyle w:val="IndexLink"/>
                <w:rtl w:val="true"/>
              </w:rPr>
              <w:t>تفصیل السیّد المجاهد فی المسألة</w:t>
            </w:r>
            <w:r>
              <w:rPr>
                <w:rStyle w:val="IndexLink"/>
                <w:rtl w:val="true"/>
              </w:rPr>
              <w:t>:</w:t>
              <w:tab/>
            </w:r>
            <w:r>
              <w:rPr>
                <w:rStyle w:val="IndexLink"/>
              </w:rPr>
              <w:t>186</w:t>
            </w:r>
          </w:hyperlink>
        </w:p>
        <w:p>
          <w:pPr>
            <w:pStyle w:val="Contents6"/>
            <w:tabs>
              <w:tab w:val="clear" w:pos="7609"/>
              <w:tab w:val="right" w:pos="9026" w:leader="dot"/>
            </w:tabs>
            <w:rPr/>
          </w:pPr>
          <w:hyperlink w:anchor="__RefHeading___Toc5446787_3224264995">
            <w:r>
              <w:rPr>
                <w:webHidden/>
                <w:rStyle w:val="IndexLink"/>
                <w:rtl w:val="true"/>
              </w:rPr>
              <w:t>المناقشة فی هذا التفصیل</w:t>
            </w:r>
            <w:r>
              <w:rPr>
                <w:rStyle w:val="IndexLink"/>
                <w:rtl w:val="true"/>
              </w:rPr>
              <w:t>:</w:t>
              <w:tab/>
            </w:r>
            <w:r>
              <w:rPr>
                <w:rStyle w:val="IndexLink"/>
              </w:rPr>
              <w:t>187</w:t>
            </w:r>
          </w:hyperlink>
        </w:p>
        <w:p>
          <w:pPr>
            <w:pStyle w:val="Contents5"/>
            <w:tabs>
              <w:tab w:val="clear" w:pos="7892"/>
              <w:tab w:val="right" w:pos="9026" w:leader="dot"/>
            </w:tabs>
            <w:rPr/>
          </w:pPr>
          <w:hyperlink w:anchor="__RefHeading___Toc5446789_3224264995">
            <w:r>
              <w:rPr>
                <w:webHidden/>
                <w:rStyle w:val="IndexLink"/>
                <w:rtl w:val="true"/>
              </w:rPr>
              <w:t>و أمّا القسم الثانی</w:t>
            </w:r>
            <w:r>
              <w:rPr>
                <w:rStyle w:val="IndexLink"/>
                <w:rtl w:val="true"/>
              </w:rPr>
              <w:tab/>
            </w:r>
            <w:r>
              <w:rPr>
                <w:rStyle w:val="IndexLink"/>
              </w:rPr>
              <w:t>188</w:t>
            </w:r>
          </w:hyperlink>
        </w:p>
        <w:p>
          <w:pPr>
            <w:pStyle w:val="Contents6"/>
            <w:tabs>
              <w:tab w:val="clear" w:pos="7609"/>
              <w:tab w:val="right" w:pos="9026" w:leader="dot"/>
            </w:tabs>
            <w:rPr/>
          </w:pPr>
          <w:hyperlink w:anchor="__RefHeading___Toc5446791_3224264995">
            <w:r>
              <w:rPr>
                <w:webHidden/>
                <w:rStyle w:val="IndexLink"/>
                <w:rtl w:val="true"/>
              </w:rPr>
              <w:t>اشارة</w:t>
            </w:r>
            <w:r>
              <w:rPr>
                <w:rStyle w:val="IndexLink"/>
                <w:rtl w:val="true"/>
              </w:rPr>
              <w:tab/>
            </w:r>
            <w:r>
              <w:rPr>
                <w:rStyle w:val="IndexLink"/>
              </w:rPr>
              <w:t>188</w:t>
            </w:r>
          </w:hyperlink>
        </w:p>
        <w:p>
          <w:pPr>
            <w:pStyle w:val="Contents6"/>
            <w:tabs>
              <w:tab w:val="clear" w:pos="7609"/>
              <w:tab w:val="right" w:pos="9026" w:leader="dot"/>
            </w:tabs>
            <w:rPr/>
          </w:pPr>
          <w:hyperlink w:anchor="__RefHeading___Toc5446793_3224264995">
            <w:r>
              <w:rPr>
                <w:webHidden/>
                <w:rStyle w:val="IndexLink"/>
                <w:rtl w:val="true"/>
              </w:rPr>
              <w:t>اشارة</w:t>
            </w:r>
            <w:r>
              <w:rPr>
                <w:rStyle w:val="IndexLink"/>
                <w:rtl w:val="true"/>
              </w:rPr>
              <w:tab/>
            </w:r>
            <w:r>
              <w:rPr>
                <w:rStyle w:val="IndexLink"/>
              </w:rPr>
              <w:t>188</w:t>
            </w:r>
          </w:hyperlink>
        </w:p>
        <w:p>
          <w:pPr>
            <w:pStyle w:val="Contents6"/>
            <w:tabs>
              <w:tab w:val="clear" w:pos="7609"/>
              <w:tab w:val="right" w:pos="9026" w:leader="dot"/>
            </w:tabs>
            <w:rPr/>
          </w:pPr>
          <w:hyperlink w:anchor="__RefHeading___Toc5446795_3224264995">
            <w:r>
              <w:rPr>
                <w:webHidden/>
                <w:rStyle w:val="IndexLink"/>
                <w:rtl w:val="true"/>
              </w:rPr>
              <w:t>حجیة قول اللغوی</w:t>
            </w:r>
            <w:r>
              <w:rPr>
                <w:rStyle w:val="IndexLink"/>
                <w:rtl w:val="true"/>
              </w:rPr>
              <w:tab/>
            </w:r>
            <w:r>
              <w:rPr>
                <w:rStyle w:val="IndexLink"/>
              </w:rPr>
              <w:t>188</w:t>
            </w:r>
          </w:hyperlink>
        </w:p>
        <w:p>
          <w:pPr>
            <w:pStyle w:val="Contents6"/>
            <w:tabs>
              <w:tab w:val="clear" w:pos="7609"/>
              <w:tab w:val="right" w:pos="9026" w:leader="dot"/>
            </w:tabs>
            <w:rPr/>
          </w:pPr>
          <w:hyperlink w:anchor="__RefHeading___Toc5446797_3224264995">
            <w:r>
              <w:rPr>
                <w:webHidden/>
                <w:rStyle w:val="IndexLink"/>
                <w:rtl w:val="true"/>
              </w:rPr>
              <w:t>هل قول اللغویین حجّة فی الأوضاع اللغویّة،أم لا؟</w:t>
            </w:r>
            <w:r>
              <w:rPr>
                <w:rStyle w:val="IndexLink"/>
                <w:rtl w:val="true"/>
              </w:rPr>
              <w:tab/>
            </w:r>
            <w:r>
              <w:rPr>
                <w:rStyle w:val="IndexLink"/>
              </w:rPr>
              <w:t>188</w:t>
            </w:r>
          </w:hyperlink>
        </w:p>
        <w:p>
          <w:pPr>
            <w:pStyle w:val="Contents6"/>
            <w:tabs>
              <w:tab w:val="clear" w:pos="7609"/>
              <w:tab w:val="right" w:pos="9026" w:leader="dot"/>
            </w:tabs>
            <w:rPr/>
          </w:pPr>
          <w:hyperlink w:anchor="__RefHeading___Toc5446799_3224264995">
            <w:r>
              <w:rPr>
                <w:webHidden/>
                <w:rStyle w:val="IndexLink"/>
                <w:rtl w:val="true"/>
              </w:rPr>
              <w:t>الاستدلال علی الحجیّة بإجماع العلماء و العقلاء</w:t>
            </w:r>
            <w:r>
              <w:rPr>
                <w:rStyle w:val="IndexLink"/>
                <w:rtl w:val="true"/>
              </w:rPr>
              <w:t>:</w:t>
              <w:tab/>
            </w:r>
            <w:r>
              <w:rPr>
                <w:rStyle w:val="IndexLink"/>
              </w:rPr>
              <w:t>189</w:t>
            </w:r>
          </w:hyperlink>
        </w:p>
        <w:p>
          <w:pPr>
            <w:pStyle w:val="Contents6"/>
            <w:tabs>
              <w:tab w:val="clear" w:pos="7609"/>
              <w:tab w:val="right" w:pos="9026" w:leader="dot"/>
            </w:tabs>
            <w:rPr/>
          </w:pPr>
          <w:hyperlink w:anchor="__RefHeading___Toc5446801_3224264995">
            <w:r>
              <w:rPr>
                <w:webHidden/>
                <w:rStyle w:val="IndexLink"/>
                <w:rtl w:val="true"/>
              </w:rPr>
              <w:t>المناقشة فی الإجماع</w:t>
            </w:r>
            <w:r>
              <w:rPr>
                <w:rStyle w:val="IndexLink"/>
                <w:rtl w:val="true"/>
              </w:rPr>
              <w:t>:</w:t>
              <w:tab/>
            </w:r>
            <w:r>
              <w:rPr>
                <w:rStyle w:val="IndexLink"/>
              </w:rPr>
              <w:t>189</w:t>
            </w:r>
          </w:hyperlink>
        </w:p>
        <w:p>
          <w:pPr>
            <w:pStyle w:val="Contents6"/>
            <w:tabs>
              <w:tab w:val="clear" w:pos="7609"/>
              <w:tab w:val="right" w:pos="9026" w:leader="dot"/>
            </w:tabs>
            <w:rPr/>
          </w:pPr>
          <w:hyperlink w:anchor="__RefHeading___Toc5446803_3224264995">
            <w:r>
              <w:rPr>
                <w:webHidden/>
                <w:rStyle w:val="IndexLink"/>
                <w:rtl w:val="true"/>
              </w:rPr>
              <w:t>مختار المصنّف فی المسألة</w:t>
            </w:r>
            <w:r>
              <w:rPr>
                <w:rStyle w:val="IndexLink"/>
                <w:rtl w:val="true"/>
              </w:rPr>
              <w:t>:</w:t>
              <w:tab/>
            </w:r>
            <w:r>
              <w:rPr>
                <w:rStyle w:val="IndexLink"/>
              </w:rPr>
              <w:t>190</w:t>
            </w:r>
          </w:hyperlink>
        </w:p>
        <w:p>
          <w:pPr>
            <w:pStyle w:val="Contents6"/>
            <w:tabs>
              <w:tab w:val="clear" w:pos="7609"/>
              <w:tab w:val="right" w:pos="9026" w:leader="dot"/>
            </w:tabs>
            <w:rPr/>
          </w:pPr>
          <w:hyperlink w:anchor="__RefHeading___Toc5446805_3224264995">
            <w:r>
              <w:rPr>
                <w:webHidden/>
                <w:rStyle w:val="IndexLink"/>
                <w:rtl w:val="true"/>
              </w:rPr>
              <w:t>الإجماع المنقول</w:t>
            </w:r>
            <w:r>
              <w:rPr>
                <w:rStyle w:val="IndexLink"/>
                <w:rtl w:val="true"/>
              </w:rPr>
              <w:tab/>
            </w:r>
            <w:r>
              <w:rPr>
                <w:rStyle w:val="IndexLink"/>
              </w:rPr>
              <w:t>194</w:t>
            </w:r>
          </w:hyperlink>
        </w:p>
        <w:p>
          <w:pPr>
            <w:pStyle w:val="Contents6"/>
            <w:tabs>
              <w:tab w:val="clear" w:pos="7609"/>
              <w:tab w:val="right" w:pos="9026" w:leader="dot"/>
            </w:tabs>
            <w:rPr/>
          </w:pPr>
          <w:hyperlink w:anchor="__RefHeading___Toc5446807_3224264995">
            <w:r>
              <w:rPr>
                <w:webHidden/>
                <w:rStyle w:val="IndexLink"/>
                <w:rtl w:val="true"/>
              </w:rPr>
              <w:t>هل الإجماع المنقول حجّة،أم لا؟</w:t>
            </w:r>
            <w:r>
              <w:rPr>
                <w:rStyle w:val="IndexLink"/>
                <w:rtl w:val="true"/>
              </w:rPr>
              <w:tab/>
            </w:r>
            <w:r>
              <w:rPr>
                <w:rStyle w:val="IndexLink"/>
              </w:rPr>
              <w:t>194</w:t>
            </w:r>
          </w:hyperlink>
        </w:p>
        <w:p>
          <w:pPr>
            <w:pStyle w:val="Contents6"/>
            <w:tabs>
              <w:tab w:val="clear" w:pos="7609"/>
              <w:tab w:val="right" w:pos="9026" w:leader="dot"/>
            </w:tabs>
            <w:rPr/>
          </w:pPr>
          <w:hyperlink w:anchor="__RefHeading___Toc5446809_3224264995">
            <w:r>
              <w:rPr>
                <w:webHidden/>
                <w:rStyle w:val="IndexLink"/>
                <w:rtl w:val="true"/>
              </w:rPr>
              <w:t>الکلام فی الملازمة بین حجّیة الخبر الواحد و حجّیة الإجماع المنقول</w:t>
            </w:r>
            <w:r>
              <w:rPr>
                <w:rStyle w:val="IndexLink"/>
                <w:rtl w:val="true"/>
              </w:rPr>
              <w:t>:</w:t>
              <w:tab/>
            </w:r>
            <w:r>
              <w:rPr>
                <w:rStyle w:val="IndexLink"/>
              </w:rPr>
              <w:t>194</w:t>
            </w:r>
          </w:hyperlink>
        </w:p>
        <w:p>
          <w:pPr>
            <w:pStyle w:val="Contents6"/>
            <w:tabs>
              <w:tab w:val="clear" w:pos="7609"/>
              <w:tab w:val="right" w:pos="9026" w:leader="dot"/>
            </w:tabs>
            <w:rPr/>
          </w:pPr>
          <w:hyperlink w:anchor="__RefHeading___Toc5446811_3224264995">
            <w:r>
              <w:rPr>
                <w:webHidden/>
                <w:rStyle w:val="IndexLink"/>
                <w:rtl w:val="true"/>
              </w:rPr>
              <w:t>الأمر الأوّل</w:t>
            </w:r>
            <w:r>
              <w:rPr>
                <w:rStyle w:val="IndexLink"/>
                <w:rtl w:val="true"/>
              </w:rPr>
              <w:t xml:space="preserve">: </w:t>
            </w:r>
            <w:r>
              <w:rPr>
                <w:rStyle w:val="IndexLink"/>
                <w:rtl w:val="true"/>
              </w:rPr>
              <w:t>عدم حجّیة الإخبار عن حدس</w:t>
            </w:r>
            <w:r>
              <w:rPr>
                <w:rStyle w:val="IndexLink"/>
                <w:rtl w:val="true"/>
              </w:rPr>
              <w:tab/>
            </w:r>
            <w:r>
              <w:rPr>
                <w:rStyle w:val="IndexLink"/>
              </w:rPr>
              <w:t>195</w:t>
            </w:r>
          </w:hyperlink>
        </w:p>
        <w:p>
          <w:pPr>
            <w:pStyle w:val="Contents6"/>
            <w:tabs>
              <w:tab w:val="clear" w:pos="7609"/>
              <w:tab w:val="right" w:pos="9026" w:leader="dot"/>
            </w:tabs>
            <w:rPr/>
          </w:pPr>
          <w:hyperlink w:anchor="__RefHeading___Toc5446813_3224264995">
            <w:r>
              <w:rPr>
                <w:webHidden/>
                <w:rStyle w:val="IndexLink"/>
                <w:rtl w:val="true"/>
              </w:rPr>
              <w:t>الاستدلال بآیة النبأ علی حجّیة الإجماع المنقول</w:t>
            </w:r>
            <w:r>
              <w:rPr>
                <w:rStyle w:val="IndexLink"/>
                <w:rtl w:val="true"/>
              </w:rPr>
              <w:t>:</w:t>
              <w:tab/>
            </w:r>
            <w:r>
              <w:rPr>
                <w:rStyle w:val="IndexLink"/>
              </w:rPr>
              <w:t>195</w:t>
            </w:r>
          </w:hyperlink>
        </w:p>
        <w:p>
          <w:pPr>
            <w:pStyle w:val="Contents6"/>
            <w:tabs>
              <w:tab w:val="clear" w:pos="7609"/>
              <w:tab w:val="right" w:pos="9026" w:leader="dot"/>
            </w:tabs>
            <w:rPr/>
          </w:pPr>
          <w:hyperlink w:anchor="__RefHeading___Toc5446815_3224264995">
            <w:r>
              <w:rPr>
                <w:webHidden/>
                <w:rStyle w:val="IndexLink"/>
                <w:rtl w:val="true"/>
              </w:rPr>
              <w:t>عدم عمومیّة آیة</w:t>
            </w:r>
            <w:r>
              <w:rPr>
                <w:rStyle w:val="IndexLink"/>
                <w:rtl w:val="true"/>
              </w:rPr>
              <w:t>«</w:t>
            </w:r>
            <w:r>
              <w:rPr>
                <w:rStyle w:val="IndexLink"/>
                <w:rtl w:val="true"/>
              </w:rPr>
              <w:t>النبأ</w:t>
            </w:r>
            <w:r>
              <w:rPr>
                <w:rStyle w:val="IndexLink"/>
                <w:rtl w:val="true"/>
              </w:rPr>
              <w:t>»</w:t>
            </w:r>
            <w:r>
              <w:rPr>
                <w:rStyle w:val="IndexLink"/>
                <w:rtl w:val="true"/>
              </w:rPr>
              <w:t>لکلّ خبر</w:t>
            </w:r>
            <w:r>
              <w:rPr>
                <w:rStyle w:val="IndexLink"/>
                <w:rtl w:val="true"/>
              </w:rPr>
              <w:t>:</w:t>
              <w:tab/>
            </w:r>
            <w:r>
              <w:rPr>
                <w:rStyle w:val="IndexLink"/>
              </w:rPr>
              <w:t>198</w:t>
            </w:r>
          </w:hyperlink>
        </w:p>
        <w:p>
          <w:pPr>
            <w:pStyle w:val="Contents6"/>
            <w:tabs>
              <w:tab w:val="clear" w:pos="7609"/>
              <w:tab w:val="right" w:pos="9026" w:leader="dot"/>
            </w:tabs>
            <w:rPr/>
          </w:pPr>
          <w:hyperlink w:anchor="__RefHeading___Toc5446817_3224264995">
            <w:r>
              <w:rPr>
                <w:webHidden/>
                <w:rStyle w:val="IndexLink"/>
                <w:rtl w:val="true"/>
              </w:rPr>
              <w:t>الأمر الثانی</w:t>
            </w:r>
            <w:r>
              <w:rPr>
                <w:rStyle w:val="IndexLink"/>
                <w:rtl w:val="true"/>
              </w:rPr>
              <w:t>:</w:t>
            </w:r>
            <w:r>
              <w:rPr>
                <w:rStyle w:val="IndexLink"/>
                <w:rtl w:val="true"/>
              </w:rPr>
              <w:t>الإجماع فی مصطلح الخاصّة و العامّة</w:t>
            </w:r>
            <w:r>
              <w:rPr>
                <w:rStyle w:val="IndexLink"/>
                <w:rtl w:val="true"/>
              </w:rPr>
              <w:tab/>
            </w:r>
            <w:r>
              <w:rPr>
                <w:rStyle w:val="IndexLink"/>
              </w:rPr>
              <w:t>199</w:t>
            </w:r>
          </w:hyperlink>
        </w:p>
        <w:p>
          <w:pPr>
            <w:pStyle w:val="Contents6"/>
            <w:tabs>
              <w:tab w:val="clear" w:pos="7609"/>
              <w:tab w:val="right" w:pos="9026" w:leader="dot"/>
            </w:tabs>
            <w:rPr/>
          </w:pPr>
          <w:hyperlink w:anchor="__RefHeading___Toc5446819_3224264995">
            <w:r>
              <w:rPr>
                <w:webHidden/>
                <w:rStyle w:val="IndexLink"/>
                <w:rtl w:val="true"/>
              </w:rPr>
              <w:t>وجه حجّیة الإجماع عند الإمامیّة</w:t>
            </w:r>
            <w:r>
              <w:rPr>
                <w:rStyle w:val="IndexLink"/>
                <w:rtl w:val="true"/>
              </w:rPr>
              <w:t>:</w:t>
              <w:tab/>
            </w:r>
            <w:r>
              <w:rPr>
                <w:rStyle w:val="IndexLink"/>
              </w:rPr>
              <w:t>200</w:t>
            </w:r>
          </w:hyperlink>
        </w:p>
        <w:p>
          <w:pPr>
            <w:pStyle w:val="Contents6"/>
            <w:tabs>
              <w:tab w:val="clear" w:pos="7609"/>
              <w:tab w:val="right" w:pos="9026" w:leader="dot"/>
            </w:tabs>
            <w:rPr/>
          </w:pPr>
          <w:hyperlink w:anchor="__RefHeading___Toc5446821_3224264995">
            <w:r>
              <w:rPr>
                <w:webHidden/>
                <w:rStyle w:val="IndexLink"/>
                <w:rtl w:val="true"/>
              </w:rPr>
              <w:t>المسامحة فی إطلاق الإجماع</w:t>
            </w:r>
            <w:r>
              <w:rPr>
                <w:rStyle w:val="IndexLink"/>
                <w:rtl w:val="true"/>
              </w:rPr>
              <w:t>:</w:t>
              <w:tab/>
            </w:r>
            <w:r>
              <w:rPr>
                <w:rStyle w:val="IndexLink"/>
              </w:rPr>
              <w:t>202</w:t>
            </w:r>
          </w:hyperlink>
        </w:p>
        <w:p>
          <w:pPr>
            <w:pStyle w:val="Contents6"/>
            <w:tabs>
              <w:tab w:val="clear" w:pos="7609"/>
              <w:tab w:val="right" w:pos="9026" w:leader="dot"/>
            </w:tabs>
            <w:rPr/>
          </w:pPr>
          <w:hyperlink w:anchor="__RefHeading___Toc5446823_3224264995">
            <w:r>
              <w:rPr>
                <w:webHidden/>
                <w:rStyle w:val="IndexLink"/>
                <w:rtl w:val="true"/>
              </w:rPr>
              <w:t>مسامحة اخری فی إطلاق الإجماع</w:t>
            </w:r>
            <w:r>
              <w:rPr>
                <w:rStyle w:val="IndexLink"/>
                <w:rtl w:val="true"/>
              </w:rPr>
              <w:t>:</w:t>
              <w:tab/>
            </w:r>
            <w:r>
              <w:rPr>
                <w:rStyle w:val="IndexLink"/>
              </w:rPr>
              <w:t>204</w:t>
            </w:r>
          </w:hyperlink>
        </w:p>
        <w:p>
          <w:pPr>
            <w:pStyle w:val="Contents6"/>
            <w:tabs>
              <w:tab w:val="clear" w:pos="7609"/>
              <w:tab w:val="right" w:pos="9026" w:leader="dot"/>
            </w:tabs>
            <w:rPr/>
          </w:pPr>
          <w:hyperlink w:anchor="__RefHeading___Toc5446825_3224264995">
            <w:r>
              <w:rPr>
                <w:webHidden/>
                <w:rStyle w:val="IndexLink"/>
                <w:rtl w:val="true"/>
              </w:rPr>
              <w:t>لا ضیر فی المسامحتین</w:t>
            </w:r>
            <w:r>
              <w:rPr>
                <w:rStyle w:val="IndexLink"/>
                <w:rtl w:val="true"/>
              </w:rPr>
              <w:t>:</w:t>
              <w:tab/>
            </w:r>
            <w:r>
              <w:rPr>
                <w:rStyle w:val="IndexLink"/>
              </w:rPr>
              <w:t>204</w:t>
            </w:r>
          </w:hyperlink>
        </w:p>
        <w:p>
          <w:pPr>
            <w:pStyle w:val="Contents6"/>
            <w:tabs>
              <w:tab w:val="clear" w:pos="7609"/>
              <w:tab w:val="right" w:pos="9026" w:leader="dot"/>
            </w:tabs>
            <w:rPr/>
          </w:pPr>
          <w:hyperlink w:anchor="__RefHeading___Toc5446827_3224264995">
            <w:r>
              <w:rPr>
                <w:webHidden/>
                <w:rStyle w:val="IndexLink"/>
                <w:rtl w:val="true"/>
              </w:rPr>
              <w:t>کلام صاحب المعالم رحمه اللّه و المناقشة فیه</w:t>
            </w:r>
            <w:r>
              <w:rPr>
                <w:rStyle w:val="IndexLink"/>
                <w:rtl w:val="true"/>
              </w:rPr>
              <w:t>:</w:t>
              <w:tab/>
            </w:r>
            <w:r>
              <w:rPr>
                <w:rStyle w:val="IndexLink"/>
              </w:rPr>
              <w:t>205</w:t>
            </w:r>
          </w:hyperlink>
        </w:p>
        <w:p>
          <w:pPr>
            <w:pStyle w:val="Contents6"/>
            <w:tabs>
              <w:tab w:val="clear" w:pos="7609"/>
              <w:tab w:val="right" w:pos="9026" w:leader="dot"/>
            </w:tabs>
            <w:rPr/>
          </w:pPr>
          <w:hyperlink w:anchor="__RefHeading___Toc5446829_3224264995">
            <w:r>
              <w:rPr>
                <w:webHidden/>
                <w:rStyle w:val="IndexLink"/>
                <w:rtl w:val="true"/>
              </w:rPr>
              <w:t>أنحاء حکایة الإجماع</w:t>
            </w:r>
            <w:r>
              <w:rPr>
                <w:rStyle w:val="IndexLink"/>
                <w:rtl w:val="true"/>
              </w:rPr>
              <w:t>:</w:t>
              <w:tab/>
            </w:r>
            <w:r>
              <w:rPr>
                <w:rStyle w:val="IndexLink"/>
              </w:rPr>
              <w:t>206</w:t>
            </w:r>
          </w:hyperlink>
        </w:p>
        <w:p>
          <w:pPr>
            <w:pStyle w:val="Contents6"/>
            <w:tabs>
              <w:tab w:val="clear" w:pos="7609"/>
              <w:tab w:val="right" w:pos="9026" w:leader="dot"/>
            </w:tabs>
            <w:rPr/>
          </w:pPr>
          <w:hyperlink w:anchor="__RefHeading___Toc5446831_3224264995">
            <w:r>
              <w:rPr>
                <w:webHidden/>
                <w:rStyle w:val="IndexLink"/>
                <w:rtl w:val="true"/>
              </w:rPr>
              <w:t>مستند العلم بقول الإمام علیه السّلام أحد امور</w:t>
            </w:r>
            <w:r>
              <w:rPr>
                <w:rStyle w:val="IndexLink"/>
                <w:rtl w:val="true"/>
              </w:rPr>
              <w:t>:</w:t>
              <w:tab/>
            </w:r>
            <w:r>
              <w:rPr>
                <w:rStyle w:val="IndexLink"/>
              </w:rPr>
              <w:t>207</w:t>
            </w:r>
          </w:hyperlink>
        </w:p>
        <w:p>
          <w:pPr>
            <w:pStyle w:val="Contents6"/>
            <w:tabs>
              <w:tab w:val="clear" w:pos="7609"/>
              <w:tab w:val="right" w:pos="9026" w:leader="dot"/>
            </w:tabs>
            <w:rPr/>
          </w:pPr>
          <w:hyperlink w:anchor="__RefHeading___Toc5446833_3224264995">
            <w:r>
              <w:rPr>
                <w:webHidden/>
                <w:rStyle w:val="IndexLink"/>
                <w:rtl w:val="true"/>
              </w:rPr>
              <w:t>أحدها</w:t>
            </w:r>
            <w:r>
              <w:rPr>
                <w:rStyle w:val="IndexLink"/>
                <w:rtl w:val="true"/>
              </w:rPr>
              <w:t>:</w:t>
            </w:r>
            <w:r>
              <w:rPr>
                <w:rStyle w:val="IndexLink"/>
                <w:rtl w:val="true"/>
              </w:rPr>
              <w:t>الحسّ</w:t>
            </w:r>
            <w:r>
              <w:rPr>
                <w:rStyle w:val="IndexLink"/>
                <w:rtl w:val="true"/>
              </w:rPr>
              <w:tab/>
            </w:r>
            <w:r>
              <w:rPr>
                <w:rStyle w:val="IndexLink"/>
              </w:rPr>
              <w:t>207</w:t>
            </w:r>
          </w:hyperlink>
        </w:p>
        <w:p>
          <w:pPr>
            <w:pStyle w:val="Contents6"/>
            <w:tabs>
              <w:tab w:val="clear" w:pos="7609"/>
              <w:tab w:val="right" w:pos="9026" w:leader="dot"/>
            </w:tabs>
            <w:rPr/>
          </w:pPr>
          <w:hyperlink w:anchor="__RefHeading___Toc5446835_3224264995">
            <w:r>
              <w:rPr>
                <w:webHidden/>
                <w:rStyle w:val="IndexLink"/>
                <w:rtl w:val="true"/>
              </w:rPr>
              <w:t>الثانی</w:t>
            </w:r>
            <w:r>
              <w:rPr>
                <w:rStyle w:val="IndexLink"/>
                <w:rtl w:val="true"/>
              </w:rPr>
              <w:t>:</w:t>
            </w:r>
            <w:r>
              <w:rPr>
                <w:rStyle w:val="IndexLink"/>
                <w:rtl w:val="true"/>
              </w:rPr>
              <w:t>قاعدة اللطف</w:t>
            </w:r>
            <w:r>
              <w:rPr>
                <w:rStyle w:val="IndexLink"/>
                <w:rtl w:val="true"/>
              </w:rPr>
              <w:tab/>
            </w:r>
            <w:r>
              <w:rPr>
                <w:rStyle w:val="IndexLink"/>
              </w:rPr>
              <w:t>207</w:t>
            </w:r>
          </w:hyperlink>
        </w:p>
        <w:p>
          <w:pPr>
            <w:pStyle w:val="Contents6"/>
            <w:tabs>
              <w:tab w:val="clear" w:pos="7609"/>
              <w:tab w:val="right" w:pos="9026" w:leader="dot"/>
            </w:tabs>
            <w:rPr/>
          </w:pPr>
          <w:hyperlink w:anchor="__RefHeading___Toc5446837_3224264995">
            <w:r>
              <w:rPr>
                <w:webHidden/>
                <w:rStyle w:val="IndexLink"/>
                <w:rtl w:val="true"/>
              </w:rPr>
              <w:t>عدم صحّة الاستناد إلی اللطف</w:t>
            </w:r>
            <w:r>
              <w:rPr>
                <w:rStyle w:val="IndexLink"/>
                <w:rtl w:val="true"/>
              </w:rPr>
              <w:t>:</w:t>
              <w:tab/>
            </w:r>
            <w:r>
              <w:rPr>
                <w:rStyle w:val="IndexLink"/>
              </w:rPr>
              <w:t>208</w:t>
            </w:r>
          </w:hyperlink>
        </w:p>
        <w:p>
          <w:pPr>
            <w:pStyle w:val="Contents6"/>
            <w:tabs>
              <w:tab w:val="clear" w:pos="7609"/>
              <w:tab w:val="right" w:pos="9026" w:leader="dot"/>
            </w:tabs>
            <w:rPr/>
          </w:pPr>
          <w:hyperlink w:anchor="__RefHeading___Toc5446839_3224264995">
            <w:r>
              <w:rPr>
                <w:webHidden/>
                <w:rStyle w:val="IndexLink"/>
                <w:rtl w:val="true"/>
              </w:rPr>
              <w:t>ظهور الاستناد إلی قاعدة اللطف من کلام جماعة</w:t>
            </w:r>
            <w:r>
              <w:rPr>
                <w:rStyle w:val="IndexLink"/>
                <w:rtl w:val="true"/>
              </w:rPr>
              <w:t>:</w:t>
              <w:tab/>
            </w:r>
            <w:r>
              <w:rPr>
                <w:rStyle w:val="IndexLink"/>
              </w:rPr>
              <w:t>211</w:t>
            </w:r>
          </w:hyperlink>
        </w:p>
        <w:p>
          <w:pPr>
            <w:pStyle w:val="Contents6"/>
            <w:tabs>
              <w:tab w:val="clear" w:pos="7609"/>
              <w:tab w:val="right" w:pos="9026" w:leader="dot"/>
            </w:tabs>
            <w:rPr/>
          </w:pPr>
          <w:hyperlink w:anchor="__RefHeading___Toc5446841_3224264995">
            <w:r>
              <w:rPr>
                <w:webHidden/>
                <w:rStyle w:val="IndexLink"/>
                <w:rtl w:val="true"/>
              </w:rPr>
              <w:t>الثالث الحدس</w:t>
            </w:r>
            <w:r>
              <w:rPr>
                <w:rStyle w:val="IndexLink"/>
                <w:rtl w:val="true"/>
              </w:rPr>
              <w:t>:</w:t>
              <w:tab/>
            </w:r>
            <w:r>
              <w:rPr>
                <w:rStyle w:val="IndexLink"/>
              </w:rPr>
              <w:t>212</w:t>
            </w:r>
          </w:hyperlink>
        </w:p>
        <w:p>
          <w:pPr>
            <w:pStyle w:val="Contents6"/>
            <w:tabs>
              <w:tab w:val="clear" w:pos="7609"/>
              <w:tab w:val="right" w:pos="9026" w:leader="dot"/>
            </w:tabs>
            <w:rPr/>
          </w:pPr>
          <w:hyperlink w:anchor="__RefHeading___Toc5446843_3224264995">
            <w:r>
              <w:rPr>
                <w:webHidden/>
                <w:rStyle w:val="IndexLink"/>
                <w:rtl w:val="true"/>
              </w:rPr>
              <w:t>لا یصلح للاستناد إلاّ الحدس</w:t>
            </w:r>
            <w:r>
              <w:rPr>
                <w:rStyle w:val="IndexLink"/>
                <w:rtl w:val="true"/>
              </w:rPr>
              <w:t>:</w:t>
              <w:tab/>
            </w:r>
            <w:r>
              <w:rPr>
                <w:rStyle w:val="IndexLink"/>
              </w:rPr>
              <w:t>213</w:t>
            </w:r>
          </w:hyperlink>
        </w:p>
        <w:p>
          <w:pPr>
            <w:pStyle w:val="Contents6"/>
            <w:tabs>
              <w:tab w:val="clear" w:pos="7609"/>
              <w:tab w:val="right" w:pos="9026" w:leader="dot"/>
            </w:tabs>
            <w:rPr/>
          </w:pPr>
          <w:hyperlink w:anchor="__RefHeading___Toc5446845_3224264995">
            <w:r>
              <w:rPr>
                <w:webHidden/>
                <w:rStyle w:val="IndexLink"/>
                <w:rtl w:val="true"/>
              </w:rPr>
              <w:t>محامل دعوی إجماع الکلّ</w:t>
            </w:r>
            <w:r>
              <w:rPr>
                <w:rStyle w:val="IndexLink"/>
                <w:rtl w:val="true"/>
              </w:rPr>
              <w:t>:</w:t>
              <w:tab/>
            </w:r>
            <w:r>
              <w:rPr>
                <w:rStyle w:val="IndexLink"/>
              </w:rPr>
              <w:t>217</w:t>
            </w:r>
          </w:hyperlink>
        </w:p>
        <w:p>
          <w:pPr>
            <w:pStyle w:val="Contents6"/>
            <w:tabs>
              <w:tab w:val="clear" w:pos="7609"/>
              <w:tab w:val="right" w:pos="9026" w:leader="dot"/>
            </w:tabs>
            <w:rPr/>
          </w:pPr>
          <w:hyperlink w:anchor="__RefHeading___Toc5446847_3224264995">
            <w:r>
              <w:rPr>
                <w:webHidden/>
                <w:rStyle w:val="IndexLink"/>
                <w:rtl w:val="true"/>
              </w:rPr>
              <w:t>أحدها</w:t>
            </w:r>
            <w:r>
              <w:rPr>
                <w:rStyle w:val="IndexLink"/>
                <w:rtl w:val="true"/>
              </w:rPr>
              <w:t>:</w:t>
            </w:r>
            <w:r>
              <w:rPr>
                <w:rStyle w:val="IndexLink"/>
                <w:rtl w:val="true"/>
              </w:rPr>
              <w:t>أن یراد به اتّفاق المعروفین بالفتوی</w:t>
            </w:r>
            <w:r>
              <w:rPr>
                <w:rStyle w:val="IndexLink"/>
                <w:rtl w:val="true"/>
              </w:rPr>
              <w:tab/>
            </w:r>
            <w:r>
              <w:rPr>
                <w:rStyle w:val="IndexLink"/>
              </w:rPr>
              <w:t>217</w:t>
            </w:r>
          </w:hyperlink>
        </w:p>
        <w:p>
          <w:pPr>
            <w:pStyle w:val="Contents6"/>
            <w:tabs>
              <w:tab w:val="clear" w:pos="7609"/>
              <w:tab w:val="right" w:pos="9026" w:leader="dot"/>
            </w:tabs>
            <w:rPr/>
          </w:pPr>
          <w:hyperlink w:anchor="__RefHeading___Toc5446849_3224264995">
            <w:r>
              <w:rPr>
                <w:webHidden/>
                <w:rStyle w:val="IndexLink"/>
                <w:rtl w:val="true"/>
              </w:rPr>
              <w:t>الثانی</w:t>
            </w:r>
            <w:r>
              <w:rPr>
                <w:rStyle w:val="IndexLink"/>
                <w:rtl w:val="true"/>
              </w:rPr>
              <w:t>:</w:t>
            </w:r>
            <w:r>
              <w:rPr>
                <w:rStyle w:val="IndexLink"/>
                <w:rtl w:val="true"/>
              </w:rPr>
              <w:t>أن یرید إجماع الکلّ</w:t>
            </w:r>
            <w:r>
              <w:rPr>
                <w:rStyle w:val="IndexLink"/>
                <w:rtl w:val="true"/>
              </w:rPr>
              <w:tab/>
            </w:r>
            <w:r>
              <w:rPr>
                <w:rStyle w:val="IndexLink"/>
              </w:rPr>
              <w:t>217</w:t>
            </w:r>
          </w:hyperlink>
        </w:p>
        <w:p>
          <w:pPr>
            <w:pStyle w:val="Contents6"/>
            <w:tabs>
              <w:tab w:val="clear" w:pos="7609"/>
              <w:tab w:val="right" w:pos="9026" w:leader="dot"/>
            </w:tabs>
            <w:rPr/>
          </w:pPr>
          <w:hyperlink w:anchor="__RefHeading___Toc5446851_3224264995">
            <w:r>
              <w:rPr>
                <w:webHidden/>
                <w:rStyle w:val="IndexLink"/>
                <w:rtl w:val="true"/>
              </w:rPr>
              <w:t>الثالث</w:t>
            </w:r>
            <w:r>
              <w:rPr>
                <w:rStyle w:val="IndexLink"/>
                <w:rtl w:val="true"/>
              </w:rPr>
              <w:t>:</w:t>
            </w:r>
            <w:r>
              <w:rPr>
                <w:rStyle w:val="IndexLink"/>
                <w:rtl w:val="true"/>
              </w:rPr>
              <w:t>أن یستفید اتّفاق الکلّ علی الفتوی من اتّفاقهم علی العمل بالأصل عند عدم الدلیل</w:t>
            </w:r>
            <w:r>
              <w:rPr>
                <w:rStyle w:val="IndexLink"/>
                <w:rtl w:val="true"/>
              </w:rPr>
              <w:tab/>
            </w:r>
            <w:r>
              <w:rPr>
                <w:rStyle w:val="IndexLink"/>
              </w:rPr>
              <w:t>218</w:t>
            </w:r>
          </w:hyperlink>
        </w:p>
        <w:p>
          <w:pPr>
            <w:pStyle w:val="Contents6"/>
            <w:tabs>
              <w:tab w:val="clear" w:pos="7609"/>
              <w:tab w:val="right" w:pos="9026" w:leader="dot"/>
            </w:tabs>
            <w:rPr/>
          </w:pPr>
          <w:hyperlink w:anchor="__RefHeading___Toc5446853_3224264995">
            <w:r>
              <w:rPr>
                <w:webHidden/>
                <w:rStyle w:val="IndexLink"/>
                <w:rtl w:val="true"/>
              </w:rPr>
              <w:t>ذکر موارد تدلّ علی الوجه الأخیر</w:t>
            </w:r>
            <w:r>
              <w:rPr>
                <w:rStyle w:val="IndexLink"/>
                <w:rtl w:val="true"/>
              </w:rPr>
              <w:t>:</w:t>
              <w:tab/>
            </w:r>
            <w:r>
              <w:rPr>
                <w:rStyle w:val="IndexLink"/>
              </w:rPr>
              <w:t>219</w:t>
            </w:r>
          </w:hyperlink>
        </w:p>
        <w:p>
          <w:pPr>
            <w:pStyle w:val="Contents6"/>
            <w:tabs>
              <w:tab w:val="clear" w:pos="7609"/>
              <w:tab w:val="right" w:pos="9026" w:leader="dot"/>
            </w:tabs>
            <w:rPr/>
          </w:pPr>
          <w:hyperlink w:anchor="__RefHeading___Toc5446855_3224264995">
            <w:r>
              <w:rPr>
                <w:webHidden/>
                <w:rStyle w:val="IndexLink"/>
                <w:rtl w:val="true"/>
              </w:rPr>
              <w:t>حاصل الکلام فی المسألة</w:t>
            </w:r>
            <w:r>
              <w:rPr>
                <w:rStyle w:val="IndexLink"/>
                <w:rtl w:val="true"/>
              </w:rPr>
              <w:t>:</w:t>
              <w:tab/>
            </w:r>
            <w:r>
              <w:rPr>
                <w:rStyle w:val="IndexLink"/>
              </w:rPr>
              <w:t>227</w:t>
            </w:r>
          </w:hyperlink>
        </w:p>
        <w:p>
          <w:pPr>
            <w:pStyle w:val="Contents6"/>
            <w:tabs>
              <w:tab w:val="clear" w:pos="7609"/>
              <w:tab w:val="right" w:pos="9026" w:leader="dot"/>
            </w:tabs>
            <w:rPr/>
          </w:pPr>
          <w:hyperlink w:anchor="__RefHeading___Toc5446857_3224264995">
            <w:r>
              <w:rPr>
                <w:webHidden/>
                <w:rStyle w:val="IndexLink"/>
                <w:rtl w:val="true"/>
              </w:rPr>
              <w:t>فائدة نقل الإجماع</w:t>
            </w:r>
            <w:r>
              <w:rPr>
                <w:rStyle w:val="IndexLink"/>
                <w:rtl w:val="true"/>
              </w:rPr>
              <w:t>:</w:t>
              <w:tab/>
            </w:r>
            <w:r>
              <w:rPr>
                <w:rStyle w:val="IndexLink"/>
              </w:rPr>
              <w:t>229</w:t>
            </w:r>
          </w:hyperlink>
        </w:p>
        <w:p>
          <w:pPr>
            <w:pStyle w:val="Contents6"/>
            <w:tabs>
              <w:tab w:val="clear" w:pos="7609"/>
              <w:tab w:val="right" w:pos="9026" w:leader="dot"/>
            </w:tabs>
            <w:rPr/>
          </w:pPr>
          <w:hyperlink w:anchor="__RefHeading___Toc5446859_3224264995">
            <w:r>
              <w:rPr>
                <w:webHidden/>
                <w:rStyle w:val="IndexLink"/>
                <w:rtl w:val="true"/>
              </w:rPr>
              <w:t>لو حصل من نقل الإجماع و ما انضمّ إلیه القطع بالحکم</w:t>
            </w:r>
            <w:r>
              <w:rPr>
                <w:rStyle w:val="IndexLink"/>
                <w:rtl w:val="true"/>
              </w:rPr>
              <w:tab/>
            </w:r>
            <w:r>
              <w:rPr>
                <w:rStyle w:val="IndexLink"/>
              </w:rPr>
              <w:t>230</w:t>
            </w:r>
          </w:hyperlink>
        </w:p>
        <w:p>
          <w:pPr>
            <w:pStyle w:val="Contents6"/>
            <w:tabs>
              <w:tab w:val="clear" w:pos="7609"/>
              <w:tab w:val="right" w:pos="9026" w:leader="dot"/>
            </w:tabs>
            <w:rPr/>
          </w:pPr>
          <w:hyperlink w:anchor="__RefHeading___Toc5446861_3224264995">
            <w:r>
              <w:rPr>
                <w:webHidden/>
                <w:rStyle w:val="IndexLink"/>
                <w:rtl w:val="true"/>
              </w:rPr>
              <w:t>لو حصل من نقل الإجماع القطع بوجود دلیل ظنیّ معتبر</w:t>
            </w:r>
            <w:r>
              <w:rPr>
                <w:rStyle w:val="IndexLink"/>
                <w:rtl w:val="true"/>
              </w:rPr>
              <w:t>:</w:t>
              <w:tab/>
            </w:r>
            <w:r>
              <w:rPr>
                <w:rStyle w:val="IndexLink"/>
              </w:rPr>
              <w:t>232</w:t>
            </w:r>
          </w:hyperlink>
        </w:p>
        <w:p>
          <w:pPr>
            <w:pStyle w:val="Contents6"/>
            <w:tabs>
              <w:tab w:val="clear" w:pos="7609"/>
              <w:tab w:val="right" w:pos="9026" w:leader="dot"/>
            </w:tabs>
            <w:rPr/>
          </w:pPr>
          <w:hyperlink w:anchor="__RefHeading___Toc5446863_3224264995">
            <w:r>
              <w:rPr>
                <w:webHidden/>
                <w:rStyle w:val="IndexLink"/>
                <w:rtl w:val="true"/>
              </w:rPr>
              <w:t>کلام المحقّق التستری فی فائدة نقل الإجماع</w:t>
            </w:r>
            <w:r>
              <w:rPr>
                <w:rStyle w:val="IndexLink"/>
                <w:rtl w:val="true"/>
              </w:rPr>
              <w:t>:</w:t>
              <w:tab/>
            </w:r>
            <w:r>
              <w:rPr>
                <w:rStyle w:val="IndexLink"/>
              </w:rPr>
              <w:t>233</w:t>
            </w:r>
          </w:hyperlink>
        </w:p>
        <w:p>
          <w:pPr>
            <w:pStyle w:val="Contents6"/>
            <w:tabs>
              <w:tab w:val="clear" w:pos="7609"/>
              <w:tab w:val="right" w:pos="9026" w:leader="dot"/>
            </w:tabs>
            <w:rPr/>
          </w:pPr>
          <w:hyperlink w:anchor="__RefHeading___Toc5446865_3224264995">
            <w:r>
              <w:rPr>
                <w:webHidden/>
                <w:rStyle w:val="IndexLink"/>
                <w:rtl w:val="true"/>
              </w:rPr>
              <w:t>الفائدة المذکورة لنقل الإجماع بحکم المعدومة</w:t>
            </w:r>
            <w:r>
              <w:rPr>
                <w:rStyle w:val="IndexLink"/>
                <w:rtl w:val="true"/>
              </w:rPr>
              <w:t>:</w:t>
              <w:tab/>
            </w:r>
            <w:r>
              <w:rPr>
                <w:rStyle w:val="IndexLink"/>
              </w:rPr>
              <w:t>239</w:t>
            </w:r>
          </w:hyperlink>
        </w:p>
        <w:p>
          <w:pPr>
            <w:pStyle w:val="Contents6"/>
            <w:tabs>
              <w:tab w:val="clear" w:pos="7609"/>
              <w:tab w:val="right" w:pos="9026" w:leader="dot"/>
            </w:tabs>
            <w:rPr/>
          </w:pPr>
          <w:hyperlink w:anchor="__RefHeading___Toc5446867_3224264995">
            <w:r>
              <w:rPr>
                <w:webHidden/>
                <w:rStyle w:val="IndexLink"/>
                <w:rtl w:val="true"/>
              </w:rPr>
              <w:t>استلزام الإجماع قول الإمام علیه السّلام أو الدلیل المعتبر إذا انضمّ إلی أمارات أخر</w:t>
            </w:r>
            <w:r>
              <w:rPr>
                <w:rStyle w:val="IndexLink"/>
                <w:rtl w:val="true"/>
              </w:rPr>
              <w:tab/>
            </w:r>
            <w:r>
              <w:rPr>
                <w:rStyle w:val="IndexLink"/>
              </w:rPr>
              <w:t>240</w:t>
            </w:r>
          </w:hyperlink>
        </w:p>
        <w:p>
          <w:pPr>
            <w:pStyle w:val="Contents6"/>
            <w:tabs>
              <w:tab w:val="clear" w:pos="7609"/>
              <w:tab w:val="right" w:pos="9026" w:leader="dot"/>
            </w:tabs>
            <w:rPr/>
          </w:pPr>
          <w:hyperlink w:anchor="__RefHeading___Toc5446869_3224264995">
            <w:r>
              <w:rPr>
                <w:webHidden/>
                <w:rStyle w:val="IndexLink"/>
                <w:rtl w:val="true"/>
              </w:rPr>
              <w:t>حکم المتواتر المنقول</w:t>
            </w:r>
            <w:r>
              <w:rPr>
                <w:rStyle w:val="IndexLink"/>
                <w:rtl w:val="true"/>
              </w:rPr>
              <w:t>:</w:t>
              <w:tab/>
            </w:r>
            <w:r>
              <w:rPr>
                <w:rStyle w:val="IndexLink"/>
              </w:rPr>
              <w:t>242</w:t>
            </w:r>
          </w:hyperlink>
        </w:p>
        <w:p>
          <w:pPr>
            <w:pStyle w:val="Contents6"/>
            <w:tabs>
              <w:tab w:val="clear" w:pos="7609"/>
              <w:tab w:val="right" w:pos="9026" w:leader="dot"/>
            </w:tabs>
            <w:rPr/>
          </w:pPr>
          <w:hyperlink w:anchor="__RefHeading___Toc5446871_3224264995">
            <w:r>
              <w:rPr>
                <w:webHidden/>
                <w:rStyle w:val="IndexLink"/>
                <w:rtl w:val="true"/>
              </w:rPr>
              <w:t>معنی قبول نقل التواتر</w:t>
            </w:r>
            <w:r>
              <w:rPr>
                <w:rStyle w:val="IndexLink"/>
                <w:rtl w:val="true"/>
              </w:rPr>
              <w:t>:</w:t>
              <w:tab/>
            </w:r>
            <w:r>
              <w:rPr>
                <w:rStyle w:val="IndexLink"/>
              </w:rPr>
              <w:t>242</w:t>
            </w:r>
          </w:hyperlink>
        </w:p>
        <w:p>
          <w:pPr>
            <w:pStyle w:val="Contents6"/>
            <w:tabs>
              <w:tab w:val="clear" w:pos="7609"/>
              <w:tab w:val="right" w:pos="9026" w:leader="dot"/>
            </w:tabs>
            <w:rPr/>
          </w:pPr>
          <w:hyperlink w:anchor="__RefHeading___Toc5446873_3224264995">
            <w:r>
              <w:rPr>
                <w:webHidden/>
                <w:rStyle w:val="IndexLink"/>
                <w:rtl w:val="true"/>
              </w:rPr>
              <w:t>الکلام فی تواتر القراءات</w:t>
            </w:r>
            <w:r>
              <w:rPr>
                <w:rStyle w:val="IndexLink"/>
                <w:rtl w:val="true"/>
              </w:rPr>
              <w:t>:</w:t>
              <w:tab/>
            </w:r>
            <w:r>
              <w:rPr>
                <w:rStyle w:val="IndexLink"/>
              </w:rPr>
              <w:t>243</w:t>
            </w:r>
          </w:hyperlink>
        </w:p>
        <w:p>
          <w:pPr>
            <w:pStyle w:val="Contents6"/>
            <w:tabs>
              <w:tab w:val="clear" w:pos="7609"/>
              <w:tab w:val="right" w:pos="9026" w:leader="dot"/>
            </w:tabs>
            <w:rPr/>
          </w:pPr>
          <w:hyperlink w:anchor="__RefHeading___Toc5446875_3224264995">
            <w:r>
              <w:rPr>
                <w:webHidden/>
                <w:rStyle w:val="IndexLink"/>
                <w:rtl w:val="true"/>
              </w:rPr>
              <w:t>الشهرة الفتوائیة</w:t>
            </w:r>
            <w:r>
              <w:rPr>
                <w:rStyle w:val="IndexLink"/>
                <w:rtl w:val="true"/>
              </w:rPr>
              <w:tab/>
            </w:r>
            <w:r>
              <w:rPr>
                <w:rStyle w:val="IndexLink"/>
              </w:rPr>
              <w:t>246</w:t>
            </w:r>
          </w:hyperlink>
        </w:p>
        <w:p>
          <w:pPr>
            <w:pStyle w:val="Contents6"/>
            <w:tabs>
              <w:tab w:val="clear" w:pos="7609"/>
              <w:tab w:val="right" w:pos="9026" w:leader="dot"/>
            </w:tabs>
            <w:rPr/>
          </w:pPr>
          <w:hyperlink w:anchor="__RefHeading___Toc5446877_3224264995">
            <w:r>
              <w:rPr>
                <w:webHidden/>
                <w:rStyle w:val="IndexLink"/>
                <w:rtl w:val="true"/>
              </w:rPr>
              <w:t>هل الشهرة الفتوائیّة حجّة،أم لا؟</w:t>
            </w:r>
            <w:r>
              <w:rPr>
                <w:rStyle w:val="IndexLink"/>
                <w:rtl w:val="true"/>
              </w:rPr>
              <w:tab/>
            </w:r>
            <w:r>
              <w:rPr>
                <w:rStyle w:val="IndexLink"/>
              </w:rPr>
              <w:t>246</w:t>
            </w:r>
          </w:hyperlink>
        </w:p>
        <w:p>
          <w:pPr>
            <w:pStyle w:val="Contents6"/>
            <w:tabs>
              <w:tab w:val="clear" w:pos="7609"/>
              <w:tab w:val="right" w:pos="9026" w:leader="dot"/>
            </w:tabs>
            <w:rPr/>
          </w:pPr>
          <w:hyperlink w:anchor="__RefHeading___Toc5446879_3224264995">
            <w:r>
              <w:rPr>
                <w:webHidden/>
                <w:rStyle w:val="IndexLink"/>
                <w:rtl w:val="true"/>
              </w:rPr>
              <w:t>منشأ توهّم الحجّیة</w:t>
            </w:r>
            <w:r>
              <w:rPr>
                <w:rStyle w:val="IndexLink"/>
                <w:rtl w:val="true"/>
              </w:rPr>
              <w:t>:</w:t>
              <w:tab/>
            </w:r>
            <w:r>
              <w:rPr>
                <w:rStyle w:val="IndexLink"/>
              </w:rPr>
              <w:t>246</w:t>
            </w:r>
          </w:hyperlink>
        </w:p>
        <w:p>
          <w:pPr>
            <w:pStyle w:val="Contents6"/>
            <w:tabs>
              <w:tab w:val="clear" w:pos="7609"/>
              <w:tab w:val="right" w:pos="9026" w:leader="dot"/>
            </w:tabs>
            <w:rPr/>
          </w:pPr>
          <w:hyperlink w:anchor="__RefHeading___Toc5446881_3224264995">
            <w:r>
              <w:rPr>
                <w:webHidden/>
                <w:rStyle w:val="IndexLink"/>
                <w:rtl w:val="true"/>
              </w:rPr>
              <w:t>أحدهما</w:t>
            </w:r>
            <w:r>
              <w:rPr>
                <w:rStyle w:val="IndexLink"/>
                <w:rtl w:val="true"/>
              </w:rPr>
              <w:t>:</w:t>
            </w:r>
            <w:r>
              <w:rPr>
                <w:rStyle w:val="IndexLink"/>
                <w:rtl w:val="true"/>
              </w:rPr>
              <w:t>الاستدلال بمفهوم الموافقة</w:t>
            </w:r>
            <w:r>
              <w:rPr>
                <w:rStyle w:val="IndexLink"/>
                <w:rtl w:val="true"/>
              </w:rPr>
              <w:t>:</w:t>
              <w:tab/>
            </w:r>
            <w:r>
              <w:rPr>
                <w:rStyle w:val="IndexLink"/>
              </w:rPr>
              <w:t>246</w:t>
            </w:r>
          </w:hyperlink>
        </w:p>
        <w:p>
          <w:pPr>
            <w:pStyle w:val="Contents6"/>
            <w:tabs>
              <w:tab w:val="clear" w:pos="7609"/>
              <w:tab w:val="right" w:pos="9026" w:leader="dot"/>
            </w:tabs>
            <w:rPr/>
          </w:pPr>
          <w:hyperlink w:anchor="__RefHeading___Toc5446883_3224264995">
            <w:r>
              <w:rPr>
                <w:webHidden/>
                <w:rStyle w:val="IndexLink"/>
                <w:rtl w:val="true"/>
              </w:rPr>
              <w:t>المناقشة فی هذا الاستدلال</w:t>
            </w:r>
            <w:r>
              <w:rPr>
                <w:rStyle w:val="IndexLink"/>
                <w:rtl w:val="true"/>
              </w:rPr>
              <w:t>:</w:t>
              <w:tab/>
            </w:r>
            <w:r>
              <w:rPr>
                <w:rStyle w:val="IndexLink"/>
              </w:rPr>
              <w:t>247</w:t>
            </w:r>
          </w:hyperlink>
        </w:p>
        <w:p>
          <w:pPr>
            <w:pStyle w:val="Contents6"/>
            <w:tabs>
              <w:tab w:val="clear" w:pos="7609"/>
              <w:tab w:val="right" w:pos="9026" w:leader="dot"/>
            </w:tabs>
            <w:rPr/>
          </w:pPr>
          <w:hyperlink w:anchor="__RefHeading___Toc5446885_3224264995">
            <w:r>
              <w:rPr>
                <w:webHidden/>
                <w:rStyle w:val="IndexLink"/>
                <w:rtl w:val="true"/>
              </w:rPr>
              <w:t>الأمر</w:t>
            </w:r>
            <w:r>
              <w:rPr>
                <w:rStyle w:val="IndexLink"/>
                <w:rtl w:val="true"/>
              </w:rPr>
              <w:tab/>
            </w:r>
            <w:r>
              <w:rPr>
                <w:rStyle w:val="IndexLink"/>
              </w:rPr>
              <w:t>247</w:t>
            </w:r>
          </w:hyperlink>
        </w:p>
        <w:p>
          <w:pPr>
            <w:pStyle w:val="Contents6"/>
            <w:tabs>
              <w:tab w:val="clear" w:pos="7609"/>
              <w:tab w:val="right" w:pos="9026" w:leader="dot"/>
            </w:tabs>
            <w:rPr/>
          </w:pPr>
          <w:hyperlink w:anchor="__RefHeading___Toc5446887_3224264995">
            <w:r>
              <w:rPr>
                <w:webHidden/>
                <w:rStyle w:val="IndexLink"/>
                <w:rtl w:val="true"/>
              </w:rPr>
              <w:t>الجواب عن الاستدلال بالمرفوعة</w:t>
            </w:r>
            <w:r>
              <w:rPr>
                <w:rStyle w:val="IndexLink"/>
                <w:rtl w:val="true"/>
              </w:rPr>
              <w:t>:</w:t>
              <w:tab/>
            </w:r>
            <w:r>
              <w:rPr>
                <w:rStyle w:val="IndexLink"/>
              </w:rPr>
              <w:t>249</w:t>
            </w:r>
          </w:hyperlink>
        </w:p>
        <w:p>
          <w:pPr>
            <w:pStyle w:val="Contents6"/>
            <w:tabs>
              <w:tab w:val="clear" w:pos="7609"/>
              <w:tab w:val="right" w:pos="9026" w:leader="dot"/>
            </w:tabs>
            <w:rPr/>
          </w:pPr>
          <w:hyperlink w:anchor="__RefHeading___Toc5446889_3224264995">
            <w:r>
              <w:rPr>
                <w:webHidden/>
                <w:rStyle w:val="IndexLink"/>
                <w:rtl w:val="true"/>
              </w:rPr>
              <w:t>الجواب عن الاستدلال بالمقبولة</w:t>
            </w:r>
            <w:r>
              <w:rPr>
                <w:rStyle w:val="IndexLink"/>
                <w:rtl w:val="true"/>
              </w:rPr>
              <w:t>:</w:t>
              <w:tab/>
            </w:r>
            <w:r>
              <w:rPr>
                <w:rStyle w:val="IndexLink"/>
              </w:rPr>
              <w:t>250</w:t>
            </w:r>
          </w:hyperlink>
        </w:p>
        <w:p>
          <w:pPr>
            <w:pStyle w:val="Contents6"/>
            <w:tabs>
              <w:tab w:val="clear" w:pos="7609"/>
              <w:tab w:val="right" w:pos="9026" w:leader="dot"/>
            </w:tabs>
            <w:rPr/>
          </w:pPr>
          <w:hyperlink w:anchor="__RefHeading___Toc5446891_3224264995">
            <w:r>
              <w:rPr>
                <w:webHidden/>
                <w:rStyle w:val="IndexLink"/>
                <w:rtl w:val="true"/>
              </w:rPr>
              <w:t>حجیة خبر الواحد</w:t>
            </w:r>
            <w:r>
              <w:rPr>
                <w:rStyle w:val="IndexLink"/>
                <w:rtl w:val="true"/>
              </w:rPr>
              <w:tab/>
            </w:r>
            <w:r>
              <w:rPr>
                <w:rStyle w:val="IndexLink"/>
              </w:rPr>
              <w:t>252</w:t>
            </w:r>
          </w:hyperlink>
        </w:p>
        <w:p>
          <w:pPr>
            <w:pStyle w:val="Contents6"/>
            <w:tabs>
              <w:tab w:val="clear" w:pos="7609"/>
              <w:tab w:val="right" w:pos="9026" w:leader="dot"/>
            </w:tabs>
            <w:rPr/>
          </w:pPr>
          <w:hyperlink w:anchor="__RefHeading___Toc5446893_3224264995">
            <w:r>
              <w:rPr>
                <w:webHidden/>
                <w:rStyle w:val="IndexLink"/>
                <w:rtl w:val="true"/>
              </w:rPr>
              <w:t>إثبات الحکم الشرعی بالأخبار یتوقّف علی مقدّمات</w:t>
            </w:r>
            <w:r>
              <w:rPr>
                <w:rStyle w:val="IndexLink"/>
                <w:rtl w:val="true"/>
              </w:rPr>
              <w:t>:</w:t>
              <w:tab/>
            </w:r>
            <w:r>
              <w:rPr>
                <w:rStyle w:val="IndexLink"/>
              </w:rPr>
              <w:t>252</w:t>
            </w:r>
          </w:hyperlink>
        </w:p>
        <w:p>
          <w:pPr>
            <w:pStyle w:val="Contents6"/>
            <w:tabs>
              <w:tab w:val="clear" w:pos="7609"/>
              <w:tab w:val="right" w:pos="9026" w:leader="dot"/>
            </w:tabs>
            <w:rPr/>
          </w:pPr>
          <w:hyperlink w:anchor="__RefHeading___Toc5446895_3224264995">
            <w:r>
              <w:rPr>
                <w:webHidden/>
                <w:rStyle w:val="IndexLink"/>
                <w:rtl w:val="true"/>
              </w:rPr>
              <w:t>الخلاف فی الأخبار المدوّنة فی مقامین</w:t>
            </w:r>
            <w:r>
              <w:rPr>
                <w:rStyle w:val="IndexLink"/>
                <w:rtl w:val="true"/>
              </w:rPr>
              <w:t>:</w:t>
              <w:tab/>
            </w:r>
            <w:r>
              <w:rPr>
                <w:rStyle w:val="IndexLink"/>
              </w:rPr>
              <w:t>254</w:t>
            </w:r>
          </w:hyperlink>
        </w:p>
        <w:p>
          <w:pPr>
            <w:pStyle w:val="Contents6"/>
            <w:tabs>
              <w:tab w:val="clear" w:pos="7609"/>
              <w:tab w:val="right" w:pos="9026" w:leader="dot"/>
            </w:tabs>
            <w:rPr/>
          </w:pPr>
          <w:hyperlink w:anchor="__RefHeading___Toc5446897_3224264995">
            <w:r>
              <w:rPr>
                <w:webHidden/>
                <w:rStyle w:val="IndexLink"/>
              </w:rPr>
              <w:t>1</w:t>
            </w:r>
            <w:r>
              <w:rPr>
                <w:rStyle w:val="IndexLink"/>
                <w:rtl w:val="true"/>
              </w:rPr>
              <w:t>-</w:t>
            </w:r>
            <w:r>
              <w:rPr>
                <w:rStyle w:val="IndexLink"/>
                <w:rtl w:val="true"/>
              </w:rPr>
              <w:t>هل هی مقطوعة الصدور ام لا؟</w:t>
            </w:r>
            <w:r>
              <w:rPr>
                <w:rStyle w:val="IndexLink"/>
                <w:rtl w:val="true"/>
              </w:rPr>
              <w:tab/>
            </w:r>
            <w:r>
              <w:rPr>
                <w:rStyle w:val="IndexLink"/>
              </w:rPr>
              <w:t>254</w:t>
            </w:r>
          </w:hyperlink>
        </w:p>
        <w:p>
          <w:pPr>
            <w:pStyle w:val="Contents6"/>
            <w:tabs>
              <w:tab w:val="clear" w:pos="7609"/>
              <w:tab w:val="right" w:pos="9026" w:leader="dot"/>
            </w:tabs>
            <w:rPr/>
          </w:pPr>
          <w:hyperlink w:anchor="__RefHeading___Toc5446899_3224264995">
            <w:r>
              <w:rPr>
                <w:webHidden/>
                <w:rStyle w:val="IndexLink"/>
              </w:rPr>
              <w:t>2</w:t>
            </w:r>
            <w:r>
              <w:rPr>
                <w:rStyle w:val="IndexLink"/>
                <w:rtl w:val="true"/>
              </w:rPr>
              <w:t>-</w:t>
            </w:r>
            <w:r>
              <w:rPr>
                <w:rStyle w:val="IndexLink"/>
                <w:rtl w:val="true"/>
              </w:rPr>
              <w:t>هل هی معتبرة بالخصوص ام لا؟</w:t>
            </w:r>
            <w:r>
              <w:rPr>
                <w:rStyle w:val="IndexLink"/>
                <w:rtl w:val="true"/>
              </w:rPr>
              <w:tab/>
            </w:r>
            <w:r>
              <w:rPr>
                <w:rStyle w:val="IndexLink"/>
              </w:rPr>
              <w:t>254</w:t>
            </w:r>
          </w:hyperlink>
        </w:p>
        <w:p>
          <w:pPr>
            <w:pStyle w:val="Contents6"/>
            <w:tabs>
              <w:tab w:val="clear" w:pos="7609"/>
              <w:tab w:val="right" w:pos="9026" w:leader="dot"/>
            </w:tabs>
            <w:rPr/>
          </w:pPr>
          <w:hyperlink w:anchor="__RefHeading___Toc5446901_3224264995">
            <w:r>
              <w:rPr>
                <w:webHidden/>
                <w:rStyle w:val="IndexLink"/>
                <w:rtl w:val="true"/>
              </w:rPr>
              <w:t>ما هو المعتبر منها؟</w:t>
            </w:r>
            <w:r>
              <w:rPr>
                <w:rStyle w:val="IndexLink"/>
                <w:rtl w:val="true"/>
              </w:rPr>
              <w:t>:</w:t>
              <w:tab/>
            </w:r>
            <w:r>
              <w:rPr>
                <w:rStyle w:val="IndexLink"/>
              </w:rPr>
              <w:t>255</w:t>
            </w:r>
          </w:hyperlink>
        </w:p>
        <w:p>
          <w:pPr>
            <w:pStyle w:val="Contents6"/>
            <w:tabs>
              <w:tab w:val="clear" w:pos="7609"/>
              <w:tab w:val="right" w:pos="9026" w:leader="dot"/>
            </w:tabs>
            <w:rPr/>
          </w:pPr>
          <w:hyperlink w:anchor="__RefHeading___Toc5446903_3224264995">
            <w:r>
              <w:rPr>
                <w:webHidden/>
                <w:rStyle w:val="IndexLink"/>
                <w:rtl w:val="true"/>
              </w:rPr>
              <w:t>أمّا حجّة المانعین،فالأدلّة الثلاثة</w:t>
            </w:r>
            <w:r>
              <w:rPr>
                <w:rStyle w:val="IndexLink"/>
                <w:rtl w:val="true"/>
              </w:rPr>
              <w:t>:</w:t>
              <w:tab/>
            </w:r>
            <w:r>
              <w:rPr>
                <w:rStyle w:val="IndexLink"/>
              </w:rPr>
              <w:t>257</w:t>
            </w:r>
          </w:hyperlink>
        </w:p>
        <w:p>
          <w:pPr>
            <w:pStyle w:val="Contents6"/>
            <w:tabs>
              <w:tab w:val="clear" w:pos="7609"/>
              <w:tab w:val="right" w:pos="9026" w:leader="dot"/>
            </w:tabs>
            <w:rPr/>
          </w:pPr>
          <w:hyperlink w:anchor="__RefHeading___Toc5446905_3224264995">
            <w:r>
              <w:rPr>
                <w:webHidden/>
                <w:rStyle w:val="IndexLink"/>
                <w:rtl w:val="true"/>
              </w:rPr>
              <w:t>أمّا الکتاب</w:t>
            </w:r>
            <w:r>
              <w:rPr>
                <w:rStyle w:val="IndexLink"/>
                <w:rtl w:val="true"/>
              </w:rPr>
              <w:t>:</w:t>
              <w:tab/>
            </w:r>
            <w:r>
              <w:rPr>
                <w:rStyle w:val="IndexLink"/>
              </w:rPr>
              <w:t>257</w:t>
            </w:r>
          </w:hyperlink>
        </w:p>
        <w:p>
          <w:pPr>
            <w:pStyle w:val="Contents6"/>
            <w:tabs>
              <w:tab w:val="clear" w:pos="7609"/>
              <w:tab w:val="right" w:pos="9026" w:leader="dot"/>
            </w:tabs>
            <w:rPr/>
          </w:pPr>
          <w:hyperlink w:anchor="__RefHeading___Toc5446907_3224264995">
            <w:r>
              <w:rPr>
                <w:webHidden/>
                <w:rStyle w:val="IndexLink"/>
                <w:rtl w:val="true"/>
              </w:rPr>
              <w:t>و أمّا السنّة</w:t>
            </w:r>
            <w:r>
              <w:rPr>
                <w:rStyle w:val="IndexLink"/>
                <w:rtl w:val="true"/>
              </w:rPr>
              <w:t>:</w:t>
              <w:tab/>
            </w:r>
            <w:r>
              <w:rPr>
                <w:rStyle w:val="IndexLink"/>
              </w:rPr>
              <w:t>257</w:t>
            </w:r>
          </w:hyperlink>
        </w:p>
        <w:p>
          <w:pPr>
            <w:pStyle w:val="Contents6"/>
            <w:tabs>
              <w:tab w:val="clear" w:pos="7609"/>
              <w:tab w:val="right" w:pos="9026" w:leader="dot"/>
            </w:tabs>
            <w:rPr/>
          </w:pPr>
          <w:hyperlink w:anchor="__RefHeading___Toc5446909_3224264995">
            <w:r>
              <w:rPr>
                <w:webHidden/>
                <w:rStyle w:val="IndexLink"/>
                <w:rtl w:val="true"/>
              </w:rPr>
              <w:t>وجه الاستدلال بالأخبار</w:t>
            </w:r>
            <w:r>
              <w:rPr>
                <w:rStyle w:val="IndexLink"/>
                <w:rtl w:val="true"/>
              </w:rPr>
              <w:t>:</w:t>
              <w:tab/>
            </w:r>
            <w:r>
              <w:rPr>
                <w:rStyle w:val="IndexLink"/>
              </w:rPr>
              <w:t>260</w:t>
            </w:r>
          </w:hyperlink>
        </w:p>
        <w:p>
          <w:pPr>
            <w:pStyle w:val="Contents6"/>
            <w:tabs>
              <w:tab w:val="clear" w:pos="7609"/>
              <w:tab w:val="right" w:pos="9026" w:leader="dot"/>
            </w:tabs>
            <w:rPr/>
          </w:pPr>
          <w:hyperlink w:anchor="__RefHeading___Toc5446911_3224264995">
            <w:r>
              <w:rPr>
                <w:webHidden/>
                <w:rStyle w:val="IndexLink"/>
                <w:rtl w:val="true"/>
              </w:rPr>
              <w:t>و أمّا الإجماع</w:t>
            </w:r>
            <w:r>
              <w:rPr>
                <w:rStyle w:val="IndexLink"/>
                <w:rtl w:val="true"/>
              </w:rPr>
              <w:t>:</w:t>
              <w:tab/>
            </w:r>
            <w:r>
              <w:rPr>
                <w:rStyle w:val="IndexLink"/>
              </w:rPr>
              <w:t>261</w:t>
            </w:r>
          </w:hyperlink>
        </w:p>
        <w:p>
          <w:pPr>
            <w:pStyle w:val="Contents6"/>
            <w:tabs>
              <w:tab w:val="clear" w:pos="7609"/>
              <w:tab w:val="right" w:pos="9026" w:leader="dot"/>
            </w:tabs>
            <w:rPr/>
          </w:pPr>
          <w:hyperlink w:anchor="__RefHeading___Toc5446913_3224264995">
            <w:r>
              <w:rPr>
                <w:webHidden/>
                <w:rStyle w:val="IndexLink"/>
                <w:rtl w:val="true"/>
              </w:rPr>
              <w:t>الجواب عن الاستدلال بالآیات</w:t>
            </w:r>
            <w:r>
              <w:rPr>
                <w:rStyle w:val="IndexLink"/>
                <w:rtl w:val="true"/>
              </w:rPr>
              <w:tab/>
            </w:r>
            <w:r>
              <w:rPr>
                <w:rStyle w:val="IndexLink"/>
              </w:rPr>
              <w:t>261</w:t>
            </w:r>
          </w:hyperlink>
        </w:p>
        <w:p>
          <w:pPr>
            <w:pStyle w:val="Contents6"/>
            <w:tabs>
              <w:tab w:val="clear" w:pos="7609"/>
              <w:tab w:val="right" w:pos="9026" w:leader="dot"/>
            </w:tabs>
            <w:rPr/>
          </w:pPr>
          <w:hyperlink w:anchor="__RefHeading___Toc5446915_3224264995">
            <w:r>
              <w:rPr>
                <w:webHidden/>
                <w:rStyle w:val="IndexLink"/>
                <w:rtl w:val="true"/>
              </w:rPr>
              <w:t>الجواب عن الاستدلال بالأخبار</w:t>
            </w:r>
            <w:r>
              <w:rPr>
                <w:rStyle w:val="IndexLink"/>
                <w:rtl w:val="true"/>
              </w:rPr>
              <w:tab/>
            </w:r>
            <w:r>
              <w:rPr>
                <w:rStyle w:val="IndexLink"/>
              </w:rPr>
              <w:t>261</w:t>
            </w:r>
          </w:hyperlink>
        </w:p>
        <w:p>
          <w:pPr>
            <w:pStyle w:val="Contents6"/>
            <w:tabs>
              <w:tab w:val="clear" w:pos="7609"/>
              <w:tab w:val="right" w:pos="9026" w:leader="dot"/>
            </w:tabs>
            <w:rPr/>
          </w:pPr>
          <w:hyperlink w:anchor="__RefHeading___Toc5446917_3224264995">
            <w:r>
              <w:rPr>
                <w:webHidden/>
                <w:rStyle w:val="IndexLink"/>
                <w:rtl w:val="true"/>
              </w:rPr>
              <w:t>اشارة</w:t>
            </w:r>
            <w:r>
              <w:rPr>
                <w:rStyle w:val="IndexLink"/>
                <w:rtl w:val="true"/>
              </w:rPr>
              <w:tab/>
            </w:r>
            <w:r>
              <w:rPr>
                <w:rStyle w:val="IndexLink"/>
              </w:rPr>
              <w:t>261</w:t>
            </w:r>
          </w:hyperlink>
        </w:p>
        <w:p>
          <w:pPr>
            <w:pStyle w:val="Contents6"/>
            <w:tabs>
              <w:tab w:val="clear" w:pos="7609"/>
              <w:tab w:val="right" w:pos="9026" w:leader="dot"/>
            </w:tabs>
            <w:rPr/>
          </w:pPr>
          <w:hyperlink w:anchor="__RefHeading___Toc5446919_3224264995">
            <w:r>
              <w:rPr>
                <w:webHidden/>
                <w:rStyle w:val="IndexLink"/>
              </w:rPr>
              <w:t>1</w:t>
            </w:r>
            <w:r>
              <w:rPr>
                <w:rStyle w:val="IndexLink"/>
                <w:rtl w:val="true"/>
              </w:rPr>
              <w:t>-</w:t>
            </w:r>
            <w:r>
              <w:rPr>
                <w:rStyle w:val="IndexLink"/>
                <w:rtl w:val="true"/>
              </w:rPr>
              <w:t>الروایة الاولی</w:t>
            </w:r>
            <w:r>
              <w:rPr>
                <w:rStyle w:val="IndexLink"/>
                <w:rtl w:val="true"/>
              </w:rPr>
              <w:tab/>
            </w:r>
            <w:r>
              <w:rPr>
                <w:rStyle w:val="IndexLink"/>
              </w:rPr>
              <w:t>261</w:t>
            </w:r>
          </w:hyperlink>
        </w:p>
        <w:p>
          <w:pPr>
            <w:pStyle w:val="Contents6"/>
            <w:tabs>
              <w:tab w:val="clear" w:pos="7609"/>
              <w:tab w:val="right" w:pos="9026" w:leader="dot"/>
            </w:tabs>
            <w:rPr/>
          </w:pPr>
          <w:hyperlink w:anchor="__RefHeading___Toc5446921_3224264995">
            <w:r>
              <w:rPr>
                <w:webHidden/>
                <w:rStyle w:val="IndexLink"/>
              </w:rPr>
              <w:t>2</w:t>
            </w:r>
            <w:r>
              <w:rPr>
                <w:rStyle w:val="IndexLink"/>
                <w:rtl w:val="true"/>
              </w:rPr>
              <w:t>-</w:t>
            </w:r>
            <w:r>
              <w:rPr>
                <w:rStyle w:val="IndexLink"/>
                <w:rtl w:val="true"/>
              </w:rPr>
              <w:t>اخبار العرض</w:t>
            </w:r>
            <w:r>
              <w:rPr>
                <w:rStyle w:val="IndexLink"/>
                <w:rtl w:val="true"/>
              </w:rPr>
              <w:tab/>
            </w:r>
            <w:r>
              <w:rPr>
                <w:rStyle w:val="IndexLink"/>
              </w:rPr>
              <w:t>262</w:t>
            </w:r>
          </w:hyperlink>
        </w:p>
        <w:p>
          <w:pPr>
            <w:pStyle w:val="Contents6"/>
            <w:tabs>
              <w:tab w:val="clear" w:pos="7609"/>
              <w:tab w:val="right" w:pos="9026" w:leader="dot"/>
            </w:tabs>
            <w:rPr/>
          </w:pPr>
          <w:hyperlink w:anchor="__RefHeading___Toc5446923_3224264995">
            <w:r>
              <w:rPr>
                <w:webHidden/>
                <w:rStyle w:val="IndexLink"/>
              </w:rPr>
              <w:t>3</w:t>
            </w:r>
            <w:r>
              <w:rPr>
                <w:rStyle w:val="IndexLink"/>
                <w:rtl w:val="true"/>
              </w:rPr>
              <w:t>-</w:t>
            </w:r>
            <w:r>
              <w:rPr>
                <w:rStyle w:val="IndexLink"/>
                <w:rtl w:val="true"/>
              </w:rPr>
              <w:t>ما دل علی طرح ما یخالف الکتاب</w:t>
            </w:r>
            <w:r>
              <w:rPr>
                <w:rStyle w:val="IndexLink"/>
                <w:rtl w:val="true"/>
              </w:rPr>
              <w:tab/>
            </w:r>
            <w:r>
              <w:rPr>
                <w:rStyle w:val="IndexLink"/>
              </w:rPr>
              <w:t>262</w:t>
            </w:r>
          </w:hyperlink>
        </w:p>
        <w:p>
          <w:pPr>
            <w:pStyle w:val="Contents6"/>
            <w:tabs>
              <w:tab w:val="clear" w:pos="7609"/>
              <w:tab w:val="right" w:pos="9026" w:leader="dot"/>
            </w:tabs>
            <w:rPr/>
          </w:pPr>
          <w:hyperlink w:anchor="__RefHeading___Toc5446925_3224264995">
            <w:r>
              <w:rPr>
                <w:webHidden/>
                <w:rStyle w:val="IndexLink"/>
                <w:rtl w:val="true"/>
              </w:rPr>
              <w:t>مخالفة ظاهر العموم لا تعد مخالفة</w:t>
            </w:r>
            <w:r>
              <w:rPr>
                <w:rStyle w:val="IndexLink"/>
                <w:rtl w:val="true"/>
              </w:rPr>
              <w:tab/>
            </w:r>
            <w:r>
              <w:rPr>
                <w:rStyle w:val="IndexLink"/>
              </w:rPr>
              <w:t>262</w:t>
            </w:r>
          </w:hyperlink>
        </w:p>
        <w:p>
          <w:pPr>
            <w:pStyle w:val="Contents6"/>
            <w:tabs>
              <w:tab w:val="clear" w:pos="7609"/>
              <w:tab w:val="right" w:pos="9026" w:leader="dot"/>
            </w:tabs>
            <w:rPr/>
          </w:pPr>
          <w:hyperlink w:anchor="__RefHeading___Toc5446927_3224264995">
            <w:r>
              <w:rPr>
                <w:webHidden/>
                <w:rStyle w:val="IndexLink"/>
                <w:rtl w:val="true"/>
              </w:rPr>
              <w:t>ما یدل علی ذلک</w:t>
            </w:r>
            <w:r>
              <w:rPr>
                <w:rStyle w:val="IndexLink"/>
                <w:rtl w:val="true"/>
              </w:rPr>
              <w:tab/>
            </w:r>
            <w:r>
              <w:rPr>
                <w:rStyle w:val="IndexLink"/>
              </w:rPr>
              <w:t>263</w:t>
            </w:r>
          </w:hyperlink>
        </w:p>
        <w:p>
          <w:pPr>
            <w:pStyle w:val="Contents6"/>
            <w:tabs>
              <w:tab w:val="clear" w:pos="7609"/>
              <w:tab w:val="right" w:pos="9026" w:leader="dot"/>
            </w:tabs>
            <w:rPr/>
          </w:pPr>
          <w:hyperlink w:anchor="__RefHeading___Toc5446929_3224264995">
            <w:r>
              <w:rPr>
                <w:webHidden/>
                <w:rStyle w:val="IndexLink"/>
                <w:rtl w:val="true"/>
              </w:rPr>
              <w:t>ما هو المراد من طرح ما یخالف الکتاب؟</w:t>
            </w:r>
            <w:r>
              <w:rPr>
                <w:rStyle w:val="IndexLink"/>
                <w:rtl w:val="true"/>
              </w:rPr>
              <w:tab/>
            </w:r>
            <w:r>
              <w:rPr>
                <w:rStyle w:val="IndexLink"/>
              </w:rPr>
              <w:t>265</w:t>
            </w:r>
          </w:hyperlink>
        </w:p>
        <w:p>
          <w:pPr>
            <w:pStyle w:val="Contents6"/>
            <w:tabs>
              <w:tab w:val="clear" w:pos="7609"/>
              <w:tab w:val="right" w:pos="9026" w:leader="dot"/>
            </w:tabs>
            <w:rPr/>
          </w:pPr>
          <w:hyperlink w:anchor="__RefHeading___Toc5446931_3224264995">
            <w:r>
              <w:rPr>
                <w:webHidden/>
                <w:rStyle w:val="IndexLink"/>
              </w:rPr>
              <w:t>4</w:t>
            </w:r>
            <w:r>
              <w:rPr>
                <w:rStyle w:val="IndexLink"/>
                <w:rtl w:val="true"/>
              </w:rPr>
              <w:t>-</w:t>
            </w:r>
            <w:r>
              <w:rPr>
                <w:rStyle w:val="IndexLink"/>
                <w:rtl w:val="true"/>
              </w:rPr>
              <w:t>ما دل علی طرح ما لایوافق الکتاب</w:t>
            </w:r>
            <w:r>
              <w:rPr>
                <w:rStyle w:val="IndexLink"/>
                <w:rtl w:val="true"/>
              </w:rPr>
              <w:tab/>
            </w:r>
            <w:r>
              <w:rPr>
                <w:rStyle w:val="IndexLink"/>
              </w:rPr>
              <w:t>266</w:t>
            </w:r>
          </w:hyperlink>
        </w:p>
        <w:p>
          <w:pPr>
            <w:pStyle w:val="Contents6"/>
            <w:tabs>
              <w:tab w:val="clear" w:pos="7609"/>
              <w:tab w:val="right" w:pos="9026" w:leader="dot"/>
            </w:tabs>
            <w:rPr/>
          </w:pPr>
          <w:hyperlink w:anchor="__RefHeading___Toc5446933_3224264995">
            <w:r>
              <w:rPr>
                <w:webHidden/>
                <w:rStyle w:val="IndexLink"/>
                <w:rtl w:val="true"/>
              </w:rPr>
              <w:t>الجواب عن الاستدلال بالإجماع</w:t>
            </w:r>
            <w:r>
              <w:rPr>
                <w:rStyle w:val="IndexLink"/>
                <w:rtl w:val="true"/>
              </w:rPr>
              <w:t>:</w:t>
              <w:tab/>
            </w:r>
            <w:r>
              <w:rPr>
                <w:rStyle w:val="IndexLink"/>
              </w:rPr>
              <w:t>267</w:t>
            </w:r>
          </w:hyperlink>
        </w:p>
        <w:p>
          <w:pPr>
            <w:pStyle w:val="Contents6"/>
            <w:tabs>
              <w:tab w:val="clear" w:pos="7609"/>
              <w:tab w:val="right" w:pos="9026" w:leader="dot"/>
            </w:tabs>
            <w:rPr/>
          </w:pPr>
          <w:hyperlink w:anchor="__RefHeading___Toc5446935_3224264995">
            <w:r>
              <w:rPr>
                <w:webHidden/>
                <w:rStyle w:val="IndexLink"/>
                <w:rtl w:val="true"/>
              </w:rPr>
              <w:t>أدلّة القائلین بالحجیّة الاستدلال بالکتاب الآیة الاولی</w:t>
            </w:r>
            <w:r>
              <w:rPr>
                <w:rStyle w:val="IndexLink"/>
                <w:rtl w:val="true"/>
              </w:rPr>
              <w:t>:</w:t>
            </w:r>
            <w:r>
              <w:rPr>
                <w:rStyle w:val="IndexLink"/>
                <w:rtl w:val="true"/>
              </w:rPr>
              <w:t>آیة</w:t>
            </w:r>
            <w:r>
              <w:rPr>
                <w:rStyle w:val="IndexLink"/>
                <w:rtl w:val="true"/>
              </w:rPr>
              <w:t>«</w:t>
            </w:r>
            <w:r>
              <w:rPr>
                <w:rStyle w:val="IndexLink"/>
                <w:rtl w:val="true"/>
              </w:rPr>
              <w:t>النبأ</w:t>
            </w:r>
            <w:r>
              <w:rPr>
                <w:rStyle w:val="IndexLink"/>
                <w:rtl w:val="true"/>
              </w:rPr>
              <w:t>»</w:t>
              <w:tab/>
            </w:r>
            <w:r>
              <w:rPr>
                <w:rStyle w:val="IndexLink"/>
              </w:rPr>
              <w:t>269</w:t>
            </w:r>
          </w:hyperlink>
        </w:p>
        <w:p>
          <w:pPr>
            <w:pStyle w:val="Contents6"/>
            <w:tabs>
              <w:tab w:val="clear" w:pos="7609"/>
              <w:tab w:val="right" w:pos="9026" w:leader="dot"/>
            </w:tabs>
            <w:rPr/>
          </w:pPr>
          <w:hyperlink w:anchor="__RefHeading___Toc5446937_3224264995">
            <w:r>
              <w:rPr>
                <w:webHidden/>
                <w:rStyle w:val="IndexLink"/>
                <w:rtl w:val="true"/>
              </w:rPr>
              <w:t>الاستدلال بها من طریقین من طریق مفهوم الشرط</w:t>
            </w:r>
            <w:r>
              <w:rPr>
                <w:rStyle w:val="IndexLink"/>
                <w:rtl w:val="true"/>
              </w:rPr>
              <w:tab/>
            </w:r>
            <w:r>
              <w:rPr>
                <w:rStyle w:val="IndexLink"/>
              </w:rPr>
              <w:t>269</w:t>
            </w:r>
          </w:hyperlink>
        </w:p>
        <w:p>
          <w:pPr>
            <w:pStyle w:val="Contents6"/>
            <w:tabs>
              <w:tab w:val="clear" w:pos="7609"/>
              <w:tab w:val="right" w:pos="9026" w:leader="dot"/>
            </w:tabs>
            <w:rPr/>
          </w:pPr>
          <w:hyperlink w:anchor="__RefHeading___Toc5446939_3224264995">
            <w:r>
              <w:rPr>
                <w:webHidden/>
                <w:rStyle w:val="IndexLink"/>
                <w:rtl w:val="true"/>
              </w:rPr>
              <w:t>الثانی</w:t>
            </w:r>
            <w:r>
              <w:rPr>
                <w:rStyle w:val="IndexLink"/>
                <w:rtl w:val="true"/>
              </w:rPr>
              <w:t>:</w:t>
            </w:r>
            <w:r>
              <w:rPr>
                <w:rStyle w:val="IndexLink"/>
                <w:rtl w:val="true"/>
              </w:rPr>
              <w:t>من طریق مفهوم الوصف</w:t>
            </w:r>
            <w:r>
              <w:rPr>
                <w:rStyle w:val="IndexLink"/>
                <w:rtl w:val="true"/>
              </w:rPr>
              <w:tab/>
            </w:r>
            <w:r>
              <w:rPr>
                <w:rStyle w:val="IndexLink"/>
              </w:rPr>
              <w:t>269</w:t>
            </w:r>
          </w:hyperlink>
        </w:p>
        <w:p>
          <w:pPr>
            <w:pStyle w:val="Contents6"/>
            <w:tabs>
              <w:tab w:val="clear" w:pos="7609"/>
              <w:tab w:val="right" w:pos="9026" w:leader="dot"/>
            </w:tabs>
            <w:rPr/>
          </w:pPr>
          <w:hyperlink w:anchor="__RefHeading___Toc5446941_3224264995">
            <w:r>
              <w:rPr>
                <w:webHidden/>
                <w:rStyle w:val="IndexLink"/>
                <w:rtl w:val="true"/>
              </w:rPr>
              <w:t>ما أورد علی الاستدلال بالآیة بما لا یمکن دفعه</w:t>
            </w:r>
            <w:r>
              <w:rPr>
                <w:rStyle w:val="IndexLink"/>
                <w:rtl w:val="true"/>
              </w:rPr>
              <w:t>:</w:t>
              <w:tab/>
            </w:r>
            <w:r>
              <w:rPr>
                <w:rStyle w:val="IndexLink"/>
              </w:rPr>
              <w:t>271</w:t>
            </w:r>
          </w:hyperlink>
        </w:p>
        <w:p>
          <w:pPr>
            <w:pStyle w:val="Contents6"/>
            <w:tabs>
              <w:tab w:val="clear" w:pos="7609"/>
              <w:tab w:val="right" w:pos="9026" w:leader="dot"/>
            </w:tabs>
            <w:rPr/>
          </w:pPr>
          <w:hyperlink w:anchor="__RefHeading___Toc5446943_3224264995">
            <w:r>
              <w:rPr>
                <w:webHidden/>
                <w:rStyle w:val="IndexLink"/>
              </w:rPr>
              <w:t>1</w:t>
            </w:r>
            <w:r>
              <w:rPr>
                <w:rStyle w:val="IndexLink"/>
                <w:rtl w:val="true"/>
              </w:rPr>
              <w:t>-</w:t>
            </w:r>
            <w:r>
              <w:rPr>
                <w:rStyle w:val="IndexLink"/>
                <w:rtl w:val="true"/>
              </w:rPr>
              <w:t>عدم اعتبار مفهوم الوصف</w:t>
            </w:r>
            <w:r>
              <w:rPr>
                <w:rStyle w:val="IndexLink"/>
                <w:rtl w:val="true"/>
              </w:rPr>
              <w:tab/>
            </w:r>
            <w:r>
              <w:rPr>
                <w:rStyle w:val="IndexLink"/>
              </w:rPr>
              <w:t>271</w:t>
            </w:r>
          </w:hyperlink>
        </w:p>
        <w:p>
          <w:pPr>
            <w:pStyle w:val="Contents6"/>
            <w:tabs>
              <w:tab w:val="clear" w:pos="7609"/>
              <w:tab w:val="right" w:pos="9026" w:leader="dot"/>
            </w:tabs>
            <w:rPr/>
          </w:pPr>
          <w:hyperlink w:anchor="__RefHeading___Toc5446945_3224264995">
            <w:r>
              <w:rPr>
                <w:webHidden/>
                <w:rStyle w:val="IndexLink"/>
                <w:rtl w:val="true"/>
              </w:rPr>
              <w:t>عدم اعتبار مفهوم الشرط فی الآیة لأنّه سالبة بانتفاء الموضوع</w:t>
            </w:r>
            <w:r>
              <w:rPr>
                <w:rStyle w:val="IndexLink"/>
                <w:rtl w:val="true"/>
              </w:rPr>
              <w:t>:</w:t>
              <w:tab/>
            </w:r>
            <w:r>
              <w:rPr>
                <w:rStyle w:val="IndexLink"/>
              </w:rPr>
              <w:t>272</w:t>
            </w:r>
          </w:hyperlink>
        </w:p>
        <w:p>
          <w:pPr>
            <w:pStyle w:val="Contents6"/>
            <w:tabs>
              <w:tab w:val="clear" w:pos="7609"/>
              <w:tab w:val="right" w:pos="9026" w:leader="dot"/>
            </w:tabs>
            <w:rPr/>
          </w:pPr>
          <w:hyperlink w:anchor="__RefHeading___Toc5446947_3224264995">
            <w:r>
              <w:rPr>
                <w:webHidden/>
                <w:rStyle w:val="IndexLink"/>
                <w:rtl w:val="true"/>
              </w:rPr>
              <w:t>الثانی</w:t>
            </w:r>
            <w:r>
              <w:rPr>
                <w:rStyle w:val="IndexLink"/>
                <w:rtl w:val="true"/>
              </w:rPr>
              <w:t>:</w:t>
            </w:r>
            <w:r>
              <w:rPr>
                <w:rStyle w:val="IndexLink"/>
                <w:rtl w:val="true"/>
              </w:rPr>
              <w:t>تعارض المفهوم و التعلیل</w:t>
            </w:r>
            <w:r>
              <w:rPr>
                <w:rStyle w:val="IndexLink"/>
                <w:rtl w:val="true"/>
              </w:rPr>
              <w:tab/>
            </w:r>
            <w:r>
              <w:rPr>
                <w:rStyle w:val="IndexLink"/>
              </w:rPr>
              <w:t>273</w:t>
            </w:r>
          </w:hyperlink>
        </w:p>
        <w:p>
          <w:pPr>
            <w:pStyle w:val="Contents6"/>
            <w:tabs>
              <w:tab w:val="clear" w:pos="7609"/>
              <w:tab w:val="right" w:pos="9026" w:leader="dot"/>
            </w:tabs>
            <w:rPr/>
          </w:pPr>
          <w:hyperlink w:anchor="__RefHeading___Toc5446949_3224264995">
            <w:r>
              <w:rPr>
                <w:webHidden/>
                <w:rStyle w:val="IndexLink"/>
                <w:rtl w:val="true"/>
              </w:rPr>
              <w:t>ما اجیب به عن إیراد تعارض المفهوم و التعلیل</w:t>
            </w:r>
            <w:r>
              <w:rPr>
                <w:rStyle w:val="IndexLink"/>
                <w:rtl w:val="true"/>
              </w:rPr>
              <w:t>:</w:t>
              <w:tab/>
            </w:r>
            <w:r>
              <w:rPr>
                <w:rStyle w:val="IndexLink"/>
              </w:rPr>
              <w:t>276</w:t>
            </w:r>
          </w:hyperlink>
        </w:p>
        <w:p>
          <w:pPr>
            <w:pStyle w:val="Contents6"/>
            <w:tabs>
              <w:tab w:val="clear" w:pos="7609"/>
              <w:tab w:val="right" w:pos="9026" w:leader="dot"/>
            </w:tabs>
            <w:rPr/>
          </w:pPr>
          <w:hyperlink w:anchor="__RefHeading___Toc5446951_3224264995">
            <w:r>
              <w:rPr>
                <w:webHidden/>
                <w:rStyle w:val="IndexLink"/>
                <w:rtl w:val="true"/>
              </w:rPr>
              <w:t>المناقشة فی هذا الجواب</w:t>
            </w:r>
            <w:r>
              <w:rPr>
                <w:rStyle w:val="IndexLink"/>
                <w:rtl w:val="true"/>
              </w:rPr>
              <w:t>:</w:t>
              <w:tab/>
            </w:r>
            <w:r>
              <w:rPr>
                <w:rStyle w:val="IndexLink"/>
              </w:rPr>
              <w:t>276</w:t>
            </w:r>
          </w:hyperlink>
        </w:p>
        <w:p>
          <w:pPr>
            <w:pStyle w:val="Contents6"/>
            <w:tabs>
              <w:tab w:val="clear" w:pos="7609"/>
              <w:tab w:val="right" w:pos="9026" w:leader="dot"/>
            </w:tabs>
            <w:rPr/>
          </w:pPr>
          <w:hyperlink w:anchor="__RefHeading___Toc5446953_3224264995">
            <w:r>
              <w:rPr>
                <w:webHidden/>
                <w:rStyle w:val="IndexLink"/>
                <w:rtl w:val="true"/>
              </w:rPr>
              <w:t>الأولی فی التخلّص عن هذا الإیراد</w:t>
            </w:r>
            <w:r>
              <w:rPr>
                <w:rStyle w:val="IndexLink"/>
                <w:rtl w:val="true"/>
              </w:rPr>
              <w:t>:</w:t>
              <w:tab/>
            </w:r>
            <w:r>
              <w:rPr>
                <w:rStyle w:val="IndexLink"/>
              </w:rPr>
              <w:t>277</w:t>
            </w:r>
          </w:hyperlink>
        </w:p>
        <w:p>
          <w:pPr>
            <w:pStyle w:val="Contents6"/>
            <w:tabs>
              <w:tab w:val="clear" w:pos="7609"/>
              <w:tab w:val="right" w:pos="9026" w:leader="dot"/>
            </w:tabs>
            <w:rPr/>
          </w:pPr>
          <w:hyperlink w:anchor="__RefHeading___Toc5446955_3224264995">
            <w:r>
              <w:rPr>
                <w:webHidden/>
                <w:rStyle w:val="IndexLink"/>
                <w:rtl w:val="true"/>
              </w:rPr>
              <w:t>الإیرادات القابلة للدفع</w:t>
            </w:r>
            <w:r>
              <w:rPr>
                <w:rStyle w:val="IndexLink"/>
                <w:rtl w:val="true"/>
              </w:rPr>
              <w:t>:</w:t>
              <w:tab/>
            </w:r>
            <w:r>
              <w:rPr>
                <w:rStyle w:val="IndexLink"/>
              </w:rPr>
              <w:t>277</w:t>
            </w:r>
          </w:hyperlink>
        </w:p>
        <w:p>
          <w:pPr>
            <w:pStyle w:val="Contents6"/>
            <w:tabs>
              <w:tab w:val="clear" w:pos="7609"/>
              <w:tab w:val="right" w:pos="9026" w:leader="dot"/>
            </w:tabs>
            <w:rPr/>
          </w:pPr>
          <w:hyperlink w:anchor="__RefHeading___Toc5446957_3224264995">
            <w:r>
              <w:rPr>
                <w:webHidden/>
                <w:rStyle w:val="IndexLink"/>
              </w:rPr>
              <w:t>1</w:t>
            </w:r>
            <w:r>
              <w:rPr>
                <w:rStyle w:val="IndexLink"/>
                <w:rtl w:val="true"/>
              </w:rPr>
              <w:t>-</w:t>
            </w:r>
            <w:r>
              <w:rPr>
                <w:rStyle w:val="IndexLink"/>
                <w:rtl w:val="true"/>
              </w:rPr>
              <w:t>معارضة مفهوم الآیة بالآیات الناهیة عن العمل بغیر العلم</w:t>
            </w:r>
            <w:r>
              <w:rPr>
                <w:rStyle w:val="IndexLink"/>
                <w:rtl w:val="true"/>
              </w:rPr>
              <w:tab/>
            </w:r>
            <w:r>
              <w:rPr>
                <w:rStyle w:val="IndexLink"/>
              </w:rPr>
              <w:t>277</w:t>
            </w:r>
          </w:hyperlink>
        </w:p>
        <w:p>
          <w:pPr>
            <w:pStyle w:val="Contents6"/>
            <w:tabs>
              <w:tab w:val="clear" w:pos="7609"/>
              <w:tab w:val="right" w:pos="9026" w:leader="dot"/>
            </w:tabs>
            <w:rPr/>
          </w:pPr>
          <w:hyperlink w:anchor="__RefHeading___Toc5446959_3224264995">
            <w:r>
              <w:rPr>
                <w:webHidden/>
                <w:rStyle w:val="IndexLink"/>
                <w:rtl w:val="true"/>
              </w:rPr>
              <w:t>الجواب عن هذا الإیراد</w:t>
            </w:r>
            <w:r>
              <w:rPr>
                <w:rStyle w:val="IndexLink"/>
                <w:rtl w:val="true"/>
              </w:rPr>
              <w:t>:</w:t>
              <w:tab/>
            </w:r>
            <w:r>
              <w:rPr>
                <w:rStyle w:val="IndexLink"/>
              </w:rPr>
              <w:t>278</w:t>
            </w:r>
          </w:hyperlink>
        </w:p>
        <w:p>
          <w:pPr>
            <w:pStyle w:val="Contents6"/>
            <w:tabs>
              <w:tab w:val="clear" w:pos="7609"/>
              <w:tab w:val="right" w:pos="9026" w:leader="dot"/>
            </w:tabs>
            <w:rPr/>
          </w:pPr>
          <w:hyperlink w:anchor="__RefHeading___Toc5446961_3224264995">
            <w:r>
              <w:rPr>
                <w:webHidden/>
                <w:rStyle w:val="IndexLink"/>
              </w:rPr>
              <w:t>2</w:t>
            </w:r>
            <w:r>
              <w:rPr>
                <w:rStyle w:val="IndexLink"/>
                <w:rtl w:val="true"/>
              </w:rPr>
              <w:t>-</w:t>
            </w:r>
            <w:r>
              <w:rPr>
                <w:rStyle w:val="IndexLink"/>
                <w:rtl w:val="true"/>
              </w:rPr>
              <w:t>شمول الایة لخبرالسید المرتضی</w:t>
            </w:r>
            <w:r>
              <w:rPr>
                <w:rStyle w:val="IndexLink"/>
                <w:rtl w:val="true"/>
              </w:rPr>
              <w:tab/>
            </w:r>
            <w:r>
              <w:rPr>
                <w:rStyle w:val="IndexLink"/>
              </w:rPr>
              <w:t>279</w:t>
            </w:r>
          </w:hyperlink>
        </w:p>
        <w:p>
          <w:pPr>
            <w:pStyle w:val="Contents6"/>
            <w:tabs>
              <w:tab w:val="clear" w:pos="7609"/>
              <w:tab w:val="right" w:pos="9026" w:leader="dot"/>
            </w:tabs>
            <w:rPr/>
          </w:pPr>
          <w:hyperlink w:anchor="__RefHeading___Toc5446963_3224264995">
            <w:r>
              <w:rPr>
                <w:webHidden/>
                <w:rStyle w:val="IndexLink"/>
                <w:rtl w:val="true"/>
              </w:rPr>
              <w:t>الجواب عن هذا الإیراد</w:t>
            </w:r>
            <w:r>
              <w:rPr>
                <w:rStyle w:val="IndexLink"/>
                <w:rtl w:val="true"/>
              </w:rPr>
              <w:t>:</w:t>
              <w:tab/>
            </w:r>
            <w:r>
              <w:rPr>
                <w:rStyle w:val="IndexLink"/>
              </w:rPr>
              <w:t>279</w:t>
            </w:r>
          </w:hyperlink>
        </w:p>
        <w:p>
          <w:pPr>
            <w:pStyle w:val="Contents6"/>
            <w:tabs>
              <w:tab w:val="clear" w:pos="7609"/>
              <w:tab w:val="right" w:pos="9026" w:leader="dot"/>
            </w:tabs>
            <w:rPr/>
          </w:pPr>
          <w:hyperlink w:anchor="__RefHeading___Toc5446965_3224264995">
            <w:r>
              <w:rPr>
                <w:webHidden/>
                <w:rStyle w:val="IndexLink"/>
              </w:rPr>
              <w:t>3</w:t>
            </w:r>
            <w:r>
              <w:rPr>
                <w:rStyle w:val="IndexLink"/>
                <w:rtl w:val="true"/>
              </w:rPr>
              <w:t>-</w:t>
            </w:r>
            <w:r>
              <w:rPr>
                <w:rStyle w:val="IndexLink"/>
                <w:rtl w:val="true"/>
              </w:rPr>
              <w:t>عدم شمول الایة للاخبار مع الواسطة</w:t>
            </w:r>
            <w:r>
              <w:rPr>
                <w:rStyle w:val="IndexLink"/>
                <w:rtl w:val="true"/>
              </w:rPr>
              <w:tab/>
            </w:r>
            <w:r>
              <w:rPr>
                <w:rStyle w:val="IndexLink"/>
              </w:rPr>
              <w:t>280</w:t>
            </w:r>
          </w:hyperlink>
        </w:p>
        <w:p>
          <w:pPr>
            <w:pStyle w:val="Contents6"/>
            <w:tabs>
              <w:tab w:val="clear" w:pos="7609"/>
              <w:tab w:val="right" w:pos="9026" w:leader="dot"/>
            </w:tabs>
            <w:rPr/>
          </w:pPr>
          <w:hyperlink w:anchor="__RefHeading___Toc5446967_3224264995">
            <w:r>
              <w:rPr>
                <w:webHidden/>
                <w:rStyle w:val="IndexLink"/>
                <w:rtl w:val="true"/>
              </w:rPr>
              <w:t>الجواب عن هذا الإیراد</w:t>
            </w:r>
            <w:r>
              <w:rPr>
                <w:rStyle w:val="IndexLink"/>
                <w:rtl w:val="true"/>
              </w:rPr>
              <w:t>:</w:t>
              <w:tab/>
            </w:r>
            <w:r>
              <w:rPr>
                <w:rStyle w:val="IndexLink"/>
              </w:rPr>
              <w:t>281</w:t>
            </w:r>
          </w:hyperlink>
        </w:p>
        <w:p>
          <w:pPr>
            <w:pStyle w:val="Contents6"/>
            <w:tabs>
              <w:tab w:val="clear" w:pos="7609"/>
              <w:tab w:val="right" w:pos="9026" w:leader="dot"/>
            </w:tabs>
            <w:rPr/>
          </w:pPr>
          <w:hyperlink w:anchor="__RefHeading___Toc5446969_3224264995">
            <w:r>
              <w:rPr>
                <w:webHidden/>
                <w:rStyle w:val="IndexLink"/>
                <w:rtl w:val="true"/>
              </w:rPr>
              <w:t>إشکال تقدّم الحکم علی الموضوع</w:t>
            </w:r>
            <w:r>
              <w:rPr>
                <w:rStyle w:val="IndexLink"/>
                <w:rtl w:val="true"/>
              </w:rPr>
              <w:t>:</w:t>
              <w:tab/>
            </w:r>
            <w:r>
              <w:rPr>
                <w:rStyle w:val="IndexLink"/>
              </w:rPr>
              <w:t>282</w:t>
            </w:r>
          </w:hyperlink>
        </w:p>
        <w:p>
          <w:pPr>
            <w:pStyle w:val="Contents6"/>
            <w:tabs>
              <w:tab w:val="clear" w:pos="7609"/>
              <w:tab w:val="right" w:pos="9026" w:leader="dot"/>
            </w:tabs>
            <w:rPr/>
          </w:pPr>
          <w:hyperlink w:anchor="__RefHeading___Toc5446971_3224264995">
            <w:r>
              <w:rPr>
                <w:webHidden/>
                <w:rStyle w:val="IndexLink"/>
              </w:rPr>
              <w:t>4</w:t>
            </w:r>
            <w:r>
              <w:rPr>
                <w:rStyle w:val="IndexLink"/>
                <w:rtl w:val="true"/>
              </w:rPr>
              <w:t>-</w:t>
            </w:r>
            <w:r>
              <w:rPr>
                <w:rStyle w:val="IndexLink"/>
                <w:rtl w:val="true"/>
              </w:rPr>
              <w:t>عدم إمکان العمل بمفهوم الآیة فی الأحکام الشرعیّة</w:t>
            </w:r>
            <w:r>
              <w:rPr>
                <w:rStyle w:val="IndexLink"/>
                <w:rtl w:val="true"/>
              </w:rPr>
              <w:tab/>
            </w:r>
            <w:r>
              <w:rPr>
                <w:rStyle w:val="IndexLink"/>
              </w:rPr>
              <w:t>285</w:t>
            </w:r>
          </w:hyperlink>
        </w:p>
        <w:p>
          <w:pPr>
            <w:pStyle w:val="Contents6"/>
            <w:tabs>
              <w:tab w:val="clear" w:pos="7609"/>
              <w:tab w:val="right" w:pos="9026" w:leader="dot"/>
            </w:tabs>
            <w:rPr/>
          </w:pPr>
          <w:hyperlink w:anchor="__RefHeading___Toc5446973_3224264995">
            <w:r>
              <w:rPr>
                <w:webHidden/>
                <w:rStyle w:val="IndexLink"/>
                <w:rtl w:val="true"/>
              </w:rPr>
              <w:t>الجواب عن هذا الإیراد</w:t>
            </w:r>
            <w:r>
              <w:rPr>
                <w:rStyle w:val="IndexLink"/>
                <w:rtl w:val="true"/>
              </w:rPr>
              <w:tab/>
            </w:r>
            <w:r>
              <w:rPr>
                <w:rStyle w:val="IndexLink"/>
              </w:rPr>
              <w:t>285</w:t>
            </w:r>
          </w:hyperlink>
        </w:p>
        <w:p>
          <w:pPr>
            <w:pStyle w:val="Contents6"/>
            <w:tabs>
              <w:tab w:val="clear" w:pos="7609"/>
              <w:tab w:val="right" w:pos="9026" w:leader="dot"/>
            </w:tabs>
            <w:rPr/>
          </w:pPr>
          <w:hyperlink w:anchor="__RefHeading___Toc5446975_3224264995">
            <w:r>
              <w:rPr>
                <w:webHidden/>
                <w:rStyle w:val="IndexLink"/>
              </w:rPr>
              <w:t>5</w:t>
            </w:r>
            <w:r>
              <w:rPr>
                <w:rStyle w:val="IndexLink"/>
                <w:rtl w:val="true"/>
              </w:rPr>
              <w:t>-</w:t>
            </w:r>
            <w:r>
              <w:rPr>
                <w:rStyle w:val="IndexLink"/>
                <w:rtl w:val="true"/>
              </w:rPr>
              <w:t>عدم العمل بمفهوم الآیة فی مورده،و الجواب عنه</w:t>
            </w:r>
            <w:r>
              <w:rPr>
                <w:rStyle w:val="IndexLink"/>
                <w:rtl w:val="true"/>
              </w:rPr>
              <w:tab/>
            </w:r>
            <w:r>
              <w:rPr>
                <w:rStyle w:val="IndexLink"/>
              </w:rPr>
              <w:t>286</w:t>
            </w:r>
          </w:hyperlink>
        </w:p>
        <w:p>
          <w:pPr>
            <w:pStyle w:val="Contents6"/>
            <w:tabs>
              <w:tab w:val="clear" w:pos="7609"/>
              <w:tab w:val="right" w:pos="9026" w:leader="dot"/>
            </w:tabs>
            <w:rPr/>
          </w:pPr>
          <w:hyperlink w:anchor="__RefHeading___Toc5446977_3224264995">
            <w:r>
              <w:rPr>
                <w:webHidden/>
                <w:rStyle w:val="IndexLink"/>
                <w:rtl w:val="true"/>
              </w:rPr>
              <w:t>الجواب عن هذا الایراد</w:t>
            </w:r>
            <w:r>
              <w:rPr>
                <w:rStyle w:val="IndexLink"/>
                <w:rtl w:val="true"/>
              </w:rPr>
              <w:tab/>
            </w:r>
            <w:r>
              <w:rPr>
                <w:rStyle w:val="IndexLink"/>
              </w:rPr>
              <w:t>286</w:t>
            </w:r>
          </w:hyperlink>
        </w:p>
        <w:p>
          <w:pPr>
            <w:pStyle w:val="Contents6"/>
            <w:tabs>
              <w:tab w:val="clear" w:pos="7609"/>
              <w:tab w:val="right" w:pos="9026" w:leader="dot"/>
            </w:tabs>
            <w:rPr/>
          </w:pPr>
          <w:hyperlink w:anchor="__RefHeading___Toc5446979_3224264995">
            <w:r>
              <w:rPr>
                <w:webHidden/>
                <w:rStyle w:val="IndexLink"/>
              </w:rPr>
              <w:t>6</w:t>
            </w:r>
            <w:r>
              <w:rPr>
                <w:rStyle w:val="IndexLink"/>
                <w:rtl w:val="true"/>
              </w:rPr>
              <w:t>-</w:t>
            </w:r>
            <w:r>
              <w:rPr>
                <w:rStyle w:val="IndexLink"/>
                <w:rtl w:val="true"/>
              </w:rPr>
              <w:t>مفهوم الآیة لا یستلزم العمل و الجواب عنه</w:t>
            </w:r>
            <w:r>
              <w:rPr>
                <w:rStyle w:val="IndexLink"/>
                <w:rtl w:val="true"/>
              </w:rPr>
              <w:tab/>
            </w:r>
            <w:r>
              <w:rPr>
                <w:rStyle w:val="IndexLink"/>
              </w:rPr>
              <w:t>287</w:t>
            </w:r>
          </w:hyperlink>
        </w:p>
        <w:p>
          <w:pPr>
            <w:pStyle w:val="Contents6"/>
            <w:tabs>
              <w:tab w:val="clear" w:pos="7609"/>
              <w:tab w:val="right" w:pos="9026" w:leader="dot"/>
            </w:tabs>
            <w:rPr/>
          </w:pPr>
          <w:hyperlink w:anchor="__RefHeading___Toc5446981_3224264995">
            <w:r>
              <w:rPr>
                <w:webHidden/>
                <w:rStyle w:val="IndexLink"/>
              </w:rPr>
              <w:t>7</w:t>
            </w:r>
            <w:r>
              <w:rPr>
                <w:rStyle w:val="IndexLink"/>
                <w:rtl w:val="true"/>
              </w:rPr>
              <w:t>-</w:t>
            </w:r>
            <w:r>
              <w:rPr>
                <w:rStyle w:val="IndexLink"/>
                <w:rtl w:val="true"/>
              </w:rPr>
              <w:t>کون المسألة اصولیّة و جوابه</w:t>
            </w:r>
            <w:r>
              <w:rPr>
                <w:rStyle w:val="IndexLink"/>
                <w:rtl w:val="true"/>
              </w:rPr>
              <w:tab/>
            </w:r>
            <w:r>
              <w:rPr>
                <w:rStyle w:val="IndexLink"/>
              </w:rPr>
              <w:t>287</w:t>
            </w:r>
          </w:hyperlink>
        </w:p>
        <w:p>
          <w:pPr>
            <w:pStyle w:val="Contents6"/>
            <w:tabs>
              <w:tab w:val="clear" w:pos="7609"/>
              <w:tab w:val="right" w:pos="9026" w:leader="dot"/>
            </w:tabs>
            <w:rPr/>
          </w:pPr>
          <w:hyperlink w:anchor="__RefHeading___Toc5446983_3224264995">
            <w:r>
              <w:rPr>
                <w:webHidden/>
                <w:rStyle w:val="IndexLink"/>
              </w:rPr>
              <w:t>7</w:t>
            </w:r>
            <w:r>
              <w:rPr>
                <w:rStyle w:val="IndexLink"/>
                <w:rtl w:val="true"/>
              </w:rPr>
              <w:t>-</w:t>
            </w:r>
            <w:r>
              <w:rPr>
                <w:rStyle w:val="IndexLink"/>
                <w:rtl w:val="true"/>
              </w:rPr>
              <w:t>انحصار مفهوم الآیة فی المعصوم علیه السلام و من دونه</w:t>
            </w:r>
            <w:r>
              <w:rPr>
                <w:rStyle w:val="IndexLink"/>
                <w:rtl w:val="true"/>
              </w:rPr>
              <w:tab/>
            </w:r>
            <w:r>
              <w:rPr>
                <w:rStyle w:val="IndexLink"/>
              </w:rPr>
              <w:t>288</w:t>
            </w:r>
          </w:hyperlink>
        </w:p>
        <w:p>
          <w:pPr>
            <w:pStyle w:val="Contents6"/>
            <w:tabs>
              <w:tab w:val="clear" w:pos="7609"/>
              <w:tab w:val="right" w:pos="9026" w:leader="dot"/>
            </w:tabs>
            <w:rPr/>
          </w:pPr>
          <w:hyperlink w:anchor="__RefHeading___Toc5446985_3224264995">
            <w:r>
              <w:rPr>
                <w:webHidden/>
                <w:rStyle w:val="IndexLink"/>
                <w:rtl w:val="true"/>
              </w:rPr>
              <w:t>الجواب عن هذا الإیراد</w:t>
            </w:r>
            <w:r>
              <w:rPr>
                <w:rStyle w:val="IndexLink"/>
                <w:rtl w:val="true"/>
              </w:rPr>
              <w:t>:</w:t>
              <w:tab/>
            </w:r>
            <w:r>
              <w:rPr>
                <w:rStyle w:val="IndexLink"/>
              </w:rPr>
              <w:t>288</w:t>
            </w:r>
          </w:hyperlink>
        </w:p>
        <w:p>
          <w:pPr>
            <w:pStyle w:val="Contents6"/>
            <w:tabs>
              <w:tab w:val="clear" w:pos="7609"/>
              <w:tab w:val="right" w:pos="9026" w:leader="dot"/>
            </w:tabs>
            <w:rPr/>
          </w:pPr>
          <w:hyperlink w:anchor="__RefHeading___Toc5446987_3224264995">
            <w:r>
              <w:rPr>
                <w:webHidden/>
                <w:rStyle w:val="IndexLink"/>
                <w:rtl w:val="true"/>
              </w:rPr>
              <w:t>الاستدلال بمنطوق الآیة علی حجیّة خبر غیر العادل إذا حصل الظنّ بصدقه</w:t>
            </w:r>
            <w:r>
              <w:rPr>
                <w:rStyle w:val="IndexLink"/>
                <w:rtl w:val="true"/>
              </w:rPr>
              <w:tab/>
            </w:r>
            <w:r>
              <w:rPr>
                <w:rStyle w:val="IndexLink"/>
              </w:rPr>
              <w:t>289</w:t>
            </w:r>
          </w:hyperlink>
        </w:p>
        <w:p>
          <w:pPr>
            <w:pStyle w:val="Contents6"/>
            <w:tabs>
              <w:tab w:val="clear" w:pos="7609"/>
              <w:tab w:val="right" w:pos="9026" w:leader="dot"/>
            </w:tabs>
            <w:rPr/>
          </w:pPr>
          <w:hyperlink w:anchor="__RefHeading___Toc5446989_3224264995">
            <w:r>
              <w:rPr>
                <w:webHidden/>
                <w:rStyle w:val="IndexLink"/>
                <w:rtl w:val="true"/>
              </w:rPr>
              <w:t>المناقشة فی الاستدلال المذکور</w:t>
            </w:r>
            <w:r>
              <w:rPr>
                <w:rStyle w:val="IndexLink"/>
                <w:rtl w:val="true"/>
              </w:rPr>
              <w:t>:</w:t>
              <w:tab/>
            </w:r>
            <w:r>
              <w:rPr>
                <w:rStyle w:val="IndexLink"/>
              </w:rPr>
              <w:t>290</w:t>
            </w:r>
          </w:hyperlink>
        </w:p>
        <w:p>
          <w:pPr>
            <w:pStyle w:val="Contents6"/>
            <w:tabs>
              <w:tab w:val="clear" w:pos="7609"/>
              <w:tab w:val="right" w:pos="9026" w:leader="dot"/>
            </w:tabs>
            <w:rPr/>
          </w:pPr>
          <w:hyperlink w:anchor="__RefHeading___Toc5446991_3224264995">
            <w:r>
              <w:rPr>
                <w:webHidden/>
                <w:rStyle w:val="IndexLink"/>
                <w:rtl w:val="true"/>
              </w:rPr>
              <w:t>الآیة الثانیة</w:t>
            </w:r>
            <w:r>
              <w:rPr>
                <w:rStyle w:val="IndexLink"/>
                <w:rtl w:val="true"/>
              </w:rPr>
              <w:t>:</w:t>
            </w:r>
            <w:r>
              <w:rPr>
                <w:rStyle w:val="IndexLink"/>
                <w:rtl w:val="true"/>
              </w:rPr>
              <w:t>آیة</w:t>
            </w:r>
            <w:r>
              <w:rPr>
                <w:rStyle w:val="IndexLink"/>
                <w:rtl w:val="true"/>
              </w:rPr>
              <w:t>«</w:t>
            </w:r>
            <w:r>
              <w:rPr>
                <w:rStyle w:val="IndexLink"/>
                <w:rtl w:val="true"/>
              </w:rPr>
              <w:t>النفر</w:t>
            </w:r>
            <w:r>
              <w:rPr>
                <w:rStyle w:val="IndexLink"/>
                <w:rtl w:val="true"/>
              </w:rPr>
              <w:t>»</w:t>
              <w:tab/>
            </w:r>
            <w:r>
              <w:rPr>
                <w:rStyle w:val="IndexLink"/>
              </w:rPr>
              <w:t>292</w:t>
            </w:r>
          </w:hyperlink>
        </w:p>
        <w:p>
          <w:pPr>
            <w:pStyle w:val="Contents6"/>
            <w:tabs>
              <w:tab w:val="clear" w:pos="7609"/>
              <w:tab w:val="right" w:pos="9026" w:leader="dot"/>
            </w:tabs>
            <w:rPr/>
          </w:pPr>
          <w:hyperlink w:anchor="__RefHeading___Toc5446993_3224264995">
            <w:r>
              <w:rPr>
                <w:webHidden/>
                <w:rStyle w:val="IndexLink"/>
                <w:rtl w:val="true"/>
              </w:rPr>
              <w:t>وجه الاستدلال بها</w:t>
            </w:r>
            <w:r>
              <w:rPr>
                <w:rStyle w:val="IndexLink"/>
                <w:rtl w:val="true"/>
              </w:rPr>
              <w:t>:</w:t>
              <w:tab/>
            </w:r>
            <w:r>
              <w:rPr>
                <w:rStyle w:val="IndexLink"/>
              </w:rPr>
              <w:t>292</w:t>
            </w:r>
          </w:hyperlink>
        </w:p>
        <w:p>
          <w:pPr>
            <w:pStyle w:val="Contents6"/>
            <w:tabs>
              <w:tab w:val="clear" w:pos="7609"/>
              <w:tab w:val="right" w:pos="9026" w:leader="dot"/>
            </w:tabs>
            <w:rPr/>
          </w:pPr>
          <w:hyperlink w:anchor="__RefHeading___Toc5446995_3224264995">
            <w:r>
              <w:rPr>
                <w:webHidden/>
                <w:rStyle w:val="IndexLink"/>
                <w:rtl w:val="true"/>
              </w:rPr>
              <w:t>ظهور الآیة فی وجوب التفقّه و الإنذار</w:t>
            </w:r>
            <w:r>
              <w:rPr>
                <w:rStyle w:val="IndexLink"/>
                <w:rtl w:val="true"/>
              </w:rPr>
              <w:t>:</w:t>
              <w:tab/>
            </w:r>
            <w:r>
              <w:rPr>
                <w:rStyle w:val="IndexLink"/>
              </w:rPr>
              <w:t>294</w:t>
            </w:r>
          </w:hyperlink>
        </w:p>
        <w:p>
          <w:pPr>
            <w:pStyle w:val="Contents6"/>
            <w:tabs>
              <w:tab w:val="clear" w:pos="7609"/>
              <w:tab w:val="right" w:pos="9026" w:leader="dot"/>
            </w:tabs>
            <w:rPr/>
          </w:pPr>
          <w:hyperlink w:anchor="__RefHeading___Toc5446997_3224264995">
            <w:r>
              <w:rPr>
                <w:webHidden/>
                <w:rStyle w:val="IndexLink"/>
                <w:rtl w:val="true"/>
              </w:rPr>
              <w:t>الأخبار التی استشهد فیها الإمام علیه السّلام بآیة</w:t>
            </w:r>
            <w:r>
              <w:rPr>
                <w:rStyle w:val="IndexLink"/>
                <w:rtl w:val="true"/>
              </w:rPr>
              <w:t>«</w:t>
            </w:r>
            <w:r>
              <w:rPr>
                <w:rStyle w:val="IndexLink"/>
                <w:rtl w:val="true"/>
              </w:rPr>
              <w:t>النفر</w:t>
            </w:r>
            <w:r>
              <w:rPr>
                <w:rStyle w:val="IndexLink"/>
                <w:rtl w:val="true"/>
              </w:rPr>
              <w:t>»</w:t>
            </w:r>
            <w:r>
              <w:rPr>
                <w:rStyle w:val="IndexLink"/>
                <w:rtl w:val="true"/>
              </w:rPr>
              <w:t>علی وجوب التفقّه</w:t>
            </w:r>
            <w:r>
              <w:rPr>
                <w:rStyle w:val="IndexLink"/>
                <w:rtl w:val="true"/>
              </w:rPr>
              <w:tab/>
            </w:r>
            <w:r>
              <w:rPr>
                <w:rStyle w:val="IndexLink"/>
              </w:rPr>
              <w:t>294</w:t>
            </w:r>
          </w:hyperlink>
        </w:p>
        <w:p>
          <w:pPr>
            <w:pStyle w:val="Contents6"/>
            <w:tabs>
              <w:tab w:val="clear" w:pos="7609"/>
              <w:tab w:val="right" w:pos="9026" w:leader="dot"/>
            </w:tabs>
            <w:rPr/>
          </w:pPr>
          <w:hyperlink w:anchor="__RefHeading___Toc5446999_3224264995">
            <w:r>
              <w:rPr>
                <w:webHidden/>
                <w:rStyle w:val="IndexLink"/>
                <w:rtl w:val="true"/>
              </w:rPr>
              <w:t>المناقشة فی الاستدلال بهذه الآیة من وجوه</w:t>
            </w:r>
            <w:r>
              <w:rPr>
                <w:rStyle w:val="IndexLink"/>
                <w:rtl w:val="true"/>
              </w:rPr>
              <w:t>:</w:t>
              <w:tab/>
            </w:r>
            <w:r>
              <w:rPr>
                <w:rStyle w:val="IndexLink"/>
              </w:rPr>
              <w:t>297</w:t>
            </w:r>
          </w:hyperlink>
        </w:p>
        <w:p>
          <w:pPr>
            <w:pStyle w:val="Contents6"/>
            <w:tabs>
              <w:tab w:val="clear" w:pos="7609"/>
              <w:tab w:val="right" w:pos="9026" w:leader="dot"/>
            </w:tabs>
            <w:rPr/>
          </w:pPr>
          <w:hyperlink w:anchor="__RefHeading___Toc5447001_3224264995">
            <w:r>
              <w:rPr>
                <w:webHidden/>
                <w:rStyle w:val="IndexLink"/>
                <w:rtl w:val="true"/>
              </w:rPr>
              <w:t>الأولی الاستدلال بالآیة علی وجوب الاجتهاد و التقلید</w:t>
            </w:r>
            <w:r>
              <w:rPr>
                <w:rStyle w:val="IndexLink"/>
                <w:rtl w:val="true"/>
              </w:rPr>
              <w:t>:</w:t>
              <w:tab/>
            </w:r>
            <w:r>
              <w:rPr>
                <w:rStyle w:val="IndexLink"/>
              </w:rPr>
              <w:t>301</w:t>
            </w:r>
          </w:hyperlink>
        </w:p>
        <w:p>
          <w:pPr>
            <w:pStyle w:val="Contents6"/>
            <w:tabs>
              <w:tab w:val="clear" w:pos="7609"/>
              <w:tab w:val="right" w:pos="9026" w:leader="dot"/>
            </w:tabs>
            <w:rPr/>
          </w:pPr>
          <w:hyperlink w:anchor="__RefHeading___Toc5447003_3224264995">
            <w:r>
              <w:rPr>
                <w:webHidden/>
                <w:rStyle w:val="IndexLink"/>
                <w:rtl w:val="true"/>
              </w:rPr>
              <w:t>کلام الشیخ البهائی</w:t>
            </w:r>
            <w:r>
              <w:rPr>
                <w:rStyle w:val="IndexLink"/>
                <w:rtl w:val="true"/>
              </w:rPr>
              <w:tab/>
            </w:r>
            <w:r>
              <w:rPr>
                <w:rStyle w:val="IndexLink"/>
              </w:rPr>
              <w:t>301</w:t>
            </w:r>
          </w:hyperlink>
        </w:p>
        <w:p>
          <w:pPr>
            <w:pStyle w:val="Contents6"/>
            <w:tabs>
              <w:tab w:val="clear" w:pos="7609"/>
              <w:tab w:val="right" w:pos="9026" w:leader="dot"/>
            </w:tabs>
            <w:rPr/>
          </w:pPr>
          <w:hyperlink w:anchor="__RefHeading___Toc5447005_3224264995">
            <w:r>
              <w:rPr>
                <w:webHidden/>
                <w:rStyle w:val="IndexLink"/>
                <w:rtl w:val="true"/>
              </w:rPr>
              <w:t>الآیة الثالثة</w:t>
            </w:r>
            <w:r>
              <w:rPr>
                <w:rStyle w:val="IndexLink"/>
                <w:rtl w:val="true"/>
              </w:rPr>
              <w:t>:</w:t>
            </w:r>
            <w:r>
              <w:rPr>
                <w:rStyle w:val="IndexLink"/>
                <w:rtl w:val="true"/>
              </w:rPr>
              <w:t>آیة</w:t>
            </w:r>
            <w:r>
              <w:rPr>
                <w:rStyle w:val="IndexLink"/>
                <w:rtl w:val="true"/>
              </w:rPr>
              <w:t>«</w:t>
            </w:r>
            <w:r>
              <w:rPr>
                <w:rStyle w:val="IndexLink"/>
                <w:rtl w:val="true"/>
              </w:rPr>
              <w:t>الکتمان</w:t>
            </w:r>
            <w:r>
              <w:rPr>
                <w:rStyle w:val="IndexLink"/>
                <w:rtl w:val="true"/>
              </w:rPr>
              <w:t>»</w:t>
              <w:tab/>
            </w:r>
            <w:r>
              <w:rPr>
                <w:rStyle w:val="IndexLink"/>
              </w:rPr>
              <w:t>302</w:t>
            </w:r>
          </w:hyperlink>
        </w:p>
        <w:p>
          <w:pPr>
            <w:pStyle w:val="Contents6"/>
            <w:tabs>
              <w:tab w:val="clear" w:pos="7609"/>
              <w:tab w:val="right" w:pos="9026" w:leader="dot"/>
            </w:tabs>
            <w:rPr/>
          </w:pPr>
          <w:hyperlink w:anchor="__RefHeading___Toc5447007_3224264995">
            <w:r>
              <w:rPr>
                <w:webHidden/>
                <w:rStyle w:val="IndexLink"/>
                <w:rtl w:val="true"/>
              </w:rPr>
              <w:t>وجه الاستدلال بها</w:t>
            </w:r>
            <w:r>
              <w:rPr>
                <w:rStyle w:val="IndexLink"/>
                <w:rtl w:val="true"/>
              </w:rPr>
              <w:t>:</w:t>
              <w:tab/>
            </w:r>
            <w:r>
              <w:rPr>
                <w:rStyle w:val="IndexLink"/>
              </w:rPr>
              <w:t>302</w:t>
            </w:r>
          </w:hyperlink>
        </w:p>
        <w:p>
          <w:pPr>
            <w:pStyle w:val="Contents6"/>
            <w:tabs>
              <w:tab w:val="clear" w:pos="7609"/>
              <w:tab w:val="right" w:pos="9026" w:leader="dot"/>
            </w:tabs>
            <w:rPr/>
          </w:pPr>
          <w:hyperlink w:anchor="__RefHeading___Toc5447009_3224264995">
            <w:r>
              <w:rPr>
                <w:webHidden/>
                <w:rStyle w:val="IndexLink"/>
                <w:rtl w:val="true"/>
              </w:rPr>
              <w:t>المناقشة فی الاستدلال</w:t>
            </w:r>
            <w:r>
              <w:rPr>
                <w:rStyle w:val="IndexLink"/>
                <w:rtl w:val="true"/>
              </w:rPr>
              <w:t>:</w:t>
              <w:tab/>
            </w:r>
            <w:r>
              <w:rPr>
                <w:rStyle w:val="IndexLink"/>
              </w:rPr>
              <w:t>302</w:t>
            </w:r>
          </w:hyperlink>
        </w:p>
        <w:p>
          <w:pPr>
            <w:pStyle w:val="Contents6"/>
            <w:tabs>
              <w:tab w:val="clear" w:pos="7609"/>
              <w:tab w:val="right" w:pos="9026" w:leader="dot"/>
            </w:tabs>
            <w:rPr/>
          </w:pPr>
          <w:hyperlink w:anchor="__RefHeading___Toc5447011_3224264995">
            <w:r>
              <w:rPr>
                <w:webHidden/>
                <w:rStyle w:val="IndexLink"/>
                <w:rtl w:val="true"/>
              </w:rPr>
              <w:t>الآیة الرابعة</w:t>
            </w:r>
            <w:r>
              <w:rPr>
                <w:rStyle w:val="IndexLink"/>
                <w:rtl w:val="true"/>
              </w:rPr>
              <w:t>:</w:t>
            </w:r>
            <w:r>
              <w:rPr>
                <w:rStyle w:val="IndexLink"/>
                <w:rtl w:val="true"/>
              </w:rPr>
              <w:t>آیة</w:t>
            </w:r>
            <w:r>
              <w:rPr>
                <w:rStyle w:val="IndexLink"/>
                <w:rtl w:val="true"/>
              </w:rPr>
              <w:t>«</w:t>
            </w:r>
            <w:r>
              <w:rPr>
                <w:rStyle w:val="IndexLink"/>
                <w:rtl w:val="true"/>
              </w:rPr>
              <w:t>السؤال من أهل الذکر</w:t>
            </w:r>
            <w:r>
              <w:rPr>
                <w:rStyle w:val="IndexLink"/>
                <w:rtl w:val="true"/>
              </w:rPr>
              <w:t>»</w:t>
              <w:tab/>
            </w:r>
            <w:r>
              <w:rPr>
                <w:rStyle w:val="IndexLink"/>
              </w:rPr>
              <w:t>303</w:t>
            </w:r>
          </w:hyperlink>
        </w:p>
        <w:p>
          <w:pPr>
            <w:pStyle w:val="Contents6"/>
            <w:tabs>
              <w:tab w:val="clear" w:pos="7609"/>
              <w:tab w:val="right" w:pos="9026" w:leader="dot"/>
            </w:tabs>
            <w:rPr/>
          </w:pPr>
          <w:hyperlink w:anchor="__RefHeading___Toc5447013_3224264995">
            <w:r>
              <w:rPr>
                <w:webHidden/>
                <w:rStyle w:val="IndexLink"/>
                <w:rtl w:val="true"/>
              </w:rPr>
              <w:t>وجه الاستدلال بها</w:t>
            </w:r>
            <w:r>
              <w:rPr>
                <w:rStyle w:val="IndexLink"/>
                <w:rtl w:val="true"/>
              </w:rPr>
              <w:t>:</w:t>
              <w:tab/>
            </w:r>
            <w:r>
              <w:rPr>
                <w:rStyle w:val="IndexLink"/>
              </w:rPr>
              <w:t>303</w:t>
            </w:r>
          </w:hyperlink>
        </w:p>
        <w:p>
          <w:pPr>
            <w:pStyle w:val="Contents6"/>
            <w:tabs>
              <w:tab w:val="clear" w:pos="7609"/>
              <w:tab w:val="right" w:pos="9026" w:leader="dot"/>
            </w:tabs>
            <w:rPr/>
          </w:pPr>
          <w:hyperlink w:anchor="__RefHeading___Toc5447015_3224264995">
            <w:r>
              <w:rPr>
                <w:webHidden/>
                <w:rStyle w:val="IndexLink"/>
                <w:rtl w:val="true"/>
              </w:rPr>
              <w:t>المناقشة فی الاستدلال</w:t>
            </w:r>
            <w:r>
              <w:rPr>
                <w:rStyle w:val="IndexLink"/>
                <w:rtl w:val="true"/>
              </w:rPr>
              <w:t>:</w:t>
              <w:tab/>
            </w:r>
            <w:r>
              <w:rPr>
                <w:rStyle w:val="IndexLink"/>
              </w:rPr>
              <w:t>304</w:t>
            </w:r>
          </w:hyperlink>
        </w:p>
        <w:p>
          <w:pPr>
            <w:pStyle w:val="Contents6"/>
            <w:tabs>
              <w:tab w:val="clear" w:pos="7609"/>
              <w:tab w:val="right" w:pos="9026" w:leader="dot"/>
            </w:tabs>
            <w:rPr/>
          </w:pPr>
          <w:hyperlink w:anchor="__RefHeading___Toc5447017_3224264995">
            <w:r>
              <w:rPr>
                <w:webHidden/>
                <w:rStyle w:val="IndexLink"/>
                <w:rtl w:val="true"/>
              </w:rPr>
              <w:t>من هم أهل الذکر؟</w:t>
            </w:r>
            <w:r>
              <w:rPr>
                <w:rStyle w:val="IndexLink"/>
                <w:rtl w:val="true"/>
              </w:rPr>
              <w:tab/>
            </w:r>
            <w:r>
              <w:rPr>
                <w:rStyle w:val="IndexLink"/>
              </w:rPr>
              <w:t>304</w:t>
            </w:r>
          </w:hyperlink>
        </w:p>
        <w:p>
          <w:pPr>
            <w:pStyle w:val="Contents6"/>
            <w:tabs>
              <w:tab w:val="clear" w:pos="7609"/>
              <w:tab w:val="right" w:pos="9026" w:leader="dot"/>
            </w:tabs>
            <w:rPr/>
          </w:pPr>
          <w:hyperlink w:anchor="__RefHeading___Toc5447019_3224264995">
            <w:r>
              <w:rPr>
                <w:webHidden/>
                <w:rStyle w:val="IndexLink"/>
                <w:rtl w:val="true"/>
              </w:rPr>
              <w:t>استدلال جماعة بالآیة علی وجوب التقلید</w:t>
            </w:r>
            <w:r>
              <w:rPr>
                <w:rStyle w:val="IndexLink"/>
                <w:rtl w:val="true"/>
              </w:rPr>
              <w:tab/>
            </w:r>
            <w:r>
              <w:rPr>
                <w:rStyle w:val="IndexLink"/>
              </w:rPr>
              <w:t>305</w:t>
            </w:r>
          </w:hyperlink>
        </w:p>
        <w:p>
          <w:pPr>
            <w:pStyle w:val="Contents6"/>
            <w:tabs>
              <w:tab w:val="clear" w:pos="7609"/>
              <w:tab w:val="right" w:pos="9026" w:leader="dot"/>
            </w:tabs>
            <w:rPr/>
          </w:pPr>
          <w:hyperlink w:anchor="__RefHeading___Toc5447021_3224264995">
            <w:r>
              <w:rPr>
                <w:webHidden/>
                <w:rStyle w:val="IndexLink"/>
                <w:rtl w:val="true"/>
              </w:rPr>
              <w:t>الآیة الخامسة</w:t>
            </w:r>
            <w:r>
              <w:rPr>
                <w:rStyle w:val="IndexLink"/>
                <w:rtl w:val="true"/>
              </w:rPr>
              <w:t>:</w:t>
            </w:r>
            <w:r>
              <w:rPr>
                <w:rStyle w:val="IndexLink"/>
                <w:rtl w:val="true"/>
              </w:rPr>
              <w:t>آیة</w:t>
            </w:r>
            <w:r>
              <w:rPr>
                <w:rStyle w:val="IndexLink"/>
                <w:rtl w:val="true"/>
              </w:rPr>
              <w:t>«</w:t>
            </w:r>
            <w:r>
              <w:rPr>
                <w:rStyle w:val="IndexLink"/>
                <w:rtl w:val="true"/>
              </w:rPr>
              <w:t>الاذن</w:t>
            </w:r>
            <w:r>
              <w:rPr>
                <w:rStyle w:val="IndexLink"/>
                <w:rtl w:val="true"/>
              </w:rPr>
              <w:t>»</w:t>
              <w:tab/>
            </w:r>
            <w:r>
              <w:rPr>
                <w:rStyle w:val="IndexLink"/>
              </w:rPr>
              <w:t>306</w:t>
            </w:r>
          </w:hyperlink>
        </w:p>
        <w:p>
          <w:pPr>
            <w:pStyle w:val="Contents6"/>
            <w:tabs>
              <w:tab w:val="clear" w:pos="7609"/>
              <w:tab w:val="right" w:pos="9026" w:leader="dot"/>
            </w:tabs>
            <w:rPr/>
          </w:pPr>
          <w:hyperlink w:anchor="__RefHeading___Toc5447023_3224264995">
            <w:r>
              <w:rPr>
                <w:webHidden/>
                <w:rStyle w:val="IndexLink"/>
                <w:rtl w:val="true"/>
              </w:rPr>
              <w:t>وجه الاستدلال بها</w:t>
            </w:r>
            <w:r>
              <w:rPr>
                <w:rStyle w:val="IndexLink"/>
                <w:rtl w:val="true"/>
              </w:rPr>
              <w:t>:</w:t>
              <w:tab/>
            </w:r>
            <w:r>
              <w:rPr>
                <w:rStyle w:val="IndexLink"/>
              </w:rPr>
              <w:t>306</w:t>
            </w:r>
          </w:hyperlink>
        </w:p>
        <w:p>
          <w:pPr>
            <w:pStyle w:val="Contents6"/>
            <w:tabs>
              <w:tab w:val="clear" w:pos="7609"/>
              <w:tab w:val="right" w:pos="9026" w:leader="dot"/>
            </w:tabs>
            <w:rPr/>
          </w:pPr>
          <w:hyperlink w:anchor="__RefHeading___Toc5447025_3224264995">
            <w:r>
              <w:rPr>
                <w:webHidden/>
                <w:rStyle w:val="IndexLink"/>
                <w:rtl w:val="true"/>
              </w:rPr>
              <w:t>تأیید الاستدلال،بالروایة الواردة فی حکایة إسماعیل</w:t>
            </w:r>
            <w:r>
              <w:rPr>
                <w:rStyle w:val="IndexLink"/>
                <w:rtl w:val="true"/>
              </w:rPr>
              <w:tab/>
            </w:r>
            <w:r>
              <w:rPr>
                <w:rStyle w:val="IndexLink"/>
              </w:rPr>
              <w:t>306</w:t>
            </w:r>
          </w:hyperlink>
        </w:p>
        <w:p>
          <w:pPr>
            <w:pStyle w:val="Contents6"/>
            <w:tabs>
              <w:tab w:val="clear" w:pos="7609"/>
              <w:tab w:val="right" w:pos="9026" w:leader="dot"/>
            </w:tabs>
            <w:rPr/>
          </w:pPr>
          <w:hyperlink w:anchor="__RefHeading___Toc5447027_3224264995">
            <w:r>
              <w:rPr>
                <w:webHidden/>
                <w:rStyle w:val="IndexLink"/>
                <w:rtl w:val="true"/>
              </w:rPr>
              <w:t>المناقشة فی الاستدلال</w:t>
            </w:r>
            <w:r>
              <w:rPr>
                <w:rStyle w:val="IndexLink"/>
                <w:rtl w:val="true"/>
              </w:rPr>
              <w:t>:</w:t>
              <w:tab/>
            </w:r>
            <w:r>
              <w:rPr>
                <w:rStyle w:val="IndexLink"/>
              </w:rPr>
              <w:t>307</w:t>
            </w:r>
          </w:hyperlink>
        </w:p>
        <w:p>
          <w:pPr>
            <w:pStyle w:val="Contents6"/>
            <w:tabs>
              <w:tab w:val="clear" w:pos="7609"/>
              <w:tab w:val="right" w:pos="9026" w:leader="dot"/>
            </w:tabs>
            <w:rPr/>
          </w:pPr>
          <w:hyperlink w:anchor="__RefHeading___Toc5447029_3224264995">
            <w:r>
              <w:rPr>
                <w:webHidden/>
                <w:rStyle w:val="IndexLink"/>
                <w:rtl w:val="true"/>
              </w:rPr>
              <w:t>أنّ المراد من الاذن</w:t>
            </w:r>
            <w:r>
              <w:rPr>
                <w:rStyle w:val="IndexLink"/>
                <w:rtl w:val="true"/>
              </w:rPr>
              <w:tab/>
            </w:r>
            <w:r>
              <w:rPr>
                <w:rStyle w:val="IndexLink"/>
              </w:rPr>
              <w:t>307</w:t>
            </w:r>
          </w:hyperlink>
        </w:p>
        <w:p>
          <w:pPr>
            <w:pStyle w:val="Contents6"/>
            <w:tabs>
              <w:tab w:val="clear" w:pos="7609"/>
              <w:tab w:val="right" w:pos="9026" w:leader="dot"/>
            </w:tabs>
            <w:rPr/>
          </w:pPr>
          <w:hyperlink w:anchor="__RefHeading___Toc5447031_3224264995">
            <w:r>
              <w:rPr>
                <w:webHidden/>
                <w:rStyle w:val="IndexLink"/>
                <w:rtl w:val="true"/>
              </w:rPr>
              <w:t>المراد من</w:t>
            </w:r>
            <w:r>
              <w:rPr>
                <w:rStyle w:val="IndexLink"/>
                <w:rtl w:val="true"/>
              </w:rPr>
              <w:t>«</w:t>
            </w:r>
            <w:r>
              <w:rPr>
                <w:rStyle w:val="IndexLink"/>
                <w:rtl w:val="true"/>
              </w:rPr>
              <w:t>تصدیق المؤمنین</w:t>
            </w:r>
            <w:r>
              <w:rPr>
                <w:rStyle w:val="IndexLink"/>
                <w:rtl w:val="true"/>
              </w:rPr>
              <w:tab/>
            </w:r>
            <w:r>
              <w:rPr>
                <w:rStyle w:val="IndexLink"/>
              </w:rPr>
              <w:t>307</w:t>
            </w:r>
          </w:hyperlink>
        </w:p>
        <w:p>
          <w:pPr>
            <w:pStyle w:val="Contents6"/>
            <w:tabs>
              <w:tab w:val="clear" w:pos="7609"/>
              <w:tab w:val="right" w:pos="9026" w:leader="dot"/>
            </w:tabs>
            <w:rPr/>
          </w:pPr>
          <w:hyperlink w:anchor="__RefHeading___Toc5447033_3224264995">
            <w:r>
              <w:rPr>
                <w:webHidden/>
                <w:rStyle w:val="IndexLink"/>
                <w:rtl w:val="true"/>
              </w:rPr>
              <w:t>توجیه روایة إسماعیل</w:t>
            </w:r>
            <w:r>
              <w:rPr>
                <w:rStyle w:val="IndexLink"/>
                <w:rtl w:val="true"/>
              </w:rPr>
              <w:t>:</w:t>
              <w:tab/>
            </w:r>
            <w:r>
              <w:rPr>
                <w:rStyle w:val="IndexLink"/>
              </w:rPr>
              <w:t>309</w:t>
            </w:r>
          </w:hyperlink>
        </w:p>
        <w:p>
          <w:pPr>
            <w:pStyle w:val="Contents6"/>
            <w:tabs>
              <w:tab w:val="clear" w:pos="7609"/>
              <w:tab w:val="right" w:pos="9026" w:leader="dot"/>
            </w:tabs>
            <w:rPr/>
          </w:pPr>
          <w:hyperlink w:anchor="__RefHeading___Toc5447035_3224264995">
            <w:r>
              <w:rPr>
                <w:webHidden/>
                <w:rStyle w:val="IndexLink"/>
                <w:rtl w:val="true"/>
              </w:rPr>
              <w:t>مدلول الآیات المستدلّ بها علی حجیّة الخبر الواحد</w:t>
            </w:r>
            <w:r>
              <w:rPr>
                <w:rStyle w:val="IndexLink"/>
                <w:rtl w:val="true"/>
              </w:rPr>
              <w:tab/>
            </w:r>
            <w:r>
              <w:rPr>
                <w:rStyle w:val="IndexLink"/>
              </w:rPr>
              <w:t>311</w:t>
            </w:r>
          </w:hyperlink>
        </w:p>
        <w:p>
          <w:pPr>
            <w:pStyle w:val="Contents6"/>
            <w:tabs>
              <w:tab w:val="clear" w:pos="7609"/>
              <w:tab w:val="right" w:pos="9026" w:leader="dot"/>
            </w:tabs>
            <w:rPr/>
          </w:pPr>
          <w:hyperlink w:anchor="__RefHeading___Toc5447037_3224264995">
            <w:r>
              <w:rPr>
                <w:webHidden/>
                <w:rStyle w:val="IndexLink"/>
                <w:rtl w:val="true"/>
              </w:rPr>
              <w:t>الاستدلال علی حجیّة الخبر الواحد بطوائف من الأخبار</w:t>
            </w:r>
            <w:r>
              <w:rPr>
                <w:rStyle w:val="IndexLink"/>
                <w:rtl w:val="true"/>
              </w:rPr>
              <w:t>:</w:t>
              <w:tab/>
            </w:r>
            <w:r>
              <w:rPr>
                <w:rStyle w:val="IndexLink"/>
              </w:rPr>
              <w:t>312</w:t>
            </w:r>
          </w:hyperlink>
        </w:p>
        <w:p>
          <w:pPr>
            <w:pStyle w:val="Contents6"/>
            <w:tabs>
              <w:tab w:val="clear" w:pos="7609"/>
              <w:tab w:val="right" w:pos="9026" w:leader="dot"/>
            </w:tabs>
            <w:rPr/>
          </w:pPr>
          <w:hyperlink w:anchor="__RefHeading___Toc5447039_3224264995">
            <w:r>
              <w:rPr>
                <w:webHidden/>
                <w:rStyle w:val="IndexLink"/>
                <w:rtl w:val="true"/>
              </w:rPr>
              <w:t>ما ورد فی الخبرین المتعارضین</w:t>
            </w:r>
            <w:r>
              <w:rPr>
                <w:rStyle w:val="IndexLink"/>
                <w:rtl w:val="true"/>
              </w:rPr>
              <w:t>:</w:t>
              <w:tab/>
            </w:r>
            <w:r>
              <w:rPr>
                <w:rStyle w:val="IndexLink"/>
              </w:rPr>
              <w:t>312</w:t>
            </w:r>
          </w:hyperlink>
        </w:p>
        <w:p>
          <w:pPr>
            <w:pStyle w:val="Contents6"/>
            <w:tabs>
              <w:tab w:val="clear" w:pos="7609"/>
              <w:tab w:val="right" w:pos="9026" w:leader="dot"/>
            </w:tabs>
            <w:rPr/>
          </w:pPr>
          <w:hyperlink w:anchor="__RefHeading___Toc5447041_3224264995">
            <w:r>
              <w:rPr>
                <w:webHidden/>
                <w:rStyle w:val="IndexLink"/>
                <w:rtl w:val="true"/>
              </w:rPr>
              <w:t>مقبولة ابن حنظلة</w:t>
            </w:r>
            <w:r>
              <w:rPr>
                <w:rStyle w:val="IndexLink"/>
                <w:rtl w:val="true"/>
              </w:rPr>
              <w:tab/>
            </w:r>
            <w:r>
              <w:rPr>
                <w:rStyle w:val="IndexLink"/>
              </w:rPr>
              <w:t>312</w:t>
            </w:r>
          </w:hyperlink>
        </w:p>
        <w:p>
          <w:pPr>
            <w:pStyle w:val="Contents6"/>
            <w:tabs>
              <w:tab w:val="clear" w:pos="7609"/>
              <w:tab w:val="right" w:pos="9026" w:leader="dot"/>
            </w:tabs>
            <w:rPr/>
          </w:pPr>
          <w:hyperlink w:anchor="__RefHeading___Toc5447043_3224264995">
            <w:r>
              <w:rPr>
                <w:webHidden/>
                <w:rStyle w:val="IndexLink"/>
                <w:rtl w:val="true"/>
              </w:rPr>
              <w:t>مرفوعة زرارة</w:t>
            </w:r>
            <w:r>
              <w:rPr>
                <w:rStyle w:val="IndexLink"/>
                <w:rtl w:val="true"/>
              </w:rPr>
              <w:tab/>
            </w:r>
            <w:r>
              <w:rPr>
                <w:rStyle w:val="IndexLink"/>
              </w:rPr>
              <w:t>312</w:t>
            </w:r>
          </w:hyperlink>
        </w:p>
        <w:p>
          <w:pPr>
            <w:pStyle w:val="Contents6"/>
            <w:tabs>
              <w:tab w:val="clear" w:pos="7609"/>
              <w:tab w:val="right" w:pos="9026" w:leader="dot"/>
            </w:tabs>
            <w:rPr/>
          </w:pPr>
          <w:hyperlink w:anchor="__RefHeading___Toc5447045_3224264995">
            <w:r>
              <w:rPr>
                <w:webHidden/>
                <w:rStyle w:val="IndexLink"/>
                <w:rtl w:val="true"/>
              </w:rPr>
              <w:t>روایة ابن ابی الجهم</w:t>
            </w:r>
            <w:r>
              <w:rPr>
                <w:rStyle w:val="IndexLink"/>
                <w:rtl w:val="true"/>
              </w:rPr>
              <w:tab/>
            </w:r>
            <w:r>
              <w:rPr>
                <w:rStyle w:val="IndexLink"/>
              </w:rPr>
              <w:t>313</w:t>
            </w:r>
          </w:hyperlink>
        </w:p>
        <w:p>
          <w:pPr>
            <w:pStyle w:val="Contents6"/>
            <w:tabs>
              <w:tab w:val="clear" w:pos="7609"/>
              <w:tab w:val="right" w:pos="9026" w:leader="dot"/>
            </w:tabs>
            <w:rPr/>
          </w:pPr>
          <w:hyperlink w:anchor="__RefHeading___Toc5447047_3224264995">
            <w:r>
              <w:rPr>
                <w:webHidden/>
                <w:rStyle w:val="IndexLink"/>
                <w:rtl w:val="true"/>
              </w:rPr>
              <w:t>روایة الحارث ابن المغیرة</w:t>
            </w:r>
            <w:r>
              <w:rPr>
                <w:rStyle w:val="IndexLink"/>
                <w:rtl w:val="true"/>
              </w:rPr>
              <w:tab/>
            </w:r>
            <w:r>
              <w:rPr>
                <w:rStyle w:val="IndexLink"/>
              </w:rPr>
              <w:t>313</w:t>
            </w:r>
          </w:hyperlink>
        </w:p>
        <w:p>
          <w:pPr>
            <w:pStyle w:val="Contents6"/>
            <w:tabs>
              <w:tab w:val="clear" w:pos="7609"/>
              <w:tab w:val="right" w:pos="9026" w:leader="dot"/>
            </w:tabs>
            <w:rPr/>
          </w:pPr>
          <w:hyperlink w:anchor="__RefHeading___Toc5447049_3224264995">
            <w:r>
              <w:rPr>
                <w:webHidden/>
                <w:rStyle w:val="IndexLink"/>
                <w:rtl w:val="true"/>
              </w:rPr>
              <w:t>ما دلّ علی إرجاع آحاد الرواة إلی آحاد أصحاب</w:t>
            </w:r>
            <w:r>
              <w:rPr>
                <w:rStyle w:val="IndexLink"/>
                <w:rtl w:val="true"/>
              </w:rPr>
              <w:tab/>
            </w:r>
            <w:r>
              <w:rPr>
                <w:rStyle w:val="IndexLink"/>
              </w:rPr>
              <w:t>314</w:t>
            </w:r>
          </w:hyperlink>
        </w:p>
        <w:p>
          <w:pPr>
            <w:pStyle w:val="Contents6"/>
            <w:tabs>
              <w:tab w:val="clear" w:pos="7609"/>
              <w:tab w:val="right" w:pos="9026" w:leader="dot"/>
            </w:tabs>
            <w:rPr/>
          </w:pPr>
          <w:hyperlink w:anchor="__RefHeading___Toc5447051_3224264995">
            <w:r>
              <w:rPr>
                <w:webHidden/>
                <w:rStyle w:val="IndexLink"/>
                <w:rtl w:val="true"/>
              </w:rPr>
              <w:t>الارجاع الی زرارة</w:t>
            </w:r>
            <w:r>
              <w:rPr>
                <w:rStyle w:val="IndexLink"/>
                <w:rtl w:val="true"/>
              </w:rPr>
              <w:tab/>
            </w:r>
            <w:r>
              <w:rPr>
                <w:rStyle w:val="IndexLink"/>
              </w:rPr>
              <w:t>314</w:t>
            </w:r>
          </w:hyperlink>
        </w:p>
        <w:p>
          <w:pPr>
            <w:pStyle w:val="Contents6"/>
            <w:tabs>
              <w:tab w:val="clear" w:pos="7609"/>
              <w:tab w:val="right" w:pos="9026" w:leader="dot"/>
            </w:tabs>
            <w:rPr/>
          </w:pPr>
          <w:hyperlink w:anchor="__RefHeading___Toc5447053_3224264995">
            <w:r>
              <w:rPr>
                <w:webHidden/>
                <w:rStyle w:val="IndexLink"/>
                <w:rtl w:val="true"/>
              </w:rPr>
              <w:t>الارجاع الی محمد بن مسلم</w:t>
            </w:r>
            <w:r>
              <w:rPr>
                <w:rStyle w:val="IndexLink"/>
                <w:rtl w:val="true"/>
              </w:rPr>
              <w:tab/>
            </w:r>
            <w:r>
              <w:rPr>
                <w:rStyle w:val="IndexLink"/>
              </w:rPr>
              <w:t>314</w:t>
            </w:r>
          </w:hyperlink>
        </w:p>
        <w:p>
          <w:pPr>
            <w:pStyle w:val="Contents6"/>
            <w:tabs>
              <w:tab w:val="clear" w:pos="7609"/>
              <w:tab w:val="right" w:pos="9026" w:leader="dot"/>
            </w:tabs>
            <w:rPr/>
          </w:pPr>
          <w:hyperlink w:anchor="__RefHeading___Toc5447055_3224264995">
            <w:r>
              <w:rPr>
                <w:webHidden/>
                <w:rStyle w:val="IndexLink"/>
                <w:rtl w:val="true"/>
              </w:rPr>
              <w:t>لارجاع الی ابان بن تغاب</w:t>
            </w:r>
            <w:r>
              <w:rPr>
                <w:rStyle w:val="IndexLink"/>
                <w:rtl w:val="true"/>
              </w:rPr>
              <w:tab/>
            </w:r>
            <w:r>
              <w:rPr>
                <w:rStyle w:val="IndexLink"/>
              </w:rPr>
              <w:t>314</w:t>
            </w:r>
          </w:hyperlink>
        </w:p>
        <w:p>
          <w:pPr>
            <w:pStyle w:val="Contents6"/>
            <w:tabs>
              <w:tab w:val="clear" w:pos="7609"/>
              <w:tab w:val="right" w:pos="9026" w:leader="dot"/>
            </w:tabs>
            <w:rPr/>
          </w:pPr>
          <w:hyperlink w:anchor="__RefHeading___Toc5447057_3224264995">
            <w:r>
              <w:rPr>
                <w:webHidden/>
                <w:rStyle w:val="IndexLink"/>
                <w:rtl w:val="true"/>
              </w:rPr>
              <w:t>لارجاع الی ابی بصیر</w:t>
            </w:r>
            <w:r>
              <w:rPr>
                <w:rStyle w:val="IndexLink"/>
                <w:rtl w:val="true"/>
              </w:rPr>
              <w:tab/>
            </w:r>
            <w:r>
              <w:rPr>
                <w:rStyle w:val="IndexLink"/>
              </w:rPr>
              <w:t>315</w:t>
            </w:r>
          </w:hyperlink>
        </w:p>
        <w:p>
          <w:pPr>
            <w:pStyle w:val="Contents6"/>
            <w:tabs>
              <w:tab w:val="clear" w:pos="7609"/>
              <w:tab w:val="right" w:pos="9026" w:leader="dot"/>
            </w:tabs>
            <w:rPr/>
          </w:pPr>
          <w:hyperlink w:anchor="__RefHeading___Toc5447059_3224264995">
            <w:r>
              <w:rPr>
                <w:webHidden/>
                <w:rStyle w:val="IndexLink"/>
                <w:rtl w:val="true"/>
              </w:rPr>
              <w:t>لارجاع الی زکریا بن آدم</w:t>
            </w:r>
            <w:r>
              <w:rPr>
                <w:rStyle w:val="IndexLink"/>
                <w:rtl w:val="true"/>
              </w:rPr>
              <w:tab/>
            </w:r>
            <w:r>
              <w:rPr>
                <w:rStyle w:val="IndexLink"/>
              </w:rPr>
              <w:t>315</w:t>
            </w:r>
          </w:hyperlink>
        </w:p>
        <w:p>
          <w:pPr>
            <w:pStyle w:val="Contents6"/>
            <w:tabs>
              <w:tab w:val="clear" w:pos="7609"/>
              <w:tab w:val="right" w:pos="9026" w:leader="dot"/>
            </w:tabs>
            <w:rPr/>
          </w:pPr>
          <w:hyperlink w:anchor="__RefHeading___Toc5447061_3224264995">
            <w:r>
              <w:rPr>
                <w:webHidden/>
                <w:rStyle w:val="IndexLink"/>
                <w:rtl w:val="true"/>
              </w:rPr>
              <w:t>لارجاع الی یونس ابن عبد الرحمن</w:t>
            </w:r>
            <w:r>
              <w:rPr>
                <w:rStyle w:val="IndexLink"/>
                <w:rtl w:val="true"/>
              </w:rPr>
              <w:tab/>
            </w:r>
            <w:r>
              <w:rPr>
                <w:rStyle w:val="IndexLink"/>
              </w:rPr>
              <w:t>315</w:t>
            </w:r>
          </w:hyperlink>
        </w:p>
        <w:p>
          <w:pPr>
            <w:pStyle w:val="Contents6"/>
            <w:tabs>
              <w:tab w:val="clear" w:pos="7609"/>
              <w:tab w:val="right" w:pos="9026" w:leader="dot"/>
            </w:tabs>
            <w:rPr/>
          </w:pPr>
          <w:hyperlink w:anchor="__RefHeading___Toc5447063_3224264995">
            <w:r>
              <w:rPr>
                <w:webHidden/>
                <w:rStyle w:val="IndexLink"/>
                <w:rtl w:val="true"/>
              </w:rPr>
              <w:t>لارجاع الی العمریّ وابنه</w:t>
            </w:r>
            <w:r>
              <w:rPr>
                <w:rStyle w:val="IndexLink"/>
                <w:rtl w:val="true"/>
              </w:rPr>
              <w:tab/>
            </w:r>
            <w:r>
              <w:rPr>
                <w:rStyle w:val="IndexLink"/>
              </w:rPr>
              <w:t>316</w:t>
            </w:r>
          </w:hyperlink>
        </w:p>
        <w:p>
          <w:pPr>
            <w:pStyle w:val="Contents6"/>
            <w:tabs>
              <w:tab w:val="clear" w:pos="7609"/>
              <w:tab w:val="right" w:pos="9026" w:leader="dot"/>
            </w:tabs>
            <w:rPr/>
          </w:pPr>
          <w:hyperlink w:anchor="__RefHeading___Toc5447065_3224264995">
            <w:r>
              <w:rPr>
                <w:webHidden/>
                <w:rStyle w:val="IndexLink"/>
              </w:rPr>
              <w:t>3</w:t>
            </w:r>
            <w:r>
              <w:rPr>
                <w:rStyle w:val="IndexLink"/>
                <w:rtl w:val="true"/>
              </w:rPr>
              <w:t>-</w:t>
            </w:r>
            <w:r>
              <w:rPr>
                <w:rStyle w:val="IndexLink"/>
                <w:rtl w:val="true"/>
              </w:rPr>
              <w:t>ما دلّ علی وجوب الرجوع إلی الرواة و الثقات و العلماء</w:t>
            </w:r>
            <w:r>
              <w:rPr>
                <w:rStyle w:val="IndexLink"/>
                <w:rtl w:val="true"/>
              </w:rPr>
              <w:t>:</w:t>
            </w:r>
            <w:r>
              <w:rPr>
                <w:rStyle w:val="IndexLink"/>
                <w:rtl w:val="true"/>
              </w:rPr>
              <w:t>روایة اسحاق ابن یعقوب</w:t>
            </w:r>
            <w:r>
              <w:rPr>
                <w:rStyle w:val="IndexLink"/>
                <w:rtl w:val="true"/>
              </w:rPr>
              <w:tab/>
            </w:r>
            <w:r>
              <w:rPr>
                <w:rStyle w:val="IndexLink"/>
              </w:rPr>
              <w:t>316</w:t>
            </w:r>
          </w:hyperlink>
        </w:p>
        <w:p>
          <w:pPr>
            <w:pStyle w:val="Contents6"/>
            <w:tabs>
              <w:tab w:val="clear" w:pos="7609"/>
              <w:tab w:val="right" w:pos="9026" w:leader="dot"/>
            </w:tabs>
            <w:rPr/>
          </w:pPr>
          <w:hyperlink w:anchor="__RefHeading___Toc5447067_3224264995">
            <w:r>
              <w:rPr>
                <w:webHidden/>
                <w:rStyle w:val="IndexLink"/>
                <w:rtl w:val="true"/>
              </w:rPr>
              <w:t>روایة العدة</w:t>
            </w:r>
            <w:r>
              <w:rPr>
                <w:rStyle w:val="IndexLink"/>
                <w:rtl w:val="true"/>
              </w:rPr>
              <w:tab/>
            </w:r>
            <w:r>
              <w:rPr>
                <w:rStyle w:val="IndexLink"/>
              </w:rPr>
              <w:t>317</w:t>
            </w:r>
          </w:hyperlink>
        </w:p>
        <w:p>
          <w:pPr>
            <w:pStyle w:val="Contents6"/>
            <w:tabs>
              <w:tab w:val="clear" w:pos="7609"/>
              <w:tab w:val="right" w:pos="9026" w:leader="dot"/>
            </w:tabs>
            <w:rPr/>
          </w:pPr>
          <w:hyperlink w:anchor="__RefHeading___Toc5447069_3224264995">
            <w:r>
              <w:rPr>
                <w:webHidden/>
                <w:rStyle w:val="IndexLink"/>
                <w:rtl w:val="true"/>
              </w:rPr>
              <w:t>روایة الحتجاج فی تفسیرآیة و منهم امیون</w:t>
            </w:r>
            <w:r>
              <w:rPr>
                <w:rStyle w:val="IndexLink"/>
                <w:rtl w:val="true"/>
              </w:rPr>
              <w:t>...</w:t>
              <w:tab/>
            </w:r>
            <w:r>
              <w:rPr>
                <w:rStyle w:val="IndexLink"/>
              </w:rPr>
              <w:t>317</w:t>
            </w:r>
          </w:hyperlink>
        </w:p>
        <w:p>
          <w:pPr>
            <w:pStyle w:val="Contents6"/>
            <w:tabs>
              <w:tab w:val="clear" w:pos="7609"/>
              <w:tab w:val="right" w:pos="9026" w:leader="dot"/>
            </w:tabs>
            <w:rPr/>
          </w:pPr>
          <w:hyperlink w:anchor="__RefHeading___Toc5447071_3224264995">
            <w:r>
              <w:rPr>
                <w:webHidden/>
                <w:rStyle w:val="IndexLink"/>
                <w:rtl w:val="true"/>
              </w:rPr>
              <w:t>روایة اخری</w:t>
            </w:r>
            <w:r>
              <w:rPr>
                <w:rStyle w:val="IndexLink"/>
                <w:rtl w:val="true"/>
              </w:rPr>
              <w:tab/>
            </w:r>
            <w:r>
              <w:rPr>
                <w:rStyle w:val="IndexLink"/>
              </w:rPr>
              <w:t>320</w:t>
            </w:r>
          </w:hyperlink>
        </w:p>
        <w:p>
          <w:pPr>
            <w:pStyle w:val="Contents6"/>
            <w:tabs>
              <w:tab w:val="clear" w:pos="7609"/>
              <w:tab w:val="right" w:pos="9026" w:leader="dot"/>
            </w:tabs>
            <w:rPr/>
          </w:pPr>
          <w:hyperlink w:anchor="__RefHeading___Toc5447073_3224264995">
            <w:r>
              <w:rPr>
                <w:webHidden/>
                <w:rStyle w:val="IndexLink"/>
                <w:rtl w:val="true"/>
              </w:rPr>
              <w:t>روایة الحسین ابن روح</w:t>
            </w:r>
            <w:r>
              <w:rPr>
                <w:rStyle w:val="IndexLink"/>
                <w:rtl w:val="true"/>
              </w:rPr>
              <w:tab/>
            </w:r>
            <w:r>
              <w:rPr>
                <w:rStyle w:val="IndexLink"/>
              </w:rPr>
              <w:t>320</w:t>
            </w:r>
          </w:hyperlink>
        </w:p>
        <w:p>
          <w:pPr>
            <w:pStyle w:val="Contents6"/>
            <w:tabs>
              <w:tab w:val="clear" w:pos="7609"/>
              <w:tab w:val="right" w:pos="9026" w:leader="dot"/>
            </w:tabs>
            <w:rPr/>
          </w:pPr>
          <w:hyperlink w:anchor="__RefHeading___Toc5447075_3224264995">
            <w:r>
              <w:rPr>
                <w:webHidden/>
                <w:rStyle w:val="IndexLink"/>
                <w:rtl w:val="true"/>
              </w:rPr>
              <w:t>روایة المحاسن</w:t>
            </w:r>
            <w:r>
              <w:rPr>
                <w:rStyle w:val="IndexLink"/>
                <w:rtl w:val="true"/>
              </w:rPr>
              <w:tab/>
            </w:r>
            <w:r>
              <w:rPr>
                <w:rStyle w:val="IndexLink"/>
              </w:rPr>
              <w:t>321</w:t>
            </w:r>
          </w:hyperlink>
        </w:p>
        <w:p>
          <w:pPr>
            <w:pStyle w:val="Contents6"/>
            <w:tabs>
              <w:tab w:val="clear" w:pos="7609"/>
              <w:tab w:val="right" w:pos="9026" w:leader="dot"/>
            </w:tabs>
            <w:rPr/>
          </w:pPr>
          <w:hyperlink w:anchor="__RefHeading___Toc5447077_3224264995">
            <w:r>
              <w:rPr>
                <w:webHidden/>
                <w:rStyle w:val="IndexLink"/>
                <w:rtl w:val="true"/>
              </w:rPr>
              <w:t>روایة الکشی</w:t>
            </w:r>
            <w:r>
              <w:rPr>
                <w:rStyle w:val="IndexLink"/>
                <w:rtl w:val="true"/>
              </w:rPr>
              <w:tab/>
            </w:r>
            <w:r>
              <w:rPr>
                <w:rStyle w:val="IndexLink"/>
              </w:rPr>
              <w:t>321</w:t>
            </w:r>
          </w:hyperlink>
        </w:p>
        <w:p>
          <w:pPr>
            <w:pStyle w:val="Contents6"/>
            <w:tabs>
              <w:tab w:val="clear" w:pos="7609"/>
              <w:tab w:val="right" w:pos="9026" w:leader="dot"/>
            </w:tabs>
            <w:rPr/>
          </w:pPr>
          <w:hyperlink w:anchor="__RefHeading___Toc5447079_3224264995">
            <w:r>
              <w:rPr>
                <w:webHidden/>
                <w:rStyle w:val="IndexLink"/>
                <w:rtl w:val="true"/>
              </w:rPr>
              <w:t>مرفوعة الکنانی</w:t>
            </w:r>
            <w:r>
              <w:rPr>
                <w:rStyle w:val="IndexLink"/>
                <w:rtl w:val="true"/>
              </w:rPr>
              <w:tab/>
            </w:r>
            <w:r>
              <w:rPr>
                <w:rStyle w:val="IndexLink"/>
              </w:rPr>
              <w:t>321</w:t>
            </w:r>
          </w:hyperlink>
        </w:p>
        <w:p>
          <w:pPr>
            <w:pStyle w:val="Contents6"/>
            <w:tabs>
              <w:tab w:val="clear" w:pos="7609"/>
              <w:tab w:val="right" w:pos="9026" w:leader="dot"/>
            </w:tabs>
            <w:rPr/>
          </w:pPr>
          <w:hyperlink w:anchor="__RefHeading___Toc5447081_3224264995">
            <w:r>
              <w:rPr>
                <w:webHidden/>
                <w:rStyle w:val="IndexLink"/>
              </w:rPr>
              <w:t>4</w:t>
            </w:r>
            <w:r>
              <w:rPr>
                <w:rStyle w:val="IndexLink"/>
                <w:rtl w:val="true"/>
              </w:rPr>
              <w:t>-</w:t>
            </w:r>
            <w:r>
              <w:rPr>
                <w:rStyle w:val="IndexLink"/>
                <w:rtl w:val="true"/>
              </w:rPr>
              <w:t>مایظهر منها جواز العمل بالخبر الواحد</w:t>
            </w:r>
            <w:r>
              <w:rPr>
                <w:rStyle w:val="IndexLink"/>
                <w:rtl w:val="true"/>
              </w:rPr>
              <w:tab/>
            </w:r>
            <w:r>
              <w:rPr>
                <w:rStyle w:val="IndexLink"/>
              </w:rPr>
              <w:t>322</w:t>
            </w:r>
          </w:hyperlink>
        </w:p>
        <w:p>
          <w:pPr>
            <w:pStyle w:val="Contents6"/>
            <w:tabs>
              <w:tab w:val="clear" w:pos="7609"/>
              <w:tab w:val="right" w:pos="9026" w:leader="dot"/>
            </w:tabs>
            <w:rPr/>
          </w:pPr>
          <w:hyperlink w:anchor="__RefHeading___Toc5447083_3224264995">
            <w:r>
              <w:rPr>
                <w:webHidden/>
                <w:rStyle w:val="IndexLink"/>
                <w:rtl w:val="true"/>
              </w:rPr>
              <w:t>القدر المتیقّن من الأخبار اعتبار الوثاقة</w:t>
            </w:r>
            <w:r>
              <w:rPr>
                <w:rStyle w:val="IndexLink"/>
                <w:rtl w:val="true"/>
              </w:rPr>
              <w:t>:</w:t>
              <w:tab/>
            </w:r>
            <w:r>
              <w:rPr>
                <w:rStyle w:val="IndexLink"/>
              </w:rPr>
              <w:t>324</w:t>
            </w:r>
          </w:hyperlink>
        </w:p>
        <w:p>
          <w:pPr>
            <w:pStyle w:val="Contents6"/>
            <w:tabs>
              <w:tab w:val="clear" w:pos="7609"/>
              <w:tab w:val="right" w:pos="9026" w:leader="dot"/>
            </w:tabs>
            <w:rPr/>
          </w:pPr>
          <w:hyperlink w:anchor="__RefHeading___Toc5447085_3224264995">
            <w:r>
              <w:rPr>
                <w:webHidden/>
                <w:rStyle w:val="IndexLink"/>
                <w:rtl w:val="true"/>
              </w:rPr>
              <w:t>عدم اعتبار العدالة</w:t>
            </w:r>
            <w:r>
              <w:rPr>
                <w:rStyle w:val="IndexLink"/>
                <w:rtl w:val="true"/>
              </w:rPr>
              <w:t>:</w:t>
              <w:tab/>
            </w:r>
            <w:r>
              <w:rPr>
                <w:rStyle w:val="IndexLink"/>
              </w:rPr>
              <w:t>324</w:t>
            </w:r>
          </w:hyperlink>
        </w:p>
        <w:p>
          <w:pPr>
            <w:pStyle w:val="Contents6"/>
            <w:tabs>
              <w:tab w:val="clear" w:pos="7609"/>
              <w:tab w:val="right" w:pos="9026" w:leader="dot"/>
            </w:tabs>
            <w:rPr/>
          </w:pPr>
          <w:hyperlink w:anchor="__RefHeading___Toc5447087_3224264995">
            <w:r>
              <w:rPr>
                <w:webHidden/>
                <w:rStyle w:val="IndexLink"/>
                <w:rtl w:val="true"/>
              </w:rPr>
              <w:t>الاستدلال علی حجیّة الخبر الواحد بالإجماع من وجوه</w:t>
            </w:r>
            <w:r>
              <w:rPr>
                <w:rStyle w:val="IndexLink"/>
                <w:rtl w:val="true"/>
              </w:rPr>
              <w:t>:</w:t>
              <w:tab/>
            </w:r>
            <w:r>
              <w:rPr>
                <w:rStyle w:val="IndexLink"/>
              </w:rPr>
              <w:t>326</w:t>
            </w:r>
          </w:hyperlink>
        </w:p>
        <w:p>
          <w:pPr>
            <w:pStyle w:val="Contents6"/>
            <w:tabs>
              <w:tab w:val="clear" w:pos="7609"/>
              <w:tab w:val="right" w:pos="9026" w:leader="dot"/>
            </w:tabs>
            <w:rPr/>
          </w:pPr>
          <w:hyperlink w:anchor="__RefHeading___Toc5447089_3224264995">
            <w:r>
              <w:rPr>
                <w:webHidden/>
                <w:rStyle w:val="IndexLink"/>
              </w:rPr>
              <w:t>1</w:t>
            </w:r>
            <w:r>
              <w:rPr>
                <w:rStyle w:val="IndexLink"/>
                <w:rtl w:val="true"/>
              </w:rPr>
              <w:t>-</w:t>
            </w:r>
            <w:r>
              <w:rPr>
                <w:rStyle w:val="IndexLink"/>
                <w:rtl w:val="true"/>
              </w:rPr>
              <w:t>الاجماع فی مقابل السید و اتباعه و تحصیله بطریقین</w:t>
            </w:r>
            <w:r>
              <w:rPr>
                <w:rStyle w:val="IndexLink"/>
                <w:rtl w:val="true"/>
              </w:rPr>
              <w:tab/>
            </w:r>
            <w:r>
              <w:rPr>
                <w:rStyle w:val="IndexLink"/>
              </w:rPr>
              <w:t>326</w:t>
            </w:r>
          </w:hyperlink>
        </w:p>
        <w:p>
          <w:pPr>
            <w:pStyle w:val="Contents6"/>
            <w:tabs>
              <w:tab w:val="clear" w:pos="7609"/>
              <w:tab w:val="right" w:pos="9026" w:leader="dot"/>
            </w:tabs>
            <w:rPr/>
          </w:pPr>
          <w:hyperlink w:anchor="__RefHeading___Toc5447091_3224264995">
            <w:r>
              <w:rPr>
                <w:webHidden/>
                <w:rStyle w:val="IndexLink"/>
                <w:rtl w:val="true"/>
              </w:rPr>
              <w:t>أ</w:t>
            </w:r>
            <w:r>
              <w:rPr>
                <w:rStyle w:val="IndexLink"/>
                <w:rtl w:val="true"/>
              </w:rPr>
              <w:t>:</w:t>
            </w:r>
            <w:r>
              <w:rPr>
                <w:rStyle w:val="IndexLink"/>
                <w:rtl w:val="true"/>
              </w:rPr>
              <w:t>تتبّع أقوال العلماء</w:t>
            </w:r>
            <w:r>
              <w:rPr>
                <w:rStyle w:val="IndexLink"/>
                <w:rtl w:val="true"/>
              </w:rPr>
              <w:tab/>
            </w:r>
            <w:r>
              <w:rPr>
                <w:rStyle w:val="IndexLink"/>
              </w:rPr>
              <w:t>326</w:t>
            </w:r>
          </w:hyperlink>
        </w:p>
        <w:p>
          <w:pPr>
            <w:pStyle w:val="Contents6"/>
            <w:tabs>
              <w:tab w:val="clear" w:pos="7609"/>
              <w:tab w:val="right" w:pos="9026" w:leader="dot"/>
            </w:tabs>
            <w:rPr/>
          </w:pPr>
          <w:hyperlink w:anchor="__RefHeading___Toc5447093_3224264995">
            <w:r>
              <w:rPr>
                <w:webHidden/>
                <w:rStyle w:val="IndexLink"/>
                <w:rtl w:val="true"/>
              </w:rPr>
              <w:t>ب</w:t>
            </w:r>
            <w:r>
              <w:rPr>
                <w:rStyle w:val="IndexLink"/>
                <w:rtl w:val="true"/>
              </w:rPr>
              <w:t>:</w:t>
            </w:r>
            <w:r>
              <w:rPr>
                <w:rStyle w:val="IndexLink"/>
                <w:rtl w:val="true"/>
              </w:rPr>
              <w:t>تتبّع الإجماعات المنقولة علی الحجیة</w:t>
            </w:r>
            <w:r>
              <w:rPr>
                <w:rStyle w:val="IndexLink"/>
                <w:rtl w:val="true"/>
              </w:rPr>
              <w:tab/>
            </w:r>
            <w:r>
              <w:rPr>
                <w:rStyle w:val="IndexLink"/>
              </w:rPr>
              <w:t>326</w:t>
            </w:r>
          </w:hyperlink>
        </w:p>
        <w:p>
          <w:pPr>
            <w:pStyle w:val="Contents6"/>
            <w:tabs>
              <w:tab w:val="clear" w:pos="7609"/>
              <w:tab w:val="right" w:pos="9026" w:leader="dot"/>
            </w:tabs>
            <w:rPr/>
          </w:pPr>
          <w:hyperlink w:anchor="__RefHeading___Toc5447095_3224264995">
            <w:r>
              <w:rPr>
                <w:webHidden/>
                <w:rStyle w:val="IndexLink"/>
                <w:rtl w:val="true"/>
              </w:rPr>
              <w:t>دعوی الشیخ الطوسی الإجماع علی حجیّة الخبر الواحد</w:t>
            </w:r>
            <w:r>
              <w:rPr>
                <w:rStyle w:val="IndexLink"/>
                <w:rtl w:val="true"/>
              </w:rPr>
              <w:tab/>
            </w:r>
            <w:r>
              <w:rPr>
                <w:rStyle w:val="IndexLink"/>
              </w:rPr>
              <w:t>327</w:t>
            </w:r>
          </w:hyperlink>
        </w:p>
        <w:p>
          <w:pPr>
            <w:pStyle w:val="Contents6"/>
            <w:tabs>
              <w:tab w:val="clear" w:pos="7609"/>
              <w:tab w:val="right" w:pos="9026" w:leader="dot"/>
            </w:tabs>
            <w:rPr/>
          </w:pPr>
          <w:hyperlink w:anchor="__RefHeading___Toc5447097_3224264995">
            <w:r>
              <w:rPr>
                <w:webHidden/>
                <w:rStyle w:val="IndexLink"/>
                <w:rtl w:val="true"/>
              </w:rPr>
              <w:t>المناقشة فیما ذکره صاحب المعالم</w:t>
            </w:r>
            <w:r>
              <w:rPr>
                <w:rStyle w:val="IndexLink"/>
                <w:rtl w:val="true"/>
              </w:rPr>
              <w:tab/>
            </w:r>
            <w:r>
              <w:rPr>
                <w:rStyle w:val="IndexLink"/>
              </w:rPr>
              <w:t>336</w:t>
            </w:r>
          </w:hyperlink>
        </w:p>
        <w:p>
          <w:pPr>
            <w:pStyle w:val="Contents6"/>
            <w:tabs>
              <w:tab w:val="clear" w:pos="7609"/>
              <w:tab w:val="right" w:pos="9026" w:leader="dot"/>
            </w:tabs>
            <w:rPr/>
          </w:pPr>
          <w:hyperlink w:anchor="__RefHeading___Toc5447099_3224264995">
            <w:r>
              <w:rPr>
                <w:webHidden/>
                <w:rStyle w:val="IndexLink"/>
                <w:rtl w:val="true"/>
              </w:rPr>
              <w:t>کلام المحدث الاسترابادی فی موافقة الشیخ السید المرتضی</w:t>
            </w:r>
            <w:r>
              <w:rPr>
                <w:rStyle w:val="IndexLink"/>
                <w:rtl w:val="true"/>
              </w:rPr>
              <w:tab/>
            </w:r>
            <w:r>
              <w:rPr>
                <w:rStyle w:val="IndexLink"/>
              </w:rPr>
              <w:t>336</w:t>
            </w:r>
          </w:hyperlink>
        </w:p>
        <w:p>
          <w:pPr>
            <w:pStyle w:val="Contents6"/>
            <w:tabs>
              <w:tab w:val="clear" w:pos="7609"/>
              <w:tab w:val="right" w:pos="9026" w:leader="dot"/>
            </w:tabs>
            <w:rPr/>
          </w:pPr>
          <w:hyperlink w:anchor="__RefHeading___Toc5447101_3224264995">
            <w:r>
              <w:rPr>
                <w:webHidden/>
                <w:rStyle w:val="IndexLink"/>
                <w:rtl w:val="true"/>
              </w:rPr>
              <w:t>کلام الشیخ حسین الکرکی فی ذلک ایضا</w:t>
            </w:r>
            <w:r>
              <w:rPr>
                <w:rStyle w:val="IndexLink"/>
                <w:rtl w:val="true"/>
              </w:rPr>
              <w:tab/>
            </w:r>
            <w:r>
              <w:rPr>
                <w:rStyle w:val="IndexLink"/>
              </w:rPr>
              <w:t>336</w:t>
            </w:r>
          </w:hyperlink>
        </w:p>
        <w:p>
          <w:pPr>
            <w:pStyle w:val="Contents6"/>
            <w:tabs>
              <w:tab w:val="clear" w:pos="7609"/>
              <w:tab w:val="right" w:pos="9026" w:leader="dot"/>
            </w:tabs>
            <w:rPr/>
          </w:pPr>
          <w:hyperlink w:anchor="__RefHeading___Toc5447103_3224264995">
            <w:r>
              <w:rPr>
                <w:webHidden/>
                <w:rStyle w:val="IndexLink"/>
                <w:rtl w:val="true"/>
              </w:rPr>
              <w:t>المناقشة ما افاده المحدث الاستر ابادی و الشیخ الکرکی</w:t>
            </w:r>
            <w:r>
              <w:rPr>
                <w:rStyle w:val="IndexLink"/>
                <w:rtl w:val="true"/>
              </w:rPr>
              <w:tab/>
            </w:r>
            <w:r>
              <w:rPr>
                <w:rStyle w:val="IndexLink"/>
              </w:rPr>
              <w:t>337</w:t>
            </w:r>
          </w:hyperlink>
        </w:p>
        <w:p>
          <w:pPr>
            <w:pStyle w:val="Contents6"/>
            <w:tabs>
              <w:tab w:val="clear" w:pos="7609"/>
              <w:tab w:val="right" w:pos="9026" w:leader="dot"/>
            </w:tabs>
            <w:rPr/>
          </w:pPr>
          <w:hyperlink w:anchor="__RefHeading___Toc5447105_3224264995">
            <w:r>
              <w:rPr>
                <w:webHidden/>
                <w:rStyle w:val="IndexLink"/>
                <w:rtl w:val="true"/>
              </w:rPr>
              <w:t>رجوع الی المناقشه فی کلام الشیخ الکرکی</w:t>
            </w:r>
            <w:r>
              <w:rPr>
                <w:rStyle w:val="IndexLink"/>
                <w:rtl w:val="true"/>
              </w:rPr>
              <w:tab/>
            </w:r>
            <w:r>
              <w:rPr>
                <w:rStyle w:val="IndexLink"/>
              </w:rPr>
              <w:t>340</w:t>
            </w:r>
          </w:hyperlink>
        </w:p>
        <w:p>
          <w:pPr>
            <w:pStyle w:val="Contents6"/>
            <w:tabs>
              <w:tab w:val="clear" w:pos="7609"/>
              <w:tab w:val="right" w:pos="9026" w:leader="dot"/>
            </w:tabs>
            <w:rPr/>
          </w:pPr>
          <w:hyperlink w:anchor="__RefHeading___Toc5447107_3224264995">
            <w:r>
              <w:rPr>
                <w:webHidden/>
                <w:rStyle w:val="IndexLink"/>
                <w:rtl w:val="true"/>
              </w:rPr>
              <w:t>عذر صاحب المعالم</w:t>
            </w:r>
            <w:r>
              <w:rPr>
                <w:rStyle w:val="IndexLink"/>
                <w:rtl w:val="true"/>
              </w:rPr>
              <w:tab/>
            </w:r>
            <w:r>
              <w:rPr>
                <w:rStyle w:val="IndexLink"/>
              </w:rPr>
              <w:t>342</w:t>
            </w:r>
          </w:hyperlink>
        </w:p>
        <w:p>
          <w:pPr>
            <w:pStyle w:val="Contents6"/>
            <w:tabs>
              <w:tab w:val="clear" w:pos="7609"/>
              <w:tab w:val="right" w:pos="9026" w:leader="dot"/>
            </w:tabs>
            <w:rPr/>
          </w:pPr>
          <w:hyperlink w:anchor="__RefHeading___Toc5447109_3224264995">
            <w:r>
              <w:rPr>
                <w:webHidden/>
                <w:rStyle w:val="IndexLink"/>
                <w:rtl w:val="true"/>
              </w:rPr>
              <w:t>التدافع بین دعوی السیّد و دعوی الشیخ</w:t>
            </w:r>
            <w:r>
              <w:rPr>
                <w:rStyle w:val="IndexLink"/>
                <w:rtl w:val="true"/>
              </w:rPr>
              <w:tab/>
            </w:r>
            <w:r>
              <w:rPr>
                <w:rStyle w:val="IndexLink"/>
              </w:rPr>
              <w:t>343</w:t>
            </w:r>
          </w:hyperlink>
        </w:p>
        <w:p>
          <w:pPr>
            <w:pStyle w:val="Contents6"/>
            <w:tabs>
              <w:tab w:val="clear" w:pos="7609"/>
              <w:tab w:val="right" w:pos="9026" w:leader="dot"/>
            </w:tabs>
            <w:rPr/>
          </w:pPr>
          <w:hyperlink w:anchor="__RefHeading___Toc5447111_3224264995">
            <w:r>
              <w:rPr>
                <w:webHidden/>
                <w:rStyle w:val="IndexLink"/>
                <w:rtl w:val="true"/>
              </w:rPr>
              <w:t>الجمع بین دعوی السیّد و الشیخ قدّس سرّهما</w:t>
            </w:r>
            <w:r>
              <w:rPr>
                <w:rStyle w:val="IndexLink"/>
                <w:rtl w:val="true"/>
              </w:rPr>
              <w:tab/>
            </w:r>
            <w:r>
              <w:rPr>
                <w:rStyle w:val="IndexLink"/>
              </w:rPr>
              <w:t>345</w:t>
            </w:r>
          </w:hyperlink>
        </w:p>
        <w:p>
          <w:pPr>
            <w:pStyle w:val="Contents6"/>
            <w:tabs>
              <w:tab w:val="clear" w:pos="7609"/>
              <w:tab w:val="right" w:pos="9026" w:leader="dot"/>
            </w:tabs>
            <w:rPr/>
          </w:pPr>
          <w:hyperlink w:anchor="__RefHeading___Toc5447113_3224264995">
            <w:r>
              <w:rPr>
                <w:webHidden/>
                <w:rStyle w:val="IndexLink"/>
                <w:rtl w:val="true"/>
              </w:rPr>
              <w:t>عدم صحّة هذا الجمع</w:t>
            </w:r>
            <w:r>
              <w:rPr>
                <w:rStyle w:val="IndexLink"/>
                <w:rtl w:val="true"/>
              </w:rPr>
              <w:tab/>
            </w:r>
            <w:r>
              <w:rPr>
                <w:rStyle w:val="IndexLink"/>
              </w:rPr>
              <w:t>345</w:t>
            </w:r>
          </w:hyperlink>
        </w:p>
        <w:p>
          <w:pPr>
            <w:pStyle w:val="Contents6"/>
            <w:tabs>
              <w:tab w:val="clear" w:pos="7609"/>
              <w:tab w:val="right" w:pos="9026" w:leader="dot"/>
            </w:tabs>
            <w:rPr/>
          </w:pPr>
          <w:hyperlink w:anchor="__RefHeading___Toc5447115_3224264995">
            <w:r>
              <w:rPr>
                <w:webHidden/>
                <w:rStyle w:val="IndexLink"/>
                <w:rtl w:val="true"/>
              </w:rPr>
              <w:t>الجمع بوجه آخر</w:t>
            </w:r>
            <w:r>
              <w:rPr>
                <w:rStyle w:val="IndexLink"/>
                <w:rtl w:val="true"/>
              </w:rPr>
              <w:t>:</w:t>
              <w:tab/>
            </w:r>
            <w:r>
              <w:rPr>
                <w:rStyle w:val="IndexLink"/>
              </w:rPr>
              <w:t>346</w:t>
            </w:r>
          </w:hyperlink>
        </w:p>
        <w:p>
          <w:pPr>
            <w:pStyle w:val="Contents6"/>
            <w:tabs>
              <w:tab w:val="clear" w:pos="7609"/>
              <w:tab w:val="right" w:pos="9026" w:leader="dot"/>
            </w:tabs>
            <w:rPr/>
          </w:pPr>
          <w:hyperlink w:anchor="__RefHeading___Toc5447117_3224264995">
            <w:r>
              <w:rPr>
                <w:webHidden/>
                <w:rStyle w:val="IndexLink"/>
                <w:rtl w:val="true"/>
              </w:rPr>
              <w:t>هذا الوجه أحسن الوجوه</w:t>
            </w:r>
            <w:r>
              <w:rPr>
                <w:rStyle w:val="IndexLink"/>
                <w:rtl w:val="true"/>
              </w:rPr>
              <w:t>:</w:t>
              <w:tab/>
            </w:r>
            <w:r>
              <w:rPr>
                <w:rStyle w:val="IndexLink"/>
              </w:rPr>
              <w:t>347</w:t>
            </w:r>
          </w:hyperlink>
        </w:p>
        <w:p>
          <w:pPr>
            <w:pStyle w:val="Contents6"/>
            <w:tabs>
              <w:tab w:val="clear" w:pos="7609"/>
              <w:tab w:val="right" w:pos="9026" w:leader="dot"/>
            </w:tabs>
            <w:rPr/>
          </w:pPr>
          <w:hyperlink w:anchor="__RefHeading___Toc5447119_3224264995">
            <w:r>
              <w:rPr>
                <w:webHidden/>
                <w:rStyle w:val="IndexLink"/>
                <w:rtl w:val="true"/>
              </w:rPr>
              <w:t>دعوی ابن طاووس الاجماع علی حجیة الخبر الواحد</w:t>
            </w:r>
            <w:r>
              <w:rPr>
                <w:rStyle w:val="IndexLink"/>
                <w:rtl w:val="true"/>
              </w:rPr>
              <w:tab/>
            </w:r>
            <w:r>
              <w:rPr>
                <w:rStyle w:val="IndexLink"/>
              </w:rPr>
              <w:t>347</w:t>
            </w:r>
          </w:hyperlink>
        </w:p>
        <w:p>
          <w:pPr>
            <w:pStyle w:val="Contents6"/>
            <w:tabs>
              <w:tab w:val="clear" w:pos="7609"/>
              <w:tab w:val="right" w:pos="9026" w:leader="dot"/>
            </w:tabs>
            <w:rPr/>
          </w:pPr>
          <w:hyperlink w:anchor="__RefHeading___Toc5447121_3224264995">
            <w:r>
              <w:rPr>
                <w:webHidden/>
                <w:rStyle w:val="IndexLink"/>
                <w:rtl w:val="true"/>
              </w:rPr>
              <w:t>دعوی العلامة الاجماع ایضا</w:t>
            </w:r>
            <w:r>
              <w:rPr>
                <w:rStyle w:val="IndexLink"/>
                <w:rtl w:val="true"/>
              </w:rPr>
              <w:tab/>
            </w:r>
            <w:r>
              <w:rPr>
                <w:rStyle w:val="IndexLink"/>
              </w:rPr>
              <w:t>348</w:t>
            </w:r>
          </w:hyperlink>
        </w:p>
        <w:p>
          <w:pPr>
            <w:pStyle w:val="Contents6"/>
            <w:tabs>
              <w:tab w:val="clear" w:pos="7609"/>
              <w:tab w:val="right" w:pos="9026" w:leader="dot"/>
            </w:tabs>
            <w:rPr/>
          </w:pPr>
          <w:hyperlink w:anchor="__RefHeading___Toc5447123_3224264995">
            <w:r>
              <w:rPr>
                <w:webHidden/>
                <w:rStyle w:val="IndexLink"/>
                <w:rtl w:val="true"/>
              </w:rPr>
              <w:t>دعوی المحدث الاجماع کذلک</w:t>
            </w:r>
            <w:r>
              <w:rPr>
                <w:rStyle w:val="IndexLink"/>
                <w:rtl w:val="true"/>
              </w:rPr>
              <w:tab/>
            </w:r>
            <w:r>
              <w:rPr>
                <w:rStyle w:val="IndexLink"/>
              </w:rPr>
              <w:t>348</w:t>
            </w:r>
          </w:hyperlink>
        </w:p>
        <w:p>
          <w:pPr>
            <w:pStyle w:val="Contents6"/>
            <w:tabs>
              <w:tab w:val="clear" w:pos="7609"/>
              <w:tab w:val="right" w:pos="9026" w:leader="dot"/>
            </w:tabs>
            <w:rPr/>
          </w:pPr>
          <w:hyperlink w:anchor="__RefHeading___Toc5447125_3224264995">
            <w:r>
              <w:rPr>
                <w:webHidden/>
                <w:rStyle w:val="IndexLink"/>
                <w:rtl w:val="true"/>
              </w:rPr>
              <w:t>اعتراف السیّد بعمل الطائفة بأخبار الآحاد</w:t>
            </w:r>
            <w:r>
              <w:rPr>
                <w:rStyle w:val="IndexLink"/>
                <w:rtl w:val="true"/>
              </w:rPr>
              <w:t>:</w:t>
              <w:tab/>
            </w:r>
            <w:r>
              <w:rPr>
                <w:rStyle w:val="IndexLink"/>
              </w:rPr>
              <w:t>349</w:t>
            </w:r>
          </w:hyperlink>
        </w:p>
        <w:p>
          <w:pPr>
            <w:pStyle w:val="Contents6"/>
            <w:tabs>
              <w:tab w:val="clear" w:pos="7609"/>
              <w:tab w:val="right" w:pos="9026" w:leader="dot"/>
            </w:tabs>
            <w:rPr/>
          </w:pPr>
          <w:hyperlink w:anchor="__RefHeading___Toc5447127_3224264995">
            <w:r>
              <w:rPr>
                <w:webHidden/>
                <w:rStyle w:val="IndexLink"/>
                <w:rtl w:val="true"/>
              </w:rPr>
              <w:t>کلام السید فی الموصلیات</w:t>
            </w:r>
            <w:r>
              <w:rPr>
                <w:rStyle w:val="IndexLink"/>
                <w:rtl w:val="true"/>
              </w:rPr>
              <w:tab/>
            </w:r>
            <w:r>
              <w:rPr>
                <w:rStyle w:val="IndexLink"/>
              </w:rPr>
              <w:t>350</w:t>
            </w:r>
          </w:hyperlink>
        </w:p>
        <w:p>
          <w:pPr>
            <w:pStyle w:val="Contents6"/>
            <w:tabs>
              <w:tab w:val="clear" w:pos="7609"/>
              <w:tab w:val="right" w:pos="9026" w:leader="dot"/>
            </w:tabs>
            <w:rPr/>
          </w:pPr>
          <w:hyperlink w:anchor="__RefHeading___Toc5447129_3224264995">
            <w:r>
              <w:rPr>
                <w:webHidden/>
                <w:rStyle w:val="IndexLink"/>
                <w:rtl w:val="true"/>
              </w:rPr>
              <w:t>القرائن علی صدق الإجماع المدّعی من الشیخ و العلامة</w:t>
            </w:r>
            <w:r>
              <w:rPr>
                <w:rStyle w:val="IndexLink"/>
                <w:rtl w:val="true"/>
              </w:rPr>
              <w:tab/>
            </w:r>
            <w:r>
              <w:rPr>
                <w:rStyle w:val="IndexLink"/>
              </w:rPr>
              <w:t>351</w:t>
            </w:r>
          </w:hyperlink>
        </w:p>
        <w:p>
          <w:pPr>
            <w:pStyle w:val="Contents6"/>
            <w:tabs>
              <w:tab w:val="clear" w:pos="7609"/>
              <w:tab w:val="right" w:pos="9026" w:leader="dot"/>
            </w:tabs>
            <w:rPr/>
          </w:pPr>
          <w:hyperlink w:anchor="__RefHeading___Toc5447131_3224264995">
            <w:r>
              <w:rPr>
                <w:webHidden/>
                <w:rStyle w:val="IndexLink"/>
              </w:rPr>
              <w:t>1</w:t>
            </w:r>
            <w:r>
              <w:rPr>
                <w:rStyle w:val="IndexLink"/>
                <w:rtl w:val="true"/>
              </w:rPr>
              <w:t>-</w:t>
            </w:r>
            <w:r>
              <w:rPr>
                <w:rStyle w:val="IndexLink"/>
                <w:rtl w:val="true"/>
              </w:rPr>
              <w:t>ما ادعاه الکشی</w:t>
            </w:r>
            <w:r>
              <w:rPr>
                <w:rStyle w:val="IndexLink"/>
                <w:rtl w:val="true"/>
              </w:rPr>
              <w:tab/>
            </w:r>
            <w:r>
              <w:rPr>
                <w:rStyle w:val="IndexLink"/>
              </w:rPr>
              <w:t>351</w:t>
            </w:r>
          </w:hyperlink>
        </w:p>
        <w:p>
          <w:pPr>
            <w:pStyle w:val="Contents6"/>
            <w:tabs>
              <w:tab w:val="clear" w:pos="7609"/>
              <w:tab w:val="right" w:pos="9026" w:leader="dot"/>
            </w:tabs>
            <w:rPr/>
          </w:pPr>
          <w:hyperlink w:anchor="__RefHeading___Toc5447133_3224264995">
            <w:r>
              <w:rPr>
                <w:webHidden/>
                <w:rStyle w:val="IndexLink"/>
              </w:rPr>
              <w:t>2</w:t>
            </w:r>
            <w:r>
              <w:rPr>
                <w:rStyle w:val="IndexLink"/>
                <w:rtl w:val="true"/>
              </w:rPr>
              <w:t>-</w:t>
            </w:r>
            <w:r>
              <w:rPr>
                <w:rStyle w:val="IndexLink"/>
                <w:rtl w:val="true"/>
              </w:rPr>
              <w:t>دعوی النجاشی</w:t>
            </w:r>
            <w:r>
              <w:rPr>
                <w:rStyle w:val="IndexLink"/>
                <w:rtl w:val="true"/>
              </w:rPr>
              <w:tab/>
            </w:r>
            <w:r>
              <w:rPr>
                <w:rStyle w:val="IndexLink"/>
              </w:rPr>
              <w:t>351</w:t>
            </w:r>
          </w:hyperlink>
        </w:p>
        <w:p>
          <w:pPr>
            <w:pStyle w:val="Contents6"/>
            <w:tabs>
              <w:tab w:val="clear" w:pos="7609"/>
              <w:tab w:val="right" w:pos="9026" w:leader="dot"/>
            </w:tabs>
            <w:rPr/>
          </w:pPr>
          <w:hyperlink w:anchor="__RefHeading___Toc5447135_3224264995">
            <w:r>
              <w:rPr>
                <w:webHidden/>
                <w:rStyle w:val="IndexLink"/>
              </w:rPr>
              <w:t>3</w:t>
            </w:r>
            <w:r>
              <w:rPr>
                <w:rStyle w:val="IndexLink"/>
                <w:rtl w:val="true"/>
              </w:rPr>
              <w:t>-</w:t>
            </w:r>
            <w:r>
              <w:rPr>
                <w:rStyle w:val="IndexLink"/>
                <w:rtl w:val="true"/>
              </w:rPr>
              <w:t>ما ذکره ابن ادریس قدس سره</w:t>
            </w:r>
            <w:r>
              <w:rPr>
                <w:rStyle w:val="IndexLink"/>
                <w:rtl w:val="true"/>
              </w:rPr>
              <w:tab/>
            </w:r>
            <w:r>
              <w:rPr>
                <w:rStyle w:val="IndexLink"/>
              </w:rPr>
              <w:t>352</w:t>
            </w:r>
          </w:hyperlink>
        </w:p>
        <w:p>
          <w:pPr>
            <w:pStyle w:val="Contents6"/>
            <w:tabs>
              <w:tab w:val="clear" w:pos="7609"/>
              <w:tab w:val="right" w:pos="9026" w:leader="dot"/>
            </w:tabs>
            <w:rPr/>
          </w:pPr>
          <w:hyperlink w:anchor="__RefHeading___Toc5447137_3224264995">
            <w:r>
              <w:rPr>
                <w:webHidden/>
                <w:rStyle w:val="IndexLink"/>
              </w:rPr>
              <w:t>4</w:t>
            </w:r>
            <w:r>
              <w:rPr>
                <w:rStyle w:val="IndexLink"/>
                <w:rtl w:val="true"/>
              </w:rPr>
              <w:t xml:space="preserve">- </w:t>
            </w:r>
            <w:r>
              <w:rPr>
                <w:rStyle w:val="IndexLink"/>
                <w:rtl w:val="true"/>
              </w:rPr>
              <w:t>ما ذکره المحقق قدس سره</w:t>
            </w:r>
            <w:r>
              <w:rPr>
                <w:rStyle w:val="IndexLink"/>
                <w:rtl w:val="true"/>
              </w:rPr>
              <w:tab/>
            </w:r>
            <w:r>
              <w:rPr>
                <w:rStyle w:val="IndexLink"/>
              </w:rPr>
              <w:t>353</w:t>
            </w:r>
          </w:hyperlink>
        </w:p>
        <w:p>
          <w:pPr>
            <w:pStyle w:val="Contents6"/>
            <w:tabs>
              <w:tab w:val="clear" w:pos="7609"/>
              <w:tab w:val="right" w:pos="9026" w:leader="dot"/>
            </w:tabs>
            <w:rPr/>
          </w:pPr>
          <w:hyperlink w:anchor="__RefHeading___Toc5447139_3224264995">
            <w:r>
              <w:rPr>
                <w:webHidden/>
                <w:rStyle w:val="IndexLink"/>
              </w:rPr>
              <w:t>5</w:t>
            </w:r>
            <w:r>
              <w:rPr>
                <w:rStyle w:val="IndexLink"/>
                <w:rtl w:val="true"/>
              </w:rPr>
              <w:t>-</w:t>
            </w:r>
            <w:r>
              <w:rPr>
                <w:rStyle w:val="IndexLink"/>
                <w:rtl w:val="true"/>
              </w:rPr>
              <w:t>ما ذکرة الشهید و المفید الثانی</w:t>
            </w:r>
            <w:r>
              <w:rPr>
                <w:rStyle w:val="IndexLink"/>
                <w:rtl w:val="true"/>
              </w:rPr>
              <w:tab/>
            </w:r>
            <w:r>
              <w:rPr>
                <w:rStyle w:val="IndexLink"/>
              </w:rPr>
              <w:t>354</w:t>
            </w:r>
          </w:hyperlink>
        </w:p>
        <w:p>
          <w:pPr>
            <w:pStyle w:val="Contents6"/>
            <w:tabs>
              <w:tab w:val="clear" w:pos="7609"/>
              <w:tab w:val="right" w:pos="9026" w:leader="dot"/>
            </w:tabs>
            <w:rPr/>
          </w:pPr>
          <w:hyperlink w:anchor="__RefHeading___Toc5447141_3224264995">
            <w:r>
              <w:rPr>
                <w:webHidden/>
                <w:rStyle w:val="IndexLink"/>
              </w:rPr>
              <w:t>6</w:t>
            </w:r>
            <w:r>
              <w:rPr>
                <w:rStyle w:val="IndexLink"/>
                <w:rtl w:val="true"/>
              </w:rPr>
              <w:t>-</w:t>
            </w:r>
            <w:r>
              <w:rPr>
                <w:rStyle w:val="IndexLink"/>
                <w:rtl w:val="true"/>
              </w:rPr>
              <w:t>ما ذکره المحدث المجلسی</w:t>
            </w:r>
            <w:r>
              <w:rPr>
                <w:rStyle w:val="IndexLink"/>
                <w:rtl w:val="true"/>
              </w:rPr>
              <w:tab/>
            </w:r>
            <w:r>
              <w:rPr>
                <w:rStyle w:val="IndexLink"/>
              </w:rPr>
              <w:t>354</w:t>
            </w:r>
          </w:hyperlink>
        </w:p>
        <w:p>
          <w:pPr>
            <w:pStyle w:val="Contents6"/>
            <w:tabs>
              <w:tab w:val="clear" w:pos="7609"/>
              <w:tab w:val="right" w:pos="9026" w:leader="dot"/>
            </w:tabs>
            <w:rPr/>
          </w:pPr>
          <w:hyperlink w:anchor="__RefHeading___Toc5447143_3224264995">
            <w:r>
              <w:rPr>
                <w:webHidden/>
                <w:rStyle w:val="IndexLink"/>
              </w:rPr>
              <w:t>7</w:t>
            </w:r>
            <w:r>
              <w:rPr>
                <w:rStyle w:val="IndexLink"/>
                <w:rtl w:val="true"/>
              </w:rPr>
              <w:t>-</w:t>
            </w:r>
            <w:r>
              <w:rPr>
                <w:rStyle w:val="IndexLink"/>
                <w:rtl w:val="true"/>
              </w:rPr>
              <w:t>ما ذکره الشیخ البهائی</w:t>
            </w:r>
            <w:r>
              <w:rPr>
                <w:rStyle w:val="IndexLink"/>
                <w:rtl w:val="true"/>
              </w:rPr>
              <w:tab/>
            </w:r>
            <w:r>
              <w:rPr>
                <w:rStyle w:val="IndexLink"/>
              </w:rPr>
              <w:t>355</w:t>
            </w:r>
          </w:hyperlink>
        </w:p>
        <w:p>
          <w:pPr>
            <w:pStyle w:val="Contents6"/>
            <w:tabs>
              <w:tab w:val="clear" w:pos="7609"/>
              <w:tab w:val="right" w:pos="9026" w:leader="dot"/>
            </w:tabs>
            <w:rPr/>
          </w:pPr>
          <w:hyperlink w:anchor="__RefHeading___Toc5447145_3224264995">
            <w:r>
              <w:rPr>
                <w:webHidden/>
                <w:rStyle w:val="IndexLink"/>
                <w:rtl w:val="true"/>
              </w:rPr>
              <w:t>ذهاب معظم الأصحاب إلی حجیّة الخبر الواحد</w:t>
            </w:r>
            <w:r>
              <w:rPr>
                <w:rStyle w:val="IndexLink"/>
                <w:rtl w:val="true"/>
              </w:rPr>
              <w:t>:</w:t>
              <w:tab/>
            </w:r>
            <w:r>
              <w:rPr>
                <w:rStyle w:val="IndexLink"/>
              </w:rPr>
              <w:t>355</w:t>
            </w:r>
          </w:hyperlink>
        </w:p>
        <w:p>
          <w:pPr>
            <w:pStyle w:val="Contents6"/>
            <w:tabs>
              <w:tab w:val="clear" w:pos="7609"/>
              <w:tab w:val="right" w:pos="9026" w:leader="dot"/>
            </w:tabs>
            <w:rPr/>
          </w:pPr>
          <w:hyperlink w:anchor="__RefHeading___Toc5447147_3224264995">
            <w:r>
              <w:rPr>
                <w:webHidden/>
                <w:rStyle w:val="IndexLink"/>
                <w:rtl w:val="true"/>
              </w:rPr>
              <w:t>القدر المتیقّن هو الخبر المفید للاطمئنان</w:t>
            </w:r>
            <w:r>
              <w:rPr>
                <w:rStyle w:val="IndexLink"/>
                <w:rtl w:val="true"/>
              </w:rPr>
              <w:t>:</w:t>
              <w:tab/>
            </w:r>
            <w:r>
              <w:rPr>
                <w:rStyle w:val="IndexLink"/>
              </w:rPr>
              <w:t>356</w:t>
            </w:r>
          </w:hyperlink>
        </w:p>
        <w:p>
          <w:pPr>
            <w:pStyle w:val="Contents6"/>
            <w:tabs>
              <w:tab w:val="clear" w:pos="7609"/>
              <w:tab w:val="right" w:pos="9026" w:leader="dot"/>
            </w:tabs>
            <w:rPr/>
          </w:pPr>
          <w:hyperlink w:anchor="__RefHeading___Toc5447149_3224264995">
            <w:r>
              <w:rPr>
                <w:webHidden/>
                <w:rStyle w:val="IndexLink"/>
                <w:rtl w:val="true"/>
              </w:rPr>
              <w:t>کلام الفاضل القزوینی فی تفسیر الخبر الواحد</w:t>
            </w:r>
            <w:r>
              <w:rPr>
                <w:rStyle w:val="IndexLink"/>
                <w:rtl w:val="true"/>
              </w:rPr>
              <w:tab/>
            </w:r>
            <w:r>
              <w:rPr>
                <w:rStyle w:val="IndexLink"/>
              </w:rPr>
              <w:t>357</w:t>
            </w:r>
          </w:hyperlink>
        </w:p>
        <w:p>
          <w:pPr>
            <w:pStyle w:val="Contents6"/>
            <w:tabs>
              <w:tab w:val="clear" w:pos="7609"/>
              <w:tab w:val="right" w:pos="9026" w:leader="dot"/>
            </w:tabs>
            <w:rPr/>
          </w:pPr>
          <w:hyperlink w:anchor="__RefHeading___Toc5447151_3224264995">
            <w:r>
              <w:rPr>
                <w:webHidden/>
                <w:rStyle w:val="IndexLink"/>
                <w:rtl w:val="true"/>
              </w:rPr>
              <w:t>الثانی من وجوه تقریر الإجماع</w:t>
            </w:r>
            <w:r>
              <w:rPr>
                <w:rStyle w:val="IndexLink"/>
                <w:rtl w:val="true"/>
              </w:rPr>
              <w:t xml:space="preserve">: </w:t>
            </w:r>
            <w:r>
              <w:rPr>
                <w:rStyle w:val="IndexLink"/>
                <w:rtl w:val="true"/>
              </w:rPr>
              <w:t>الإجماع حتّی من السیّد و أتباعه علی العمل بخبر الواحد</w:t>
            </w:r>
            <w:r>
              <w:rPr>
                <w:rStyle w:val="IndexLink"/>
                <w:rtl w:val="true"/>
              </w:rPr>
              <w:tab/>
            </w:r>
            <w:r>
              <w:rPr>
                <w:rStyle w:val="IndexLink"/>
              </w:rPr>
              <w:t>357</w:t>
            </w:r>
          </w:hyperlink>
        </w:p>
        <w:p>
          <w:pPr>
            <w:pStyle w:val="Contents6"/>
            <w:tabs>
              <w:tab w:val="clear" w:pos="7609"/>
              <w:tab w:val="right" w:pos="9026" w:leader="dot"/>
            </w:tabs>
            <w:rPr/>
          </w:pPr>
          <w:hyperlink w:anchor="__RefHeading___Toc5447153_3224264995">
            <w:r>
              <w:rPr>
                <w:webHidden/>
                <w:rStyle w:val="IndexLink"/>
                <w:rtl w:val="true"/>
              </w:rPr>
              <w:t>الثالث من وجوه تقریر الإجماع</w:t>
            </w:r>
            <w:r>
              <w:rPr>
                <w:rStyle w:val="IndexLink"/>
                <w:rtl w:val="true"/>
              </w:rPr>
              <w:t xml:space="preserve">: </w:t>
            </w:r>
            <w:r>
              <w:rPr>
                <w:rStyle w:val="IndexLink"/>
                <w:rtl w:val="true"/>
              </w:rPr>
              <w:t>استقرار سیرة المسلمین علی العمل بخبر الواحد</w:t>
            </w:r>
            <w:r>
              <w:rPr>
                <w:rStyle w:val="IndexLink"/>
                <w:rtl w:val="true"/>
              </w:rPr>
              <w:tab/>
            </w:r>
            <w:r>
              <w:rPr>
                <w:rStyle w:val="IndexLink"/>
              </w:rPr>
              <w:t>358</w:t>
            </w:r>
          </w:hyperlink>
        </w:p>
        <w:p>
          <w:pPr>
            <w:pStyle w:val="Contents6"/>
            <w:tabs>
              <w:tab w:val="clear" w:pos="7609"/>
              <w:tab w:val="right" w:pos="9026" w:leader="dot"/>
            </w:tabs>
            <w:rPr/>
          </w:pPr>
          <w:hyperlink w:anchor="__RefHeading___Toc5447155_3224264995">
            <w:r>
              <w:rPr>
                <w:webHidden/>
                <w:rStyle w:val="IndexLink"/>
                <w:rtl w:val="true"/>
              </w:rPr>
              <w:t>کلام السید المرتضی قدس سره</w:t>
            </w:r>
            <w:r>
              <w:rPr>
                <w:rStyle w:val="IndexLink"/>
                <w:rtl w:val="true"/>
              </w:rPr>
              <w:tab/>
            </w:r>
            <w:r>
              <w:rPr>
                <w:rStyle w:val="IndexLink"/>
              </w:rPr>
              <w:t>359</w:t>
            </w:r>
          </w:hyperlink>
        </w:p>
        <w:p>
          <w:pPr>
            <w:pStyle w:val="Contents6"/>
            <w:tabs>
              <w:tab w:val="clear" w:pos="7609"/>
              <w:tab w:val="right" w:pos="9026" w:leader="dot"/>
            </w:tabs>
            <w:rPr/>
          </w:pPr>
          <w:hyperlink w:anchor="__RefHeading___Toc5447157_3224264995">
            <w:r>
              <w:rPr>
                <w:webHidden/>
                <w:rStyle w:val="IndexLink"/>
                <w:rtl w:val="true"/>
              </w:rPr>
              <w:t>الرابع</w:t>
            </w:r>
            <w:r>
              <w:rPr>
                <w:rStyle w:val="IndexLink"/>
                <w:rtl w:val="true"/>
              </w:rPr>
              <w:t>:</w:t>
            </w:r>
            <w:r>
              <w:rPr>
                <w:rStyle w:val="IndexLink"/>
                <w:rtl w:val="true"/>
              </w:rPr>
              <w:t>استقرار طریقة العقلاء علی العمل بخبر الواحد</w:t>
            </w:r>
            <w:r>
              <w:rPr>
                <w:rStyle w:val="IndexLink"/>
                <w:rtl w:val="true"/>
              </w:rPr>
              <w:tab/>
            </w:r>
            <w:r>
              <w:rPr>
                <w:rStyle w:val="IndexLink"/>
              </w:rPr>
              <w:t>360</w:t>
            </w:r>
          </w:hyperlink>
        </w:p>
        <w:p>
          <w:pPr>
            <w:pStyle w:val="Contents6"/>
            <w:tabs>
              <w:tab w:val="clear" w:pos="7609"/>
              <w:tab w:val="right" w:pos="9026" w:leader="dot"/>
            </w:tabs>
            <w:rPr/>
          </w:pPr>
          <w:hyperlink w:anchor="__RefHeading___Toc5447159_3224264995">
            <w:r>
              <w:rPr>
                <w:webHidden/>
                <w:rStyle w:val="IndexLink"/>
                <w:rtl w:val="true"/>
              </w:rPr>
              <w:t>الخامس</w:t>
            </w:r>
            <w:r>
              <w:rPr>
                <w:rStyle w:val="IndexLink"/>
                <w:rtl w:val="true"/>
              </w:rPr>
              <w:t>:</w:t>
            </w:r>
            <w:r>
              <w:rPr>
                <w:rStyle w:val="IndexLink"/>
                <w:rtl w:val="true"/>
              </w:rPr>
              <w:t>إجماع الصحابة علی العمل بخبر الواحد</w:t>
            </w:r>
            <w:r>
              <w:rPr>
                <w:rStyle w:val="IndexLink"/>
                <w:rtl w:val="true"/>
              </w:rPr>
              <w:tab/>
            </w:r>
            <w:r>
              <w:rPr>
                <w:rStyle w:val="IndexLink"/>
              </w:rPr>
              <w:t>362</w:t>
            </w:r>
          </w:hyperlink>
        </w:p>
        <w:p>
          <w:pPr>
            <w:pStyle w:val="Contents6"/>
            <w:tabs>
              <w:tab w:val="clear" w:pos="7609"/>
              <w:tab w:val="right" w:pos="9026" w:leader="dot"/>
            </w:tabs>
            <w:rPr/>
          </w:pPr>
          <w:hyperlink w:anchor="__RefHeading___Toc5447161_3224264995">
            <w:r>
              <w:rPr>
                <w:webHidden/>
                <w:rStyle w:val="IndexLink"/>
                <w:rtl w:val="true"/>
              </w:rPr>
              <w:t>التأمّل فی هذا الوجه</w:t>
            </w:r>
            <w:r>
              <w:rPr>
                <w:rStyle w:val="IndexLink"/>
                <w:rtl w:val="true"/>
              </w:rPr>
              <w:t>:</w:t>
              <w:tab/>
            </w:r>
            <w:r>
              <w:rPr>
                <w:rStyle w:val="IndexLink"/>
              </w:rPr>
              <w:t>362</w:t>
            </w:r>
          </w:hyperlink>
        </w:p>
        <w:p>
          <w:pPr>
            <w:pStyle w:val="Contents6"/>
            <w:tabs>
              <w:tab w:val="clear" w:pos="7609"/>
              <w:tab w:val="right" w:pos="9026" w:leader="dot"/>
            </w:tabs>
            <w:rPr/>
          </w:pPr>
          <w:hyperlink w:anchor="__RefHeading___Toc5447163_3224264995">
            <w:r>
              <w:rPr>
                <w:webHidden/>
                <w:rStyle w:val="IndexLink"/>
                <w:rtl w:val="true"/>
              </w:rPr>
              <w:t>السادس</w:t>
            </w:r>
            <w:r>
              <w:rPr>
                <w:rStyle w:val="IndexLink"/>
                <w:rtl w:val="true"/>
              </w:rPr>
              <w:t>:</w:t>
            </w:r>
            <w:r>
              <w:rPr>
                <w:rStyle w:val="IndexLink"/>
                <w:rtl w:val="true"/>
              </w:rPr>
              <w:t>دعوی إجماع الإمامیّة علی وجوب الرجوع إلی الأخبار المدوّنة</w:t>
            </w:r>
            <w:r>
              <w:rPr>
                <w:rStyle w:val="IndexLink"/>
                <w:rtl w:val="true"/>
              </w:rPr>
              <w:tab/>
            </w:r>
            <w:r>
              <w:rPr>
                <w:rStyle w:val="IndexLink"/>
              </w:rPr>
              <w:t>363</w:t>
            </w:r>
          </w:hyperlink>
        </w:p>
        <w:p>
          <w:pPr>
            <w:pStyle w:val="Contents6"/>
            <w:tabs>
              <w:tab w:val="clear" w:pos="7609"/>
              <w:tab w:val="right" w:pos="9026" w:leader="dot"/>
            </w:tabs>
            <w:rPr/>
          </w:pPr>
          <w:hyperlink w:anchor="__RefHeading___Toc5447165_3224264995">
            <w:r>
              <w:rPr>
                <w:webHidden/>
                <w:rStyle w:val="IndexLink"/>
                <w:rtl w:val="true"/>
              </w:rPr>
              <w:t>المناقشة فی هذا الوجه أیضا</w:t>
            </w:r>
            <w:r>
              <w:rPr>
                <w:rStyle w:val="IndexLink"/>
                <w:rtl w:val="true"/>
              </w:rPr>
              <w:tab/>
            </w:r>
            <w:r>
              <w:rPr>
                <w:rStyle w:val="IndexLink"/>
              </w:rPr>
              <w:t>364</w:t>
            </w:r>
          </w:hyperlink>
        </w:p>
        <w:p>
          <w:pPr>
            <w:pStyle w:val="Contents6"/>
            <w:tabs>
              <w:tab w:val="clear" w:pos="7609"/>
              <w:tab w:val="right" w:pos="9026" w:leader="dot"/>
            </w:tabs>
            <w:rPr/>
          </w:pPr>
          <w:hyperlink w:anchor="__RefHeading___Toc5447167_3224264995">
            <w:r>
              <w:rPr>
                <w:webHidden/>
                <w:rStyle w:val="IndexLink"/>
                <w:rtl w:val="true"/>
              </w:rPr>
              <w:t>الاستدلال بالدلیل العقلی علی حجیة خبر الواحد و هو من وجوه</w:t>
            </w:r>
            <w:r>
              <w:rPr>
                <w:rStyle w:val="IndexLink"/>
                <w:rtl w:val="true"/>
              </w:rPr>
              <w:tab/>
            </w:r>
            <w:r>
              <w:rPr>
                <w:rStyle w:val="IndexLink"/>
              </w:rPr>
              <w:t>366</w:t>
            </w:r>
          </w:hyperlink>
        </w:p>
        <w:p>
          <w:pPr>
            <w:pStyle w:val="Contents6"/>
            <w:tabs>
              <w:tab w:val="clear" w:pos="7609"/>
              <w:tab w:val="right" w:pos="9026" w:leader="dot"/>
            </w:tabs>
            <w:rPr/>
          </w:pPr>
          <w:hyperlink w:anchor="__RefHeading___Toc5447169_3224264995">
            <w:r>
              <w:rPr>
                <w:webHidden/>
                <w:rStyle w:val="IndexLink"/>
                <w:rtl w:val="true"/>
              </w:rPr>
              <w:t>الوجه الأوّل</w:t>
            </w:r>
            <w:r>
              <w:rPr>
                <w:rStyle w:val="IndexLink"/>
                <w:rtl w:val="true"/>
              </w:rPr>
              <w:t>:</w:t>
            </w:r>
            <w:r>
              <w:rPr>
                <w:rStyle w:val="IndexLink"/>
                <w:rtl w:val="true"/>
              </w:rPr>
              <w:t>العلم الإجمالی بصدور أکثر الأخبار عن الأئمّة علیهم السّلام</w:t>
            </w:r>
            <w:r>
              <w:rPr>
                <w:rStyle w:val="IndexLink"/>
                <w:rtl w:val="true"/>
              </w:rPr>
              <w:tab/>
            </w:r>
            <w:r>
              <w:rPr>
                <w:rStyle w:val="IndexLink"/>
              </w:rPr>
              <w:t>366</w:t>
            </w:r>
          </w:hyperlink>
        </w:p>
        <w:p>
          <w:pPr>
            <w:pStyle w:val="Contents6"/>
            <w:tabs>
              <w:tab w:val="clear" w:pos="7609"/>
              <w:tab w:val="right" w:pos="9026" w:leader="dot"/>
            </w:tabs>
            <w:rPr/>
          </w:pPr>
          <w:hyperlink w:anchor="__RefHeading___Toc5447171_3224264995">
            <w:r>
              <w:rPr>
                <w:webHidden/>
                <w:rStyle w:val="IndexLink"/>
                <w:rtl w:val="true"/>
              </w:rPr>
              <w:t>شدّة اهتمام الأصحاب بتنقیح الأخبار</w:t>
            </w:r>
            <w:r>
              <w:rPr>
                <w:rStyle w:val="IndexLink"/>
                <w:rtl w:val="true"/>
              </w:rPr>
              <w:tab/>
            </w:r>
            <w:r>
              <w:rPr>
                <w:rStyle w:val="IndexLink"/>
              </w:rPr>
              <w:t>367</w:t>
            </w:r>
          </w:hyperlink>
        </w:p>
        <w:p>
          <w:pPr>
            <w:pStyle w:val="Contents6"/>
            <w:tabs>
              <w:tab w:val="clear" w:pos="7609"/>
              <w:tab w:val="right" w:pos="9026" w:leader="dot"/>
            </w:tabs>
            <w:rPr/>
          </w:pPr>
          <w:hyperlink w:anchor="__RefHeading___Toc5447173_3224264995">
            <w:r>
              <w:rPr>
                <w:webHidden/>
                <w:rStyle w:val="IndexLink"/>
                <w:rtl w:val="true"/>
              </w:rPr>
              <w:t>الداعی إلی هذا الاهتمام</w:t>
            </w:r>
            <w:r>
              <w:rPr>
                <w:rStyle w:val="IndexLink"/>
                <w:rtl w:val="true"/>
              </w:rPr>
              <w:tab/>
            </w:r>
            <w:r>
              <w:rPr>
                <w:rStyle w:val="IndexLink"/>
              </w:rPr>
              <w:t>369</w:t>
            </w:r>
          </w:hyperlink>
        </w:p>
        <w:p>
          <w:pPr>
            <w:pStyle w:val="Contents6"/>
            <w:tabs>
              <w:tab w:val="clear" w:pos="7609"/>
              <w:tab w:val="right" w:pos="9026" w:leader="dot"/>
            </w:tabs>
            <w:rPr/>
          </w:pPr>
          <w:hyperlink w:anchor="__RefHeading___Toc5447175_3224264995">
            <w:r>
              <w:rPr>
                <w:webHidden/>
                <w:rStyle w:val="IndexLink"/>
                <w:rtl w:val="true"/>
              </w:rPr>
              <w:t>دسّ الأخبار المکذوبة فی کتب أصحاب الأئمّة علیهم السلام</w:t>
            </w:r>
            <w:r>
              <w:rPr>
                <w:rStyle w:val="IndexLink"/>
                <w:rtl w:val="true"/>
              </w:rPr>
              <w:tab/>
            </w:r>
            <w:r>
              <w:rPr>
                <w:rStyle w:val="IndexLink"/>
              </w:rPr>
              <w:t>370</w:t>
            </w:r>
          </w:hyperlink>
        </w:p>
        <w:p>
          <w:pPr>
            <w:pStyle w:val="Contents6"/>
            <w:tabs>
              <w:tab w:val="clear" w:pos="7609"/>
              <w:tab w:val="right" w:pos="9026" w:leader="dot"/>
            </w:tabs>
            <w:rPr/>
          </w:pPr>
          <w:hyperlink w:anchor="__RefHeading___Toc5447177_3224264995">
            <w:r>
              <w:rPr>
                <w:webHidden/>
                <w:rStyle w:val="IndexLink"/>
                <w:rtl w:val="true"/>
              </w:rPr>
              <w:t>المناقشة فی الوجه الأوّل</w:t>
            </w:r>
            <w:r>
              <w:rPr>
                <w:rStyle w:val="IndexLink"/>
                <w:rtl w:val="true"/>
              </w:rPr>
              <w:tab/>
            </w:r>
            <w:r>
              <w:rPr>
                <w:rStyle w:val="IndexLink"/>
              </w:rPr>
              <w:t>372</w:t>
            </w:r>
          </w:hyperlink>
        </w:p>
        <w:p>
          <w:pPr>
            <w:pStyle w:val="Contents6"/>
            <w:tabs>
              <w:tab w:val="clear" w:pos="7609"/>
              <w:tab w:val="right" w:pos="9026" w:leader="dot"/>
            </w:tabs>
            <w:rPr/>
          </w:pPr>
          <w:hyperlink w:anchor="__RefHeading___Toc5447179_3224264995">
            <w:r>
              <w:rPr>
                <w:webHidden/>
                <w:rStyle w:val="IndexLink"/>
                <w:rtl w:val="true"/>
              </w:rPr>
              <w:t>المناقشة الثانیة فی الوجه الأول</w:t>
            </w:r>
            <w:r>
              <w:rPr>
                <w:rStyle w:val="IndexLink"/>
                <w:rtl w:val="true"/>
              </w:rPr>
              <w:t>:</w:t>
              <w:tab/>
            </w:r>
            <w:r>
              <w:rPr>
                <w:rStyle w:val="IndexLink"/>
              </w:rPr>
              <w:t>374</w:t>
            </w:r>
          </w:hyperlink>
        </w:p>
        <w:p>
          <w:pPr>
            <w:pStyle w:val="Contents6"/>
            <w:tabs>
              <w:tab w:val="clear" w:pos="7609"/>
              <w:tab w:val="right" w:pos="9026" w:leader="dot"/>
            </w:tabs>
            <w:rPr/>
          </w:pPr>
          <w:hyperlink w:anchor="__RefHeading___Toc5447181_3224264995">
            <w:r>
              <w:rPr>
                <w:webHidden/>
                <w:rStyle w:val="IndexLink"/>
                <w:rtl w:val="true"/>
              </w:rPr>
              <w:t>المناقشة الثالثة فی الوجه الأوّل ایضا</w:t>
            </w:r>
            <w:r>
              <w:rPr>
                <w:rStyle w:val="IndexLink"/>
                <w:rtl w:val="true"/>
              </w:rPr>
              <w:tab/>
            </w:r>
            <w:r>
              <w:rPr>
                <w:rStyle w:val="IndexLink"/>
              </w:rPr>
              <w:t>375</w:t>
            </w:r>
          </w:hyperlink>
        </w:p>
        <w:p>
          <w:pPr>
            <w:pStyle w:val="Contents6"/>
            <w:tabs>
              <w:tab w:val="clear" w:pos="7609"/>
              <w:tab w:val="right" w:pos="9026" w:leader="dot"/>
            </w:tabs>
            <w:rPr/>
          </w:pPr>
          <w:hyperlink w:anchor="__RefHeading___Toc5447183_3224264995">
            <w:r>
              <w:rPr>
                <w:webHidden/>
                <w:rStyle w:val="IndexLink"/>
                <w:rtl w:val="true"/>
              </w:rPr>
              <w:t>الوجه الثانی علی حجیة خبر الواحد</w:t>
            </w:r>
            <w:r>
              <w:rPr>
                <w:rStyle w:val="IndexLink"/>
                <w:rtl w:val="true"/>
              </w:rPr>
              <w:t>:</w:t>
            </w:r>
            <w:r>
              <w:rPr>
                <w:rStyle w:val="IndexLink"/>
                <w:rtl w:val="true"/>
              </w:rPr>
              <w:t>ما ذکره الفاضل التونی</w:t>
            </w:r>
            <w:r>
              <w:rPr>
                <w:rStyle w:val="IndexLink"/>
                <w:rtl w:val="true"/>
              </w:rPr>
              <w:tab/>
            </w:r>
            <w:r>
              <w:rPr>
                <w:rStyle w:val="IndexLink"/>
              </w:rPr>
              <w:t>376</w:t>
            </w:r>
          </w:hyperlink>
        </w:p>
        <w:p>
          <w:pPr>
            <w:pStyle w:val="Contents6"/>
            <w:tabs>
              <w:tab w:val="clear" w:pos="7609"/>
              <w:tab w:val="right" w:pos="9026" w:leader="dot"/>
            </w:tabs>
            <w:rPr/>
          </w:pPr>
          <w:hyperlink w:anchor="__RefHeading___Toc5447185_3224264995">
            <w:r>
              <w:rPr>
                <w:webHidden/>
                <w:rStyle w:val="IndexLink"/>
                <w:rtl w:val="true"/>
              </w:rPr>
              <w:t>المناقشة فیما أفاده الفاضل التونی</w:t>
            </w:r>
            <w:r>
              <w:rPr>
                <w:rStyle w:val="IndexLink"/>
                <w:rtl w:val="true"/>
              </w:rPr>
              <w:tab/>
            </w:r>
            <w:r>
              <w:rPr>
                <w:rStyle w:val="IndexLink"/>
              </w:rPr>
              <w:t>376</w:t>
            </w:r>
          </w:hyperlink>
        </w:p>
        <w:p>
          <w:pPr>
            <w:pStyle w:val="Contents6"/>
            <w:tabs>
              <w:tab w:val="clear" w:pos="7609"/>
              <w:tab w:val="right" w:pos="9026" w:leader="dot"/>
            </w:tabs>
            <w:rPr/>
          </w:pPr>
          <w:hyperlink w:anchor="__RefHeading___Toc5447187_3224264995">
            <w:r>
              <w:rPr>
                <w:webHidden/>
                <w:rStyle w:val="IndexLink"/>
                <w:rtl w:val="true"/>
              </w:rPr>
              <w:t>الوجه الثالث</w:t>
            </w:r>
            <w:r>
              <w:rPr>
                <w:rStyle w:val="IndexLink"/>
                <w:rtl w:val="true"/>
              </w:rPr>
              <w:t>:</w:t>
            </w:r>
            <w:r>
              <w:rPr>
                <w:rStyle w:val="IndexLink"/>
                <w:rtl w:val="true"/>
              </w:rPr>
              <w:t>ما ذکره صاحب هدایة المسترشدین</w:t>
            </w:r>
            <w:r>
              <w:rPr>
                <w:rStyle w:val="IndexLink"/>
                <w:rtl w:val="true"/>
              </w:rPr>
              <w:tab/>
            </w:r>
            <w:r>
              <w:rPr>
                <w:rStyle w:val="IndexLink"/>
              </w:rPr>
              <w:t>378</w:t>
            </w:r>
          </w:hyperlink>
        </w:p>
        <w:p>
          <w:pPr>
            <w:pStyle w:val="Contents6"/>
            <w:tabs>
              <w:tab w:val="clear" w:pos="7609"/>
              <w:tab w:val="right" w:pos="9026" w:leader="dot"/>
            </w:tabs>
            <w:rPr/>
          </w:pPr>
          <w:hyperlink w:anchor="__RefHeading___Toc5447189_3224264995">
            <w:r>
              <w:rPr>
                <w:webHidden/>
                <w:rStyle w:val="IndexLink"/>
                <w:rtl w:val="true"/>
              </w:rPr>
              <w:t>المناقشة فیما أفاده صاحب الهدایة</w:t>
            </w:r>
            <w:r>
              <w:rPr>
                <w:rStyle w:val="IndexLink"/>
                <w:rtl w:val="true"/>
              </w:rPr>
              <w:tab/>
            </w:r>
            <w:r>
              <w:rPr>
                <w:rStyle w:val="IndexLink"/>
              </w:rPr>
              <w:t>378</w:t>
            </w:r>
          </w:hyperlink>
        </w:p>
        <w:p>
          <w:pPr>
            <w:pStyle w:val="Contents6"/>
            <w:tabs>
              <w:tab w:val="clear" w:pos="7609"/>
              <w:tab w:val="right" w:pos="9026" w:leader="dot"/>
            </w:tabs>
            <w:rPr/>
          </w:pPr>
          <w:hyperlink w:anchor="__RefHeading___Toc5447191_3224264995">
            <w:r>
              <w:rPr>
                <w:webHidden/>
                <w:rStyle w:val="IndexLink"/>
                <w:rtl w:val="true"/>
              </w:rPr>
              <w:t>حاصل الکلام فی أدلّة حجیّة الخبر الواحد</w:t>
            </w:r>
            <w:r>
              <w:rPr>
                <w:rStyle w:val="IndexLink"/>
                <w:rtl w:val="true"/>
              </w:rPr>
              <w:tab/>
            </w:r>
            <w:r>
              <w:rPr>
                <w:rStyle w:val="IndexLink"/>
              </w:rPr>
              <w:t>381</w:t>
            </w:r>
          </w:hyperlink>
        </w:p>
        <w:p>
          <w:pPr>
            <w:pStyle w:val="Contents6"/>
            <w:tabs>
              <w:tab w:val="clear" w:pos="7609"/>
              <w:tab w:val="right" w:pos="9026" w:leader="dot"/>
            </w:tabs>
            <w:rPr/>
          </w:pPr>
          <w:hyperlink w:anchor="__RefHeading___Toc5447193_3224264995">
            <w:r>
              <w:rPr>
                <w:webHidden/>
                <w:rStyle w:val="IndexLink"/>
                <w:rtl w:val="true"/>
              </w:rPr>
              <w:t>الدلیل العقلی علی حجیّة مطلق الظنّ من وجوه أیضا</w:t>
            </w:r>
            <w:r>
              <w:rPr>
                <w:rStyle w:val="IndexLink"/>
                <w:rtl w:val="true"/>
              </w:rPr>
              <w:t>:</w:t>
              <w:tab/>
            </w:r>
            <w:r>
              <w:rPr>
                <w:rStyle w:val="IndexLink"/>
              </w:rPr>
              <w:t>382</w:t>
            </w:r>
          </w:hyperlink>
        </w:p>
        <w:p>
          <w:pPr>
            <w:pStyle w:val="Contents6"/>
            <w:tabs>
              <w:tab w:val="clear" w:pos="7609"/>
              <w:tab w:val="right" w:pos="9026" w:leader="dot"/>
            </w:tabs>
            <w:rPr/>
          </w:pPr>
          <w:hyperlink w:anchor="__RefHeading___Toc5447195_3224264995">
            <w:r>
              <w:rPr>
                <w:webHidden/>
                <w:rStyle w:val="IndexLink"/>
                <w:rtl w:val="true"/>
              </w:rPr>
              <w:t>الوجه الأوّل</w:t>
            </w:r>
            <w:r>
              <w:rPr>
                <w:rStyle w:val="IndexLink"/>
                <w:rtl w:val="true"/>
              </w:rPr>
              <w:t xml:space="preserve">: </w:t>
            </w:r>
            <w:r>
              <w:rPr>
                <w:rStyle w:val="IndexLink"/>
                <w:rtl w:val="true"/>
              </w:rPr>
              <w:t>وجوب دفع الضرر المظنون</w:t>
            </w:r>
            <w:r>
              <w:rPr>
                <w:rStyle w:val="IndexLink"/>
                <w:rtl w:val="true"/>
              </w:rPr>
              <w:tab/>
            </w:r>
            <w:r>
              <w:rPr>
                <w:rStyle w:val="IndexLink"/>
              </w:rPr>
              <w:t>382</w:t>
            </w:r>
          </w:hyperlink>
        </w:p>
        <w:p>
          <w:pPr>
            <w:pStyle w:val="Contents6"/>
            <w:tabs>
              <w:tab w:val="clear" w:pos="7609"/>
              <w:tab w:val="right" w:pos="9026" w:leader="dot"/>
            </w:tabs>
            <w:rPr/>
          </w:pPr>
          <w:hyperlink w:anchor="__RefHeading___Toc5447197_3224264995">
            <w:r>
              <w:rPr>
                <w:webHidden/>
                <w:rStyle w:val="IndexLink"/>
                <w:rtl w:val="true"/>
              </w:rPr>
              <w:t>جواب الحاجی عن هذا الوجه</w:t>
            </w:r>
            <w:r>
              <w:rPr>
                <w:rStyle w:val="IndexLink"/>
                <w:rtl w:val="true"/>
              </w:rPr>
              <w:tab/>
            </w:r>
            <w:r>
              <w:rPr>
                <w:rStyle w:val="IndexLink"/>
              </w:rPr>
              <w:t>383</w:t>
            </w:r>
          </w:hyperlink>
        </w:p>
        <w:p>
          <w:pPr>
            <w:pStyle w:val="Contents6"/>
            <w:tabs>
              <w:tab w:val="clear" w:pos="7609"/>
              <w:tab w:val="right" w:pos="9026" w:leader="dot"/>
            </w:tabs>
            <w:rPr/>
          </w:pPr>
          <w:hyperlink w:anchor="__RefHeading___Toc5447199_3224264995">
            <w:r>
              <w:rPr>
                <w:webHidden/>
                <w:rStyle w:val="IndexLink"/>
                <w:rtl w:val="true"/>
              </w:rPr>
              <w:t>المنقاشة فی هذا الجواب</w:t>
            </w:r>
            <w:r>
              <w:rPr>
                <w:rStyle w:val="IndexLink"/>
                <w:rtl w:val="true"/>
              </w:rPr>
              <w:tab/>
            </w:r>
            <w:r>
              <w:rPr>
                <w:rStyle w:val="IndexLink"/>
              </w:rPr>
              <w:t>383</w:t>
            </w:r>
          </w:hyperlink>
        </w:p>
        <w:p>
          <w:pPr>
            <w:pStyle w:val="Contents6"/>
            <w:tabs>
              <w:tab w:val="clear" w:pos="7609"/>
              <w:tab w:val="right" w:pos="9026" w:leader="dot"/>
            </w:tabs>
            <w:rPr/>
          </w:pPr>
          <w:hyperlink w:anchor="__RefHeading___Toc5447201_3224264995">
            <w:r>
              <w:rPr>
                <w:webHidden/>
                <w:rStyle w:val="IndexLink"/>
                <w:rtl w:val="true"/>
              </w:rPr>
              <w:t>جواب اخر عن هذا الوجه</w:t>
            </w:r>
            <w:r>
              <w:rPr>
                <w:rStyle w:val="IndexLink"/>
                <w:rtl w:val="true"/>
              </w:rPr>
              <w:tab/>
            </w:r>
            <w:r>
              <w:rPr>
                <w:rStyle w:val="IndexLink"/>
              </w:rPr>
              <w:t>385</w:t>
            </w:r>
          </w:hyperlink>
        </w:p>
        <w:p>
          <w:pPr>
            <w:pStyle w:val="Contents6"/>
            <w:tabs>
              <w:tab w:val="clear" w:pos="7609"/>
              <w:tab w:val="right" w:pos="9026" w:leader="dot"/>
            </w:tabs>
            <w:rPr/>
          </w:pPr>
          <w:hyperlink w:anchor="__RefHeading___Toc5447203_3224264995">
            <w:r>
              <w:rPr>
                <w:webHidden/>
                <w:rStyle w:val="IndexLink"/>
                <w:rtl w:val="true"/>
              </w:rPr>
              <w:t>المناقشة فی هذا الجواب ایضا</w:t>
            </w:r>
            <w:r>
              <w:rPr>
                <w:rStyle w:val="IndexLink"/>
                <w:rtl w:val="true"/>
              </w:rPr>
              <w:tab/>
            </w:r>
            <w:r>
              <w:rPr>
                <w:rStyle w:val="IndexLink"/>
              </w:rPr>
              <w:t>385</w:t>
            </w:r>
          </w:hyperlink>
        </w:p>
        <w:p>
          <w:pPr>
            <w:pStyle w:val="Contents6"/>
            <w:tabs>
              <w:tab w:val="clear" w:pos="7609"/>
              <w:tab w:val="right" w:pos="9026" w:leader="dot"/>
            </w:tabs>
            <w:rPr/>
          </w:pPr>
          <w:hyperlink w:anchor="__RefHeading___Toc5447205_3224264995">
            <w:r>
              <w:rPr>
                <w:webHidden/>
                <w:rStyle w:val="IndexLink"/>
                <w:rtl w:val="true"/>
              </w:rPr>
              <w:t>ثالثها</w:t>
            </w:r>
            <w:r>
              <w:rPr>
                <w:rStyle w:val="IndexLink"/>
                <w:rtl w:val="true"/>
              </w:rPr>
              <w:t xml:space="preserve">: </w:t>
            </w:r>
            <w:r>
              <w:rPr>
                <w:rStyle w:val="IndexLink"/>
                <w:rtl w:val="true"/>
              </w:rPr>
              <w:t>جواب ثالث عن هذا الوجه</w:t>
            </w:r>
            <w:r>
              <w:rPr>
                <w:rStyle w:val="IndexLink"/>
                <w:rtl w:val="true"/>
              </w:rPr>
              <w:tab/>
            </w:r>
            <w:r>
              <w:rPr>
                <w:rStyle w:val="IndexLink"/>
              </w:rPr>
              <w:t>386</w:t>
            </w:r>
          </w:hyperlink>
        </w:p>
        <w:p>
          <w:pPr>
            <w:pStyle w:val="Contents6"/>
            <w:tabs>
              <w:tab w:val="clear" w:pos="7609"/>
              <w:tab w:val="right" w:pos="9026" w:leader="dot"/>
            </w:tabs>
            <w:rPr/>
          </w:pPr>
          <w:hyperlink w:anchor="__RefHeading___Toc5447207_3224264995">
            <w:r>
              <w:rPr>
                <w:webHidden/>
                <w:rStyle w:val="IndexLink"/>
                <w:rtl w:val="true"/>
              </w:rPr>
              <w:t>ما اجیب به عن هذا الجواب</w:t>
            </w:r>
            <w:r>
              <w:rPr>
                <w:rStyle w:val="IndexLink"/>
                <w:rtl w:val="true"/>
              </w:rPr>
              <w:tab/>
            </w:r>
            <w:r>
              <w:rPr>
                <w:rStyle w:val="IndexLink"/>
              </w:rPr>
              <w:t>386</w:t>
            </w:r>
          </w:hyperlink>
        </w:p>
        <w:p>
          <w:pPr>
            <w:pStyle w:val="Contents6"/>
            <w:tabs>
              <w:tab w:val="clear" w:pos="7609"/>
              <w:tab w:val="right" w:pos="9026" w:leader="dot"/>
            </w:tabs>
            <w:rPr/>
          </w:pPr>
          <w:hyperlink w:anchor="__RefHeading___Toc5447209_3224264995">
            <w:r>
              <w:rPr>
                <w:webHidden/>
                <w:rStyle w:val="IndexLink"/>
                <w:rtl w:val="true"/>
              </w:rPr>
              <w:t>عدم صحّة ما اجیب</w:t>
            </w:r>
            <w:r>
              <w:rPr>
                <w:rStyle w:val="IndexLink"/>
                <w:rtl w:val="true"/>
              </w:rPr>
              <w:tab/>
            </w:r>
            <w:r>
              <w:rPr>
                <w:rStyle w:val="IndexLink"/>
              </w:rPr>
              <w:t>386</w:t>
            </w:r>
          </w:hyperlink>
        </w:p>
        <w:p>
          <w:pPr>
            <w:pStyle w:val="Contents6"/>
            <w:tabs>
              <w:tab w:val="clear" w:pos="7609"/>
              <w:tab w:val="right" w:pos="9026" w:leader="dot"/>
            </w:tabs>
            <w:rPr/>
          </w:pPr>
          <w:hyperlink w:anchor="__RefHeading___Toc5447211_3224264995">
            <w:r>
              <w:rPr>
                <w:webHidden/>
                <w:rStyle w:val="IndexLink"/>
                <w:rtl w:val="true"/>
              </w:rPr>
              <w:t>الأولی فی المناقشة فی الجواب الثالث</w:t>
            </w:r>
            <w:r>
              <w:rPr>
                <w:rStyle w:val="IndexLink"/>
                <w:rtl w:val="true"/>
              </w:rPr>
              <w:tab/>
            </w:r>
            <w:r>
              <w:rPr>
                <w:rStyle w:val="IndexLink"/>
              </w:rPr>
              <w:t>388</w:t>
            </w:r>
          </w:hyperlink>
        </w:p>
        <w:p>
          <w:pPr>
            <w:pStyle w:val="Contents6"/>
            <w:tabs>
              <w:tab w:val="clear" w:pos="7609"/>
              <w:tab w:val="right" w:pos="9026" w:leader="dot"/>
            </w:tabs>
            <w:rPr/>
          </w:pPr>
          <w:hyperlink w:anchor="__RefHeading___Toc5447213_3224264995">
            <w:r>
              <w:rPr>
                <w:webHidden/>
                <w:rStyle w:val="IndexLink"/>
                <w:rtl w:val="true"/>
              </w:rPr>
              <w:t>الأولی فی الجواب عن الوجه الأوّل</w:t>
            </w:r>
            <w:r>
              <w:rPr>
                <w:rStyle w:val="IndexLink"/>
                <w:rtl w:val="true"/>
              </w:rPr>
              <w:t xml:space="preserve">: </w:t>
            </w:r>
            <w:r>
              <w:rPr>
                <w:rStyle w:val="IndexLink"/>
                <w:rtl w:val="true"/>
              </w:rPr>
              <w:t>ان ارید من الضرر العقاب</w:t>
            </w:r>
            <w:r>
              <w:rPr>
                <w:rStyle w:val="IndexLink"/>
                <w:rtl w:val="true"/>
              </w:rPr>
              <w:tab/>
            </w:r>
            <w:r>
              <w:rPr>
                <w:rStyle w:val="IndexLink"/>
              </w:rPr>
              <w:t>388</w:t>
            </w:r>
          </w:hyperlink>
        </w:p>
        <w:p>
          <w:pPr>
            <w:pStyle w:val="Contents6"/>
            <w:tabs>
              <w:tab w:val="clear" w:pos="7609"/>
              <w:tab w:val="right" w:pos="9026" w:leader="dot"/>
            </w:tabs>
            <w:rPr/>
          </w:pPr>
          <w:hyperlink w:anchor="__RefHeading___Toc5447215_3224264995">
            <w:r>
              <w:rPr>
                <w:webHidden/>
                <w:rStyle w:val="IndexLink"/>
                <w:rtl w:val="true"/>
              </w:rPr>
              <w:t>ان ارید من الضرر المفسدة</w:t>
            </w:r>
            <w:r>
              <w:rPr>
                <w:rStyle w:val="IndexLink"/>
                <w:rtl w:val="true"/>
              </w:rPr>
              <w:tab/>
            </w:r>
            <w:r>
              <w:rPr>
                <w:rStyle w:val="IndexLink"/>
              </w:rPr>
              <w:t>390</w:t>
            </w:r>
          </w:hyperlink>
        </w:p>
        <w:p>
          <w:pPr>
            <w:pStyle w:val="Contents6"/>
            <w:tabs>
              <w:tab w:val="clear" w:pos="7609"/>
              <w:tab w:val="right" w:pos="9026" w:leader="dot"/>
            </w:tabs>
            <w:rPr/>
          </w:pPr>
          <w:hyperlink w:anchor="__RefHeading___Toc5447217_3224264995">
            <w:r>
              <w:rPr>
                <w:webHidden/>
                <w:rStyle w:val="IndexLink"/>
                <w:rtl w:val="true"/>
              </w:rPr>
              <w:t>الاولی فی الجواب عن المفسده المظنونة</w:t>
            </w:r>
            <w:r>
              <w:rPr>
                <w:rStyle w:val="IndexLink"/>
                <w:rtl w:val="true"/>
              </w:rPr>
              <w:tab/>
            </w:r>
            <w:r>
              <w:rPr>
                <w:rStyle w:val="IndexLink"/>
              </w:rPr>
              <w:t>391</w:t>
            </w:r>
          </w:hyperlink>
        </w:p>
        <w:p>
          <w:pPr>
            <w:pStyle w:val="Contents6"/>
            <w:tabs>
              <w:tab w:val="clear" w:pos="7609"/>
              <w:tab w:val="right" w:pos="9026" w:leader="dot"/>
            </w:tabs>
            <w:rPr/>
          </w:pPr>
          <w:hyperlink w:anchor="__RefHeading___Toc5447219_3224264995">
            <w:r>
              <w:rPr>
                <w:webHidden/>
                <w:rStyle w:val="IndexLink"/>
                <w:rtl w:val="true"/>
              </w:rPr>
              <w:t>مفاد هذا الدلیل</w:t>
            </w:r>
            <w:r>
              <w:rPr>
                <w:rStyle w:val="IndexLink"/>
                <w:rtl w:val="true"/>
              </w:rPr>
              <w:t>:</w:t>
              <w:tab/>
            </w:r>
            <w:r>
              <w:rPr>
                <w:rStyle w:val="IndexLink"/>
              </w:rPr>
              <w:t>394</w:t>
            </w:r>
          </w:hyperlink>
        </w:p>
        <w:p>
          <w:pPr>
            <w:pStyle w:val="Contents6"/>
            <w:tabs>
              <w:tab w:val="clear" w:pos="7609"/>
              <w:tab w:val="right" w:pos="9026" w:leader="dot"/>
            </w:tabs>
            <w:rPr/>
          </w:pPr>
          <w:hyperlink w:anchor="__RefHeading___Toc5447221_3224264995">
            <w:r>
              <w:rPr>
                <w:webHidden/>
                <w:rStyle w:val="IndexLink"/>
                <w:rtl w:val="true"/>
              </w:rPr>
              <w:t>الوجه الثانی فی حجیة مطلق الظن</w:t>
            </w:r>
            <w:r>
              <w:rPr>
                <w:rStyle w:val="IndexLink"/>
                <w:rtl w:val="true"/>
              </w:rPr>
              <w:t>:</w:t>
            </w:r>
            <w:r>
              <w:rPr>
                <w:rStyle w:val="IndexLink"/>
                <w:rtl w:val="true"/>
              </w:rPr>
              <w:t>قبح ترجیح المرجوح</w:t>
            </w:r>
            <w:r>
              <w:rPr>
                <w:rStyle w:val="IndexLink"/>
                <w:rtl w:val="true"/>
              </w:rPr>
              <w:tab/>
            </w:r>
            <w:r>
              <w:rPr>
                <w:rStyle w:val="IndexLink"/>
              </w:rPr>
              <w:t>395</w:t>
            </w:r>
          </w:hyperlink>
        </w:p>
        <w:p>
          <w:pPr>
            <w:pStyle w:val="Contents6"/>
            <w:tabs>
              <w:tab w:val="clear" w:pos="7609"/>
              <w:tab w:val="right" w:pos="9026" w:leader="dot"/>
            </w:tabs>
            <w:rPr/>
          </w:pPr>
          <w:hyperlink w:anchor="__RefHeading___Toc5447223_3224264995">
            <w:r>
              <w:rPr>
                <w:webHidden/>
                <w:rStyle w:val="IndexLink"/>
                <w:rtl w:val="true"/>
              </w:rPr>
              <w:t>ما اجیب عن هذا الوجه و مناقشته</w:t>
            </w:r>
            <w:r>
              <w:rPr>
                <w:rStyle w:val="IndexLink"/>
                <w:rtl w:val="true"/>
              </w:rPr>
              <w:tab/>
            </w:r>
            <w:r>
              <w:rPr>
                <w:rStyle w:val="IndexLink"/>
              </w:rPr>
              <w:t>395</w:t>
            </w:r>
          </w:hyperlink>
        </w:p>
        <w:p>
          <w:pPr>
            <w:pStyle w:val="Contents6"/>
            <w:tabs>
              <w:tab w:val="clear" w:pos="7609"/>
              <w:tab w:val="right" w:pos="9026" w:leader="dot"/>
            </w:tabs>
            <w:rPr/>
          </w:pPr>
          <w:hyperlink w:anchor="__RefHeading___Toc5447225_3224264995">
            <w:r>
              <w:rPr>
                <w:webHidden/>
                <w:rStyle w:val="IndexLink"/>
                <w:rtl w:val="true"/>
              </w:rPr>
              <w:t>ما اجیب عن هذا الوجه أیضا و مناقشته</w:t>
            </w:r>
            <w:r>
              <w:rPr>
                <w:rStyle w:val="IndexLink"/>
                <w:rtl w:val="true"/>
              </w:rPr>
              <w:tab/>
            </w:r>
            <w:r>
              <w:rPr>
                <w:rStyle w:val="IndexLink"/>
              </w:rPr>
              <w:t>395</w:t>
            </w:r>
          </w:hyperlink>
        </w:p>
        <w:p>
          <w:pPr>
            <w:pStyle w:val="Contents6"/>
            <w:tabs>
              <w:tab w:val="clear" w:pos="7609"/>
              <w:tab w:val="right" w:pos="9026" w:leader="dot"/>
            </w:tabs>
            <w:rPr/>
          </w:pPr>
          <w:hyperlink w:anchor="__RefHeading___Toc5447227_3224264995">
            <w:r>
              <w:rPr>
                <w:webHidden/>
                <w:rStyle w:val="IndexLink"/>
                <w:rtl w:val="true"/>
              </w:rPr>
              <w:t>الأولی فی الجواب عن هذا الوجه</w:t>
            </w:r>
            <w:r>
              <w:rPr>
                <w:rStyle w:val="IndexLink"/>
                <w:rtl w:val="true"/>
              </w:rPr>
              <w:tab/>
            </w:r>
            <w:r>
              <w:rPr>
                <w:rStyle w:val="IndexLink"/>
              </w:rPr>
              <w:t>396</w:t>
            </w:r>
          </w:hyperlink>
        </w:p>
        <w:p>
          <w:pPr>
            <w:pStyle w:val="Contents6"/>
            <w:tabs>
              <w:tab w:val="clear" w:pos="7609"/>
              <w:tab w:val="right" w:pos="9026" w:leader="dot"/>
            </w:tabs>
            <w:rPr/>
          </w:pPr>
          <w:hyperlink w:anchor="__RefHeading___Toc5447229_3224264995">
            <w:r>
              <w:rPr>
                <w:webHidden/>
                <w:rStyle w:val="IndexLink"/>
                <w:rtl w:val="true"/>
              </w:rPr>
              <w:t>الوجه الثالث</w:t>
            </w:r>
            <w:r>
              <w:rPr>
                <w:rStyle w:val="IndexLink"/>
                <w:rtl w:val="true"/>
              </w:rPr>
              <w:t xml:space="preserve">: </w:t>
            </w:r>
            <w:r>
              <w:rPr>
                <w:rStyle w:val="IndexLink"/>
                <w:rtl w:val="true"/>
              </w:rPr>
              <w:t>ما حکی عن صاحب الریاض قدّس سرّه</w:t>
            </w:r>
            <w:r>
              <w:rPr>
                <w:rStyle w:val="IndexLink"/>
                <w:rtl w:val="true"/>
              </w:rPr>
              <w:t>:</w:t>
              <w:tab/>
            </w:r>
            <w:r>
              <w:rPr>
                <w:rStyle w:val="IndexLink"/>
              </w:rPr>
              <w:t>397</w:t>
            </w:r>
          </w:hyperlink>
        </w:p>
        <w:p>
          <w:pPr>
            <w:pStyle w:val="Contents6"/>
            <w:tabs>
              <w:tab w:val="clear" w:pos="7609"/>
              <w:tab w:val="right" w:pos="9026" w:leader="dot"/>
            </w:tabs>
            <w:rPr/>
          </w:pPr>
          <w:hyperlink w:anchor="__RefHeading___Toc5447231_3224264995">
            <w:r>
              <w:rPr>
                <w:webHidden/>
                <w:rStyle w:val="IndexLink"/>
                <w:rtl w:val="true"/>
              </w:rPr>
              <w:t>المناقشة فی هذا الوجه</w:t>
            </w:r>
            <w:r>
              <w:rPr>
                <w:rStyle w:val="IndexLink"/>
                <w:rtl w:val="true"/>
              </w:rPr>
              <w:t>:</w:t>
              <w:tab/>
            </w:r>
            <w:r>
              <w:rPr>
                <w:rStyle w:val="IndexLink"/>
              </w:rPr>
              <w:t>397</w:t>
            </w:r>
          </w:hyperlink>
        </w:p>
        <w:p>
          <w:pPr>
            <w:pStyle w:val="Contents6"/>
            <w:tabs>
              <w:tab w:val="clear" w:pos="7609"/>
              <w:tab w:val="right" w:pos="9026" w:leader="dot"/>
            </w:tabs>
            <w:rPr/>
          </w:pPr>
          <w:hyperlink w:anchor="__RefHeading___Toc5447233_3224264995">
            <w:r>
              <w:rPr>
                <w:webHidden/>
                <w:rStyle w:val="IndexLink"/>
                <w:rtl w:val="true"/>
              </w:rPr>
              <w:t>الوجه الرابع</w:t>
            </w:r>
            <w:r>
              <w:rPr>
                <w:rStyle w:val="IndexLink"/>
                <w:rtl w:val="true"/>
              </w:rPr>
              <w:t>:</w:t>
            </w:r>
            <w:r>
              <w:rPr>
                <w:rStyle w:val="IndexLink"/>
                <w:rtl w:val="true"/>
              </w:rPr>
              <w:t>هو الدلیل المعروف بدلیل الانسداد</w:t>
            </w:r>
            <w:r>
              <w:rPr>
                <w:rStyle w:val="IndexLink"/>
                <w:rtl w:val="true"/>
              </w:rPr>
              <w:t>.</w:t>
              <w:tab/>
            </w:r>
            <w:r>
              <w:rPr>
                <w:rStyle w:val="IndexLink"/>
              </w:rPr>
              <w:t>399</w:t>
            </w:r>
          </w:hyperlink>
        </w:p>
        <w:p>
          <w:pPr>
            <w:pStyle w:val="Contents6"/>
            <w:tabs>
              <w:tab w:val="clear" w:pos="7609"/>
              <w:tab w:val="right" w:pos="9026" w:leader="dot"/>
            </w:tabs>
            <w:rPr/>
          </w:pPr>
          <w:hyperlink w:anchor="__RefHeading___Toc5447235_3224264995">
            <w:r>
              <w:rPr>
                <w:webHidden/>
                <w:rStyle w:val="IndexLink"/>
                <w:rtl w:val="true"/>
              </w:rPr>
              <w:t>مقدّمات دلیل الانسداد</w:t>
            </w:r>
            <w:r>
              <w:rPr>
                <w:rStyle w:val="IndexLink"/>
                <w:rtl w:val="true"/>
              </w:rPr>
              <w:tab/>
            </w:r>
            <w:r>
              <w:rPr>
                <w:rStyle w:val="IndexLink"/>
              </w:rPr>
              <w:t>399</w:t>
            </w:r>
          </w:hyperlink>
        </w:p>
        <w:p>
          <w:pPr>
            <w:pStyle w:val="Contents6"/>
            <w:tabs>
              <w:tab w:val="clear" w:pos="7609"/>
              <w:tab w:val="right" w:pos="9026" w:leader="dot"/>
            </w:tabs>
            <w:rPr/>
          </w:pPr>
          <w:hyperlink w:anchor="__RefHeading___Toc5447237_3224264995">
            <w:r>
              <w:rPr>
                <w:webHidden/>
                <w:rStyle w:val="IndexLink"/>
                <w:rtl w:val="true"/>
              </w:rPr>
              <w:t>أمّا المقدّمة الاولی</w:t>
            </w:r>
            <w:r>
              <w:rPr>
                <w:rStyle w:val="IndexLink"/>
                <w:rtl w:val="true"/>
              </w:rPr>
              <w:t>:</w:t>
            </w:r>
            <w:r>
              <w:rPr>
                <w:rStyle w:val="IndexLink"/>
                <w:rtl w:val="true"/>
              </w:rPr>
              <w:t>انسداد باب العلم و الظنّ الخاصّ</w:t>
            </w:r>
            <w:r>
              <w:rPr>
                <w:rStyle w:val="IndexLink"/>
                <w:rtl w:val="true"/>
              </w:rPr>
              <w:tab/>
            </w:r>
            <w:r>
              <w:rPr>
                <w:rStyle w:val="IndexLink"/>
              </w:rPr>
              <w:t>401</w:t>
            </w:r>
          </w:hyperlink>
        </w:p>
        <w:p>
          <w:pPr>
            <w:pStyle w:val="Contents6"/>
            <w:tabs>
              <w:tab w:val="clear" w:pos="7609"/>
              <w:tab w:val="right" w:pos="9026" w:leader="dot"/>
            </w:tabs>
            <w:rPr/>
          </w:pPr>
          <w:hyperlink w:anchor="__RefHeading___Toc5447239_3224264995">
            <w:r>
              <w:rPr>
                <w:webHidden/>
                <w:rStyle w:val="IndexLink"/>
                <w:rtl w:val="true"/>
              </w:rPr>
              <w:t>تسلیم أو منع هذه المقدّمة</w:t>
            </w:r>
            <w:r>
              <w:rPr>
                <w:rStyle w:val="IndexLink"/>
                <w:rtl w:val="true"/>
              </w:rPr>
              <w:tab/>
            </w:r>
            <w:r>
              <w:rPr>
                <w:rStyle w:val="IndexLink"/>
              </w:rPr>
              <w:t>401</w:t>
            </w:r>
          </w:hyperlink>
        </w:p>
        <w:p>
          <w:pPr>
            <w:pStyle w:val="Contents6"/>
            <w:tabs>
              <w:tab w:val="clear" w:pos="7609"/>
              <w:tab w:val="right" w:pos="9026" w:leader="dot"/>
            </w:tabs>
            <w:rPr/>
          </w:pPr>
          <w:hyperlink w:anchor="__RefHeading___Toc5447241_3224264995">
            <w:r>
              <w:rPr>
                <w:webHidden/>
                <w:rStyle w:val="IndexLink"/>
                <w:rtl w:val="true"/>
              </w:rPr>
              <w:t>و أمّا المقدّمة الثانیة</w:t>
            </w:r>
            <w:r>
              <w:rPr>
                <w:rStyle w:val="IndexLink"/>
                <w:rtl w:val="true"/>
              </w:rPr>
              <w:t>:</w:t>
            </w:r>
            <w:r>
              <w:rPr>
                <w:rStyle w:val="IndexLink"/>
                <w:rtl w:val="true"/>
              </w:rPr>
              <w:t>عدم جواز إهمال الوقائع المشتبهة و الدلیل علیه من وجوه</w:t>
            </w:r>
            <w:r>
              <w:rPr>
                <w:rStyle w:val="IndexLink"/>
                <w:rtl w:val="true"/>
              </w:rPr>
              <w:t>:</w:t>
              <w:tab/>
            </w:r>
            <w:r>
              <w:rPr>
                <w:rStyle w:val="IndexLink"/>
              </w:rPr>
              <w:t>403</w:t>
            </w:r>
          </w:hyperlink>
        </w:p>
        <w:p>
          <w:pPr>
            <w:pStyle w:val="Contents6"/>
            <w:tabs>
              <w:tab w:val="clear" w:pos="7609"/>
              <w:tab w:val="right" w:pos="9026" w:leader="dot"/>
            </w:tabs>
            <w:rPr/>
          </w:pPr>
          <w:hyperlink w:anchor="__RefHeading___Toc5447243_3224264995">
            <w:r>
              <w:rPr>
                <w:webHidden/>
                <w:rStyle w:val="IndexLink"/>
                <w:rtl w:val="true"/>
              </w:rPr>
              <w:t>الأوّل</w:t>
            </w:r>
            <w:r>
              <w:rPr>
                <w:rStyle w:val="IndexLink"/>
                <w:rtl w:val="true"/>
              </w:rPr>
              <w:t>:</w:t>
            </w:r>
            <w:r>
              <w:rPr>
                <w:rStyle w:val="IndexLink"/>
                <w:rtl w:val="true"/>
              </w:rPr>
              <w:t>الإجماع القطعیّ</w:t>
            </w:r>
            <w:r>
              <w:rPr>
                <w:rStyle w:val="IndexLink"/>
                <w:rtl w:val="true"/>
              </w:rPr>
              <w:tab/>
            </w:r>
            <w:r>
              <w:rPr>
                <w:rStyle w:val="IndexLink"/>
              </w:rPr>
              <w:t>403</w:t>
            </w:r>
          </w:hyperlink>
        </w:p>
        <w:p>
          <w:pPr>
            <w:pStyle w:val="Contents6"/>
            <w:tabs>
              <w:tab w:val="clear" w:pos="7609"/>
              <w:tab w:val="right" w:pos="9026" w:leader="dot"/>
            </w:tabs>
            <w:rPr/>
          </w:pPr>
          <w:hyperlink w:anchor="__RefHeading___Toc5447245_3224264995">
            <w:r>
              <w:rPr>
                <w:webHidden/>
                <w:rStyle w:val="IndexLink"/>
                <w:rtl w:val="true"/>
              </w:rPr>
              <w:t>الثانی</w:t>
            </w:r>
            <w:r>
              <w:rPr>
                <w:rStyle w:val="IndexLink"/>
                <w:rtl w:val="true"/>
              </w:rPr>
              <w:t xml:space="preserve">: </w:t>
            </w:r>
            <w:r>
              <w:rPr>
                <w:rStyle w:val="IndexLink"/>
                <w:rtl w:val="true"/>
              </w:rPr>
              <w:t>لزوم المخالفة القطعیّة الکثیرة</w:t>
            </w:r>
            <w:r>
              <w:rPr>
                <w:rStyle w:val="IndexLink"/>
                <w:rtl w:val="true"/>
              </w:rPr>
              <w:tab/>
            </w:r>
            <w:r>
              <w:rPr>
                <w:rStyle w:val="IndexLink"/>
              </w:rPr>
              <w:t>403</w:t>
            </w:r>
          </w:hyperlink>
        </w:p>
        <w:p>
          <w:pPr>
            <w:pStyle w:val="Contents6"/>
            <w:tabs>
              <w:tab w:val="clear" w:pos="7609"/>
              <w:tab w:val="right" w:pos="9026" w:leader="dot"/>
            </w:tabs>
            <w:rPr/>
          </w:pPr>
          <w:hyperlink w:anchor="__RefHeading___Toc5447247_3224264995">
            <w:r>
              <w:rPr>
                <w:webHidden/>
                <w:rStyle w:val="IndexLink"/>
                <w:rtl w:val="true"/>
              </w:rPr>
              <w:t>الإشارة إلی هذا الوجه فی کلام جماعة</w:t>
            </w:r>
            <w:r>
              <w:rPr>
                <w:rStyle w:val="IndexLink"/>
                <w:rtl w:val="true"/>
              </w:rPr>
              <w:tab/>
            </w:r>
            <w:r>
              <w:rPr>
                <w:rStyle w:val="IndexLink"/>
              </w:rPr>
              <w:t>405</w:t>
            </w:r>
          </w:hyperlink>
        </w:p>
        <w:p>
          <w:pPr>
            <w:pStyle w:val="Contents6"/>
            <w:tabs>
              <w:tab w:val="clear" w:pos="7609"/>
              <w:tab w:val="right" w:pos="9026" w:leader="dot"/>
            </w:tabs>
            <w:rPr/>
          </w:pPr>
          <w:hyperlink w:anchor="__RefHeading___Toc5447249_3224264995">
            <w:r>
              <w:rPr>
                <w:webHidden/>
                <w:rStyle w:val="IndexLink"/>
                <w:rtl w:val="true"/>
              </w:rPr>
              <w:t>کلام الصدوق</w:t>
            </w:r>
            <w:r>
              <w:rPr>
                <w:rStyle w:val="IndexLink"/>
                <w:rtl w:val="true"/>
              </w:rPr>
              <w:tab/>
            </w:r>
            <w:r>
              <w:rPr>
                <w:rStyle w:val="IndexLink"/>
              </w:rPr>
              <w:t>405</w:t>
            </w:r>
          </w:hyperlink>
        </w:p>
        <w:p>
          <w:pPr>
            <w:pStyle w:val="Contents6"/>
            <w:tabs>
              <w:tab w:val="clear" w:pos="7609"/>
              <w:tab w:val="right" w:pos="9026" w:leader="dot"/>
            </w:tabs>
            <w:rPr/>
          </w:pPr>
          <w:hyperlink w:anchor="__RefHeading___Toc5447251_3224264995">
            <w:r>
              <w:rPr>
                <w:webHidden/>
                <w:rStyle w:val="IndexLink"/>
                <w:rtl w:val="true"/>
              </w:rPr>
              <w:t>کلام السید المرتضی</w:t>
            </w:r>
            <w:r>
              <w:rPr>
                <w:rStyle w:val="IndexLink"/>
                <w:rtl w:val="true"/>
              </w:rPr>
              <w:tab/>
            </w:r>
            <w:r>
              <w:rPr>
                <w:rStyle w:val="IndexLink"/>
              </w:rPr>
              <w:t>405</w:t>
            </w:r>
          </w:hyperlink>
        </w:p>
        <w:p>
          <w:pPr>
            <w:pStyle w:val="Contents6"/>
            <w:tabs>
              <w:tab w:val="clear" w:pos="7609"/>
              <w:tab w:val="right" w:pos="9026" w:leader="dot"/>
            </w:tabs>
            <w:rPr/>
          </w:pPr>
          <w:hyperlink w:anchor="__RefHeading___Toc5447253_3224264995">
            <w:r>
              <w:rPr>
                <w:webHidden/>
                <w:rStyle w:val="IndexLink"/>
                <w:rtl w:val="true"/>
              </w:rPr>
              <w:t>کلام الشیخ الطوسی</w:t>
            </w:r>
            <w:r>
              <w:rPr>
                <w:rStyle w:val="IndexLink"/>
                <w:rtl w:val="true"/>
              </w:rPr>
              <w:tab/>
            </w:r>
            <w:r>
              <w:rPr>
                <w:rStyle w:val="IndexLink"/>
              </w:rPr>
              <w:t>406</w:t>
            </w:r>
          </w:hyperlink>
        </w:p>
        <w:p>
          <w:pPr>
            <w:pStyle w:val="Contents6"/>
            <w:tabs>
              <w:tab w:val="clear" w:pos="7609"/>
              <w:tab w:val="right" w:pos="9026" w:leader="dot"/>
            </w:tabs>
            <w:rPr/>
          </w:pPr>
          <w:hyperlink w:anchor="__RefHeading___Toc5447255_3224264995">
            <w:r>
              <w:rPr>
                <w:webHidden/>
                <w:rStyle w:val="IndexLink"/>
                <w:rtl w:val="true"/>
              </w:rPr>
              <w:t>کلام العلامة</w:t>
            </w:r>
            <w:r>
              <w:rPr>
                <w:rStyle w:val="IndexLink"/>
                <w:rtl w:val="true"/>
              </w:rPr>
              <w:tab/>
            </w:r>
            <w:r>
              <w:rPr>
                <w:rStyle w:val="IndexLink"/>
              </w:rPr>
              <w:t>407</w:t>
            </w:r>
          </w:hyperlink>
        </w:p>
        <w:p>
          <w:pPr>
            <w:pStyle w:val="Contents6"/>
            <w:tabs>
              <w:tab w:val="clear" w:pos="7609"/>
              <w:tab w:val="right" w:pos="9026" w:leader="dot"/>
            </w:tabs>
            <w:rPr/>
          </w:pPr>
          <w:hyperlink w:anchor="__RefHeading___Toc5447257_3224264995">
            <w:r>
              <w:rPr>
                <w:webHidden/>
                <w:rStyle w:val="IndexLink"/>
                <w:rtl w:val="true"/>
              </w:rPr>
              <w:t>کلام الشیخ زین الدین النباطی</w:t>
            </w:r>
            <w:r>
              <w:rPr>
                <w:rStyle w:val="IndexLink"/>
                <w:rtl w:val="true"/>
              </w:rPr>
              <w:tab/>
            </w:r>
            <w:r>
              <w:rPr>
                <w:rStyle w:val="IndexLink"/>
              </w:rPr>
              <w:t>407</w:t>
            </w:r>
          </w:hyperlink>
        </w:p>
        <w:p>
          <w:pPr>
            <w:pStyle w:val="Contents6"/>
            <w:tabs>
              <w:tab w:val="clear" w:pos="7609"/>
              <w:tab w:val="right" w:pos="9026" w:leader="dot"/>
            </w:tabs>
            <w:rPr/>
          </w:pPr>
          <w:hyperlink w:anchor="__RefHeading___Toc5447259_3224264995">
            <w:r>
              <w:rPr>
                <w:webHidden/>
                <w:rStyle w:val="IndexLink"/>
                <w:rtl w:val="true"/>
              </w:rPr>
              <w:t>کلام المحقق الخوانساری</w:t>
            </w:r>
            <w:r>
              <w:rPr>
                <w:rStyle w:val="IndexLink"/>
                <w:rtl w:val="true"/>
              </w:rPr>
              <w:tab/>
            </w:r>
            <w:r>
              <w:rPr>
                <w:rStyle w:val="IndexLink"/>
              </w:rPr>
              <w:t>408</w:t>
            </w:r>
          </w:hyperlink>
        </w:p>
        <w:p>
          <w:pPr>
            <w:pStyle w:val="Contents6"/>
            <w:tabs>
              <w:tab w:val="clear" w:pos="7609"/>
              <w:tab w:val="right" w:pos="9026" w:leader="dot"/>
            </w:tabs>
            <w:rPr/>
          </w:pPr>
          <w:hyperlink w:anchor="__RefHeading___Toc5447261_3224264995">
            <w:r>
              <w:rPr>
                <w:webHidden/>
                <w:rStyle w:val="IndexLink"/>
                <w:rtl w:val="true"/>
              </w:rPr>
              <w:t>کلام بعض شراح الوسائل</w:t>
            </w:r>
            <w:r>
              <w:rPr>
                <w:rStyle w:val="IndexLink"/>
                <w:rtl w:val="true"/>
              </w:rPr>
              <w:tab/>
            </w:r>
            <w:r>
              <w:rPr>
                <w:rStyle w:val="IndexLink"/>
              </w:rPr>
              <w:t>408</w:t>
            </w:r>
          </w:hyperlink>
        </w:p>
        <w:p>
          <w:pPr>
            <w:pStyle w:val="Contents6"/>
            <w:tabs>
              <w:tab w:val="clear" w:pos="7609"/>
              <w:tab w:val="right" w:pos="9026" w:leader="dot"/>
            </w:tabs>
            <w:rPr/>
          </w:pPr>
          <w:hyperlink w:anchor="__RefHeading___Toc5447263_3224264995">
            <w:r>
              <w:rPr>
                <w:webHidden/>
                <w:rStyle w:val="IndexLink"/>
                <w:rtl w:val="true"/>
              </w:rPr>
              <w:t>کلام المحدث البحرانی</w:t>
            </w:r>
            <w:r>
              <w:rPr>
                <w:rStyle w:val="IndexLink"/>
                <w:rtl w:val="true"/>
              </w:rPr>
              <w:tab/>
            </w:r>
            <w:r>
              <w:rPr>
                <w:rStyle w:val="IndexLink"/>
              </w:rPr>
              <w:t>409</w:t>
            </w:r>
          </w:hyperlink>
        </w:p>
        <w:p>
          <w:pPr>
            <w:pStyle w:val="Contents6"/>
            <w:tabs>
              <w:tab w:val="clear" w:pos="7609"/>
              <w:tab w:val="right" w:pos="9026" w:leader="dot"/>
            </w:tabs>
            <w:rPr/>
          </w:pPr>
          <w:hyperlink w:anchor="__RefHeading___Toc5447265_3224264995">
            <w:r>
              <w:rPr>
                <w:webHidden/>
                <w:rStyle w:val="IndexLink"/>
                <w:rtl w:val="true"/>
              </w:rPr>
              <w:t>کلام الحاجی و العضدی</w:t>
            </w:r>
            <w:r>
              <w:rPr>
                <w:rStyle w:val="IndexLink"/>
                <w:rtl w:val="true"/>
              </w:rPr>
              <w:tab/>
            </w:r>
            <w:r>
              <w:rPr>
                <w:rStyle w:val="IndexLink"/>
              </w:rPr>
              <w:t>409</w:t>
            </w:r>
          </w:hyperlink>
        </w:p>
        <w:p>
          <w:pPr>
            <w:pStyle w:val="Contents6"/>
            <w:tabs>
              <w:tab w:val="clear" w:pos="7609"/>
              <w:tab w:val="right" w:pos="9026" w:leader="dot"/>
            </w:tabs>
            <w:rPr/>
          </w:pPr>
          <w:hyperlink w:anchor="__RefHeading___Toc5447267_3224264995">
            <w:r>
              <w:rPr>
                <w:webHidden/>
                <w:rStyle w:val="IndexLink"/>
                <w:rtl w:val="true"/>
              </w:rPr>
              <w:t>الثالث</w:t>
            </w:r>
            <w:r>
              <w:rPr>
                <w:rStyle w:val="IndexLink"/>
                <w:rtl w:val="true"/>
              </w:rPr>
              <w:t xml:space="preserve">: </w:t>
            </w:r>
            <w:r>
              <w:rPr>
                <w:rStyle w:val="IndexLink"/>
                <w:rtl w:val="true"/>
              </w:rPr>
              <w:t>العلم الإجمالی بوجود الواجبات و المحرّمات</w:t>
            </w:r>
            <w:r>
              <w:rPr>
                <w:rStyle w:val="IndexLink"/>
                <w:rtl w:val="true"/>
              </w:rPr>
              <w:tab/>
            </w:r>
            <w:r>
              <w:rPr>
                <w:rStyle w:val="IndexLink"/>
              </w:rPr>
              <w:t>411</w:t>
            </w:r>
          </w:hyperlink>
        </w:p>
        <w:p>
          <w:pPr>
            <w:pStyle w:val="Contents6"/>
            <w:tabs>
              <w:tab w:val="clear" w:pos="7609"/>
              <w:tab w:val="right" w:pos="9026" w:leader="dot"/>
            </w:tabs>
            <w:rPr/>
          </w:pPr>
          <w:hyperlink w:anchor="__RefHeading___Toc5447269_3224264995">
            <w:r>
              <w:rPr>
                <w:webHidden/>
                <w:rStyle w:val="IndexLink"/>
                <w:rtl w:val="true"/>
              </w:rPr>
              <w:t>کلام المحقق القمی</w:t>
            </w:r>
            <w:r>
              <w:rPr>
                <w:rStyle w:val="IndexLink"/>
                <w:rtl w:val="true"/>
              </w:rPr>
              <w:tab/>
            </w:r>
            <w:r>
              <w:rPr>
                <w:rStyle w:val="IndexLink"/>
              </w:rPr>
              <w:t>413</w:t>
            </w:r>
          </w:hyperlink>
        </w:p>
        <w:p>
          <w:pPr>
            <w:pStyle w:val="Contents6"/>
            <w:tabs>
              <w:tab w:val="clear" w:pos="7609"/>
              <w:tab w:val="right" w:pos="9026" w:leader="dot"/>
            </w:tabs>
            <w:rPr/>
          </w:pPr>
          <w:hyperlink w:anchor="__RefHeading___Toc5447271_3224264995">
            <w:r>
              <w:rPr>
                <w:webHidden/>
                <w:rStyle w:val="IndexLink"/>
                <w:rtl w:val="true"/>
              </w:rPr>
              <w:t>المناقشه قیما افاده المحقق القمی</w:t>
            </w:r>
            <w:r>
              <w:rPr>
                <w:rStyle w:val="IndexLink"/>
                <w:rtl w:val="true"/>
              </w:rPr>
              <w:tab/>
            </w:r>
            <w:r>
              <w:rPr>
                <w:rStyle w:val="IndexLink"/>
              </w:rPr>
              <w:t>414</w:t>
            </w:r>
          </w:hyperlink>
        </w:p>
        <w:p>
          <w:pPr>
            <w:pStyle w:val="Contents6"/>
            <w:tabs>
              <w:tab w:val="clear" w:pos="7609"/>
              <w:tab w:val="right" w:pos="9026" w:leader="dot"/>
            </w:tabs>
            <w:rPr/>
          </w:pPr>
          <w:hyperlink w:anchor="__RefHeading___Toc5447273_3224264995">
            <w:r>
              <w:rPr>
                <w:webHidden/>
                <w:rStyle w:val="IndexLink"/>
                <w:rtl w:val="true"/>
              </w:rPr>
              <w:t>کلام المحقق جمال الدین الخوانساری</w:t>
            </w:r>
            <w:r>
              <w:rPr>
                <w:rStyle w:val="IndexLink"/>
                <w:rtl w:val="true"/>
              </w:rPr>
              <w:tab/>
            </w:r>
            <w:r>
              <w:rPr>
                <w:rStyle w:val="IndexLink"/>
              </w:rPr>
              <w:t>415</w:t>
            </w:r>
          </w:hyperlink>
        </w:p>
        <w:p>
          <w:pPr>
            <w:pStyle w:val="Contents6"/>
            <w:tabs>
              <w:tab w:val="clear" w:pos="7609"/>
              <w:tab w:val="right" w:pos="9026" w:leader="dot"/>
            </w:tabs>
            <w:rPr/>
          </w:pPr>
          <w:hyperlink w:anchor="__RefHeading___Toc5447275_3224264995">
            <w:r>
              <w:rPr>
                <w:webHidden/>
                <w:rStyle w:val="IndexLink"/>
                <w:rtl w:val="true"/>
              </w:rPr>
              <w:t>المناقشه فیما افاده الخوانساری</w:t>
            </w:r>
            <w:r>
              <w:rPr>
                <w:rStyle w:val="IndexLink"/>
                <w:rtl w:val="true"/>
              </w:rPr>
              <w:tab/>
            </w:r>
            <w:r>
              <w:rPr>
                <w:rStyle w:val="IndexLink"/>
              </w:rPr>
              <w:t>416</w:t>
            </w:r>
          </w:hyperlink>
        </w:p>
        <w:p>
          <w:pPr>
            <w:pStyle w:val="Contents6"/>
            <w:tabs>
              <w:tab w:val="clear" w:pos="7609"/>
              <w:tab w:val="right" w:pos="9026" w:leader="dot"/>
            </w:tabs>
            <w:rPr/>
          </w:pPr>
          <w:hyperlink w:anchor="__RefHeading___Toc5447277_3224264995">
            <w:r>
              <w:rPr>
                <w:webHidden/>
                <w:rStyle w:val="IndexLink"/>
                <w:rtl w:val="true"/>
              </w:rPr>
              <w:t>المقدّمة الثالثة</w:t>
            </w:r>
            <w:r>
              <w:rPr>
                <w:rStyle w:val="IndexLink"/>
                <w:rtl w:val="true"/>
              </w:rPr>
              <w:t>:</w:t>
            </w:r>
            <w:r>
              <w:rPr>
                <w:rStyle w:val="IndexLink"/>
                <w:rtl w:val="true"/>
              </w:rPr>
              <w:t>بطلان وجوب تحصیل الامتثال بالطرق المقرّرة للجاهل</w:t>
            </w:r>
            <w:r>
              <w:rPr>
                <w:rStyle w:val="IndexLink"/>
                <w:rtl w:val="true"/>
              </w:rPr>
              <w:tab/>
            </w:r>
            <w:r>
              <w:rPr>
                <w:rStyle w:val="IndexLink"/>
              </w:rPr>
              <w:t>418</w:t>
            </w:r>
          </w:hyperlink>
        </w:p>
        <w:p>
          <w:pPr>
            <w:pStyle w:val="Contents6"/>
            <w:tabs>
              <w:tab w:val="clear" w:pos="7609"/>
              <w:tab w:val="right" w:pos="9026" w:leader="dot"/>
            </w:tabs>
            <w:rPr/>
          </w:pPr>
          <w:hyperlink w:anchor="__RefHeading___Toc5447279_3224264995">
            <w:r>
              <w:rPr>
                <w:webHidden/>
                <w:rStyle w:val="IndexLink"/>
                <w:rtl w:val="true"/>
              </w:rPr>
              <w:t>عدم وجوب الاحتیاط لوجهین</w:t>
            </w:r>
            <w:r>
              <w:rPr>
                <w:rStyle w:val="IndexLink"/>
                <w:rtl w:val="true"/>
              </w:rPr>
              <w:t>:</w:t>
              <w:tab/>
            </w:r>
            <w:r>
              <w:rPr>
                <w:rStyle w:val="IndexLink"/>
              </w:rPr>
              <w:t>418</w:t>
            </w:r>
          </w:hyperlink>
        </w:p>
        <w:p>
          <w:pPr>
            <w:pStyle w:val="Contents6"/>
            <w:tabs>
              <w:tab w:val="clear" w:pos="7609"/>
              <w:tab w:val="right" w:pos="9026" w:leader="dot"/>
            </w:tabs>
            <w:rPr/>
          </w:pPr>
          <w:hyperlink w:anchor="__RefHeading___Toc5447281_3224264995">
            <w:r>
              <w:rPr>
                <w:webHidden/>
                <w:rStyle w:val="IndexLink"/>
              </w:rPr>
              <w:t>1</w:t>
            </w:r>
            <w:r>
              <w:rPr>
                <w:rStyle w:val="IndexLink"/>
                <w:rtl w:val="true"/>
              </w:rPr>
              <w:t>-</w:t>
            </w:r>
            <w:r>
              <w:rPr>
                <w:rStyle w:val="IndexLink"/>
                <w:rtl w:val="true"/>
              </w:rPr>
              <w:t>الاجماع القطعی</w:t>
            </w:r>
            <w:r>
              <w:rPr>
                <w:rStyle w:val="IndexLink"/>
                <w:rtl w:val="true"/>
              </w:rPr>
              <w:tab/>
            </w:r>
            <w:r>
              <w:rPr>
                <w:rStyle w:val="IndexLink"/>
              </w:rPr>
              <w:t>418</w:t>
            </w:r>
          </w:hyperlink>
        </w:p>
        <w:p>
          <w:pPr>
            <w:pStyle w:val="Contents6"/>
            <w:tabs>
              <w:tab w:val="clear" w:pos="7609"/>
              <w:tab w:val="right" w:pos="9026" w:leader="dot"/>
            </w:tabs>
            <w:rPr/>
          </w:pPr>
          <w:hyperlink w:anchor="__RefHeading___Toc5447283_3224264995">
            <w:r>
              <w:rPr>
                <w:webHidden/>
                <w:rStyle w:val="IndexLink"/>
                <w:rtl w:val="true"/>
              </w:rPr>
              <w:t>الثانی</w:t>
            </w:r>
            <w:r>
              <w:rPr>
                <w:rStyle w:val="IndexLink"/>
                <w:rtl w:val="true"/>
              </w:rPr>
              <w:t>:</w:t>
            </w:r>
            <w:r>
              <w:rPr>
                <w:rStyle w:val="IndexLink"/>
                <w:rtl w:val="true"/>
              </w:rPr>
              <w:t>لزوم العسر الشدید و الحرج</w:t>
            </w:r>
            <w:r>
              <w:rPr>
                <w:rStyle w:val="IndexLink"/>
                <w:rtl w:val="true"/>
              </w:rPr>
              <w:tab/>
            </w:r>
            <w:r>
              <w:rPr>
                <w:rStyle w:val="IndexLink"/>
              </w:rPr>
              <w:t>419</w:t>
            </w:r>
          </w:hyperlink>
        </w:p>
        <w:p>
          <w:pPr>
            <w:pStyle w:val="Contents6"/>
            <w:tabs>
              <w:tab w:val="clear" w:pos="7609"/>
              <w:tab w:val="right" w:pos="9026" w:leader="dot"/>
            </w:tabs>
            <w:rPr/>
          </w:pPr>
          <w:hyperlink w:anchor="__RefHeading___Toc5447285_3224264995">
            <w:r>
              <w:rPr>
                <w:webHidden/>
                <w:rStyle w:val="IndexLink"/>
                <w:rtl w:val="true"/>
              </w:rPr>
              <w:t>تعلیم و تعلّم موارد الاحتیاط حرج أیضا</w:t>
            </w:r>
            <w:r>
              <w:rPr>
                <w:rStyle w:val="IndexLink"/>
                <w:rtl w:val="true"/>
              </w:rPr>
              <w:t>:</w:t>
              <w:tab/>
            </w:r>
            <w:r>
              <w:rPr>
                <w:rStyle w:val="IndexLink"/>
              </w:rPr>
              <w:t>419</w:t>
            </w:r>
          </w:hyperlink>
        </w:p>
        <w:p>
          <w:pPr>
            <w:pStyle w:val="Contents6"/>
            <w:tabs>
              <w:tab w:val="clear" w:pos="7609"/>
              <w:tab w:val="right" w:pos="9026" w:leader="dot"/>
            </w:tabs>
            <w:rPr/>
          </w:pPr>
          <w:hyperlink w:anchor="__RefHeading___Toc5447287_3224264995">
            <w:r>
              <w:rPr>
                <w:webHidden/>
                <w:rStyle w:val="IndexLink"/>
                <w:rtl w:val="true"/>
              </w:rPr>
              <w:t>توضیح الحرج فی ذلک</w:t>
            </w:r>
            <w:r>
              <w:rPr>
                <w:rStyle w:val="IndexLink"/>
                <w:rtl w:val="true"/>
              </w:rPr>
              <w:tab/>
            </w:r>
            <w:r>
              <w:rPr>
                <w:rStyle w:val="IndexLink"/>
              </w:rPr>
              <w:t>420</w:t>
            </w:r>
          </w:hyperlink>
        </w:p>
        <w:p>
          <w:pPr>
            <w:pStyle w:val="Contents6"/>
            <w:tabs>
              <w:tab w:val="clear" w:pos="7609"/>
              <w:tab w:val="right" w:pos="9026" w:leader="dot"/>
            </w:tabs>
            <w:rPr/>
          </w:pPr>
          <w:hyperlink w:anchor="__RefHeading___Toc5447289_3224264995">
            <w:r>
              <w:rPr>
                <w:webHidden/>
                <w:rStyle w:val="IndexLink"/>
                <w:rtl w:val="true"/>
              </w:rPr>
              <w:t>مع عدم إمکان الاحتیاط لا مناص عن العمل بالظنّ</w:t>
            </w:r>
            <w:r>
              <w:rPr>
                <w:rStyle w:val="IndexLink"/>
                <w:rtl w:val="true"/>
              </w:rPr>
              <w:tab/>
            </w:r>
            <w:r>
              <w:rPr>
                <w:rStyle w:val="IndexLink"/>
              </w:rPr>
              <w:t>421</w:t>
            </w:r>
          </w:hyperlink>
        </w:p>
        <w:p>
          <w:pPr>
            <w:pStyle w:val="Contents6"/>
            <w:tabs>
              <w:tab w:val="clear" w:pos="7609"/>
              <w:tab w:val="right" w:pos="9026" w:leader="dot"/>
            </w:tabs>
            <w:rPr/>
          </w:pPr>
          <w:hyperlink w:anchor="__RefHeading___Toc5447291_3224264995">
            <w:r>
              <w:rPr>
                <w:webHidden/>
                <w:rStyle w:val="IndexLink"/>
                <w:rtl w:val="true"/>
              </w:rPr>
              <w:t>الإیراد علی لزوم الحرج بوجوه</w:t>
            </w:r>
            <w:r>
              <w:rPr>
                <w:rStyle w:val="IndexLink"/>
                <w:rtl w:val="true"/>
              </w:rPr>
              <w:t>:</w:t>
              <w:tab/>
            </w:r>
            <w:r>
              <w:rPr>
                <w:rStyle w:val="IndexLink"/>
              </w:rPr>
              <w:t>421</w:t>
            </w:r>
          </w:hyperlink>
        </w:p>
        <w:p>
          <w:pPr>
            <w:pStyle w:val="Contents6"/>
            <w:tabs>
              <w:tab w:val="clear" w:pos="7609"/>
              <w:tab w:val="right" w:pos="9026" w:leader="dot"/>
            </w:tabs>
            <w:rPr/>
          </w:pPr>
          <w:hyperlink w:anchor="__RefHeading___Toc5447293_3224264995">
            <w:r>
              <w:rPr>
                <w:webHidden/>
                <w:rStyle w:val="IndexLink"/>
                <w:rtl w:val="true"/>
              </w:rPr>
              <w:t>الإیراد الأوّل</w:t>
            </w:r>
            <w:r>
              <w:rPr>
                <w:rStyle w:val="IndexLink"/>
                <w:rtl w:val="true"/>
              </w:rPr>
              <w:tab/>
            </w:r>
            <w:r>
              <w:rPr>
                <w:rStyle w:val="IndexLink"/>
              </w:rPr>
              <w:t>421</w:t>
            </w:r>
          </w:hyperlink>
        </w:p>
        <w:p>
          <w:pPr>
            <w:pStyle w:val="Contents6"/>
            <w:tabs>
              <w:tab w:val="clear" w:pos="7609"/>
              <w:tab w:val="right" w:pos="9026" w:leader="dot"/>
            </w:tabs>
            <w:rPr/>
          </w:pPr>
          <w:hyperlink w:anchor="__RefHeading___Toc5447295_3224264995">
            <w:r>
              <w:rPr>
                <w:webHidden/>
                <w:rStyle w:val="IndexLink"/>
                <w:rtl w:val="true"/>
              </w:rPr>
              <w:t>جواب الإیراد</w:t>
            </w:r>
            <w:r>
              <w:rPr>
                <w:rStyle w:val="IndexLink"/>
                <w:rtl w:val="true"/>
              </w:rPr>
              <w:tab/>
            </w:r>
            <w:r>
              <w:rPr>
                <w:rStyle w:val="IndexLink"/>
              </w:rPr>
              <w:t>422</w:t>
            </w:r>
          </w:hyperlink>
        </w:p>
        <w:p>
          <w:pPr>
            <w:pStyle w:val="Contents6"/>
            <w:tabs>
              <w:tab w:val="clear" w:pos="7609"/>
              <w:tab w:val="right" w:pos="9026" w:leader="dot"/>
            </w:tabs>
            <w:rPr/>
          </w:pPr>
          <w:hyperlink w:anchor="__RefHeading___Toc5447297_3224264995">
            <w:r>
              <w:rPr>
                <w:webHidden/>
                <w:rStyle w:val="IndexLink"/>
                <w:rtl w:val="true"/>
              </w:rPr>
              <w:t>حکومة أدلّة نفی الحرج علی العمومات المثبتة للتکلیف</w:t>
            </w:r>
            <w:r>
              <w:rPr>
                <w:rStyle w:val="IndexLink"/>
                <w:rtl w:val="true"/>
              </w:rPr>
              <w:tab/>
            </w:r>
            <w:r>
              <w:rPr>
                <w:rStyle w:val="IndexLink"/>
              </w:rPr>
              <w:t>423</w:t>
            </w:r>
          </w:hyperlink>
        </w:p>
        <w:p>
          <w:pPr>
            <w:pStyle w:val="Contents6"/>
            <w:tabs>
              <w:tab w:val="clear" w:pos="7609"/>
              <w:tab w:val="right" w:pos="9026" w:leader="dot"/>
            </w:tabs>
            <w:rPr/>
          </w:pPr>
          <w:hyperlink w:anchor="__RefHeading___Toc5447299_3224264995">
            <w:r>
              <w:rPr>
                <w:webHidden/>
                <w:rStyle w:val="IndexLink"/>
                <w:rtl w:val="true"/>
              </w:rPr>
              <w:t>مما یوضح الحکومة</w:t>
            </w:r>
            <w:r>
              <w:rPr>
                <w:rStyle w:val="IndexLink"/>
                <w:rtl w:val="true"/>
              </w:rPr>
              <w:tab/>
            </w:r>
            <w:r>
              <w:rPr>
                <w:rStyle w:val="IndexLink"/>
              </w:rPr>
              <w:t>423</w:t>
            </w:r>
          </w:hyperlink>
        </w:p>
        <w:p>
          <w:pPr>
            <w:pStyle w:val="Contents6"/>
            <w:tabs>
              <w:tab w:val="clear" w:pos="7609"/>
              <w:tab w:val="right" w:pos="9026" w:leader="dot"/>
            </w:tabs>
            <w:rPr/>
          </w:pPr>
          <w:hyperlink w:anchor="__RefHeading___Toc5447301_3224264995">
            <w:r>
              <w:rPr>
                <w:webHidden/>
                <w:rStyle w:val="IndexLink"/>
                <w:rtl w:val="true"/>
              </w:rPr>
              <w:t>رجوع الی مناقشه الایراد الاول</w:t>
            </w:r>
            <w:r>
              <w:rPr>
                <w:rStyle w:val="IndexLink"/>
                <w:rtl w:val="true"/>
              </w:rPr>
              <w:tab/>
            </w:r>
            <w:r>
              <w:rPr>
                <w:rStyle w:val="IndexLink"/>
              </w:rPr>
              <w:t>425</w:t>
            </w:r>
          </w:hyperlink>
        </w:p>
        <w:p>
          <w:pPr>
            <w:pStyle w:val="Contents6"/>
            <w:tabs>
              <w:tab w:val="clear" w:pos="7609"/>
              <w:tab w:val="right" w:pos="9026" w:leader="dot"/>
            </w:tabs>
            <w:rPr/>
          </w:pPr>
          <w:hyperlink w:anchor="__RefHeading___Toc5447303_3224264995">
            <w:r>
              <w:rPr>
                <w:webHidden/>
                <w:rStyle w:val="IndexLink"/>
                <w:rtl w:val="true"/>
              </w:rPr>
              <w:t>الإیراد الثانی علی لزوم الحرج و جوابه</w:t>
            </w:r>
            <w:r>
              <w:rPr>
                <w:rStyle w:val="IndexLink"/>
                <w:rtl w:val="true"/>
              </w:rPr>
              <w:t>:</w:t>
              <w:tab/>
            </w:r>
            <w:r>
              <w:rPr>
                <w:rStyle w:val="IndexLink"/>
              </w:rPr>
              <w:t>427</w:t>
            </w:r>
          </w:hyperlink>
        </w:p>
        <w:p>
          <w:pPr>
            <w:pStyle w:val="Contents6"/>
            <w:tabs>
              <w:tab w:val="clear" w:pos="7609"/>
              <w:tab w:val="right" w:pos="9026" w:leader="dot"/>
            </w:tabs>
            <w:rPr/>
          </w:pPr>
          <w:hyperlink w:anchor="__RefHeading___Toc5447305_3224264995">
            <w:r>
              <w:rPr>
                <w:webHidden/>
                <w:rStyle w:val="IndexLink"/>
                <w:rtl w:val="true"/>
              </w:rPr>
              <w:t>الإیراد الثالث علی لزوم الحرج</w:t>
            </w:r>
            <w:r>
              <w:rPr>
                <w:rStyle w:val="IndexLink"/>
                <w:rtl w:val="true"/>
              </w:rPr>
              <w:t>:</w:t>
              <w:tab/>
            </w:r>
            <w:r>
              <w:rPr>
                <w:rStyle w:val="IndexLink"/>
              </w:rPr>
              <w:t>427</w:t>
            </w:r>
          </w:hyperlink>
        </w:p>
        <w:p>
          <w:pPr>
            <w:pStyle w:val="Contents6"/>
            <w:tabs>
              <w:tab w:val="clear" w:pos="7609"/>
              <w:tab w:val="right" w:pos="9026" w:leader="dot"/>
            </w:tabs>
            <w:rPr/>
          </w:pPr>
          <w:hyperlink w:anchor="__RefHeading___Toc5447307_3224264995">
            <w:r>
              <w:rPr>
                <w:webHidden/>
                <w:rStyle w:val="IndexLink"/>
                <w:rtl w:val="true"/>
              </w:rPr>
              <w:t>جواب الإیراد الثالث</w:t>
            </w:r>
            <w:r>
              <w:rPr>
                <w:rStyle w:val="IndexLink"/>
                <w:rtl w:val="true"/>
              </w:rPr>
              <w:t>:</w:t>
              <w:tab/>
            </w:r>
            <w:r>
              <w:rPr>
                <w:rStyle w:val="IndexLink"/>
              </w:rPr>
              <w:t>429</w:t>
            </w:r>
          </w:hyperlink>
        </w:p>
        <w:p>
          <w:pPr>
            <w:pStyle w:val="Contents6"/>
            <w:tabs>
              <w:tab w:val="clear" w:pos="7609"/>
              <w:tab w:val="right" w:pos="9026" w:leader="dot"/>
            </w:tabs>
            <w:rPr/>
          </w:pPr>
          <w:hyperlink w:anchor="__RefHeading___Toc5447309_3224264995">
            <w:r>
              <w:rPr>
                <w:webHidden/>
                <w:rStyle w:val="IndexLink"/>
                <w:rtl w:val="true"/>
              </w:rPr>
              <w:t>الردّ علی الاحتیاط بوجوه أخر</w:t>
            </w:r>
            <w:r>
              <w:rPr>
                <w:rStyle w:val="IndexLink"/>
                <w:rtl w:val="true"/>
              </w:rPr>
              <w:t>:</w:t>
              <w:tab/>
            </w:r>
            <w:r>
              <w:rPr>
                <w:rStyle w:val="IndexLink"/>
              </w:rPr>
              <w:t>430</w:t>
            </w:r>
          </w:hyperlink>
        </w:p>
        <w:p>
          <w:pPr>
            <w:pStyle w:val="Contents6"/>
            <w:tabs>
              <w:tab w:val="clear" w:pos="7609"/>
              <w:tab w:val="right" w:pos="9026" w:leader="dot"/>
            </w:tabs>
            <w:rPr/>
          </w:pPr>
          <w:hyperlink w:anchor="__RefHeading___Toc5447311_3224264995">
            <w:r>
              <w:rPr>
                <w:webHidden/>
                <w:rStyle w:val="IndexLink"/>
                <w:rtl w:val="true"/>
              </w:rPr>
              <w:t>الوجه الأوّل و المناقشة فیه</w:t>
            </w:r>
            <w:r>
              <w:rPr>
                <w:rStyle w:val="IndexLink"/>
                <w:rtl w:val="true"/>
              </w:rPr>
              <w:t>:</w:t>
              <w:tab/>
            </w:r>
            <w:r>
              <w:rPr>
                <w:rStyle w:val="IndexLink"/>
              </w:rPr>
              <w:t>430</w:t>
            </w:r>
          </w:hyperlink>
        </w:p>
        <w:p>
          <w:pPr>
            <w:pStyle w:val="Contents6"/>
            <w:tabs>
              <w:tab w:val="clear" w:pos="7609"/>
              <w:tab w:val="right" w:pos="9026" w:leader="dot"/>
            </w:tabs>
            <w:rPr/>
          </w:pPr>
          <w:hyperlink w:anchor="__RefHeading___Toc5447313_3224264995">
            <w:r>
              <w:rPr>
                <w:webHidden/>
                <w:rStyle w:val="IndexLink"/>
                <w:rtl w:val="true"/>
              </w:rPr>
              <w:t>الوجه الثانی</w:t>
            </w:r>
            <w:r>
              <w:rPr>
                <w:rStyle w:val="IndexLink"/>
                <w:rtl w:val="true"/>
              </w:rPr>
              <w:t>:</w:t>
            </w:r>
            <w:r>
              <w:rPr>
                <w:rStyle w:val="IndexLink"/>
                <w:rtl w:val="true"/>
              </w:rPr>
              <w:t>أنّ العمل بالاحتیاط مخالف للاحتیاط</w:t>
            </w:r>
            <w:r>
              <w:rPr>
                <w:rStyle w:val="IndexLink"/>
                <w:rtl w:val="true"/>
              </w:rPr>
              <w:tab/>
            </w:r>
            <w:r>
              <w:rPr>
                <w:rStyle w:val="IndexLink"/>
              </w:rPr>
              <w:t>431</w:t>
            </w:r>
          </w:hyperlink>
        </w:p>
        <w:p>
          <w:pPr>
            <w:pStyle w:val="Contents6"/>
            <w:tabs>
              <w:tab w:val="clear" w:pos="7609"/>
              <w:tab w:val="right" w:pos="9026" w:leader="dot"/>
            </w:tabs>
            <w:rPr/>
          </w:pPr>
          <w:hyperlink w:anchor="__RefHeading___Toc5447315_3224264995">
            <w:r>
              <w:rPr>
                <w:webHidden/>
                <w:rStyle w:val="IndexLink"/>
                <w:rtl w:val="true"/>
              </w:rPr>
              <w:t>المناقشة فی هذا الوجه</w:t>
            </w:r>
            <w:r>
              <w:rPr>
                <w:rStyle w:val="IndexLink"/>
                <w:rtl w:val="true"/>
              </w:rPr>
              <w:tab/>
            </w:r>
            <w:r>
              <w:rPr>
                <w:rStyle w:val="IndexLink"/>
              </w:rPr>
              <w:t>432</w:t>
            </w:r>
          </w:hyperlink>
        </w:p>
        <w:p>
          <w:pPr>
            <w:pStyle w:val="Contents6"/>
            <w:tabs>
              <w:tab w:val="clear" w:pos="7609"/>
              <w:tab w:val="right" w:pos="9026" w:leader="dot"/>
            </w:tabs>
            <w:rPr/>
          </w:pPr>
          <w:hyperlink w:anchor="__RefHeading___Toc5447317_3224264995">
            <w:r>
              <w:rPr>
                <w:webHidden/>
                <w:rStyle w:val="IndexLink"/>
                <w:rtl w:val="true"/>
              </w:rPr>
              <w:t>المناقشه الثانیة فی ذلک</w:t>
            </w:r>
            <w:r>
              <w:rPr>
                <w:rStyle w:val="IndexLink"/>
                <w:rtl w:val="true"/>
              </w:rPr>
              <w:tab/>
            </w:r>
            <w:r>
              <w:rPr>
                <w:rStyle w:val="IndexLink"/>
              </w:rPr>
              <w:t>432</w:t>
            </w:r>
          </w:hyperlink>
        </w:p>
        <w:p>
          <w:pPr>
            <w:pStyle w:val="Contents6"/>
            <w:tabs>
              <w:tab w:val="clear" w:pos="7609"/>
              <w:tab w:val="right" w:pos="9026" w:leader="dot"/>
            </w:tabs>
            <w:rPr/>
          </w:pPr>
          <w:hyperlink w:anchor="__RefHeading___Toc5447319_3224264995">
            <w:r>
              <w:rPr>
                <w:webHidden/>
                <w:rStyle w:val="IndexLink"/>
                <w:rtl w:val="true"/>
              </w:rPr>
              <w:t>المناقشه الثالثه</w:t>
            </w:r>
            <w:r>
              <w:rPr>
                <w:rStyle w:val="IndexLink"/>
                <w:rtl w:val="true"/>
              </w:rPr>
              <w:tab/>
            </w:r>
            <w:r>
              <w:rPr>
                <w:rStyle w:val="IndexLink"/>
              </w:rPr>
              <w:t>434</w:t>
            </w:r>
          </w:hyperlink>
        </w:p>
        <w:p>
          <w:pPr>
            <w:pStyle w:val="Contents6"/>
            <w:tabs>
              <w:tab w:val="clear" w:pos="7609"/>
              <w:tab w:val="right" w:pos="9026" w:leader="dot"/>
            </w:tabs>
            <w:rPr/>
          </w:pPr>
          <w:hyperlink w:anchor="__RefHeading___Toc5447321_3224264995">
            <w:r>
              <w:rPr>
                <w:webHidden/>
                <w:rStyle w:val="IndexLink"/>
                <w:rtl w:val="true"/>
              </w:rPr>
              <w:t>المناقشه الرابعة</w:t>
            </w:r>
            <w:r>
              <w:rPr>
                <w:rStyle w:val="IndexLink"/>
                <w:rtl w:val="true"/>
              </w:rPr>
              <w:tab/>
            </w:r>
            <w:r>
              <w:rPr>
                <w:rStyle w:val="IndexLink"/>
              </w:rPr>
              <w:t>435</w:t>
            </w:r>
          </w:hyperlink>
        </w:p>
        <w:p>
          <w:pPr>
            <w:pStyle w:val="Contents6"/>
            <w:tabs>
              <w:tab w:val="clear" w:pos="7609"/>
              <w:tab w:val="right" w:pos="9026" w:leader="dot"/>
            </w:tabs>
            <w:rPr/>
          </w:pPr>
          <w:hyperlink w:anchor="__RefHeading___Toc5447323_3224264995">
            <w:r>
              <w:rPr>
                <w:webHidden/>
                <w:rStyle w:val="IndexLink"/>
                <w:rtl w:val="true"/>
              </w:rPr>
              <w:t>مقتضی نفی الاحتیاط عدم وجوب مراعاة الاحتمالات الموهومة فقط</w:t>
            </w:r>
            <w:r>
              <w:rPr>
                <w:rStyle w:val="IndexLink"/>
                <w:rtl w:val="true"/>
              </w:rPr>
              <w:tab/>
            </w:r>
            <w:r>
              <w:rPr>
                <w:rStyle w:val="IndexLink"/>
              </w:rPr>
              <w:t>436</w:t>
            </w:r>
          </w:hyperlink>
        </w:p>
        <w:p>
          <w:pPr>
            <w:pStyle w:val="Contents6"/>
            <w:tabs>
              <w:tab w:val="clear" w:pos="7609"/>
              <w:tab w:val="right" w:pos="9026" w:leader="dot"/>
            </w:tabs>
            <w:rPr/>
          </w:pPr>
          <w:hyperlink w:anchor="__RefHeading___Toc5447325_3224264995">
            <w:r>
              <w:rPr>
                <w:webHidden/>
                <w:rStyle w:val="IndexLink"/>
                <w:rtl w:val="true"/>
              </w:rPr>
              <w:t>دعوی الإجماع علی عدم وجوب الاحتیاط فی المشکوکات أیضا</w:t>
            </w:r>
            <w:r>
              <w:rPr>
                <w:rStyle w:val="IndexLink"/>
                <w:rtl w:val="true"/>
              </w:rPr>
              <w:tab/>
            </w:r>
            <w:r>
              <w:rPr>
                <w:rStyle w:val="IndexLink"/>
              </w:rPr>
              <w:t>438</w:t>
            </w:r>
          </w:hyperlink>
        </w:p>
        <w:p>
          <w:pPr>
            <w:pStyle w:val="Contents6"/>
            <w:tabs>
              <w:tab w:val="clear" w:pos="7609"/>
              <w:tab w:val="right" w:pos="9026" w:leader="dot"/>
            </w:tabs>
            <w:rPr/>
          </w:pPr>
          <w:hyperlink w:anchor="__RefHeading___Toc5447327_3224264995">
            <w:r>
              <w:rPr>
                <w:webHidden/>
                <w:rStyle w:val="IndexLink"/>
                <w:rtl w:val="true"/>
              </w:rPr>
              <w:t>الإشکال فی هذه الدعوی</w:t>
            </w:r>
            <w:r>
              <w:rPr>
                <w:rStyle w:val="IndexLink"/>
                <w:rtl w:val="true"/>
              </w:rPr>
              <w:tab/>
            </w:r>
            <w:r>
              <w:rPr>
                <w:rStyle w:val="IndexLink"/>
              </w:rPr>
              <w:t>438</w:t>
            </w:r>
          </w:hyperlink>
        </w:p>
        <w:p>
          <w:pPr>
            <w:pStyle w:val="Contents6"/>
            <w:tabs>
              <w:tab w:val="clear" w:pos="7609"/>
              <w:tab w:val="right" w:pos="9026" w:leader="dot"/>
            </w:tabs>
            <w:rPr/>
          </w:pPr>
          <w:hyperlink w:anchor="__RefHeading___Toc5447329_3224264995">
            <w:r>
              <w:rPr>
                <w:webHidden/>
                <w:rStyle w:val="IndexLink"/>
                <w:rtl w:val="true"/>
              </w:rPr>
              <w:t>إشکال آخر فی المقام</w:t>
            </w:r>
            <w:r>
              <w:rPr>
                <w:rStyle w:val="IndexLink"/>
                <w:rtl w:val="true"/>
              </w:rPr>
              <w:t>:</w:t>
              <w:tab/>
            </w:r>
            <w:r>
              <w:rPr>
                <w:rStyle w:val="IndexLink"/>
              </w:rPr>
              <w:t>442</w:t>
            </w:r>
          </w:hyperlink>
        </w:p>
        <w:p>
          <w:pPr>
            <w:pStyle w:val="Contents6"/>
            <w:tabs>
              <w:tab w:val="clear" w:pos="7609"/>
              <w:tab w:val="right" w:pos="9026" w:leader="dot"/>
            </w:tabs>
            <w:rPr/>
          </w:pPr>
          <w:hyperlink w:anchor="__RefHeading___Toc5447331_3224264995">
            <w:r>
              <w:rPr>
                <w:webHidden/>
                <w:rStyle w:val="IndexLink"/>
                <w:rtl w:val="true"/>
              </w:rPr>
              <w:t>بطلان الرجوع فی کلّ واقعة إلی ما یقتضیه الأصل</w:t>
            </w:r>
            <w:r>
              <w:rPr>
                <w:rStyle w:val="IndexLink"/>
                <w:rtl w:val="true"/>
              </w:rPr>
              <w:tab/>
            </w:r>
            <w:r>
              <w:rPr>
                <w:rStyle w:val="IndexLink"/>
              </w:rPr>
              <w:t>443</w:t>
            </w:r>
          </w:hyperlink>
        </w:p>
        <w:p>
          <w:pPr>
            <w:pStyle w:val="Contents6"/>
            <w:tabs>
              <w:tab w:val="clear" w:pos="7609"/>
              <w:tab w:val="right" w:pos="9026" w:leader="dot"/>
            </w:tabs>
            <w:rPr/>
          </w:pPr>
          <w:hyperlink w:anchor="__RefHeading___Toc5447333_3224264995">
            <w:r>
              <w:rPr>
                <w:webHidden/>
                <w:rStyle w:val="IndexLink"/>
                <w:rtl w:val="true"/>
              </w:rPr>
              <w:t>بطلان الرجوع إلی فتوی العالم و تقلیده</w:t>
            </w:r>
            <w:r>
              <w:rPr>
                <w:rStyle w:val="IndexLink"/>
                <w:rtl w:val="true"/>
              </w:rPr>
              <w:tab/>
            </w:r>
            <w:r>
              <w:rPr>
                <w:rStyle w:val="IndexLink"/>
              </w:rPr>
              <w:t>444</w:t>
            </w:r>
          </w:hyperlink>
        </w:p>
        <w:p>
          <w:pPr>
            <w:pStyle w:val="Contents6"/>
            <w:tabs>
              <w:tab w:val="clear" w:pos="7609"/>
              <w:tab w:val="right" w:pos="9026" w:leader="dot"/>
            </w:tabs>
            <w:rPr/>
          </w:pPr>
          <w:hyperlink w:anchor="__RefHeading___Toc5447335_3224264995">
            <w:r>
              <w:rPr>
                <w:webHidden/>
                <w:rStyle w:val="IndexLink"/>
                <w:rtl w:val="true"/>
              </w:rPr>
              <w:t>المقدّمة الرابعة</w:t>
            </w:r>
            <w:r>
              <w:rPr>
                <w:rStyle w:val="IndexLink"/>
                <w:rtl w:val="true"/>
              </w:rPr>
              <w:t>:</w:t>
            </w:r>
            <w:r>
              <w:rPr>
                <w:rStyle w:val="IndexLink"/>
                <w:rtl w:val="true"/>
              </w:rPr>
              <w:t>تعیّن العمل بمطلق الظنّ</w:t>
            </w:r>
            <w:r>
              <w:rPr>
                <w:rStyle w:val="IndexLink"/>
                <w:rtl w:val="true"/>
              </w:rPr>
              <w:tab/>
            </w:r>
            <w:r>
              <w:rPr>
                <w:rStyle w:val="IndexLink"/>
              </w:rPr>
              <w:t>446</w:t>
            </w:r>
          </w:hyperlink>
        </w:p>
        <w:p>
          <w:pPr>
            <w:pStyle w:val="Contents6"/>
            <w:tabs>
              <w:tab w:val="clear" w:pos="7609"/>
              <w:tab w:val="right" w:pos="9026" w:leader="dot"/>
            </w:tabs>
            <w:rPr/>
          </w:pPr>
          <w:hyperlink w:anchor="__RefHeading___Toc5447337_3224264995">
            <w:r>
              <w:rPr>
                <w:webHidden/>
                <w:rStyle w:val="IndexLink"/>
                <w:rtl w:val="true"/>
              </w:rPr>
              <w:t>مراتب امتثال الحکم الشرعی</w:t>
            </w:r>
            <w:r>
              <w:rPr>
                <w:rStyle w:val="IndexLink"/>
                <w:rtl w:val="true"/>
              </w:rPr>
              <w:tab/>
            </w:r>
            <w:r>
              <w:rPr>
                <w:rStyle w:val="IndexLink"/>
              </w:rPr>
              <w:t>447</w:t>
            </w:r>
          </w:hyperlink>
        </w:p>
        <w:p>
          <w:pPr>
            <w:pStyle w:val="Contents6"/>
            <w:tabs>
              <w:tab w:val="clear" w:pos="7609"/>
              <w:tab w:val="right" w:pos="9026" w:leader="dot"/>
            </w:tabs>
            <w:rPr/>
          </w:pPr>
          <w:hyperlink w:anchor="__RefHeading___Toc5447339_3224264995">
            <w:r>
              <w:rPr>
                <w:webHidden/>
                <w:rStyle w:val="IndexLink"/>
                <w:rtl w:val="true"/>
              </w:rPr>
              <w:t>ترتّب هذه المراتب</w:t>
            </w:r>
            <w:r>
              <w:rPr>
                <w:rStyle w:val="IndexLink"/>
                <w:rtl w:val="true"/>
              </w:rPr>
              <w:tab/>
            </w:r>
            <w:r>
              <w:rPr>
                <w:rStyle w:val="IndexLink"/>
              </w:rPr>
              <w:t>447</w:t>
            </w:r>
          </w:hyperlink>
        </w:p>
        <w:p>
          <w:pPr>
            <w:pStyle w:val="Contents6"/>
            <w:tabs>
              <w:tab w:val="clear" w:pos="7609"/>
              <w:tab w:val="right" w:pos="9026" w:leader="dot"/>
            </w:tabs>
            <w:rPr/>
          </w:pPr>
          <w:hyperlink w:anchor="__RefHeading___Toc5447341_3224264995">
            <w:r>
              <w:rPr>
                <w:webHidden/>
                <w:rStyle w:val="IndexLink"/>
                <w:rtl w:val="true"/>
              </w:rPr>
              <w:t>الامتثال الظنّی بعد تعذّر العلمی لا یحتاج إلی جعل جاعل</w:t>
            </w:r>
            <w:r>
              <w:rPr>
                <w:rStyle w:val="IndexLink"/>
                <w:rtl w:val="true"/>
              </w:rPr>
              <w:tab/>
            </w:r>
            <w:r>
              <w:rPr>
                <w:rStyle w:val="IndexLink"/>
              </w:rPr>
              <w:t>448</w:t>
            </w:r>
          </w:hyperlink>
        </w:p>
        <w:p>
          <w:pPr>
            <w:pStyle w:val="Contents6"/>
            <w:tabs>
              <w:tab w:val="clear" w:pos="7609"/>
              <w:tab w:val="right" w:pos="9026" w:leader="dot"/>
            </w:tabs>
            <w:rPr/>
          </w:pPr>
          <w:hyperlink w:anchor="__RefHeading___Toc5447343_3224264995">
            <w:r>
              <w:rPr>
                <w:webHidden/>
                <w:rStyle w:val="IndexLink"/>
                <w:rtl w:val="true"/>
              </w:rPr>
              <w:t>الأخذ بالمرجوح و طرح الراجح قبیح مطلقا</w:t>
            </w:r>
            <w:r>
              <w:rPr>
                <w:rStyle w:val="IndexLink"/>
                <w:rtl w:val="true"/>
              </w:rPr>
              <w:tab/>
            </w:r>
            <w:r>
              <w:rPr>
                <w:rStyle w:val="IndexLink"/>
              </w:rPr>
              <w:t>449</w:t>
            </w:r>
          </w:hyperlink>
        </w:p>
        <w:p>
          <w:pPr>
            <w:pStyle w:val="Contents6"/>
            <w:tabs>
              <w:tab w:val="clear" w:pos="7609"/>
              <w:tab w:val="right" w:pos="9026" w:leader="dot"/>
            </w:tabs>
            <w:rPr/>
          </w:pPr>
          <w:hyperlink w:anchor="__RefHeading___Toc5447345_3224264995">
            <w:r>
              <w:rPr>
                <w:webHidden/>
                <w:rStyle w:val="IndexLink"/>
                <w:rtl w:val="true"/>
              </w:rPr>
              <w:t>و ینبغی التنبیه علی امور</w:t>
            </w:r>
            <w:r>
              <w:rPr>
                <w:rStyle w:val="IndexLink"/>
                <w:rtl w:val="true"/>
              </w:rPr>
              <w:t>:</w:t>
              <w:tab/>
            </w:r>
            <w:r>
              <w:rPr>
                <w:rStyle w:val="IndexLink"/>
              </w:rPr>
              <w:t>452</w:t>
            </w:r>
          </w:hyperlink>
        </w:p>
        <w:p>
          <w:pPr>
            <w:pStyle w:val="Contents6"/>
            <w:tabs>
              <w:tab w:val="clear" w:pos="7609"/>
              <w:tab w:val="right" w:pos="9026" w:leader="dot"/>
            </w:tabs>
            <w:rPr/>
          </w:pPr>
          <w:hyperlink w:anchor="__RefHeading___Toc5447347_3224264995">
            <w:r>
              <w:rPr>
                <w:webHidden/>
                <w:rStyle w:val="IndexLink"/>
                <w:rtl w:val="true"/>
              </w:rPr>
              <w:t>الأمر الأوّل</w:t>
            </w:r>
            <w:r>
              <w:rPr>
                <w:rStyle w:val="IndexLink"/>
                <w:rtl w:val="true"/>
              </w:rPr>
              <w:t>:</w:t>
            </w:r>
            <w:r>
              <w:rPr>
                <w:rStyle w:val="IndexLink"/>
                <w:rtl w:val="true"/>
              </w:rPr>
              <w:t>عدم الفرق فی الامتثال الظنّی بین الظنّ بالحکم الواقعی أو الظاهری</w:t>
            </w:r>
            <w:r>
              <w:rPr>
                <w:rStyle w:val="IndexLink"/>
                <w:rtl w:val="true"/>
              </w:rPr>
              <w:tab/>
            </w:r>
            <w:r>
              <w:rPr>
                <w:rStyle w:val="IndexLink"/>
              </w:rPr>
              <w:t>452</w:t>
            </w:r>
          </w:hyperlink>
        </w:p>
        <w:p>
          <w:pPr>
            <w:pStyle w:val="Contents6"/>
            <w:tabs>
              <w:tab w:val="clear" w:pos="7609"/>
              <w:tab w:val="right" w:pos="9026" w:leader="dot"/>
            </w:tabs>
            <w:rPr/>
          </w:pPr>
          <w:hyperlink w:anchor="__RefHeading___Toc5447349_3224264995">
            <w:r>
              <w:rPr>
                <w:webHidden/>
                <w:rStyle w:val="IndexLink"/>
                <w:rtl w:val="true"/>
              </w:rPr>
              <w:t>المخالف للتعمیم فریقان</w:t>
            </w:r>
            <w:r>
              <w:rPr>
                <w:rStyle w:val="IndexLink"/>
                <w:rtl w:val="true"/>
              </w:rPr>
              <w:tab/>
            </w:r>
            <w:r>
              <w:rPr>
                <w:rStyle w:val="IndexLink"/>
              </w:rPr>
              <w:t>452</w:t>
            </w:r>
          </w:hyperlink>
        </w:p>
        <w:p>
          <w:pPr>
            <w:pStyle w:val="Contents6"/>
            <w:tabs>
              <w:tab w:val="clear" w:pos="7609"/>
              <w:tab w:val="right" w:pos="9026" w:leader="dot"/>
            </w:tabs>
            <w:rPr/>
          </w:pPr>
          <w:hyperlink w:anchor="__RefHeading___Toc5447351_3224264995">
            <w:r>
              <w:rPr>
                <w:webHidden/>
                <w:rStyle w:val="IndexLink"/>
                <w:rtl w:val="true"/>
              </w:rPr>
              <w:t>أدلّة القائلین باعتبار الظنّ فی المسائل الاصولیّة دون الفرعیّة</w:t>
            </w:r>
            <w:r>
              <w:rPr>
                <w:rStyle w:val="IndexLink"/>
                <w:rtl w:val="true"/>
              </w:rPr>
              <w:t>:</w:t>
              <w:tab/>
            </w:r>
            <w:r>
              <w:rPr>
                <w:rStyle w:val="IndexLink"/>
              </w:rPr>
              <w:t>453</w:t>
            </w:r>
          </w:hyperlink>
        </w:p>
        <w:p>
          <w:pPr>
            <w:pStyle w:val="Contents6"/>
            <w:tabs>
              <w:tab w:val="clear" w:pos="7609"/>
              <w:tab w:val="right" w:pos="9026" w:leader="dot"/>
            </w:tabs>
            <w:rPr/>
          </w:pPr>
          <w:hyperlink w:anchor="__RefHeading___Toc5447353_3224264995">
            <w:r>
              <w:rPr>
                <w:webHidden/>
                <w:rStyle w:val="IndexLink"/>
              </w:rPr>
              <w:t>1</w:t>
            </w:r>
            <w:r>
              <w:rPr>
                <w:rStyle w:val="IndexLink"/>
                <w:rtl w:val="true"/>
              </w:rPr>
              <w:t>-</w:t>
            </w:r>
            <w:r>
              <w:rPr>
                <w:rStyle w:val="IndexLink"/>
                <w:rtl w:val="true"/>
              </w:rPr>
              <w:t>ما ذکره صاحب الفصول</w:t>
            </w:r>
            <w:r>
              <w:rPr>
                <w:rStyle w:val="IndexLink"/>
                <w:rtl w:val="true"/>
              </w:rPr>
              <w:tab/>
            </w:r>
            <w:r>
              <w:rPr>
                <w:rStyle w:val="IndexLink"/>
              </w:rPr>
              <w:t>453</w:t>
            </w:r>
          </w:hyperlink>
        </w:p>
        <w:p>
          <w:pPr>
            <w:pStyle w:val="Contents6"/>
            <w:tabs>
              <w:tab w:val="clear" w:pos="7609"/>
              <w:tab w:val="right" w:pos="9026" w:leader="dot"/>
            </w:tabs>
            <w:rPr/>
          </w:pPr>
          <w:hyperlink w:anchor="__RefHeading___Toc5447355_3224264995">
            <w:r>
              <w:rPr>
                <w:webHidden/>
                <w:rStyle w:val="IndexLink"/>
                <w:rtl w:val="true"/>
              </w:rPr>
              <w:t>المناقشة فیما أفاده صاحب الفصول</w:t>
            </w:r>
            <w:r>
              <w:rPr>
                <w:rStyle w:val="IndexLink"/>
                <w:rtl w:val="true"/>
              </w:rPr>
              <w:tab/>
            </w:r>
            <w:r>
              <w:rPr>
                <w:rStyle w:val="IndexLink"/>
              </w:rPr>
              <w:t>454</w:t>
            </w:r>
          </w:hyperlink>
        </w:p>
        <w:p>
          <w:pPr>
            <w:pStyle w:val="Contents6"/>
            <w:tabs>
              <w:tab w:val="clear" w:pos="7609"/>
              <w:tab w:val="right" w:pos="9026" w:leader="dot"/>
            </w:tabs>
            <w:rPr/>
          </w:pPr>
          <w:hyperlink w:anchor="__RefHeading___Toc5447357_3224264995">
            <w:r>
              <w:rPr>
                <w:webHidden/>
                <w:rStyle w:val="IndexLink"/>
                <w:rtl w:val="true"/>
              </w:rPr>
              <w:t>المناقشه الثانیة فی کلام صاحب افصول</w:t>
            </w:r>
            <w:r>
              <w:rPr>
                <w:rStyle w:val="IndexLink"/>
                <w:rtl w:val="true"/>
              </w:rPr>
              <w:tab/>
            </w:r>
            <w:r>
              <w:rPr>
                <w:rStyle w:val="IndexLink"/>
              </w:rPr>
              <w:t>458</w:t>
            </w:r>
          </w:hyperlink>
        </w:p>
        <w:p>
          <w:pPr>
            <w:pStyle w:val="Contents6"/>
            <w:tabs>
              <w:tab w:val="clear" w:pos="7609"/>
              <w:tab w:val="right" w:pos="9026" w:leader="dot"/>
            </w:tabs>
            <w:rPr/>
          </w:pPr>
          <w:hyperlink w:anchor="__RefHeading___Toc5447359_3224264995">
            <w:r>
              <w:rPr>
                <w:webHidden/>
                <w:rStyle w:val="IndexLink"/>
                <w:rtl w:val="true"/>
              </w:rPr>
              <w:t>المناقشه الرابعة</w:t>
            </w:r>
            <w:r>
              <w:rPr>
                <w:rStyle w:val="IndexLink"/>
                <w:rtl w:val="true"/>
              </w:rPr>
              <w:tab/>
            </w:r>
            <w:r>
              <w:rPr>
                <w:rStyle w:val="IndexLink"/>
              </w:rPr>
              <w:t>460</w:t>
            </w:r>
          </w:hyperlink>
        </w:p>
        <w:p>
          <w:pPr>
            <w:pStyle w:val="Contents6"/>
            <w:tabs>
              <w:tab w:val="clear" w:pos="7609"/>
              <w:tab w:val="right" w:pos="9026" w:leader="dot"/>
            </w:tabs>
            <w:rPr/>
          </w:pPr>
          <w:hyperlink w:anchor="__RefHeading___Toc5447361_3224264995">
            <w:r>
              <w:rPr>
                <w:webHidden/>
                <w:rStyle w:val="IndexLink"/>
                <w:rtl w:val="true"/>
              </w:rPr>
              <w:t>المناقشة الخامسة</w:t>
            </w:r>
            <w:r>
              <w:rPr>
                <w:rStyle w:val="IndexLink"/>
                <w:rtl w:val="true"/>
              </w:rPr>
              <w:tab/>
            </w:r>
            <w:r>
              <w:rPr>
                <w:rStyle w:val="IndexLink"/>
              </w:rPr>
              <w:t>461</w:t>
            </w:r>
          </w:hyperlink>
        </w:p>
        <w:p>
          <w:pPr>
            <w:pStyle w:val="Contents6"/>
            <w:tabs>
              <w:tab w:val="clear" w:pos="7609"/>
              <w:tab w:val="right" w:pos="9026" w:leader="dot"/>
            </w:tabs>
            <w:rPr/>
          </w:pPr>
          <w:hyperlink w:anchor="__RefHeading___Toc5447363_3224264995">
            <w:r>
              <w:rPr>
                <w:webHidden/>
                <w:rStyle w:val="IndexLink"/>
                <w:rtl w:val="true"/>
              </w:rPr>
              <w:t>الوجه الثانی</w:t>
            </w:r>
            <w:r>
              <w:rPr>
                <w:rStyle w:val="IndexLink"/>
                <w:rtl w:val="true"/>
              </w:rPr>
              <w:t xml:space="preserve">: </w:t>
            </w:r>
            <w:r>
              <w:rPr>
                <w:rStyle w:val="IndexLink"/>
                <w:rtl w:val="true"/>
              </w:rPr>
              <w:t>ما ذکره صاحب هدایة المسترشدین</w:t>
            </w:r>
            <w:r>
              <w:rPr>
                <w:rStyle w:val="IndexLink"/>
                <w:rtl w:val="true"/>
              </w:rPr>
              <w:tab/>
            </w:r>
            <w:r>
              <w:rPr>
                <w:rStyle w:val="IndexLink"/>
              </w:rPr>
              <w:t>469</w:t>
            </w:r>
          </w:hyperlink>
        </w:p>
        <w:p>
          <w:pPr>
            <w:pStyle w:val="Contents6"/>
            <w:tabs>
              <w:tab w:val="clear" w:pos="7609"/>
              <w:tab w:val="right" w:pos="9026" w:leader="dot"/>
            </w:tabs>
            <w:rPr/>
          </w:pPr>
          <w:hyperlink w:anchor="__RefHeading___Toc5447365_3224264995">
            <w:r>
              <w:rPr>
                <w:webHidden/>
                <w:rStyle w:val="IndexLink"/>
                <w:rtl w:val="true"/>
              </w:rPr>
              <w:t>المناقشة فیما أفاده صاحب الهدایة</w:t>
            </w:r>
            <w:r>
              <w:rPr>
                <w:rStyle w:val="IndexLink"/>
                <w:rtl w:val="true"/>
              </w:rPr>
              <w:tab/>
            </w:r>
            <w:r>
              <w:rPr>
                <w:rStyle w:val="IndexLink"/>
              </w:rPr>
              <w:t>472</w:t>
            </w:r>
          </w:hyperlink>
        </w:p>
        <w:p>
          <w:pPr>
            <w:pStyle w:val="Contents6"/>
            <w:tabs>
              <w:tab w:val="clear" w:pos="7609"/>
              <w:tab w:val="right" w:pos="9026" w:leader="dot"/>
            </w:tabs>
            <w:rPr/>
          </w:pPr>
          <w:hyperlink w:anchor="__RefHeading___Toc5447367_3224264995">
            <w:r>
              <w:rPr>
                <w:webHidden/>
                <w:rStyle w:val="IndexLink"/>
                <w:rtl w:val="true"/>
              </w:rPr>
              <w:t>القول باعتبار الظنّ فی المسائل الفرعیّة دون الاصولیّة</w:t>
            </w:r>
            <w:r>
              <w:rPr>
                <w:rStyle w:val="IndexLink"/>
                <w:rtl w:val="true"/>
              </w:rPr>
              <w:tab/>
            </w:r>
            <w:r>
              <w:rPr>
                <w:rStyle w:val="IndexLink"/>
              </w:rPr>
              <w:t>475</w:t>
            </w:r>
          </w:hyperlink>
        </w:p>
        <w:p>
          <w:pPr>
            <w:pStyle w:val="Contents6"/>
            <w:tabs>
              <w:tab w:val="clear" w:pos="7609"/>
              <w:tab w:val="right" w:pos="9026" w:leader="dot"/>
            </w:tabs>
            <w:rPr/>
          </w:pPr>
          <w:hyperlink w:anchor="__RefHeading___Toc5447369_3224264995">
            <w:r>
              <w:rPr>
                <w:webHidden/>
                <w:rStyle w:val="IndexLink"/>
                <w:rtl w:val="true"/>
              </w:rPr>
              <w:t>ما ذکره صاحب ضوابط الاصول</w:t>
            </w:r>
            <w:r>
              <w:rPr>
                <w:rStyle w:val="IndexLink"/>
                <w:rtl w:val="true"/>
              </w:rPr>
              <w:tab/>
            </w:r>
            <w:r>
              <w:rPr>
                <w:rStyle w:val="IndexLink"/>
              </w:rPr>
              <w:t>476</w:t>
            </w:r>
          </w:hyperlink>
        </w:p>
        <w:p>
          <w:pPr>
            <w:pStyle w:val="Contents6"/>
            <w:tabs>
              <w:tab w:val="clear" w:pos="7609"/>
              <w:tab w:val="right" w:pos="9026" w:leader="dot"/>
            </w:tabs>
            <w:rPr/>
          </w:pPr>
          <w:hyperlink w:anchor="__RefHeading___Toc5447371_3224264995">
            <w:r>
              <w:rPr>
                <w:webHidden/>
                <w:rStyle w:val="IndexLink"/>
                <w:rtl w:val="true"/>
              </w:rPr>
              <w:t>المناقشة فیما أفاده صاحب ضوابط الاصول</w:t>
            </w:r>
            <w:r>
              <w:rPr>
                <w:rStyle w:val="IndexLink"/>
                <w:rtl w:val="true"/>
              </w:rPr>
              <w:tab/>
            </w:r>
            <w:r>
              <w:rPr>
                <w:rStyle w:val="IndexLink"/>
              </w:rPr>
              <w:t>476</w:t>
            </w:r>
          </w:hyperlink>
        </w:p>
        <w:p>
          <w:pPr>
            <w:pStyle w:val="Contents6"/>
            <w:tabs>
              <w:tab w:val="clear" w:pos="7609"/>
              <w:tab w:val="right" w:pos="9026" w:leader="dot"/>
            </w:tabs>
            <w:rPr/>
          </w:pPr>
          <w:hyperlink w:anchor="__RefHeading___Toc5447373_3224264995">
            <w:r>
              <w:rPr>
                <w:webHidden/>
                <w:rStyle w:val="IndexLink"/>
                <w:rtl w:val="true"/>
              </w:rPr>
              <w:t>الأمر الثانی</w:t>
            </w:r>
            <w:r>
              <w:rPr>
                <w:rStyle w:val="IndexLink"/>
                <w:rtl w:val="true"/>
              </w:rPr>
              <w:t>:</w:t>
            </w:r>
            <w:r>
              <w:rPr>
                <w:rStyle w:val="IndexLink"/>
                <w:rtl w:val="true"/>
              </w:rPr>
              <w:t>الکلام فی مقامات</w:t>
            </w:r>
            <w:r>
              <w:rPr>
                <w:rStyle w:val="IndexLink"/>
                <w:rtl w:val="true"/>
              </w:rPr>
              <w:t>:</w:t>
              <w:tab/>
            </w:r>
            <w:r>
              <w:rPr>
                <w:rStyle w:val="IndexLink"/>
              </w:rPr>
              <w:t>478</w:t>
            </w:r>
          </w:hyperlink>
        </w:p>
        <w:p>
          <w:pPr>
            <w:pStyle w:val="Contents6"/>
            <w:tabs>
              <w:tab w:val="clear" w:pos="7609"/>
              <w:tab w:val="right" w:pos="9026" w:leader="dot"/>
            </w:tabs>
            <w:rPr/>
          </w:pPr>
          <w:hyperlink w:anchor="__RefHeading___Toc5447375_3224264995">
            <w:r>
              <w:rPr>
                <w:webHidden/>
                <w:rStyle w:val="IndexLink"/>
                <w:rtl w:val="true"/>
              </w:rPr>
              <w:t>المقام الأوّل فی کون نتیجة دلیل الانسداد مهملة أو معیّنة</w:t>
            </w:r>
            <w:r>
              <w:rPr>
                <w:rStyle w:val="IndexLink"/>
                <w:rtl w:val="true"/>
              </w:rPr>
              <w:t>:</w:t>
              <w:tab/>
            </w:r>
            <w:r>
              <w:rPr>
                <w:rStyle w:val="IndexLink"/>
              </w:rPr>
              <w:t>479</w:t>
            </w:r>
          </w:hyperlink>
        </w:p>
        <w:p>
          <w:pPr>
            <w:pStyle w:val="Contents6"/>
            <w:tabs>
              <w:tab w:val="clear" w:pos="7609"/>
              <w:tab w:val="right" w:pos="9026" w:leader="dot"/>
            </w:tabs>
            <w:rPr/>
          </w:pPr>
          <w:hyperlink w:anchor="__RefHeading___Toc5447377_3224264995">
            <w:r>
              <w:rPr>
                <w:webHidden/>
                <w:rStyle w:val="IndexLink"/>
                <w:rtl w:val="true"/>
              </w:rPr>
              <w:t>تقریر دلیل الانسداد بوجهین</w:t>
            </w:r>
            <w:r>
              <w:rPr>
                <w:rStyle w:val="IndexLink"/>
                <w:rtl w:val="true"/>
              </w:rPr>
              <w:t>:</w:t>
              <w:tab/>
            </w:r>
            <w:r>
              <w:rPr>
                <w:rStyle w:val="IndexLink"/>
              </w:rPr>
              <w:t>480</w:t>
            </w:r>
          </w:hyperlink>
        </w:p>
        <w:p>
          <w:pPr>
            <w:pStyle w:val="Contents6"/>
            <w:tabs>
              <w:tab w:val="clear" w:pos="7609"/>
              <w:tab w:val="right" w:pos="9026" w:leader="dot"/>
            </w:tabs>
            <w:rPr/>
          </w:pPr>
          <w:hyperlink w:anchor="__RefHeading___Toc5447379_3224264995">
            <w:r>
              <w:rPr>
                <w:webHidden/>
                <w:rStyle w:val="IndexLink"/>
              </w:rPr>
              <w:t>1</w:t>
            </w:r>
            <w:r>
              <w:rPr>
                <w:rStyle w:val="IndexLink"/>
                <w:rtl w:val="true"/>
              </w:rPr>
              <w:t>-</w:t>
            </w:r>
            <w:r>
              <w:rPr>
                <w:rStyle w:val="IndexLink"/>
                <w:rtl w:val="true"/>
              </w:rPr>
              <w:t>علی وجه الکشف</w:t>
            </w:r>
            <w:r>
              <w:rPr>
                <w:rStyle w:val="IndexLink"/>
                <w:rtl w:val="true"/>
              </w:rPr>
              <w:tab/>
            </w:r>
            <w:r>
              <w:rPr>
                <w:rStyle w:val="IndexLink"/>
              </w:rPr>
              <w:t>480</w:t>
            </w:r>
          </w:hyperlink>
        </w:p>
        <w:p>
          <w:pPr>
            <w:pStyle w:val="Contents6"/>
            <w:tabs>
              <w:tab w:val="clear" w:pos="7609"/>
              <w:tab w:val="right" w:pos="9026" w:leader="dot"/>
            </w:tabs>
            <w:rPr/>
          </w:pPr>
          <w:hyperlink w:anchor="__RefHeading___Toc5447381_3224264995">
            <w:r>
              <w:rPr>
                <w:webHidden/>
                <w:rStyle w:val="IndexLink"/>
              </w:rPr>
              <w:t>2</w:t>
            </w:r>
            <w:r>
              <w:rPr>
                <w:rStyle w:val="IndexLink"/>
                <w:rtl w:val="true"/>
              </w:rPr>
              <w:t>-</w:t>
            </w:r>
            <w:r>
              <w:rPr>
                <w:rStyle w:val="IndexLink"/>
                <w:rtl w:val="true"/>
              </w:rPr>
              <w:t>علی وجه الحکومة</w:t>
            </w:r>
            <w:r>
              <w:rPr>
                <w:rStyle w:val="IndexLink"/>
                <w:rtl w:val="true"/>
              </w:rPr>
              <w:tab/>
            </w:r>
            <w:r>
              <w:rPr>
                <w:rStyle w:val="IndexLink"/>
              </w:rPr>
              <w:t>481</w:t>
            </w:r>
          </w:hyperlink>
        </w:p>
        <w:p>
          <w:pPr>
            <w:pStyle w:val="Contents6"/>
            <w:tabs>
              <w:tab w:val="clear" w:pos="7609"/>
              <w:tab w:val="right" w:pos="9026" w:leader="dot"/>
            </w:tabs>
            <w:rPr/>
          </w:pPr>
          <w:hyperlink w:anchor="__RefHeading___Toc5447383_3224264995">
            <w:r>
              <w:rPr>
                <w:webHidden/>
                <w:rStyle w:val="IndexLink"/>
                <w:rtl w:val="true"/>
              </w:rPr>
              <w:t>التعمیم من حیث الموارد مشترک بین التقریرین</w:t>
            </w:r>
            <w:r>
              <w:rPr>
                <w:rStyle w:val="IndexLink"/>
                <w:rtl w:val="true"/>
              </w:rPr>
              <w:tab/>
            </w:r>
            <w:r>
              <w:rPr>
                <w:rStyle w:val="IndexLink"/>
              </w:rPr>
              <w:t>482</w:t>
            </w:r>
          </w:hyperlink>
        </w:p>
        <w:p>
          <w:pPr>
            <w:pStyle w:val="Contents6"/>
            <w:tabs>
              <w:tab w:val="clear" w:pos="7609"/>
              <w:tab w:val="right" w:pos="9026" w:leader="dot"/>
            </w:tabs>
            <w:rPr/>
          </w:pPr>
          <w:hyperlink w:anchor="__RefHeading___Toc5447385_3224264995">
            <w:r>
              <w:rPr>
                <w:webHidden/>
                <w:rStyle w:val="IndexLink"/>
                <w:rtl w:val="true"/>
              </w:rPr>
              <w:t>لازم الحکومة التعمیم من حیث الأسباب دون المراتب</w:t>
            </w:r>
            <w:r>
              <w:rPr>
                <w:rStyle w:val="IndexLink"/>
                <w:rtl w:val="true"/>
              </w:rPr>
              <w:tab/>
            </w:r>
            <w:r>
              <w:rPr>
                <w:rStyle w:val="IndexLink"/>
              </w:rPr>
              <w:t>482</w:t>
            </w:r>
          </w:hyperlink>
        </w:p>
        <w:p>
          <w:pPr>
            <w:pStyle w:val="Contents6"/>
            <w:tabs>
              <w:tab w:val="clear" w:pos="7609"/>
              <w:tab w:val="right" w:pos="9026" w:leader="dot"/>
            </w:tabs>
            <w:rPr/>
          </w:pPr>
          <w:hyperlink w:anchor="__RefHeading___Toc5447387_3224264995">
            <w:r>
              <w:rPr>
                <w:webHidden/>
                <w:rStyle w:val="IndexLink"/>
                <w:rtl w:val="true"/>
              </w:rPr>
              <w:t>لازم الکشف الإهمال من حیث الأسباب و المراتب</w:t>
            </w:r>
            <w:r>
              <w:rPr>
                <w:rStyle w:val="IndexLink"/>
                <w:rtl w:val="true"/>
              </w:rPr>
              <w:tab/>
            </w:r>
            <w:r>
              <w:rPr>
                <w:rStyle w:val="IndexLink"/>
              </w:rPr>
              <w:t>483</w:t>
            </w:r>
          </w:hyperlink>
        </w:p>
        <w:p>
          <w:pPr>
            <w:pStyle w:val="Contents6"/>
            <w:tabs>
              <w:tab w:val="clear" w:pos="7609"/>
              <w:tab w:val="right" w:pos="9026" w:leader="dot"/>
            </w:tabs>
            <w:rPr/>
          </w:pPr>
          <w:hyperlink w:anchor="__RefHeading___Toc5447389_3224264995">
            <w:r>
              <w:rPr>
                <w:webHidden/>
                <w:rStyle w:val="IndexLink"/>
                <w:rtl w:val="true"/>
              </w:rPr>
              <w:t>الحقّ فی تقریر دلیل الانسداد هو الحکومة من وجوه</w:t>
            </w:r>
            <w:r>
              <w:rPr>
                <w:rStyle w:val="IndexLink"/>
                <w:rtl w:val="true"/>
              </w:rPr>
              <w:t>:</w:t>
              <w:tab/>
            </w:r>
            <w:r>
              <w:rPr>
                <w:rStyle w:val="IndexLink"/>
              </w:rPr>
              <w:t>483</w:t>
            </w:r>
          </w:hyperlink>
        </w:p>
        <w:p>
          <w:pPr>
            <w:pStyle w:val="Contents6"/>
            <w:tabs>
              <w:tab w:val="clear" w:pos="7609"/>
              <w:tab w:val="right" w:pos="9026" w:leader="dot"/>
            </w:tabs>
            <w:rPr/>
          </w:pPr>
          <w:hyperlink w:anchor="__RefHeading___Toc5447391_3224264995">
            <w:r>
              <w:rPr>
                <w:webHidden/>
                <w:rStyle w:val="IndexLink"/>
                <w:rtl w:val="true"/>
              </w:rPr>
              <w:t>الوجه الثانی</w:t>
            </w:r>
            <w:r>
              <w:rPr>
                <w:rStyle w:val="IndexLink"/>
                <w:rtl w:val="true"/>
              </w:rPr>
              <w:tab/>
            </w:r>
            <w:r>
              <w:rPr>
                <w:rStyle w:val="IndexLink"/>
              </w:rPr>
              <w:t>484</w:t>
            </w:r>
          </w:hyperlink>
        </w:p>
        <w:p>
          <w:pPr>
            <w:pStyle w:val="Contents6"/>
            <w:tabs>
              <w:tab w:val="clear" w:pos="7609"/>
              <w:tab w:val="right" w:pos="9026" w:leader="dot"/>
            </w:tabs>
            <w:rPr/>
          </w:pPr>
          <w:hyperlink w:anchor="__RefHeading___Toc5447393_3224264995">
            <w:r>
              <w:rPr>
                <w:webHidden/>
                <w:rStyle w:val="IndexLink"/>
                <w:rtl w:val="true"/>
              </w:rPr>
              <w:t>الوجه الثالث</w:t>
            </w:r>
            <w:r>
              <w:rPr>
                <w:rStyle w:val="IndexLink"/>
                <w:rtl w:val="true"/>
              </w:rPr>
              <w:tab/>
            </w:r>
            <w:r>
              <w:rPr>
                <w:rStyle w:val="IndexLink"/>
              </w:rPr>
              <w:t>484</w:t>
            </w:r>
          </w:hyperlink>
        </w:p>
        <w:p>
          <w:pPr>
            <w:pStyle w:val="Contents6"/>
            <w:tabs>
              <w:tab w:val="clear" w:pos="7609"/>
              <w:tab w:val="right" w:pos="9026" w:leader="dot"/>
            </w:tabs>
            <w:rPr/>
          </w:pPr>
          <w:hyperlink w:anchor="__RefHeading___Toc5447395_3224264995">
            <w:r>
              <w:rPr>
                <w:webHidden/>
                <w:rStyle w:val="IndexLink"/>
                <w:rtl w:val="true"/>
              </w:rPr>
              <w:t>المقام الثانی فی أنّه علی أحد التقریرین السابقین</w:t>
            </w:r>
            <w:r>
              <w:rPr>
                <w:rStyle w:val="IndexLink"/>
                <w:rtl w:val="true"/>
              </w:rPr>
              <w:tab/>
            </w:r>
            <w:r>
              <w:rPr>
                <w:rStyle w:val="IndexLink"/>
              </w:rPr>
              <w:t>486</w:t>
            </w:r>
          </w:hyperlink>
        </w:p>
        <w:p>
          <w:pPr>
            <w:pStyle w:val="Contents6"/>
            <w:tabs>
              <w:tab w:val="clear" w:pos="7609"/>
              <w:tab w:val="right" w:pos="9026" w:leader="dot"/>
            </w:tabs>
            <w:rPr/>
          </w:pPr>
          <w:hyperlink w:anchor="__RefHeading___Toc5447397_3224264995">
            <w:r>
              <w:rPr>
                <w:webHidden/>
                <w:rStyle w:val="IndexLink"/>
                <w:rtl w:val="true"/>
              </w:rPr>
              <w:t>طرق التعمیم علی الکشف</w:t>
            </w:r>
            <w:r>
              <w:rPr>
                <w:rStyle w:val="IndexLink"/>
                <w:rtl w:val="true"/>
              </w:rPr>
              <w:tab/>
            </w:r>
            <w:r>
              <w:rPr>
                <w:rStyle w:val="IndexLink"/>
              </w:rPr>
              <w:t>486</w:t>
            </w:r>
          </w:hyperlink>
        </w:p>
        <w:p>
          <w:pPr>
            <w:pStyle w:val="Contents6"/>
            <w:tabs>
              <w:tab w:val="clear" w:pos="7609"/>
              <w:tab w:val="right" w:pos="9026" w:leader="dot"/>
            </w:tabs>
            <w:rPr/>
          </w:pPr>
          <w:hyperlink w:anchor="__RefHeading___Toc5447399_3224264995">
            <w:r>
              <w:rPr>
                <w:webHidden/>
                <w:rStyle w:val="IndexLink"/>
                <w:rtl w:val="true"/>
              </w:rPr>
              <w:t>الطریق الأوّل</w:t>
            </w:r>
            <w:r>
              <w:rPr>
                <w:rStyle w:val="IndexLink"/>
                <w:rtl w:val="true"/>
              </w:rPr>
              <w:t>:</w:t>
            </w:r>
            <w:r>
              <w:rPr>
                <w:rStyle w:val="IndexLink"/>
                <w:rtl w:val="true"/>
              </w:rPr>
              <w:t>عدم المرجّح لبعضها علی بعض</w:t>
            </w:r>
            <w:r>
              <w:rPr>
                <w:rStyle w:val="IndexLink"/>
                <w:rtl w:val="true"/>
              </w:rPr>
              <w:tab/>
            </w:r>
            <w:r>
              <w:rPr>
                <w:rStyle w:val="IndexLink"/>
              </w:rPr>
              <w:t>486</w:t>
            </w:r>
          </w:hyperlink>
        </w:p>
        <w:p>
          <w:pPr>
            <w:pStyle w:val="Contents6"/>
            <w:tabs>
              <w:tab w:val="clear" w:pos="7609"/>
              <w:tab w:val="right" w:pos="9026" w:leader="dot"/>
            </w:tabs>
            <w:rPr/>
          </w:pPr>
          <w:hyperlink w:anchor="__RefHeading___Toc5447401_3224264995">
            <w:r>
              <w:rPr>
                <w:webHidden/>
                <w:rStyle w:val="IndexLink"/>
                <w:rtl w:val="true"/>
              </w:rPr>
              <w:t>ما یصلح أن یکون معیّنا أو مرجّحا أحد امور ثلاثة</w:t>
            </w:r>
            <w:r>
              <w:rPr>
                <w:rStyle w:val="IndexLink"/>
                <w:rtl w:val="true"/>
              </w:rPr>
              <w:t>:</w:t>
              <w:tab/>
            </w:r>
            <w:r>
              <w:rPr>
                <w:rStyle w:val="IndexLink"/>
              </w:rPr>
              <w:t>487</w:t>
            </w:r>
          </w:hyperlink>
        </w:p>
        <w:p>
          <w:pPr>
            <w:pStyle w:val="Contents6"/>
            <w:tabs>
              <w:tab w:val="clear" w:pos="7609"/>
              <w:tab w:val="right" w:pos="9026" w:leader="dot"/>
            </w:tabs>
            <w:rPr/>
          </w:pPr>
          <w:hyperlink w:anchor="__RefHeading___Toc5447403_3224264995">
            <w:r>
              <w:rPr>
                <w:webHidden/>
                <w:rStyle w:val="IndexLink"/>
                <w:rtl w:val="true"/>
              </w:rPr>
              <w:t>الأوّل من هذه الامور</w:t>
            </w:r>
            <w:r>
              <w:rPr>
                <w:rStyle w:val="IndexLink"/>
                <w:rtl w:val="true"/>
              </w:rPr>
              <w:t>:</w:t>
            </w:r>
            <w:r>
              <w:rPr>
                <w:rStyle w:val="IndexLink"/>
                <w:rtl w:val="true"/>
              </w:rPr>
              <w:t>کون بعض الظنون متیقّنا</w:t>
            </w:r>
            <w:r>
              <w:rPr>
                <w:rStyle w:val="IndexLink"/>
                <w:rtl w:val="true"/>
              </w:rPr>
              <w:tab/>
            </w:r>
            <w:r>
              <w:rPr>
                <w:rStyle w:val="IndexLink"/>
              </w:rPr>
              <w:t>487</w:t>
            </w:r>
          </w:hyperlink>
        </w:p>
        <w:p>
          <w:pPr>
            <w:pStyle w:val="Contents6"/>
            <w:tabs>
              <w:tab w:val="clear" w:pos="7609"/>
              <w:tab w:val="right" w:pos="9026" w:leader="dot"/>
            </w:tabs>
            <w:rPr/>
          </w:pPr>
          <w:hyperlink w:anchor="__RefHeading___Toc5447405_3224264995">
            <w:r>
              <w:rPr>
                <w:webHidden/>
                <w:rStyle w:val="IndexLink"/>
                <w:rtl w:val="true"/>
              </w:rPr>
              <w:t>الأمر الثانی</w:t>
            </w:r>
            <w:r>
              <w:rPr>
                <w:rStyle w:val="IndexLink"/>
                <w:rtl w:val="true"/>
              </w:rPr>
              <w:t>:</w:t>
            </w:r>
            <w:r>
              <w:rPr>
                <w:rStyle w:val="IndexLink"/>
                <w:rtl w:val="true"/>
              </w:rPr>
              <w:t>کون بعض الظنون أقوی من بعض</w:t>
            </w:r>
            <w:r>
              <w:rPr>
                <w:rStyle w:val="IndexLink"/>
                <w:rtl w:val="true"/>
              </w:rPr>
              <w:tab/>
            </w:r>
            <w:r>
              <w:rPr>
                <w:rStyle w:val="IndexLink"/>
              </w:rPr>
              <w:t>487</w:t>
            </w:r>
          </w:hyperlink>
        </w:p>
        <w:p>
          <w:pPr>
            <w:pStyle w:val="Contents6"/>
            <w:tabs>
              <w:tab w:val="clear" w:pos="7609"/>
              <w:tab w:val="right" w:pos="9026" w:leader="dot"/>
            </w:tabs>
            <w:rPr/>
          </w:pPr>
          <w:hyperlink w:anchor="__RefHeading___Toc5447407_3224264995">
            <w:r>
              <w:rPr>
                <w:webHidden/>
                <w:rStyle w:val="IndexLink"/>
                <w:rtl w:val="true"/>
              </w:rPr>
              <w:t>الأمر الثالث</w:t>
            </w:r>
            <w:r>
              <w:rPr>
                <w:rStyle w:val="IndexLink"/>
                <w:rtl w:val="true"/>
              </w:rPr>
              <w:t>:</w:t>
            </w:r>
            <w:r>
              <w:rPr>
                <w:rStyle w:val="IndexLink"/>
                <w:rtl w:val="true"/>
              </w:rPr>
              <w:t>کون بعض الظنون مظنون الحجّیّة</w:t>
            </w:r>
            <w:r>
              <w:rPr>
                <w:rStyle w:val="IndexLink"/>
                <w:rtl w:val="true"/>
              </w:rPr>
              <w:tab/>
            </w:r>
            <w:r>
              <w:rPr>
                <w:rStyle w:val="IndexLink"/>
              </w:rPr>
              <w:t>487</w:t>
            </w:r>
          </w:hyperlink>
        </w:p>
        <w:p>
          <w:pPr>
            <w:pStyle w:val="Contents6"/>
            <w:tabs>
              <w:tab w:val="clear" w:pos="7609"/>
              <w:tab w:val="right" w:pos="9026" w:leader="dot"/>
            </w:tabs>
            <w:rPr/>
          </w:pPr>
          <w:hyperlink w:anchor="__RefHeading___Toc5447409_3224264995">
            <w:r>
              <w:rPr>
                <w:webHidden/>
                <w:rStyle w:val="IndexLink"/>
                <w:rtl w:val="true"/>
              </w:rPr>
              <w:t>المناقشة فی المرجّحات المذکورة</w:t>
            </w:r>
            <w:r>
              <w:rPr>
                <w:rStyle w:val="IndexLink"/>
                <w:rtl w:val="true"/>
              </w:rPr>
              <w:t>:</w:t>
              <w:tab/>
            </w:r>
            <w:r>
              <w:rPr>
                <w:rStyle w:val="IndexLink"/>
              </w:rPr>
              <w:t>489</w:t>
            </w:r>
          </w:hyperlink>
        </w:p>
        <w:p>
          <w:pPr>
            <w:pStyle w:val="Contents6"/>
            <w:tabs>
              <w:tab w:val="clear" w:pos="7609"/>
              <w:tab w:val="right" w:pos="9026" w:leader="dot"/>
            </w:tabs>
            <w:rPr/>
          </w:pPr>
          <w:hyperlink w:anchor="__RefHeading___Toc5447411_3224264995">
            <w:r>
              <w:rPr>
                <w:webHidden/>
                <w:rStyle w:val="IndexLink"/>
              </w:rPr>
              <w:t>1</w:t>
            </w:r>
            <w:r>
              <w:rPr>
                <w:rStyle w:val="IndexLink"/>
                <w:rtl w:val="true"/>
              </w:rPr>
              <w:t>-</w:t>
            </w:r>
            <w:r>
              <w:rPr>
                <w:rStyle w:val="IndexLink"/>
                <w:rtl w:val="true"/>
              </w:rPr>
              <w:t>تیقّن البعض لا ینفع</w:t>
            </w:r>
            <w:r>
              <w:rPr>
                <w:rStyle w:val="IndexLink"/>
                <w:rtl w:val="true"/>
              </w:rPr>
              <w:tab/>
            </w:r>
            <w:r>
              <w:rPr>
                <w:rStyle w:val="IndexLink"/>
              </w:rPr>
              <w:t>489</w:t>
            </w:r>
          </w:hyperlink>
        </w:p>
        <w:p>
          <w:pPr>
            <w:pStyle w:val="Contents6"/>
            <w:tabs>
              <w:tab w:val="clear" w:pos="7609"/>
              <w:tab w:val="right" w:pos="9026" w:leader="dot"/>
            </w:tabs>
            <w:rPr/>
          </w:pPr>
          <w:hyperlink w:anchor="__RefHeading___Toc5447413_3224264995">
            <w:r>
              <w:rPr>
                <w:webHidden/>
                <w:rStyle w:val="IndexLink"/>
              </w:rPr>
              <w:t>2</w:t>
            </w:r>
            <w:r>
              <w:rPr>
                <w:rStyle w:val="IndexLink"/>
                <w:rtl w:val="true"/>
              </w:rPr>
              <w:t>-</w:t>
            </w:r>
            <w:r>
              <w:rPr>
                <w:rStyle w:val="IndexLink"/>
                <w:rtl w:val="true"/>
              </w:rPr>
              <w:t>أقوائیّة البعض لا یمکن ضبطه</w:t>
            </w:r>
            <w:r>
              <w:rPr>
                <w:rStyle w:val="IndexLink"/>
                <w:rtl w:val="true"/>
              </w:rPr>
              <w:tab/>
            </w:r>
            <w:r>
              <w:rPr>
                <w:rStyle w:val="IndexLink"/>
              </w:rPr>
              <w:t>490</w:t>
            </w:r>
          </w:hyperlink>
        </w:p>
        <w:p>
          <w:pPr>
            <w:pStyle w:val="Contents6"/>
            <w:tabs>
              <w:tab w:val="clear" w:pos="7609"/>
              <w:tab w:val="right" w:pos="9026" w:leader="dot"/>
            </w:tabs>
            <w:rPr/>
          </w:pPr>
          <w:hyperlink w:anchor="__RefHeading___Toc5447415_3224264995">
            <w:r>
              <w:rPr>
                <w:webHidden/>
                <w:rStyle w:val="IndexLink"/>
              </w:rPr>
              <w:t>3</w:t>
            </w:r>
            <w:r>
              <w:rPr>
                <w:rStyle w:val="IndexLink"/>
                <w:rtl w:val="true"/>
              </w:rPr>
              <w:t>-</w:t>
            </w:r>
            <w:r>
              <w:rPr>
                <w:rStyle w:val="IndexLink"/>
                <w:rtl w:val="true"/>
              </w:rPr>
              <w:t>الظنّ بحجیّة البعض لیست له ضابطة کلیّة أیضا</w:t>
            </w:r>
            <w:r>
              <w:rPr>
                <w:rStyle w:val="IndexLink"/>
                <w:rtl w:val="true"/>
              </w:rPr>
              <w:tab/>
            </w:r>
            <w:r>
              <w:rPr>
                <w:rStyle w:val="IndexLink"/>
              </w:rPr>
              <w:t>491</w:t>
            </w:r>
          </w:hyperlink>
        </w:p>
        <w:p>
          <w:pPr>
            <w:pStyle w:val="Contents6"/>
            <w:tabs>
              <w:tab w:val="clear" w:pos="7609"/>
              <w:tab w:val="right" w:pos="9026" w:leader="dot"/>
            </w:tabs>
            <w:rPr/>
          </w:pPr>
          <w:hyperlink w:anchor="__RefHeading___Toc5447417_3224264995">
            <w:r>
              <w:rPr>
                <w:webHidden/>
                <w:rStyle w:val="IndexLink"/>
                <w:rtl w:val="true"/>
              </w:rPr>
              <w:t>عدم اعتبار مطلق الظنّ فی تعیین القضیة المهملة</w:t>
            </w:r>
            <w:r>
              <w:rPr>
                <w:rStyle w:val="IndexLink"/>
                <w:rtl w:val="true"/>
              </w:rPr>
              <w:tab/>
            </w:r>
            <w:r>
              <w:rPr>
                <w:rStyle w:val="IndexLink"/>
              </w:rPr>
              <w:t>492</w:t>
            </w:r>
          </w:hyperlink>
        </w:p>
        <w:p>
          <w:pPr>
            <w:pStyle w:val="Contents6"/>
            <w:tabs>
              <w:tab w:val="clear" w:pos="7609"/>
              <w:tab w:val="right" w:pos="9026" w:leader="dot"/>
            </w:tabs>
            <w:rPr/>
          </w:pPr>
          <w:hyperlink w:anchor="__RefHeading___Toc5447419_3224264995">
            <w:r>
              <w:rPr>
                <w:webHidden/>
                <w:rStyle w:val="IndexLink"/>
                <w:rtl w:val="true"/>
              </w:rPr>
              <w:t>کلام صاحب هدایة المسترشدین فی لزوم الاخذ بمظنون الحجیة</w:t>
            </w:r>
            <w:r>
              <w:rPr>
                <w:rStyle w:val="IndexLink"/>
                <w:rtl w:val="true"/>
              </w:rPr>
              <w:tab/>
            </w:r>
            <w:r>
              <w:rPr>
                <w:rStyle w:val="IndexLink"/>
              </w:rPr>
              <w:t>493</w:t>
            </w:r>
          </w:hyperlink>
        </w:p>
        <w:p>
          <w:pPr>
            <w:pStyle w:val="Contents6"/>
            <w:tabs>
              <w:tab w:val="clear" w:pos="7609"/>
              <w:tab w:val="right" w:pos="9026" w:leader="dot"/>
            </w:tabs>
            <w:rPr/>
          </w:pPr>
          <w:hyperlink w:anchor="__RefHeading___Toc5447421_3224264995">
            <w:r>
              <w:rPr>
                <w:webHidden/>
                <w:rStyle w:val="IndexLink"/>
                <w:rtl w:val="true"/>
              </w:rPr>
              <w:t>المناقشة قیما افاده صاحب الهدایة</w:t>
            </w:r>
            <w:r>
              <w:rPr>
                <w:rStyle w:val="IndexLink"/>
                <w:rtl w:val="true"/>
              </w:rPr>
              <w:tab/>
            </w:r>
            <w:r>
              <w:rPr>
                <w:rStyle w:val="IndexLink"/>
              </w:rPr>
              <w:t>494</w:t>
            </w:r>
          </w:hyperlink>
        </w:p>
        <w:p>
          <w:pPr>
            <w:pStyle w:val="Contents6"/>
            <w:tabs>
              <w:tab w:val="clear" w:pos="7609"/>
              <w:tab w:val="right" w:pos="9026" w:leader="dot"/>
            </w:tabs>
            <w:rPr/>
          </w:pPr>
          <w:hyperlink w:anchor="__RefHeading___Toc5447423_3224264995">
            <w:r>
              <w:rPr>
                <w:webHidden/>
                <w:rStyle w:val="IndexLink"/>
                <w:rtl w:val="true"/>
              </w:rPr>
              <w:t>کلام الفاضل النراقی الزاما علی القائلین بحجیه مطلق الظن</w:t>
            </w:r>
            <w:r>
              <w:rPr>
                <w:rStyle w:val="IndexLink"/>
                <w:rtl w:val="true"/>
              </w:rPr>
              <w:tab/>
            </w:r>
            <w:r>
              <w:rPr>
                <w:rStyle w:val="IndexLink"/>
              </w:rPr>
              <w:t>496</w:t>
            </w:r>
          </w:hyperlink>
        </w:p>
        <w:p>
          <w:pPr>
            <w:pStyle w:val="Contents6"/>
            <w:tabs>
              <w:tab w:val="clear" w:pos="7609"/>
              <w:tab w:val="right" w:pos="9026" w:leader="dot"/>
            </w:tabs>
            <w:rPr/>
          </w:pPr>
          <w:hyperlink w:anchor="__RefHeading___Toc5447425_3224264995">
            <w:r>
              <w:rPr>
                <w:webHidden/>
                <w:rStyle w:val="IndexLink"/>
                <w:rtl w:val="true"/>
              </w:rPr>
              <w:t>المناقشة فی کلام الفاضل النراقی</w:t>
            </w:r>
            <w:r>
              <w:rPr>
                <w:rStyle w:val="IndexLink"/>
                <w:rtl w:val="true"/>
              </w:rPr>
              <w:tab/>
            </w:r>
            <w:r>
              <w:rPr>
                <w:rStyle w:val="IndexLink"/>
              </w:rPr>
              <w:t>497</w:t>
            </w:r>
          </w:hyperlink>
        </w:p>
        <w:p>
          <w:pPr>
            <w:pStyle w:val="Contents6"/>
            <w:tabs>
              <w:tab w:val="clear" w:pos="7609"/>
              <w:tab w:val="right" w:pos="9026" w:leader="dot"/>
            </w:tabs>
            <w:rPr/>
          </w:pPr>
          <w:hyperlink w:anchor="__RefHeading___Toc5447427_3224264995">
            <w:r>
              <w:rPr>
                <w:webHidden/>
                <w:rStyle w:val="IndexLink"/>
                <w:rtl w:val="true"/>
              </w:rPr>
              <w:t>کلام اخر للفاضل النراقی فی ترجیح مظنون الاعتبار بطلق الظن</w:t>
            </w:r>
            <w:r>
              <w:rPr>
                <w:rStyle w:val="IndexLink"/>
                <w:rtl w:val="true"/>
              </w:rPr>
              <w:tab/>
            </w:r>
            <w:r>
              <w:rPr>
                <w:rStyle w:val="IndexLink"/>
              </w:rPr>
              <w:t>498</w:t>
            </w:r>
          </w:hyperlink>
        </w:p>
        <w:p>
          <w:pPr>
            <w:pStyle w:val="Contents6"/>
            <w:tabs>
              <w:tab w:val="clear" w:pos="7609"/>
              <w:tab w:val="right" w:pos="9026" w:leader="dot"/>
            </w:tabs>
            <w:rPr/>
          </w:pPr>
          <w:hyperlink w:anchor="__RefHeading___Toc5447429_3224264995">
            <w:r>
              <w:rPr>
                <w:webHidden/>
                <w:rStyle w:val="IndexLink"/>
                <w:rtl w:val="true"/>
              </w:rPr>
              <w:t>المناقشه فیما افاده الفاضل النراقی ایضا</w:t>
            </w:r>
            <w:r>
              <w:rPr>
                <w:rStyle w:val="IndexLink"/>
                <w:rtl w:val="true"/>
              </w:rPr>
              <w:tab/>
            </w:r>
            <w:r>
              <w:rPr>
                <w:rStyle w:val="IndexLink"/>
              </w:rPr>
              <w:t>499</w:t>
            </w:r>
          </w:hyperlink>
        </w:p>
        <w:p>
          <w:pPr>
            <w:pStyle w:val="Contents6"/>
            <w:tabs>
              <w:tab w:val="clear" w:pos="7609"/>
              <w:tab w:val="right" w:pos="9026" w:leader="dot"/>
            </w:tabs>
            <w:rPr/>
          </w:pPr>
          <w:hyperlink w:anchor="__RefHeading___Toc5447431_3224264995">
            <w:r>
              <w:rPr>
                <w:webHidden/>
                <w:rStyle w:val="IndexLink"/>
                <w:rtl w:val="true"/>
              </w:rPr>
              <w:t>عدم صحّة تعیین بعض الظنون لأجل الظنّ بعدم حجّیة ما سواه</w:t>
            </w:r>
            <w:r>
              <w:rPr>
                <w:rStyle w:val="IndexLink"/>
                <w:rtl w:val="true"/>
              </w:rPr>
              <w:tab/>
            </w:r>
            <w:r>
              <w:rPr>
                <w:rStyle w:val="IndexLink"/>
              </w:rPr>
              <w:t>501</w:t>
            </w:r>
          </w:hyperlink>
        </w:p>
        <w:p>
          <w:pPr>
            <w:pStyle w:val="Contents6"/>
            <w:tabs>
              <w:tab w:val="clear" w:pos="7609"/>
              <w:tab w:val="right" w:pos="9026" w:leader="dot"/>
            </w:tabs>
            <w:rPr/>
          </w:pPr>
          <w:hyperlink w:anchor="__RefHeading___Toc5447433_3224264995">
            <w:r>
              <w:rPr>
                <w:webHidden/>
                <w:rStyle w:val="IndexLink"/>
                <w:rtl w:val="true"/>
              </w:rPr>
              <w:t>صحّة تعیین القضیّة المهملة بمطلق الظنّ فی مواضع</w:t>
            </w:r>
            <w:r>
              <w:rPr>
                <w:rStyle w:val="IndexLink"/>
                <w:rtl w:val="true"/>
              </w:rPr>
              <w:tab/>
            </w:r>
            <w:r>
              <w:rPr>
                <w:rStyle w:val="IndexLink"/>
              </w:rPr>
              <w:t>503</w:t>
            </w:r>
          </w:hyperlink>
        </w:p>
        <w:p>
          <w:pPr>
            <w:pStyle w:val="Contents6"/>
            <w:tabs>
              <w:tab w:val="clear" w:pos="7609"/>
              <w:tab w:val="right" w:pos="9026" w:leader="dot"/>
            </w:tabs>
            <w:rPr/>
          </w:pPr>
          <w:hyperlink w:anchor="__RefHeading___Toc5447435_3224264995">
            <w:r>
              <w:rPr>
                <w:webHidden/>
                <w:rStyle w:val="IndexLink"/>
                <w:rtl w:val="true"/>
              </w:rPr>
              <w:t>الموضع الثانی</w:t>
            </w:r>
            <w:r>
              <w:rPr>
                <w:rStyle w:val="IndexLink"/>
                <w:rtl w:val="true"/>
              </w:rPr>
              <w:tab/>
            </w:r>
            <w:r>
              <w:rPr>
                <w:rStyle w:val="IndexLink"/>
              </w:rPr>
              <w:t>505</w:t>
            </w:r>
          </w:hyperlink>
        </w:p>
        <w:p>
          <w:pPr>
            <w:pStyle w:val="Contents6"/>
            <w:tabs>
              <w:tab w:val="clear" w:pos="7609"/>
              <w:tab w:val="right" w:pos="9026" w:leader="dot"/>
            </w:tabs>
            <w:rPr/>
          </w:pPr>
          <w:hyperlink w:anchor="__RefHeading___Toc5447437_3224264995">
            <w:r>
              <w:rPr>
                <w:webHidden/>
                <w:rStyle w:val="IndexLink"/>
                <w:rtl w:val="true"/>
              </w:rPr>
              <w:t>الموضع الثالث</w:t>
            </w:r>
            <w:r>
              <w:rPr>
                <w:rStyle w:val="IndexLink"/>
                <w:rtl w:val="true"/>
              </w:rPr>
              <w:tab/>
            </w:r>
            <w:r>
              <w:rPr>
                <w:rStyle w:val="IndexLink"/>
              </w:rPr>
              <w:t>505</w:t>
            </w:r>
          </w:hyperlink>
        </w:p>
        <w:p>
          <w:pPr>
            <w:pStyle w:val="Contents6"/>
            <w:tabs>
              <w:tab w:val="clear" w:pos="7609"/>
              <w:tab w:val="right" w:pos="9026" w:leader="dot"/>
            </w:tabs>
            <w:rPr/>
          </w:pPr>
          <w:hyperlink w:anchor="__RefHeading___Toc5447439_3224264995">
            <w:r>
              <w:rPr>
                <w:webHidden/>
                <w:rStyle w:val="IndexLink"/>
                <w:rtl w:val="true"/>
              </w:rPr>
              <w:t>وجوب الاقتصار علی القدر المتیقّن بناء علی الکشف</w:t>
            </w:r>
            <w:r>
              <w:rPr>
                <w:rStyle w:val="IndexLink"/>
                <w:rtl w:val="true"/>
              </w:rPr>
              <w:tab/>
            </w:r>
            <w:r>
              <w:rPr>
                <w:rStyle w:val="IndexLink"/>
              </w:rPr>
              <w:t>505</w:t>
            </w:r>
          </w:hyperlink>
        </w:p>
        <w:p>
          <w:pPr>
            <w:pStyle w:val="Contents6"/>
            <w:tabs>
              <w:tab w:val="clear" w:pos="7609"/>
              <w:tab w:val="right" w:pos="9026" w:leader="dot"/>
            </w:tabs>
            <w:rPr/>
          </w:pPr>
          <w:hyperlink w:anchor="__RefHeading___Toc5447441_3224264995">
            <w:r>
              <w:rPr>
                <w:webHidden/>
                <w:rStyle w:val="IndexLink"/>
                <w:rtl w:val="true"/>
              </w:rPr>
              <w:t>لو لم یکن القدر المتیقّن کافیا</w:t>
            </w:r>
            <w:r>
              <w:rPr>
                <w:rStyle w:val="IndexLink"/>
                <w:rtl w:val="true"/>
              </w:rPr>
              <w:tab/>
            </w:r>
            <w:r>
              <w:rPr>
                <w:rStyle w:val="IndexLink"/>
              </w:rPr>
              <w:t>506</w:t>
            </w:r>
          </w:hyperlink>
        </w:p>
        <w:p>
          <w:pPr>
            <w:pStyle w:val="Contents6"/>
            <w:tabs>
              <w:tab w:val="clear" w:pos="7609"/>
              <w:tab w:val="right" w:pos="9026" w:leader="dot"/>
            </w:tabs>
            <w:rPr/>
          </w:pPr>
          <w:hyperlink w:anchor="__RefHeading___Toc5447443_3224264995">
            <w:r>
              <w:rPr>
                <w:webHidden/>
                <w:rStyle w:val="IndexLink"/>
                <w:rtl w:val="true"/>
              </w:rPr>
              <w:t>الطریق الثانی للتعمیم</w:t>
            </w:r>
            <w:r>
              <w:rPr>
                <w:rStyle w:val="IndexLink"/>
                <w:rtl w:val="true"/>
              </w:rPr>
              <w:t>:</w:t>
            </w:r>
            <w:r>
              <w:rPr>
                <w:rStyle w:val="IndexLink"/>
                <w:rtl w:val="true"/>
              </w:rPr>
              <w:t>عدم کفایة الظنون المعتبرة</w:t>
            </w:r>
            <w:r>
              <w:rPr>
                <w:rStyle w:val="IndexLink"/>
                <w:rtl w:val="true"/>
              </w:rPr>
              <w:tab/>
            </w:r>
            <w:r>
              <w:rPr>
                <w:rStyle w:val="IndexLink"/>
              </w:rPr>
              <w:t>508</w:t>
            </w:r>
          </w:hyperlink>
        </w:p>
        <w:p>
          <w:pPr>
            <w:pStyle w:val="Contents6"/>
            <w:tabs>
              <w:tab w:val="clear" w:pos="7609"/>
              <w:tab w:val="right" w:pos="9026" w:leader="dot"/>
            </w:tabs>
            <w:rPr/>
          </w:pPr>
          <w:hyperlink w:anchor="__RefHeading___Toc5447445_3224264995">
            <w:r>
              <w:rPr>
                <w:webHidden/>
                <w:rStyle w:val="IndexLink"/>
                <w:rtl w:val="true"/>
              </w:rPr>
              <w:t>المناقشة فی هذه الطریقة</w:t>
            </w:r>
            <w:r>
              <w:rPr>
                <w:rStyle w:val="IndexLink"/>
                <w:rtl w:val="true"/>
              </w:rPr>
              <w:tab/>
            </w:r>
            <w:r>
              <w:rPr>
                <w:rStyle w:val="IndexLink"/>
              </w:rPr>
              <w:t>510</w:t>
            </w:r>
          </w:hyperlink>
        </w:p>
        <w:p>
          <w:pPr>
            <w:pStyle w:val="Contents6"/>
            <w:tabs>
              <w:tab w:val="clear" w:pos="7609"/>
              <w:tab w:val="right" w:pos="9026" w:leader="dot"/>
            </w:tabs>
            <w:rPr/>
          </w:pPr>
          <w:hyperlink w:anchor="__RefHeading___Toc5447447_3224264995">
            <w:r>
              <w:rPr>
                <w:webHidden/>
                <w:rStyle w:val="IndexLink"/>
                <w:rtl w:val="true"/>
              </w:rPr>
              <w:t>الثالث من طرق التعمیم</w:t>
            </w:r>
            <w:r>
              <w:rPr>
                <w:rStyle w:val="IndexLink"/>
                <w:rtl w:val="true"/>
              </w:rPr>
              <w:t>:</w:t>
            </w:r>
            <w:r>
              <w:rPr>
                <w:rStyle w:val="IndexLink"/>
                <w:rtl w:val="true"/>
              </w:rPr>
              <w:t>قاعدة الاشتغال</w:t>
            </w:r>
            <w:r>
              <w:rPr>
                <w:rStyle w:val="IndexLink"/>
                <w:rtl w:val="true"/>
              </w:rPr>
              <w:tab/>
            </w:r>
            <w:r>
              <w:rPr>
                <w:rStyle w:val="IndexLink"/>
              </w:rPr>
              <w:t>512</w:t>
            </w:r>
          </w:hyperlink>
        </w:p>
        <w:p>
          <w:pPr>
            <w:pStyle w:val="Contents6"/>
            <w:tabs>
              <w:tab w:val="clear" w:pos="7609"/>
              <w:tab w:val="right" w:pos="9026" w:leader="dot"/>
            </w:tabs>
            <w:rPr/>
          </w:pPr>
          <w:hyperlink w:anchor="__RefHeading___Toc5447449_3224264995">
            <w:r>
              <w:rPr>
                <w:webHidden/>
                <w:rStyle w:val="IndexLink"/>
                <w:rtl w:val="true"/>
              </w:rPr>
              <w:t>المناقشة فی هذه الطریقة أیضا</w:t>
            </w:r>
            <w:r>
              <w:rPr>
                <w:rStyle w:val="IndexLink"/>
                <w:rtl w:val="true"/>
              </w:rPr>
              <w:tab/>
            </w:r>
            <w:r>
              <w:rPr>
                <w:rStyle w:val="IndexLink"/>
              </w:rPr>
              <w:t>512</w:t>
            </w:r>
          </w:hyperlink>
        </w:p>
        <w:p>
          <w:pPr>
            <w:pStyle w:val="Contents6"/>
            <w:tabs>
              <w:tab w:val="clear" w:pos="7609"/>
              <w:tab w:val="right" w:pos="9026" w:leader="dot"/>
            </w:tabs>
            <w:rPr/>
          </w:pPr>
          <w:hyperlink w:anchor="__RefHeading___Toc5447451_3224264995">
            <w:r>
              <w:rPr>
                <w:webHidden/>
                <w:rStyle w:val="IndexLink"/>
                <w:rtl w:val="true"/>
              </w:rPr>
              <w:t>وجوب الاقتصار علی الظنّ الاطمئنانی بناء علی الحکومة</w:t>
            </w:r>
            <w:r>
              <w:rPr>
                <w:rStyle w:val="IndexLink"/>
                <w:rtl w:val="true"/>
              </w:rPr>
              <w:tab/>
            </w:r>
            <w:r>
              <w:rPr>
                <w:rStyle w:val="IndexLink"/>
              </w:rPr>
              <w:t>517</w:t>
            </w:r>
          </w:hyperlink>
        </w:p>
        <w:p>
          <w:pPr>
            <w:pStyle w:val="Contents6"/>
            <w:tabs>
              <w:tab w:val="clear" w:pos="7609"/>
              <w:tab w:val="right" w:pos="9026" w:leader="dot"/>
            </w:tabs>
            <w:rPr/>
          </w:pPr>
          <w:hyperlink w:anchor="__RefHeading___Toc5447453_3224264995">
            <w:r>
              <w:rPr>
                <w:webHidden/>
                <w:rStyle w:val="IndexLink"/>
                <w:rtl w:val="true"/>
              </w:rPr>
              <w:t>النتیجة بناء علی الحکومة هو التبعیض فی الاحتیاط</w:t>
            </w:r>
            <w:r>
              <w:rPr>
                <w:rStyle w:val="IndexLink"/>
                <w:rtl w:val="true"/>
              </w:rPr>
              <w:tab/>
            </w:r>
            <w:r>
              <w:rPr>
                <w:rStyle w:val="IndexLink"/>
              </w:rPr>
              <w:t>518</w:t>
            </w:r>
          </w:hyperlink>
        </w:p>
        <w:p>
          <w:pPr>
            <w:pStyle w:val="Contents6"/>
            <w:tabs>
              <w:tab w:val="clear" w:pos="7609"/>
              <w:tab w:val="right" w:pos="9026" w:leader="dot"/>
            </w:tabs>
            <w:rPr/>
          </w:pPr>
          <w:hyperlink w:anchor="__RefHeading___Toc5447455_3224264995">
            <w:r>
              <w:rPr>
                <w:webHidden/>
                <w:rStyle w:val="IndexLink"/>
                <w:rtl w:val="true"/>
              </w:rPr>
              <w:t>الفرق بین العمل بالظنّ بعنوان التبعیض فی الاحتیاط أو بعنوان الحجیّة</w:t>
            </w:r>
            <w:r>
              <w:rPr>
                <w:rStyle w:val="IndexLink"/>
                <w:rtl w:val="true"/>
              </w:rPr>
              <w:tab/>
            </w:r>
            <w:r>
              <w:rPr>
                <w:rStyle w:val="IndexLink"/>
              </w:rPr>
              <w:t>520</w:t>
            </w:r>
          </w:hyperlink>
        </w:p>
        <w:p>
          <w:pPr>
            <w:pStyle w:val="Contents6"/>
            <w:tabs>
              <w:tab w:val="clear" w:pos="7609"/>
              <w:tab w:val="right" w:pos="9026" w:leader="dot"/>
            </w:tabs>
            <w:rPr/>
          </w:pPr>
          <w:hyperlink w:anchor="__RefHeading___Toc5447457_3224264995">
            <w:r>
              <w:rPr>
                <w:webHidden/>
                <w:rStyle w:val="IndexLink"/>
                <w:rtl w:val="true"/>
              </w:rPr>
              <w:t>عدم الفرق فی الظنّ الاطمینانی بین الظنّ بالحکم أو الظنّ بالطریق</w:t>
            </w:r>
            <w:r>
              <w:rPr>
                <w:rStyle w:val="IndexLink"/>
                <w:rtl w:val="true"/>
              </w:rPr>
              <w:tab/>
            </w:r>
            <w:r>
              <w:rPr>
                <w:rStyle w:val="IndexLink"/>
              </w:rPr>
              <w:t>523</w:t>
            </w:r>
          </w:hyperlink>
        </w:p>
        <w:p>
          <w:pPr>
            <w:pStyle w:val="Contents6"/>
            <w:tabs>
              <w:tab w:val="clear" w:pos="7609"/>
              <w:tab w:val="right" w:pos="9026" w:leader="dot"/>
            </w:tabs>
            <w:rPr/>
          </w:pPr>
          <w:hyperlink w:anchor="__RefHeading___Toc5447459_3224264995">
            <w:r>
              <w:rPr>
                <w:webHidden/>
                <w:rStyle w:val="IndexLink"/>
                <w:rtl w:val="true"/>
              </w:rPr>
              <w:t>الإشکال فی العمل بما یقتضیه الأصل فی المشکوکات</w:t>
            </w:r>
            <w:r>
              <w:rPr>
                <w:rStyle w:val="IndexLink"/>
                <w:rtl w:val="true"/>
              </w:rPr>
              <w:tab/>
            </w:r>
            <w:r>
              <w:rPr>
                <w:rStyle w:val="IndexLink"/>
              </w:rPr>
              <w:t>523</w:t>
            </w:r>
          </w:hyperlink>
        </w:p>
        <w:p>
          <w:pPr>
            <w:pStyle w:val="Contents6"/>
            <w:tabs>
              <w:tab w:val="clear" w:pos="7609"/>
              <w:tab w:val="right" w:pos="9026" w:leader="dot"/>
            </w:tabs>
            <w:rPr/>
          </w:pPr>
          <w:hyperlink w:anchor="__RefHeading___Toc5447461_3224264995">
            <w:r>
              <w:rPr>
                <w:webHidden/>
                <w:rStyle w:val="IndexLink"/>
                <w:rtl w:val="true"/>
              </w:rPr>
              <w:t>الإشکال فی الاصول اللفظیّة أیضا</w:t>
            </w:r>
            <w:r>
              <w:rPr>
                <w:rStyle w:val="IndexLink"/>
                <w:rtl w:val="true"/>
              </w:rPr>
              <w:tab/>
            </w:r>
            <w:r>
              <w:rPr>
                <w:rStyle w:val="IndexLink"/>
              </w:rPr>
              <w:t>525</w:t>
            </w:r>
          </w:hyperlink>
        </w:p>
        <w:p>
          <w:pPr>
            <w:pStyle w:val="Contents6"/>
            <w:tabs>
              <w:tab w:val="clear" w:pos="7609"/>
              <w:tab w:val="right" w:pos="9026" w:leader="dot"/>
            </w:tabs>
            <w:rPr/>
          </w:pPr>
          <w:hyperlink w:anchor="__RefHeading___Toc5447463_3224264995">
            <w:r>
              <w:rPr>
                <w:webHidden/>
                <w:rStyle w:val="IndexLink"/>
                <w:rtl w:val="true"/>
              </w:rPr>
              <w:t>حاصل الکلام فی المسالة</w:t>
            </w:r>
            <w:r>
              <w:rPr>
                <w:rStyle w:val="IndexLink"/>
                <w:rtl w:val="true"/>
              </w:rPr>
              <w:tab/>
            </w:r>
            <w:r>
              <w:rPr>
                <w:rStyle w:val="IndexLink"/>
              </w:rPr>
              <w:t>528</w:t>
            </w:r>
          </w:hyperlink>
        </w:p>
        <w:p>
          <w:pPr>
            <w:pStyle w:val="Contents6"/>
            <w:tabs>
              <w:tab w:val="clear" w:pos="7609"/>
              <w:tab w:val="right" w:pos="9026" w:leader="dot"/>
            </w:tabs>
            <w:rPr/>
          </w:pPr>
          <w:hyperlink w:anchor="__RefHeading___Toc5447465_3224264995">
            <w:r>
              <w:rPr>
                <w:webHidden/>
                <w:rStyle w:val="IndexLink"/>
                <w:rtl w:val="true"/>
              </w:rPr>
              <w:t>المقام الثالث</w:t>
            </w:r>
            <w:r>
              <w:rPr>
                <w:rStyle w:val="IndexLink"/>
                <w:rtl w:val="true"/>
              </w:rPr>
              <w:tab/>
            </w:r>
            <w:r>
              <w:rPr>
                <w:rStyle w:val="IndexLink"/>
              </w:rPr>
              <w:t>531</w:t>
            </w:r>
          </w:hyperlink>
        </w:p>
        <w:p>
          <w:pPr>
            <w:pStyle w:val="Contents6"/>
            <w:tabs>
              <w:tab w:val="clear" w:pos="7609"/>
              <w:tab w:val="right" w:pos="9026" w:leader="dot"/>
            </w:tabs>
            <w:rPr/>
          </w:pPr>
          <w:hyperlink w:anchor="__RefHeading___Toc5447467_3224264995">
            <w:r>
              <w:rPr>
                <w:webHidden/>
                <w:rStyle w:val="IndexLink"/>
                <w:rtl w:val="true"/>
              </w:rPr>
              <w:t>توجّه الإشکال علی الحکومة</w:t>
            </w:r>
            <w:r>
              <w:rPr>
                <w:rStyle w:val="IndexLink"/>
                <w:rtl w:val="true"/>
              </w:rPr>
              <w:tab/>
            </w:r>
            <w:r>
              <w:rPr>
                <w:rStyle w:val="IndexLink"/>
              </w:rPr>
              <w:t>531</w:t>
            </w:r>
          </w:hyperlink>
        </w:p>
        <w:p>
          <w:pPr>
            <w:pStyle w:val="Contents6"/>
            <w:tabs>
              <w:tab w:val="clear" w:pos="7609"/>
              <w:tab w:val="right" w:pos="9026" w:leader="dot"/>
            </w:tabs>
            <w:rPr/>
          </w:pPr>
          <w:hyperlink w:anchor="__RefHeading___Toc5447469_3224264995">
            <w:r>
              <w:rPr>
                <w:webHidden/>
                <w:rStyle w:val="IndexLink"/>
                <w:rtl w:val="true"/>
              </w:rPr>
              <w:t>ثمّ إنّ الإشکال هنا فی مقامین</w:t>
            </w:r>
            <w:r>
              <w:rPr>
                <w:rStyle w:val="IndexLink"/>
                <w:rtl w:val="true"/>
              </w:rPr>
              <w:t>:</w:t>
              <w:tab/>
            </w:r>
            <w:r>
              <w:rPr>
                <w:rStyle w:val="IndexLink"/>
              </w:rPr>
              <w:t>532</w:t>
            </w:r>
          </w:hyperlink>
        </w:p>
        <w:p>
          <w:pPr>
            <w:pStyle w:val="Contents6"/>
            <w:tabs>
              <w:tab w:val="clear" w:pos="7609"/>
              <w:tab w:val="right" w:pos="9026" w:leader="dot"/>
            </w:tabs>
            <w:rPr/>
          </w:pPr>
          <w:hyperlink w:anchor="__RefHeading___Toc5447471_3224264995">
            <w:r>
              <w:rPr>
                <w:webHidden/>
                <w:rStyle w:val="IndexLink"/>
                <w:rtl w:val="true"/>
              </w:rPr>
              <w:t>المقام الأوّل</w:t>
            </w:r>
            <w:r>
              <w:rPr>
                <w:rStyle w:val="IndexLink"/>
                <w:rtl w:val="true"/>
              </w:rPr>
              <w:t>:</w:t>
            </w:r>
            <w:r>
              <w:rPr>
                <w:rStyle w:val="IndexLink"/>
                <w:rtl w:val="true"/>
              </w:rPr>
              <w:t>فی خروج الظنّ القیاسی عن حجیّة مطلق الظنّ</w:t>
            </w:r>
            <w:r>
              <w:rPr>
                <w:rStyle w:val="IndexLink"/>
                <w:rtl w:val="true"/>
              </w:rPr>
              <w:tab/>
            </w:r>
            <w:r>
              <w:rPr>
                <w:rStyle w:val="IndexLink"/>
              </w:rPr>
              <w:t>532</w:t>
            </w:r>
          </w:hyperlink>
        </w:p>
        <w:p>
          <w:pPr>
            <w:pStyle w:val="Contents6"/>
            <w:tabs>
              <w:tab w:val="clear" w:pos="7609"/>
              <w:tab w:val="right" w:pos="9026" w:leader="dot"/>
            </w:tabs>
            <w:rPr/>
          </w:pPr>
          <w:hyperlink w:anchor="__RefHeading___Toc5447473_3224264995">
            <w:r>
              <w:rPr>
                <w:webHidden/>
                <w:rStyle w:val="IndexLink"/>
                <w:rtl w:val="true"/>
              </w:rPr>
              <w:t>ما قیل فی توجیه خروج القیاس</w:t>
            </w:r>
            <w:r>
              <w:rPr>
                <w:rStyle w:val="IndexLink"/>
                <w:rtl w:val="true"/>
              </w:rPr>
              <w:tab/>
            </w:r>
            <w:r>
              <w:rPr>
                <w:rStyle w:val="IndexLink"/>
              </w:rPr>
              <w:t>532</w:t>
            </w:r>
          </w:hyperlink>
        </w:p>
        <w:p>
          <w:pPr>
            <w:pStyle w:val="Contents6"/>
            <w:tabs>
              <w:tab w:val="clear" w:pos="7609"/>
              <w:tab w:val="right" w:pos="9026" w:leader="dot"/>
            </w:tabs>
            <w:rPr/>
          </w:pPr>
          <w:hyperlink w:anchor="__RefHeading___Toc5447475_3224264995">
            <w:r>
              <w:rPr>
                <w:webHidden/>
                <w:rStyle w:val="IndexLink"/>
                <w:rtl w:val="true"/>
              </w:rPr>
              <w:t>الأوّل</w:t>
            </w:r>
            <w:r>
              <w:rPr>
                <w:rStyle w:val="IndexLink"/>
                <w:rtl w:val="true"/>
              </w:rPr>
              <w:t xml:space="preserve">: </w:t>
            </w:r>
            <w:r>
              <w:rPr>
                <w:rStyle w:val="IndexLink"/>
                <w:rtl w:val="true"/>
              </w:rPr>
              <w:t>منع حرمة العمل بالقیاس فی زمان الانسداد</w:t>
            </w:r>
            <w:r>
              <w:rPr>
                <w:rStyle w:val="IndexLink"/>
                <w:rtl w:val="true"/>
              </w:rPr>
              <w:tab/>
            </w:r>
            <w:r>
              <w:rPr>
                <w:rStyle w:val="IndexLink"/>
              </w:rPr>
              <w:t>533</w:t>
            </w:r>
          </w:hyperlink>
        </w:p>
        <w:p>
          <w:pPr>
            <w:pStyle w:val="Contents6"/>
            <w:tabs>
              <w:tab w:val="clear" w:pos="7609"/>
              <w:tab w:val="right" w:pos="9026" w:leader="dot"/>
            </w:tabs>
            <w:rPr/>
          </w:pPr>
          <w:hyperlink w:anchor="__RefHeading___Toc5447477_3224264995">
            <w:r>
              <w:rPr>
                <w:webHidden/>
                <w:rStyle w:val="IndexLink"/>
                <w:rtl w:val="true"/>
              </w:rPr>
              <w:t>المناقشة فی هذا الوجه</w:t>
            </w:r>
            <w:r>
              <w:rPr>
                <w:rStyle w:val="IndexLink"/>
                <w:rtl w:val="true"/>
              </w:rPr>
              <w:tab/>
            </w:r>
            <w:r>
              <w:rPr>
                <w:rStyle w:val="IndexLink"/>
              </w:rPr>
              <w:t>535</w:t>
            </w:r>
          </w:hyperlink>
        </w:p>
        <w:p>
          <w:pPr>
            <w:pStyle w:val="Contents6"/>
            <w:tabs>
              <w:tab w:val="clear" w:pos="7609"/>
              <w:tab w:val="right" w:pos="9026" w:leader="dot"/>
            </w:tabs>
            <w:rPr/>
          </w:pPr>
          <w:hyperlink w:anchor="__RefHeading___Toc5447479_3224264995">
            <w:r>
              <w:rPr>
                <w:webHidden/>
                <w:rStyle w:val="IndexLink"/>
                <w:rtl w:val="true"/>
              </w:rPr>
              <w:t xml:space="preserve">الثانی </w:t>
            </w:r>
            <w:r>
              <w:rPr>
                <w:rStyle w:val="IndexLink"/>
                <w:rtl w:val="true"/>
              </w:rPr>
              <w:t>:</w:t>
            </w:r>
            <w:r>
              <w:rPr>
                <w:rStyle w:val="IndexLink"/>
                <w:rtl w:val="true"/>
              </w:rPr>
              <w:t>منع افادة القیاس للظن</w:t>
            </w:r>
            <w:r>
              <w:rPr>
                <w:rStyle w:val="IndexLink"/>
                <w:rtl w:val="true"/>
              </w:rPr>
              <w:tab/>
            </w:r>
            <w:r>
              <w:rPr>
                <w:rStyle w:val="IndexLink"/>
              </w:rPr>
              <w:t>536</w:t>
            </w:r>
          </w:hyperlink>
        </w:p>
        <w:p>
          <w:pPr>
            <w:pStyle w:val="Contents6"/>
            <w:tabs>
              <w:tab w:val="clear" w:pos="7609"/>
              <w:tab w:val="right" w:pos="9026" w:leader="dot"/>
            </w:tabs>
            <w:rPr/>
          </w:pPr>
          <w:hyperlink w:anchor="__RefHeading___Toc5447481_3224264995">
            <w:r>
              <w:rPr>
                <w:webHidden/>
                <w:rStyle w:val="IndexLink"/>
                <w:rtl w:val="true"/>
              </w:rPr>
              <w:t>المناقشة فی هذا الوجه</w:t>
            </w:r>
            <w:r>
              <w:rPr>
                <w:rStyle w:val="IndexLink"/>
                <w:rtl w:val="true"/>
              </w:rPr>
              <w:tab/>
            </w:r>
            <w:r>
              <w:rPr>
                <w:rStyle w:val="IndexLink"/>
              </w:rPr>
              <w:t>536</w:t>
            </w:r>
          </w:hyperlink>
        </w:p>
        <w:p>
          <w:pPr>
            <w:pStyle w:val="Contents6"/>
            <w:tabs>
              <w:tab w:val="clear" w:pos="7609"/>
              <w:tab w:val="right" w:pos="9026" w:leader="dot"/>
            </w:tabs>
            <w:rPr/>
          </w:pPr>
          <w:hyperlink w:anchor="__RefHeading___Toc5447483_3224264995">
            <w:r>
              <w:rPr>
                <w:webHidden/>
                <w:rStyle w:val="IndexLink"/>
                <w:rtl w:val="true"/>
              </w:rPr>
              <w:t xml:space="preserve">الثالث </w:t>
            </w:r>
            <w:r>
              <w:rPr>
                <w:rStyle w:val="IndexLink"/>
                <w:rtl w:val="true"/>
              </w:rPr>
              <w:t xml:space="preserve">: </w:t>
            </w:r>
            <w:r>
              <w:rPr>
                <w:rStyle w:val="IndexLink"/>
                <w:rtl w:val="true"/>
              </w:rPr>
              <w:t>ان باب العلم فی القیاس</w:t>
            </w:r>
            <w:r>
              <w:rPr>
                <w:rStyle w:val="IndexLink"/>
                <w:rtl w:val="true"/>
              </w:rPr>
              <w:tab/>
            </w:r>
            <w:r>
              <w:rPr>
                <w:rStyle w:val="IndexLink"/>
              </w:rPr>
              <w:t>537</w:t>
            </w:r>
          </w:hyperlink>
        </w:p>
        <w:p>
          <w:pPr>
            <w:pStyle w:val="Contents6"/>
            <w:tabs>
              <w:tab w:val="clear" w:pos="7609"/>
              <w:tab w:val="right" w:pos="9026" w:leader="dot"/>
            </w:tabs>
            <w:rPr/>
          </w:pPr>
          <w:hyperlink w:anchor="__RefHeading___Toc5447485_3224264995">
            <w:r>
              <w:rPr>
                <w:webHidden/>
                <w:rStyle w:val="IndexLink"/>
                <w:rtl w:val="true"/>
              </w:rPr>
              <w:t>المناقشة فی هذا الوجه</w:t>
            </w:r>
            <w:r>
              <w:rPr>
                <w:rStyle w:val="IndexLink"/>
                <w:rtl w:val="true"/>
              </w:rPr>
              <w:tab/>
            </w:r>
            <w:r>
              <w:rPr>
                <w:rStyle w:val="IndexLink"/>
              </w:rPr>
              <w:t>537</w:t>
            </w:r>
          </w:hyperlink>
        </w:p>
        <w:p>
          <w:pPr>
            <w:pStyle w:val="Contents6"/>
            <w:tabs>
              <w:tab w:val="clear" w:pos="7609"/>
              <w:tab w:val="right" w:pos="9026" w:leader="dot"/>
            </w:tabs>
            <w:rPr/>
          </w:pPr>
          <w:hyperlink w:anchor="__RefHeading___Toc5447487_3224264995">
            <w:r>
              <w:rPr>
                <w:webHidden/>
                <w:rStyle w:val="IndexLink"/>
                <w:rtl w:val="true"/>
              </w:rPr>
              <w:t>الرابع</w:t>
            </w:r>
            <w:r>
              <w:rPr>
                <w:rStyle w:val="IndexLink"/>
                <w:rtl w:val="true"/>
              </w:rPr>
              <w:t>:</w:t>
            </w:r>
            <w:r>
              <w:rPr>
                <w:rStyle w:val="IndexLink"/>
                <w:rtl w:val="true"/>
              </w:rPr>
              <w:t>عدم حجیّة مطلق الظنّ النفس الأمری</w:t>
            </w:r>
            <w:r>
              <w:rPr>
                <w:rStyle w:val="IndexLink"/>
                <w:rtl w:val="true"/>
              </w:rPr>
              <w:tab/>
            </w:r>
            <w:r>
              <w:rPr>
                <w:rStyle w:val="IndexLink"/>
              </w:rPr>
              <w:t>538</w:t>
            </w:r>
          </w:hyperlink>
        </w:p>
        <w:p>
          <w:pPr>
            <w:pStyle w:val="Contents6"/>
            <w:tabs>
              <w:tab w:val="clear" w:pos="7609"/>
              <w:tab w:val="right" w:pos="9026" w:leader="dot"/>
            </w:tabs>
            <w:rPr/>
          </w:pPr>
          <w:hyperlink w:anchor="__RefHeading___Toc5447489_3224264995">
            <w:r>
              <w:rPr>
                <w:webHidden/>
                <w:rStyle w:val="IndexLink"/>
                <w:rtl w:val="true"/>
              </w:rPr>
              <w:t>المناقشة فی هذا الوجه</w:t>
            </w:r>
            <w:r>
              <w:rPr>
                <w:rStyle w:val="IndexLink"/>
                <w:rtl w:val="true"/>
              </w:rPr>
              <w:tab/>
            </w:r>
            <w:r>
              <w:rPr>
                <w:rStyle w:val="IndexLink"/>
              </w:rPr>
              <w:t>540</w:t>
            </w:r>
          </w:hyperlink>
        </w:p>
        <w:p>
          <w:pPr>
            <w:pStyle w:val="Contents6"/>
            <w:tabs>
              <w:tab w:val="clear" w:pos="7609"/>
              <w:tab w:val="right" w:pos="9026" w:leader="dot"/>
            </w:tabs>
            <w:rPr/>
          </w:pPr>
          <w:hyperlink w:anchor="__RefHeading___Toc5447491_3224264995">
            <w:r>
              <w:rPr>
                <w:webHidden/>
                <w:rStyle w:val="IndexLink"/>
                <w:rtl w:val="true"/>
              </w:rPr>
              <w:t>الخامس</w:t>
            </w:r>
            <w:r>
              <w:rPr>
                <w:rStyle w:val="IndexLink"/>
                <w:rtl w:val="true"/>
              </w:rPr>
              <w:t>:</w:t>
            </w:r>
            <w:r>
              <w:rPr>
                <w:rStyle w:val="IndexLink"/>
                <w:rtl w:val="true"/>
              </w:rPr>
              <w:t>عدم حجیّة الظنّ الذی قام علی حجیّته دلیل</w:t>
            </w:r>
            <w:r>
              <w:rPr>
                <w:rStyle w:val="IndexLink"/>
                <w:rtl w:val="true"/>
              </w:rPr>
              <w:tab/>
            </w:r>
            <w:r>
              <w:rPr>
                <w:rStyle w:val="IndexLink"/>
              </w:rPr>
              <w:t>540</w:t>
            </w:r>
          </w:hyperlink>
        </w:p>
        <w:p>
          <w:pPr>
            <w:pStyle w:val="Contents6"/>
            <w:tabs>
              <w:tab w:val="clear" w:pos="7609"/>
              <w:tab w:val="right" w:pos="9026" w:leader="dot"/>
            </w:tabs>
            <w:rPr/>
          </w:pPr>
          <w:hyperlink w:anchor="__RefHeading___Toc5447493_3224264995">
            <w:r>
              <w:rPr>
                <w:webHidden/>
                <w:rStyle w:val="IndexLink"/>
                <w:rtl w:val="true"/>
              </w:rPr>
              <w:t>المناقشة فی هذا الوجه</w:t>
            </w:r>
            <w:r>
              <w:rPr>
                <w:rStyle w:val="IndexLink"/>
                <w:rtl w:val="true"/>
              </w:rPr>
              <w:tab/>
            </w:r>
            <w:r>
              <w:rPr>
                <w:rStyle w:val="IndexLink"/>
              </w:rPr>
              <w:t>541</w:t>
            </w:r>
          </w:hyperlink>
        </w:p>
        <w:p>
          <w:pPr>
            <w:pStyle w:val="Contents6"/>
            <w:tabs>
              <w:tab w:val="clear" w:pos="7609"/>
              <w:tab w:val="right" w:pos="9026" w:leader="dot"/>
            </w:tabs>
            <w:rPr/>
          </w:pPr>
          <w:hyperlink w:anchor="__RefHeading___Toc5447495_3224264995">
            <w:r>
              <w:rPr>
                <w:webHidden/>
                <w:rStyle w:val="IndexLink"/>
                <w:rtl w:val="true"/>
              </w:rPr>
              <w:t>السادس</w:t>
            </w:r>
            <w:r>
              <w:rPr>
                <w:rStyle w:val="IndexLink"/>
                <w:rtl w:val="true"/>
              </w:rPr>
              <w:t>:</w:t>
            </w:r>
            <w:r>
              <w:rPr>
                <w:rStyle w:val="IndexLink"/>
                <w:rtl w:val="true"/>
              </w:rPr>
              <w:t>و هو الذی اخترناه سابقا</w:t>
            </w:r>
            <w:r>
              <w:rPr>
                <w:rStyle w:val="IndexLink"/>
                <w:rtl w:val="true"/>
              </w:rPr>
              <w:tab/>
            </w:r>
            <w:r>
              <w:rPr>
                <w:rStyle w:val="IndexLink"/>
              </w:rPr>
              <w:t>543</w:t>
            </w:r>
          </w:hyperlink>
        </w:p>
        <w:p>
          <w:pPr>
            <w:pStyle w:val="Contents6"/>
            <w:tabs>
              <w:tab w:val="clear" w:pos="7609"/>
              <w:tab w:val="right" w:pos="9026" w:leader="dot"/>
            </w:tabs>
            <w:rPr/>
          </w:pPr>
          <w:hyperlink w:anchor="__RefHeading___Toc5447497_3224264995">
            <w:r>
              <w:rPr>
                <w:webHidden/>
                <w:rStyle w:val="IndexLink"/>
                <w:rtl w:val="true"/>
              </w:rPr>
              <w:t>عدم تمامیّة هذا الوجه أیضا</w:t>
            </w:r>
            <w:r>
              <w:rPr>
                <w:rStyle w:val="IndexLink"/>
                <w:rtl w:val="true"/>
              </w:rPr>
              <w:tab/>
            </w:r>
            <w:r>
              <w:rPr>
                <w:rStyle w:val="IndexLink"/>
              </w:rPr>
              <w:t>544</w:t>
            </w:r>
          </w:hyperlink>
        </w:p>
        <w:p>
          <w:pPr>
            <w:pStyle w:val="Contents6"/>
            <w:tabs>
              <w:tab w:val="clear" w:pos="7609"/>
              <w:tab w:val="right" w:pos="9026" w:leader="dot"/>
            </w:tabs>
            <w:rPr/>
          </w:pPr>
          <w:hyperlink w:anchor="__RefHeading___Toc5447499_3224264995">
            <w:r>
              <w:rPr>
                <w:webHidden/>
                <w:rStyle w:val="IndexLink"/>
                <w:rtl w:val="true"/>
              </w:rPr>
              <w:t>الوجه السابع</w:t>
            </w:r>
            <w:r>
              <w:rPr>
                <w:rStyle w:val="IndexLink"/>
                <w:rtl w:val="true"/>
              </w:rPr>
              <w:t xml:space="preserve">: </w:t>
            </w:r>
            <w:r>
              <w:rPr>
                <w:rStyle w:val="IndexLink"/>
                <w:rtl w:val="true"/>
              </w:rPr>
              <w:t>مختار المصنّف فی التوجیه</w:t>
            </w:r>
            <w:r>
              <w:rPr>
                <w:rStyle w:val="IndexLink"/>
                <w:rtl w:val="true"/>
              </w:rPr>
              <w:tab/>
            </w:r>
            <w:r>
              <w:rPr>
                <w:rStyle w:val="IndexLink"/>
              </w:rPr>
              <w:t>544</w:t>
            </w:r>
          </w:hyperlink>
        </w:p>
        <w:p>
          <w:pPr>
            <w:pStyle w:val="Contents6"/>
            <w:tabs>
              <w:tab w:val="clear" w:pos="7609"/>
              <w:tab w:val="right" w:pos="9026" w:leader="dot"/>
            </w:tabs>
            <w:rPr/>
          </w:pPr>
          <w:hyperlink w:anchor="__RefHeading___Toc5447501_3224264995">
            <w:r>
              <w:rPr>
                <w:webHidden/>
                <w:rStyle w:val="IndexLink"/>
                <w:rtl w:val="true"/>
              </w:rPr>
              <w:t>المقام الثانی</w:t>
            </w:r>
            <w:r>
              <w:rPr>
                <w:rStyle w:val="IndexLink"/>
                <w:rtl w:val="true"/>
              </w:rPr>
              <w:t xml:space="preserve">: </w:t>
            </w:r>
            <w:r>
              <w:rPr>
                <w:rStyle w:val="IndexLink"/>
                <w:rtl w:val="true"/>
              </w:rPr>
              <w:t>لو قام ظن علی حرمة العمل ببعض الظنون</w:t>
            </w:r>
            <w:r>
              <w:rPr>
                <w:rStyle w:val="IndexLink"/>
                <w:rtl w:val="true"/>
              </w:rPr>
              <w:tab/>
            </w:r>
            <w:r>
              <w:rPr>
                <w:rStyle w:val="IndexLink"/>
              </w:rPr>
              <w:t>547</w:t>
            </w:r>
          </w:hyperlink>
        </w:p>
        <w:p>
          <w:pPr>
            <w:pStyle w:val="Contents6"/>
            <w:tabs>
              <w:tab w:val="clear" w:pos="7609"/>
              <w:tab w:val="right" w:pos="9026" w:leader="dot"/>
            </w:tabs>
            <w:rPr/>
          </w:pPr>
          <w:hyperlink w:anchor="__RefHeading___Toc5447503_3224264995">
            <w:r>
              <w:rPr>
                <w:webHidden/>
                <w:rStyle w:val="IndexLink"/>
                <w:rtl w:val="true"/>
              </w:rPr>
              <w:t>هل یجب العمل بالظنّ الممنوع أو المانع أو الأقوی منهما أو التساقط؟</w:t>
            </w:r>
            <w:r>
              <w:rPr>
                <w:rStyle w:val="IndexLink"/>
                <w:rtl w:val="true"/>
              </w:rPr>
              <w:tab/>
            </w:r>
            <w:r>
              <w:rPr>
                <w:rStyle w:val="IndexLink"/>
              </w:rPr>
              <w:t>547</w:t>
            </w:r>
          </w:hyperlink>
        </w:p>
        <w:p>
          <w:pPr>
            <w:pStyle w:val="Contents6"/>
            <w:tabs>
              <w:tab w:val="clear" w:pos="7609"/>
              <w:tab w:val="right" w:pos="9026" w:leader="dot"/>
            </w:tabs>
            <w:rPr/>
          </w:pPr>
          <w:hyperlink w:anchor="__RefHeading___Toc5447505_3224264995">
            <w:r>
              <w:rPr>
                <w:webHidden/>
                <w:rStyle w:val="IndexLink"/>
                <w:rtl w:val="true"/>
              </w:rPr>
              <w:t>القول بوجوب طرح الظنّ الممنوع و الاستدلال علیه</w:t>
            </w:r>
            <w:r>
              <w:rPr>
                <w:rStyle w:val="IndexLink"/>
                <w:rtl w:val="true"/>
              </w:rPr>
              <w:tab/>
            </w:r>
            <w:r>
              <w:rPr>
                <w:rStyle w:val="IndexLink"/>
              </w:rPr>
              <w:t>548</w:t>
            </w:r>
          </w:hyperlink>
        </w:p>
        <w:p>
          <w:pPr>
            <w:pStyle w:val="Contents6"/>
            <w:tabs>
              <w:tab w:val="clear" w:pos="7609"/>
              <w:tab w:val="right" w:pos="9026" w:leader="dot"/>
            </w:tabs>
            <w:rPr/>
          </w:pPr>
          <w:hyperlink w:anchor="__RefHeading___Toc5447507_3224264995">
            <w:r>
              <w:rPr>
                <w:webHidden/>
                <w:rStyle w:val="IndexLink"/>
                <w:rtl w:val="true"/>
              </w:rPr>
              <w:t>المناقشة فی هذا الاستدلال</w:t>
            </w:r>
            <w:r>
              <w:rPr>
                <w:rStyle w:val="IndexLink"/>
                <w:rtl w:val="true"/>
              </w:rPr>
              <w:tab/>
            </w:r>
            <w:r>
              <w:rPr>
                <w:rStyle w:val="IndexLink"/>
              </w:rPr>
              <w:t>549</w:t>
            </w:r>
          </w:hyperlink>
        </w:p>
        <w:p>
          <w:pPr>
            <w:pStyle w:val="Contents6"/>
            <w:tabs>
              <w:tab w:val="clear" w:pos="7609"/>
              <w:tab w:val="right" w:pos="9026" w:leader="dot"/>
            </w:tabs>
            <w:rPr/>
          </w:pPr>
          <w:hyperlink w:anchor="__RefHeading___Toc5447509_3224264995">
            <w:r>
              <w:rPr>
                <w:webHidden/>
                <w:rStyle w:val="IndexLink"/>
                <w:rtl w:val="true"/>
              </w:rPr>
              <w:t>مختار المصنّف فی المسألة</w:t>
            </w:r>
            <w:r>
              <w:rPr>
                <w:rStyle w:val="IndexLink"/>
                <w:rtl w:val="true"/>
              </w:rPr>
              <w:tab/>
            </w:r>
            <w:r>
              <w:rPr>
                <w:rStyle w:val="IndexLink"/>
              </w:rPr>
              <w:t>551</w:t>
            </w:r>
          </w:hyperlink>
        </w:p>
        <w:p>
          <w:pPr>
            <w:pStyle w:val="Contents6"/>
            <w:tabs>
              <w:tab w:val="clear" w:pos="7609"/>
              <w:tab w:val="right" w:pos="9026" w:leader="dot"/>
            </w:tabs>
            <w:rPr/>
          </w:pPr>
          <w:hyperlink w:anchor="__RefHeading___Toc5447511_3224264995">
            <w:r>
              <w:rPr>
                <w:webHidden/>
                <w:rStyle w:val="IndexLink"/>
                <w:rtl w:val="true"/>
              </w:rPr>
              <w:t>الأمر الثالث</w:t>
            </w:r>
            <w:r>
              <w:rPr>
                <w:rStyle w:val="IndexLink"/>
                <w:rtl w:val="true"/>
              </w:rPr>
              <w:tab/>
            </w:r>
            <w:r>
              <w:rPr>
                <w:rStyle w:val="IndexLink"/>
              </w:rPr>
              <w:t>552</w:t>
            </w:r>
          </w:hyperlink>
        </w:p>
        <w:p>
          <w:pPr>
            <w:pStyle w:val="Contents6"/>
            <w:tabs>
              <w:tab w:val="clear" w:pos="7609"/>
              <w:tab w:val="right" w:pos="9026" w:leader="dot"/>
            </w:tabs>
            <w:rPr/>
          </w:pPr>
          <w:hyperlink w:anchor="__RefHeading___Toc5447513_3224264995">
            <w:r>
              <w:rPr>
                <w:webHidden/>
                <w:rStyle w:val="IndexLink"/>
                <w:rtl w:val="true"/>
              </w:rPr>
              <w:t>لو حصل الظن بالحکم من امارة متعلقة بالفاظ الدلیل</w:t>
            </w:r>
            <w:r>
              <w:rPr>
                <w:rStyle w:val="IndexLink"/>
                <w:rtl w:val="true"/>
              </w:rPr>
              <w:tab/>
            </w:r>
            <w:r>
              <w:rPr>
                <w:rStyle w:val="IndexLink"/>
              </w:rPr>
              <w:t>552</w:t>
            </w:r>
          </w:hyperlink>
        </w:p>
        <w:p>
          <w:pPr>
            <w:pStyle w:val="Contents6"/>
            <w:tabs>
              <w:tab w:val="clear" w:pos="7609"/>
              <w:tab w:val="right" w:pos="9026" w:leader="dot"/>
            </w:tabs>
            <w:rPr/>
          </w:pPr>
          <w:hyperlink w:anchor="__RefHeading___Toc5447515_3224264995">
            <w:r>
              <w:rPr>
                <w:webHidden/>
                <w:rStyle w:val="IndexLink"/>
                <w:rtl w:val="true"/>
              </w:rPr>
              <w:t>الظنّ المتعلّق بالألفاظ علی قسمین</w:t>
            </w:r>
            <w:r>
              <w:rPr>
                <w:rStyle w:val="IndexLink"/>
                <w:rtl w:val="true"/>
              </w:rPr>
              <w:tab/>
            </w:r>
            <w:r>
              <w:rPr>
                <w:rStyle w:val="IndexLink"/>
              </w:rPr>
              <w:t>552</w:t>
            </w:r>
          </w:hyperlink>
        </w:p>
        <w:p>
          <w:pPr>
            <w:pStyle w:val="Contents6"/>
            <w:tabs>
              <w:tab w:val="clear" w:pos="7609"/>
              <w:tab w:val="right" w:pos="9026" w:leader="dot"/>
            </w:tabs>
            <w:rPr/>
          </w:pPr>
          <w:hyperlink w:anchor="__RefHeading___Toc5447517_3224264995">
            <w:r>
              <w:rPr>
                <w:webHidden/>
                <w:rStyle w:val="IndexLink"/>
                <w:rtl w:val="true"/>
              </w:rPr>
              <w:t>الظاهر حجیّة هذه الظنون</w:t>
            </w:r>
            <w:r>
              <w:rPr>
                <w:rStyle w:val="IndexLink"/>
                <w:rtl w:val="true"/>
              </w:rPr>
              <w:tab/>
            </w:r>
            <w:r>
              <w:rPr>
                <w:rStyle w:val="IndexLink"/>
              </w:rPr>
              <w:t>553</w:t>
            </w:r>
          </w:hyperlink>
        </w:p>
        <w:p>
          <w:pPr>
            <w:pStyle w:val="Contents6"/>
            <w:tabs>
              <w:tab w:val="clear" w:pos="7609"/>
              <w:tab w:val="right" w:pos="9026" w:leader="dot"/>
            </w:tabs>
            <w:rPr/>
          </w:pPr>
          <w:hyperlink w:anchor="__RefHeading___Toc5447519_3224264995">
            <w:r>
              <w:rPr>
                <w:webHidden/>
                <w:rStyle w:val="IndexLink"/>
                <w:rtl w:val="true"/>
              </w:rPr>
              <w:t>لو حصل الظنّ بالحکم من الأمارة المتعلّقة بالموضوع الخارجی</w:t>
            </w:r>
            <w:r>
              <w:rPr>
                <w:rStyle w:val="IndexLink"/>
                <w:rtl w:val="true"/>
              </w:rPr>
              <w:tab/>
            </w:r>
            <w:r>
              <w:rPr>
                <w:rStyle w:val="IndexLink"/>
              </w:rPr>
              <w:t>554</w:t>
            </w:r>
          </w:hyperlink>
        </w:p>
        <w:p>
          <w:pPr>
            <w:pStyle w:val="Contents6"/>
            <w:tabs>
              <w:tab w:val="clear" w:pos="7609"/>
              <w:tab w:val="right" w:pos="9026" w:leader="dot"/>
            </w:tabs>
            <w:rPr/>
          </w:pPr>
          <w:hyperlink w:anchor="__RefHeading___Toc5447521_3224264995">
            <w:r>
              <w:rPr>
                <w:webHidden/>
                <w:rStyle w:val="IndexLink"/>
                <w:rtl w:val="true"/>
              </w:rPr>
              <w:t>حجیّة الظنون الرجالیّة</w:t>
            </w:r>
            <w:r>
              <w:rPr>
                <w:rStyle w:val="IndexLink"/>
                <w:rtl w:val="true"/>
              </w:rPr>
              <w:tab/>
            </w:r>
            <w:r>
              <w:rPr>
                <w:rStyle w:val="IndexLink"/>
              </w:rPr>
              <w:t>554</w:t>
            </w:r>
          </w:hyperlink>
        </w:p>
        <w:p>
          <w:pPr>
            <w:pStyle w:val="Contents6"/>
            <w:tabs>
              <w:tab w:val="clear" w:pos="7609"/>
              <w:tab w:val="right" w:pos="9026" w:leader="dot"/>
            </w:tabs>
            <w:rPr/>
          </w:pPr>
          <w:hyperlink w:anchor="__RefHeading___Toc5447523_3224264995">
            <w:r>
              <w:rPr>
                <w:webHidden/>
                <w:rStyle w:val="IndexLink"/>
                <w:rtl w:val="true"/>
              </w:rPr>
              <w:t>ملخّص الکلام فی هذا التنبیه</w:t>
            </w:r>
            <w:r>
              <w:rPr>
                <w:rStyle w:val="IndexLink"/>
                <w:rtl w:val="true"/>
              </w:rPr>
              <w:tab/>
            </w:r>
            <w:r>
              <w:rPr>
                <w:rStyle w:val="IndexLink"/>
              </w:rPr>
              <w:t>555</w:t>
            </w:r>
          </w:hyperlink>
        </w:p>
        <w:p>
          <w:pPr>
            <w:pStyle w:val="Contents6"/>
            <w:tabs>
              <w:tab w:val="clear" w:pos="7609"/>
              <w:tab w:val="right" w:pos="9026" w:leader="dot"/>
            </w:tabs>
            <w:rPr/>
          </w:pPr>
          <w:hyperlink w:anchor="__RefHeading___Toc5447525_3224264995">
            <w:r>
              <w:rPr>
                <w:webHidden/>
                <w:rStyle w:val="IndexLink"/>
                <w:rtl w:val="true"/>
              </w:rPr>
              <w:t>ما تخیله السید المجاهد و المناقشة فیه</w:t>
            </w:r>
            <w:r>
              <w:rPr>
                <w:rStyle w:val="IndexLink"/>
                <w:rtl w:val="true"/>
              </w:rPr>
              <w:tab/>
            </w:r>
            <w:r>
              <w:rPr>
                <w:rStyle w:val="IndexLink"/>
              </w:rPr>
              <w:t>555</w:t>
            </w:r>
          </w:hyperlink>
        </w:p>
        <w:p>
          <w:pPr>
            <w:pStyle w:val="Contents6"/>
            <w:tabs>
              <w:tab w:val="clear" w:pos="7609"/>
              <w:tab w:val="right" w:pos="9026" w:leader="dot"/>
            </w:tabs>
            <w:rPr/>
          </w:pPr>
          <w:hyperlink w:anchor="__RefHeading___Toc5447527_3224264995">
            <w:r>
              <w:rPr>
                <w:webHidden/>
                <w:rStyle w:val="IndexLink"/>
                <w:rtl w:val="true"/>
              </w:rPr>
              <w:t>حجیّة الظنّ فی المسائل الاصولیّة</w:t>
            </w:r>
            <w:r>
              <w:rPr>
                <w:rStyle w:val="IndexLink"/>
                <w:rtl w:val="true"/>
              </w:rPr>
              <w:tab/>
            </w:r>
            <w:r>
              <w:rPr>
                <w:rStyle w:val="IndexLink"/>
              </w:rPr>
              <w:t>556</w:t>
            </w:r>
          </w:hyperlink>
        </w:p>
        <w:p>
          <w:pPr>
            <w:pStyle w:val="Contents6"/>
            <w:tabs>
              <w:tab w:val="clear" w:pos="7609"/>
              <w:tab w:val="right" w:pos="9026" w:leader="dot"/>
            </w:tabs>
            <w:rPr/>
          </w:pPr>
          <w:hyperlink w:anchor="__RefHeading___Toc5447529_3224264995">
            <w:r>
              <w:rPr>
                <w:webHidden/>
                <w:rStyle w:val="IndexLink"/>
                <w:rtl w:val="true"/>
              </w:rPr>
              <w:t>أدلّة القائلین بعدم الحجّیة</w:t>
            </w:r>
            <w:r>
              <w:rPr>
                <w:rStyle w:val="IndexLink"/>
                <w:rtl w:val="true"/>
              </w:rPr>
              <w:t>:</w:t>
              <w:tab/>
            </w:r>
            <w:r>
              <w:rPr>
                <w:rStyle w:val="IndexLink"/>
              </w:rPr>
              <w:t>556</w:t>
            </w:r>
          </w:hyperlink>
        </w:p>
        <w:p>
          <w:pPr>
            <w:pStyle w:val="Contents6"/>
            <w:tabs>
              <w:tab w:val="clear" w:pos="7609"/>
              <w:tab w:val="right" w:pos="9026" w:leader="dot"/>
            </w:tabs>
            <w:rPr/>
          </w:pPr>
          <w:hyperlink w:anchor="__RefHeading___Toc5447531_3224264995">
            <w:r>
              <w:rPr>
                <w:webHidden/>
                <w:rStyle w:val="IndexLink"/>
                <w:rtl w:val="true"/>
              </w:rPr>
              <w:t>أحدهما</w:t>
            </w:r>
            <w:r>
              <w:rPr>
                <w:rStyle w:val="IndexLink"/>
                <w:rtl w:val="true"/>
              </w:rPr>
              <w:t>:</w:t>
            </w:r>
            <w:r>
              <w:rPr>
                <w:rStyle w:val="IndexLink"/>
                <w:rtl w:val="true"/>
              </w:rPr>
              <w:t>أصالة الحرمة و عدم شمول دلیل الانسداد</w:t>
            </w:r>
            <w:r>
              <w:rPr>
                <w:rStyle w:val="IndexLink"/>
                <w:rtl w:val="true"/>
              </w:rPr>
              <w:tab/>
            </w:r>
            <w:r>
              <w:rPr>
                <w:rStyle w:val="IndexLink"/>
              </w:rPr>
              <w:t>556</w:t>
            </w:r>
          </w:hyperlink>
        </w:p>
        <w:p>
          <w:pPr>
            <w:pStyle w:val="Contents6"/>
            <w:tabs>
              <w:tab w:val="clear" w:pos="7609"/>
              <w:tab w:val="right" w:pos="9026" w:leader="dot"/>
            </w:tabs>
            <w:rPr/>
          </w:pPr>
          <w:hyperlink w:anchor="__RefHeading___Toc5447533_3224264995">
            <w:r>
              <w:rPr>
                <w:webHidden/>
                <w:rStyle w:val="IndexLink"/>
                <w:rtl w:val="true"/>
              </w:rPr>
              <w:t>الثانی من دلیلی المنع</w:t>
            </w:r>
            <w:r>
              <w:rPr>
                <w:rStyle w:val="IndexLink"/>
                <w:rtl w:val="true"/>
              </w:rPr>
              <w:t>:</w:t>
            </w:r>
            <w:r>
              <w:rPr>
                <w:rStyle w:val="IndexLink"/>
                <w:rtl w:val="true"/>
              </w:rPr>
              <w:t>ما اشتهر من عدم حجیّة الظنّ فی مسائل اصول الفقه</w:t>
            </w:r>
            <w:r>
              <w:rPr>
                <w:rStyle w:val="IndexLink"/>
                <w:rtl w:val="true"/>
              </w:rPr>
              <w:tab/>
            </w:r>
            <w:r>
              <w:rPr>
                <w:rStyle w:val="IndexLink"/>
              </w:rPr>
              <w:t>561</w:t>
            </w:r>
          </w:hyperlink>
        </w:p>
        <w:p>
          <w:pPr>
            <w:pStyle w:val="Contents6"/>
            <w:tabs>
              <w:tab w:val="clear" w:pos="7609"/>
              <w:tab w:val="right" w:pos="9026" w:leader="dot"/>
            </w:tabs>
            <w:rPr/>
          </w:pPr>
          <w:hyperlink w:anchor="__RefHeading___Toc5447535_3224264995">
            <w:r>
              <w:rPr>
                <w:webHidden/>
                <w:rStyle w:val="IndexLink"/>
                <w:rtl w:val="true"/>
              </w:rPr>
              <w:t>و الجواب</w:t>
            </w:r>
            <w:r>
              <w:rPr>
                <w:rStyle w:val="IndexLink"/>
                <w:rtl w:val="true"/>
              </w:rPr>
              <w:t>:</w:t>
              <w:tab/>
            </w:r>
            <w:r>
              <w:rPr>
                <w:rStyle w:val="IndexLink"/>
              </w:rPr>
              <w:t>561</w:t>
            </w:r>
          </w:hyperlink>
        </w:p>
        <w:p>
          <w:pPr>
            <w:pStyle w:val="Contents6"/>
            <w:tabs>
              <w:tab w:val="clear" w:pos="7609"/>
              <w:tab w:val="right" w:pos="9026" w:leader="dot"/>
            </w:tabs>
            <w:rPr/>
          </w:pPr>
          <w:hyperlink w:anchor="__RefHeading___Toc5447537_3224264995">
            <w:r>
              <w:rPr>
                <w:webHidden/>
                <w:rStyle w:val="IndexLink"/>
                <w:rtl w:val="true"/>
              </w:rPr>
              <w:t>الجواب عن الدلیل الأوّل</w:t>
            </w:r>
            <w:r>
              <w:rPr>
                <w:rStyle w:val="IndexLink"/>
                <w:rtl w:val="true"/>
              </w:rPr>
              <w:tab/>
            </w:r>
            <w:r>
              <w:rPr>
                <w:rStyle w:val="IndexLink"/>
              </w:rPr>
              <w:t>561</w:t>
            </w:r>
          </w:hyperlink>
        </w:p>
        <w:p>
          <w:pPr>
            <w:pStyle w:val="Contents6"/>
            <w:tabs>
              <w:tab w:val="clear" w:pos="7609"/>
              <w:tab w:val="right" w:pos="9026" w:leader="dot"/>
            </w:tabs>
            <w:rPr/>
          </w:pPr>
          <w:hyperlink w:anchor="__RefHeading___Toc5447539_3224264995">
            <w:r>
              <w:rPr>
                <w:webHidden/>
                <w:rStyle w:val="IndexLink"/>
                <w:rtl w:val="true"/>
              </w:rPr>
              <w:t>الجواب عن الدلیل الثانی</w:t>
            </w:r>
            <w:r>
              <w:rPr>
                <w:rStyle w:val="IndexLink"/>
                <w:rtl w:val="true"/>
              </w:rPr>
              <w:tab/>
            </w:r>
            <w:r>
              <w:rPr>
                <w:rStyle w:val="IndexLink"/>
              </w:rPr>
              <w:t>562</w:t>
            </w:r>
          </w:hyperlink>
        </w:p>
        <w:p>
          <w:pPr>
            <w:pStyle w:val="Contents6"/>
            <w:tabs>
              <w:tab w:val="clear" w:pos="7609"/>
              <w:tab w:val="right" w:pos="9026" w:leader="dot"/>
            </w:tabs>
            <w:rPr/>
          </w:pPr>
          <w:hyperlink w:anchor="__RefHeading___Toc5447541_3224264995">
            <w:r>
              <w:rPr>
                <w:webHidden/>
                <w:rStyle w:val="IndexLink"/>
                <w:rtl w:val="true"/>
              </w:rPr>
              <w:t>الأمر الرابع</w:t>
            </w:r>
            <w:r>
              <w:rPr>
                <w:rStyle w:val="IndexLink"/>
                <w:rtl w:val="true"/>
              </w:rPr>
              <w:tab/>
            </w:r>
            <w:r>
              <w:rPr>
                <w:rStyle w:val="IndexLink"/>
              </w:rPr>
              <w:t>564</w:t>
            </w:r>
          </w:hyperlink>
        </w:p>
        <w:p>
          <w:pPr>
            <w:pStyle w:val="Contents6"/>
            <w:tabs>
              <w:tab w:val="clear" w:pos="7609"/>
              <w:tab w:val="right" w:pos="9026" w:leader="dot"/>
            </w:tabs>
            <w:rPr/>
          </w:pPr>
          <w:hyperlink w:anchor="__RefHeading___Toc5447543_3224264995">
            <w:r>
              <w:rPr>
                <w:webHidden/>
                <w:rStyle w:val="IndexLink"/>
                <w:rtl w:val="true"/>
              </w:rPr>
              <w:t>عدم حجیّة الظنّ فی الامور الخارجیّة</w:t>
            </w:r>
            <w:r>
              <w:rPr>
                <w:rStyle w:val="IndexLink"/>
                <w:rtl w:val="true"/>
              </w:rPr>
              <w:tab/>
            </w:r>
            <w:r>
              <w:rPr>
                <w:rStyle w:val="IndexLink"/>
              </w:rPr>
              <w:t>565</w:t>
            </w:r>
          </w:hyperlink>
        </w:p>
        <w:p>
          <w:pPr>
            <w:pStyle w:val="Contents6"/>
            <w:tabs>
              <w:tab w:val="clear" w:pos="7609"/>
              <w:tab w:val="right" w:pos="9026" w:leader="dot"/>
            </w:tabs>
            <w:rPr/>
          </w:pPr>
          <w:hyperlink w:anchor="__RefHeading___Toc5447545_3224264995">
            <w:r>
              <w:rPr>
                <w:webHidden/>
                <w:rStyle w:val="IndexLink"/>
                <w:rtl w:val="true"/>
              </w:rPr>
              <w:t>حجّیة الظنّ فی بعض الامور الخارجیّة کالضرر و النسب و شبههما</w:t>
            </w:r>
            <w:r>
              <w:rPr>
                <w:rStyle w:val="IndexLink"/>
                <w:rtl w:val="true"/>
              </w:rPr>
              <w:tab/>
            </w:r>
            <w:r>
              <w:rPr>
                <w:rStyle w:val="IndexLink"/>
              </w:rPr>
              <w:t>566</w:t>
            </w:r>
          </w:hyperlink>
        </w:p>
        <w:p>
          <w:pPr>
            <w:pStyle w:val="Contents6"/>
            <w:tabs>
              <w:tab w:val="clear" w:pos="7609"/>
              <w:tab w:val="right" w:pos="9026" w:leader="dot"/>
            </w:tabs>
            <w:rPr/>
          </w:pPr>
          <w:hyperlink w:anchor="__RefHeading___Toc5447547_3224264995">
            <w:r>
              <w:rPr>
                <w:webHidden/>
                <w:rStyle w:val="IndexLink"/>
                <w:rtl w:val="true"/>
              </w:rPr>
              <w:t>الأمر الخامس</w:t>
            </w:r>
            <w:r>
              <w:rPr>
                <w:rStyle w:val="IndexLink"/>
                <w:rtl w:val="true"/>
              </w:rPr>
              <w:tab/>
            </w:r>
            <w:r>
              <w:rPr>
                <w:rStyle w:val="IndexLink"/>
              </w:rPr>
              <w:t>568</w:t>
            </w:r>
          </w:hyperlink>
        </w:p>
        <w:p>
          <w:pPr>
            <w:pStyle w:val="Contents6"/>
            <w:tabs>
              <w:tab w:val="clear" w:pos="7609"/>
              <w:tab w:val="right" w:pos="9026" w:leader="dot"/>
            </w:tabs>
            <w:rPr/>
          </w:pPr>
          <w:hyperlink w:anchor="__RefHeading___Toc5447549_3224264995">
            <w:r>
              <w:rPr>
                <w:webHidden/>
                <w:rStyle w:val="IndexLink"/>
                <w:rtl w:val="true"/>
              </w:rPr>
              <w:t>الأقوال فی المسألة</w:t>
            </w:r>
            <w:r>
              <w:rPr>
                <w:rStyle w:val="IndexLink"/>
                <w:rtl w:val="true"/>
              </w:rPr>
              <w:tab/>
            </w:r>
            <w:r>
              <w:rPr>
                <w:rStyle w:val="IndexLink"/>
              </w:rPr>
              <w:t>568</w:t>
            </w:r>
          </w:hyperlink>
        </w:p>
        <w:p>
          <w:pPr>
            <w:pStyle w:val="Contents6"/>
            <w:tabs>
              <w:tab w:val="clear" w:pos="7609"/>
              <w:tab w:val="right" w:pos="9026" w:leader="dot"/>
            </w:tabs>
            <w:rPr/>
          </w:pPr>
          <w:hyperlink w:anchor="__RefHeading___Toc5447551_3224264995">
            <w:r>
              <w:rPr>
                <w:webHidden/>
                <w:rStyle w:val="IndexLink"/>
                <w:rtl w:val="true"/>
              </w:rPr>
              <w:t>القول الاول</w:t>
            </w:r>
            <w:r>
              <w:rPr>
                <w:rStyle w:val="IndexLink"/>
                <w:rtl w:val="true"/>
              </w:rPr>
              <w:tab/>
            </w:r>
            <w:r>
              <w:rPr>
                <w:rStyle w:val="IndexLink"/>
              </w:rPr>
              <w:t>568</w:t>
            </w:r>
          </w:hyperlink>
        </w:p>
        <w:p>
          <w:pPr>
            <w:pStyle w:val="Contents6"/>
            <w:tabs>
              <w:tab w:val="clear" w:pos="7609"/>
              <w:tab w:val="right" w:pos="9026" w:leader="dot"/>
            </w:tabs>
            <w:rPr/>
          </w:pPr>
          <w:hyperlink w:anchor="__RefHeading___Toc5447553_3224264995">
            <w:r>
              <w:rPr>
                <w:webHidden/>
                <w:rStyle w:val="IndexLink"/>
                <w:rtl w:val="true"/>
              </w:rPr>
              <w:t>القول الثانی</w:t>
            </w:r>
            <w:r>
              <w:rPr>
                <w:rStyle w:val="IndexLink"/>
                <w:rtl w:val="true"/>
              </w:rPr>
              <w:tab/>
            </w:r>
            <w:r>
              <w:rPr>
                <w:rStyle w:val="IndexLink"/>
              </w:rPr>
              <w:t>569</w:t>
            </w:r>
          </w:hyperlink>
        </w:p>
        <w:p>
          <w:pPr>
            <w:pStyle w:val="Contents6"/>
            <w:tabs>
              <w:tab w:val="clear" w:pos="7609"/>
              <w:tab w:val="right" w:pos="9026" w:leader="dot"/>
            </w:tabs>
            <w:rPr/>
          </w:pPr>
          <w:hyperlink w:anchor="__RefHeading___Toc5447555_3224264995">
            <w:r>
              <w:rPr>
                <w:webHidden/>
                <w:rStyle w:val="IndexLink"/>
                <w:rtl w:val="true"/>
              </w:rPr>
              <w:t>القول الثالث</w:t>
            </w:r>
            <w:r>
              <w:rPr>
                <w:rStyle w:val="IndexLink"/>
                <w:rtl w:val="true"/>
              </w:rPr>
              <w:tab/>
            </w:r>
            <w:r>
              <w:rPr>
                <w:rStyle w:val="IndexLink"/>
              </w:rPr>
              <w:t>569</w:t>
            </w:r>
          </w:hyperlink>
        </w:p>
        <w:p>
          <w:pPr>
            <w:pStyle w:val="Contents6"/>
            <w:tabs>
              <w:tab w:val="clear" w:pos="7609"/>
              <w:tab w:val="right" w:pos="9026" w:leader="dot"/>
            </w:tabs>
            <w:rPr/>
          </w:pPr>
          <w:hyperlink w:anchor="__RefHeading___Toc5447557_3224264995">
            <w:r>
              <w:rPr>
                <w:webHidden/>
                <w:rStyle w:val="IndexLink"/>
                <w:rtl w:val="true"/>
              </w:rPr>
              <w:t>القول الرابع</w:t>
            </w:r>
            <w:r>
              <w:rPr>
                <w:rStyle w:val="IndexLink"/>
                <w:rtl w:val="true"/>
              </w:rPr>
              <w:tab/>
            </w:r>
            <w:r>
              <w:rPr>
                <w:rStyle w:val="IndexLink"/>
              </w:rPr>
              <w:t>569</w:t>
            </w:r>
          </w:hyperlink>
        </w:p>
        <w:p>
          <w:pPr>
            <w:pStyle w:val="Contents6"/>
            <w:tabs>
              <w:tab w:val="clear" w:pos="7609"/>
              <w:tab w:val="right" w:pos="9026" w:leader="dot"/>
            </w:tabs>
            <w:rPr/>
          </w:pPr>
          <w:hyperlink w:anchor="__RefHeading___Toc5447559_3224264995">
            <w:r>
              <w:rPr>
                <w:webHidden/>
                <w:rStyle w:val="IndexLink"/>
                <w:rtl w:val="true"/>
              </w:rPr>
              <w:t>القول الخامس</w:t>
            </w:r>
            <w:r>
              <w:rPr>
                <w:rStyle w:val="IndexLink"/>
                <w:rtl w:val="true"/>
              </w:rPr>
              <w:tab/>
            </w:r>
            <w:r>
              <w:rPr>
                <w:rStyle w:val="IndexLink"/>
              </w:rPr>
              <w:t>570</w:t>
            </w:r>
          </w:hyperlink>
        </w:p>
        <w:p>
          <w:pPr>
            <w:pStyle w:val="Contents6"/>
            <w:tabs>
              <w:tab w:val="clear" w:pos="7609"/>
              <w:tab w:val="right" w:pos="9026" w:leader="dot"/>
            </w:tabs>
            <w:rPr/>
          </w:pPr>
          <w:hyperlink w:anchor="__RefHeading___Toc5447561_3224264995">
            <w:r>
              <w:rPr>
                <w:webHidden/>
                <w:rStyle w:val="IndexLink"/>
                <w:rtl w:val="true"/>
              </w:rPr>
              <w:t>القول السادس</w:t>
            </w:r>
            <w:r>
              <w:rPr>
                <w:rStyle w:val="IndexLink"/>
                <w:rtl w:val="true"/>
              </w:rPr>
              <w:tab/>
            </w:r>
            <w:r>
              <w:rPr>
                <w:rStyle w:val="IndexLink"/>
              </w:rPr>
              <w:t>570</w:t>
            </w:r>
          </w:hyperlink>
        </w:p>
        <w:p>
          <w:pPr>
            <w:pStyle w:val="Contents6"/>
            <w:tabs>
              <w:tab w:val="clear" w:pos="7609"/>
              <w:tab w:val="right" w:pos="9026" w:leader="dot"/>
            </w:tabs>
            <w:rPr/>
          </w:pPr>
          <w:hyperlink w:anchor="__RefHeading___Toc5447563_3224264995">
            <w:r>
              <w:rPr>
                <w:webHidden/>
                <w:rStyle w:val="IndexLink"/>
                <w:rtl w:val="true"/>
              </w:rPr>
              <w:t>مسائل اصول الدین علی قسمین</w:t>
            </w:r>
            <w:r>
              <w:rPr>
                <w:rStyle w:val="IndexLink"/>
                <w:rtl w:val="true"/>
              </w:rPr>
              <w:t>:</w:t>
              <w:tab/>
            </w:r>
            <w:r>
              <w:rPr>
                <w:rStyle w:val="IndexLink"/>
              </w:rPr>
              <w:t>570</w:t>
            </w:r>
          </w:hyperlink>
        </w:p>
        <w:p>
          <w:pPr>
            <w:pStyle w:val="Contents6"/>
            <w:tabs>
              <w:tab w:val="clear" w:pos="7609"/>
              <w:tab w:val="right" w:pos="9026" w:leader="dot"/>
            </w:tabs>
            <w:rPr/>
          </w:pPr>
          <w:hyperlink w:anchor="__RefHeading___Toc5447565_3224264995">
            <w:r>
              <w:rPr>
                <w:webHidden/>
                <w:rStyle w:val="IndexLink"/>
                <w:rtl w:val="true"/>
              </w:rPr>
              <w:t>أحدهما</w:t>
            </w:r>
            <w:r>
              <w:rPr>
                <w:rStyle w:val="IndexLink"/>
                <w:rtl w:val="true"/>
              </w:rPr>
              <w:t>:</w:t>
            </w:r>
            <w:r>
              <w:rPr>
                <w:rStyle w:val="IndexLink"/>
                <w:rtl w:val="true"/>
              </w:rPr>
              <w:t>ما یجب علی المکلّف الاعتقاد و التدیّن به غیر مشروط بحصول العلم کالمعارف</w:t>
            </w:r>
            <w:r>
              <w:rPr>
                <w:rStyle w:val="IndexLink"/>
                <w:rtl w:val="true"/>
              </w:rPr>
              <w:tab/>
            </w:r>
            <w:r>
              <w:rPr>
                <w:rStyle w:val="IndexLink"/>
              </w:rPr>
              <w:t>570</w:t>
            </w:r>
          </w:hyperlink>
        </w:p>
        <w:p>
          <w:pPr>
            <w:pStyle w:val="Contents6"/>
            <w:tabs>
              <w:tab w:val="clear" w:pos="7609"/>
              <w:tab w:val="right" w:pos="9026" w:leader="dot"/>
            </w:tabs>
            <w:rPr/>
          </w:pPr>
          <w:hyperlink w:anchor="__RefHeading___Toc5447567_3224264995">
            <w:r>
              <w:rPr>
                <w:webHidden/>
                <w:rStyle w:val="IndexLink"/>
                <w:rtl w:val="true"/>
              </w:rPr>
              <w:t>الثانی</w:t>
            </w:r>
            <w:r>
              <w:rPr>
                <w:rStyle w:val="IndexLink"/>
                <w:rtl w:val="true"/>
              </w:rPr>
              <w:t>:</w:t>
            </w:r>
            <w:r>
              <w:rPr>
                <w:rStyle w:val="IndexLink"/>
                <w:rtl w:val="true"/>
              </w:rPr>
              <w:t>ما یجب الاعتقاد و التدیّن به إذا اتّفق حصول العلم به</w:t>
            </w:r>
            <w:r>
              <w:rPr>
                <w:rStyle w:val="IndexLink"/>
                <w:rtl w:val="true"/>
              </w:rPr>
              <w:tab/>
            </w:r>
            <w:r>
              <w:rPr>
                <w:rStyle w:val="IndexLink"/>
              </w:rPr>
              <w:t>571</w:t>
            </w:r>
          </w:hyperlink>
        </w:p>
        <w:p>
          <w:pPr>
            <w:pStyle w:val="Contents6"/>
            <w:tabs>
              <w:tab w:val="clear" w:pos="7609"/>
              <w:tab w:val="right" w:pos="9026" w:leader="dot"/>
            </w:tabs>
            <w:rPr/>
          </w:pPr>
          <w:hyperlink w:anchor="__RefHeading___Toc5447569_3224264995">
            <w:r>
              <w:rPr>
                <w:webHidden/>
                <w:rStyle w:val="IndexLink"/>
                <w:rtl w:val="true"/>
              </w:rPr>
              <w:t>کلام الشهید الثانی</w:t>
            </w:r>
            <w:r>
              <w:rPr>
                <w:rStyle w:val="IndexLink"/>
                <w:rtl w:val="true"/>
              </w:rPr>
              <w:tab/>
            </w:r>
            <w:r>
              <w:rPr>
                <w:rStyle w:val="IndexLink"/>
              </w:rPr>
              <w:t>571</w:t>
            </w:r>
          </w:hyperlink>
        </w:p>
        <w:p>
          <w:pPr>
            <w:pStyle w:val="Contents6"/>
            <w:tabs>
              <w:tab w:val="clear" w:pos="7609"/>
              <w:tab w:val="right" w:pos="9026" w:leader="dot"/>
            </w:tabs>
            <w:rPr/>
          </w:pPr>
          <w:hyperlink w:anchor="__RefHeading___Toc5447571_3224264995">
            <w:r>
              <w:rPr>
                <w:webHidden/>
                <w:rStyle w:val="IndexLink"/>
                <w:rtl w:val="true"/>
              </w:rPr>
              <w:t>لو حصل الظنّ من الخبر</w:t>
            </w:r>
            <w:r>
              <w:rPr>
                <w:rStyle w:val="IndexLink"/>
                <w:rtl w:val="true"/>
              </w:rPr>
              <w:t>:</w:t>
              <w:tab/>
            </w:r>
            <w:r>
              <w:rPr>
                <w:rStyle w:val="IndexLink"/>
              </w:rPr>
              <w:t>572</w:t>
            </w:r>
          </w:hyperlink>
        </w:p>
        <w:p>
          <w:pPr>
            <w:pStyle w:val="Contents6"/>
            <w:tabs>
              <w:tab w:val="clear" w:pos="7609"/>
              <w:tab w:val="right" w:pos="9026" w:leader="dot"/>
            </w:tabs>
            <w:rPr/>
          </w:pPr>
          <w:hyperlink w:anchor="__RefHeading___Toc5447573_3224264995">
            <w:r>
              <w:rPr>
                <w:webHidden/>
                <w:rStyle w:val="IndexLink"/>
                <w:rtl w:val="true"/>
              </w:rPr>
              <w:t>العمل بظاهر الکتاب و الخبر المتواتر فی اصول الدین</w:t>
            </w:r>
            <w:r>
              <w:rPr>
                <w:rStyle w:val="IndexLink"/>
                <w:rtl w:val="true"/>
              </w:rPr>
              <w:tab/>
            </w:r>
            <w:r>
              <w:rPr>
                <w:rStyle w:val="IndexLink"/>
              </w:rPr>
              <w:t>573</w:t>
            </w:r>
          </w:hyperlink>
        </w:p>
        <w:p>
          <w:pPr>
            <w:pStyle w:val="Contents6"/>
            <w:tabs>
              <w:tab w:val="clear" w:pos="7609"/>
              <w:tab w:val="right" w:pos="9026" w:leader="dot"/>
            </w:tabs>
            <w:rPr/>
          </w:pPr>
          <w:hyperlink w:anchor="__RefHeading___Toc5447575_3224264995">
            <w:r>
              <w:rPr>
                <w:webHidden/>
                <w:rStyle w:val="IndexLink"/>
                <w:rtl w:val="true"/>
              </w:rPr>
              <w:t>تمییز ما یجب تحصیل العلم به عمّا لا یجب</w:t>
            </w:r>
            <w:r>
              <w:rPr>
                <w:rStyle w:val="IndexLink"/>
                <w:rtl w:val="true"/>
              </w:rPr>
              <w:tab/>
            </w:r>
            <w:r>
              <w:rPr>
                <w:rStyle w:val="IndexLink"/>
              </w:rPr>
              <w:t>574</w:t>
            </w:r>
          </w:hyperlink>
        </w:p>
        <w:p>
          <w:pPr>
            <w:pStyle w:val="Contents6"/>
            <w:tabs>
              <w:tab w:val="clear" w:pos="7609"/>
              <w:tab w:val="right" w:pos="9026" w:leader="dot"/>
            </w:tabs>
            <w:rPr/>
          </w:pPr>
          <w:hyperlink w:anchor="__RefHeading___Toc5447577_3224264995">
            <w:r>
              <w:rPr>
                <w:webHidden/>
                <w:rStyle w:val="IndexLink"/>
                <w:rtl w:val="true"/>
              </w:rPr>
              <w:t>هل تجب معرفة التفاصیل؟</w:t>
            </w:r>
            <w:r>
              <w:rPr>
                <w:rStyle w:val="IndexLink"/>
                <w:rtl w:val="true"/>
              </w:rPr>
              <w:tab/>
            </w:r>
            <w:r>
              <w:rPr>
                <w:rStyle w:val="IndexLink"/>
              </w:rPr>
              <w:t>574</w:t>
            </w:r>
          </w:hyperlink>
        </w:p>
        <w:p>
          <w:pPr>
            <w:pStyle w:val="Contents6"/>
            <w:tabs>
              <w:tab w:val="clear" w:pos="7609"/>
              <w:tab w:val="right" w:pos="9026" w:leader="dot"/>
            </w:tabs>
            <w:rPr/>
          </w:pPr>
          <w:hyperlink w:anchor="__RefHeading___Toc5447579_3224264995">
            <w:r>
              <w:rPr>
                <w:webHidden/>
                <w:rStyle w:val="IndexLink"/>
                <w:rtl w:val="true"/>
              </w:rPr>
              <w:t>عدم اعتبار معرفة التفاصیل فی الإسلام و الإیمان للأخبار الکثیرة</w:t>
            </w:r>
            <w:r>
              <w:rPr>
                <w:rStyle w:val="IndexLink"/>
                <w:rtl w:val="true"/>
              </w:rPr>
              <w:tab/>
            </w:r>
            <w:r>
              <w:rPr>
                <w:rStyle w:val="IndexLink"/>
              </w:rPr>
              <w:t>576</w:t>
            </w:r>
          </w:hyperlink>
        </w:p>
        <w:p>
          <w:pPr>
            <w:pStyle w:val="Contents6"/>
            <w:tabs>
              <w:tab w:val="clear" w:pos="7609"/>
              <w:tab w:val="right" w:pos="9026" w:leader="dot"/>
            </w:tabs>
            <w:rPr/>
          </w:pPr>
          <w:hyperlink w:anchor="__RefHeading___Toc5447581_3224264995">
            <w:r>
              <w:rPr>
                <w:webHidden/>
                <w:rStyle w:val="IndexLink"/>
                <w:rtl w:val="true"/>
              </w:rPr>
              <w:t>ما یکفی فی معرفة اللّه تعالی</w:t>
            </w:r>
            <w:r>
              <w:rPr>
                <w:rStyle w:val="IndexLink"/>
                <w:rtl w:val="true"/>
              </w:rPr>
              <w:tab/>
            </w:r>
            <w:r>
              <w:rPr>
                <w:rStyle w:val="IndexLink"/>
              </w:rPr>
              <w:t>579</w:t>
            </w:r>
          </w:hyperlink>
        </w:p>
        <w:p>
          <w:pPr>
            <w:pStyle w:val="Contents6"/>
            <w:tabs>
              <w:tab w:val="clear" w:pos="7609"/>
              <w:tab w:val="right" w:pos="9026" w:leader="dot"/>
            </w:tabs>
            <w:rPr/>
          </w:pPr>
          <w:hyperlink w:anchor="__RefHeading___Toc5447583_3224264995">
            <w:r>
              <w:rPr>
                <w:webHidden/>
                <w:rStyle w:val="IndexLink"/>
                <w:rtl w:val="true"/>
              </w:rPr>
              <w:t>المراد من</w:t>
            </w:r>
            <w:r>
              <w:rPr>
                <w:rStyle w:val="IndexLink"/>
                <w:rtl w:val="true"/>
              </w:rPr>
              <w:t>«</w:t>
            </w:r>
            <w:r>
              <w:rPr>
                <w:rStyle w:val="IndexLink"/>
                <w:rtl w:val="true"/>
              </w:rPr>
              <w:t>المعرفة</w:t>
            </w:r>
            <w:r>
              <w:rPr>
                <w:rStyle w:val="IndexLink"/>
                <w:rtl w:val="true"/>
              </w:rPr>
              <w:t>»</w:t>
              <w:tab/>
            </w:r>
            <w:r>
              <w:rPr>
                <w:rStyle w:val="IndexLink"/>
              </w:rPr>
              <w:t>580</w:t>
            </w:r>
          </w:hyperlink>
        </w:p>
        <w:p>
          <w:pPr>
            <w:pStyle w:val="Contents6"/>
            <w:tabs>
              <w:tab w:val="clear" w:pos="7609"/>
              <w:tab w:val="right" w:pos="9026" w:leader="dot"/>
            </w:tabs>
            <w:rPr/>
          </w:pPr>
          <w:hyperlink w:anchor="__RefHeading___Toc5447585_3224264995">
            <w:r>
              <w:rPr>
                <w:webHidden/>
                <w:rStyle w:val="IndexLink"/>
                <w:rtl w:val="true"/>
              </w:rPr>
              <w:t>ما یکفی فی معرفة النبیّ صلّی اللّه علیه و آله و سلم</w:t>
            </w:r>
            <w:r>
              <w:rPr>
                <w:rStyle w:val="IndexLink"/>
                <w:rtl w:val="true"/>
              </w:rPr>
              <w:t>:</w:t>
              <w:tab/>
            </w:r>
            <w:r>
              <w:rPr>
                <w:rStyle w:val="IndexLink"/>
              </w:rPr>
              <w:t>580</w:t>
            </w:r>
          </w:hyperlink>
        </w:p>
        <w:p>
          <w:pPr>
            <w:pStyle w:val="Contents6"/>
            <w:tabs>
              <w:tab w:val="clear" w:pos="7609"/>
              <w:tab w:val="right" w:pos="9026" w:leader="dot"/>
            </w:tabs>
            <w:rPr/>
          </w:pPr>
          <w:hyperlink w:anchor="__RefHeading___Toc5447587_3224264995">
            <w:r>
              <w:rPr>
                <w:webHidden/>
                <w:rStyle w:val="IndexLink"/>
                <w:rtl w:val="true"/>
              </w:rPr>
              <w:t>ما یکفی فی معرفة الأئمّة علیهم السّلام</w:t>
            </w:r>
            <w:r>
              <w:rPr>
                <w:rStyle w:val="IndexLink"/>
                <w:rtl w:val="true"/>
              </w:rPr>
              <w:tab/>
            </w:r>
            <w:r>
              <w:rPr>
                <w:rStyle w:val="IndexLink"/>
              </w:rPr>
              <w:t>582</w:t>
            </w:r>
          </w:hyperlink>
        </w:p>
        <w:p>
          <w:pPr>
            <w:pStyle w:val="Contents6"/>
            <w:tabs>
              <w:tab w:val="clear" w:pos="7609"/>
              <w:tab w:val="right" w:pos="9026" w:leader="dot"/>
            </w:tabs>
            <w:rPr/>
          </w:pPr>
          <w:hyperlink w:anchor="__RefHeading___Toc5447589_3224264995">
            <w:r>
              <w:rPr>
                <w:webHidden/>
                <w:rStyle w:val="IndexLink"/>
                <w:rtl w:val="true"/>
              </w:rPr>
              <w:t>ما یکفی فی التصدیق بما جاء به النبیّ ص</w:t>
            </w:r>
            <w:r>
              <w:rPr>
                <w:rStyle w:val="IndexLink"/>
                <w:rtl w:val="true"/>
              </w:rPr>
              <w:t>:</w:t>
              <w:tab/>
            </w:r>
            <w:r>
              <w:rPr>
                <w:rStyle w:val="IndexLink"/>
              </w:rPr>
              <w:t>582</w:t>
            </w:r>
          </w:hyperlink>
        </w:p>
        <w:p>
          <w:pPr>
            <w:pStyle w:val="Contents6"/>
            <w:tabs>
              <w:tab w:val="clear" w:pos="7609"/>
              <w:tab w:val="right" w:pos="9026" w:leader="dot"/>
            </w:tabs>
            <w:rPr/>
          </w:pPr>
          <w:hyperlink w:anchor="__RefHeading___Toc5447591_3224264995">
            <w:r>
              <w:rPr>
                <w:webHidden/>
                <w:rStyle w:val="IndexLink"/>
                <w:rtl w:val="true"/>
              </w:rPr>
              <w:t>ما یعتبر فی الإیمان</w:t>
            </w:r>
            <w:r>
              <w:rPr>
                <w:rStyle w:val="IndexLink"/>
                <w:rtl w:val="true"/>
              </w:rPr>
              <w:tab/>
            </w:r>
            <w:r>
              <w:rPr>
                <w:rStyle w:val="IndexLink"/>
              </w:rPr>
              <w:t>583</w:t>
            </w:r>
          </w:hyperlink>
        </w:p>
        <w:p>
          <w:pPr>
            <w:pStyle w:val="Contents6"/>
            <w:tabs>
              <w:tab w:val="clear" w:pos="7609"/>
              <w:tab w:val="right" w:pos="9026" w:leader="dot"/>
            </w:tabs>
            <w:rPr/>
          </w:pPr>
          <w:hyperlink w:anchor="__RefHeading___Toc5447593_3224264995">
            <w:r>
              <w:rPr>
                <w:webHidden/>
                <w:rStyle w:val="IndexLink"/>
                <w:rtl w:val="true"/>
              </w:rPr>
              <w:t>و أمّا القسم الثانی الذی یجب فیه النظر لتحصیل الاعتقاد</w:t>
            </w:r>
            <w:r>
              <w:rPr>
                <w:rStyle w:val="IndexLink"/>
                <w:rtl w:val="true"/>
              </w:rPr>
              <w:tab/>
            </w:r>
            <w:r>
              <w:rPr>
                <w:rStyle w:val="IndexLink"/>
              </w:rPr>
              <w:t>584</w:t>
            </w:r>
          </w:hyperlink>
        </w:p>
        <w:p>
          <w:pPr>
            <w:pStyle w:val="Contents6"/>
            <w:tabs>
              <w:tab w:val="clear" w:pos="7609"/>
              <w:tab w:val="right" w:pos="9026" w:leader="dot"/>
            </w:tabs>
            <w:rPr/>
          </w:pPr>
          <w:hyperlink w:anchor="__RefHeading___Toc5447595_3224264995">
            <w:r>
              <w:rPr>
                <w:webHidden/>
                <w:rStyle w:val="IndexLink"/>
                <w:rtl w:val="true"/>
              </w:rPr>
              <w:t>المقام الأوّل</w:t>
            </w:r>
            <w:r>
              <w:rPr>
                <w:rStyle w:val="IndexLink"/>
                <w:rtl w:val="true"/>
              </w:rPr>
              <w:t>:</w:t>
            </w:r>
            <w:r>
              <w:rPr>
                <w:rStyle w:val="IndexLink"/>
                <w:rtl w:val="true"/>
              </w:rPr>
              <w:t>فی القادر علی تحصیل العلم فی الاعتقادیّات</w:t>
            </w:r>
            <w:r>
              <w:rPr>
                <w:rStyle w:val="IndexLink"/>
                <w:rtl w:val="true"/>
              </w:rPr>
              <w:tab/>
            </w:r>
            <w:r>
              <w:rPr>
                <w:rStyle w:val="IndexLink"/>
              </w:rPr>
              <w:t>584</w:t>
            </w:r>
          </w:hyperlink>
        </w:p>
        <w:p>
          <w:pPr>
            <w:pStyle w:val="Contents6"/>
            <w:tabs>
              <w:tab w:val="clear" w:pos="7609"/>
              <w:tab w:val="right" w:pos="9026" w:leader="dot"/>
            </w:tabs>
            <w:rPr/>
          </w:pPr>
          <w:hyperlink w:anchor="__RefHeading___Toc5447597_3224264995">
            <w:r>
              <w:rPr>
                <w:webHidden/>
                <w:rStyle w:val="IndexLink"/>
                <w:rtl w:val="true"/>
              </w:rPr>
              <w:t>الموضع الأوّل</w:t>
            </w:r>
            <w:r>
              <w:rPr>
                <w:rStyle w:val="IndexLink"/>
                <w:rtl w:val="true"/>
              </w:rPr>
              <w:t>:</w:t>
            </w:r>
            <w:r>
              <w:rPr>
                <w:rStyle w:val="IndexLink"/>
                <w:rtl w:val="true"/>
              </w:rPr>
              <w:t>فی حکمه التکلیفیّ</w:t>
            </w:r>
            <w:r>
              <w:rPr>
                <w:rStyle w:val="IndexLink"/>
                <w:rtl w:val="true"/>
              </w:rPr>
              <w:t xml:space="preserve">: </w:t>
            </w:r>
            <w:r>
              <w:rPr>
                <w:rStyle w:val="IndexLink"/>
                <w:rtl w:val="true"/>
              </w:rPr>
              <w:t>وجوب تحصیل العلم و عدم جواز الاقتصار علی الظنّ فی الاعتقادیّات</w:t>
            </w:r>
            <w:r>
              <w:rPr>
                <w:rStyle w:val="IndexLink"/>
                <w:rtl w:val="true"/>
              </w:rPr>
              <w:t>.</w:t>
              <w:tab/>
            </w:r>
            <w:r>
              <w:rPr>
                <w:rStyle w:val="IndexLink"/>
              </w:rPr>
              <w:t>584</w:t>
            </w:r>
          </w:hyperlink>
        </w:p>
        <w:p>
          <w:pPr>
            <w:pStyle w:val="Contents6"/>
            <w:tabs>
              <w:tab w:val="clear" w:pos="7609"/>
              <w:tab w:val="right" w:pos="9026" w:leader="dot"/>
            </w:tabs>
            <w:rPr/>
          </w:pPr>
          <w:hyperlink w:anchor="__RefHeading___Toc5447599_3224264995">
            <w:r>
              <w:rPr>
                <w:webHidden/>
                <w:rStyle w:val="IndexLink"/>
                <w:rtl w:val="true"/>
              </w:rPr>
              <w:t>الاستدلال علی ذلک</w:t>
            </w:r>
            <w:r>
              <w:rPr>
                <w:rStyle w:val="IndexLink"/>
                <w:rtl w:val="true"/>
              </w:rPr>
              <w:tab/>
            </w:r>
            <w:r>
              <w:rPr>
                <w:rStyle w:val="IndexLink"/>
              </w:rPr>
              <w:t>585</w:t>
            </w:r>
          </w:hyperlink>
        </w:p>
        <w:p>
          <w:pPr>
            <w:pStyle w:val="Contents6"/>
            <w:tabs>
              <w:tab w:val="clear" w:pos="7609"/>
              <w:tab w:val="right" w:pos="9026" w:leader="dot"/>
            </w:tabs>
            <w:rPr/>
          </w:pPr>
          <w:hyperlink w:anchor="__RefHeading___Toc5447601_3224264995">
            <w:r>
              <w:rPr>
                <w:webHidden/>
                <w:rStyle w:val="IndexLink"/>
                <w:rtl w:val="true"/>
              </w:rPr>
              <w:t>و أمّا الموضع الثانی</w:t>
            </w:r>
            <w:r>
              <w:rPr>
                <w:rStyle w:val="IndexLink"/>
                <w:rtl w:val="true"/>
              </w:rPr>
              <w:t xml:space="preserve">: </w:t>
            </w:r>
            <w:r>
              <w:rPr>
                <w:rStyle w:val="IndexLink"/>
                <w:rtl w:val="true"/>
              </w:rPr>
              <w:t>الحکم بعدم الإیمان لو اقتصر علی الظنّ و الدلیل علیه</w:t>
            </w:r>
            <w:r>
              <w:rPr>
                <w:rStyle w:val="IndexLink"/>
                <w:rtl w:val="true"/>
              </w:rPr>
              <w:tab/>
            </w:r>
            <w:r>
              <w:rPr>
                <w:rStyle w:val="IndexLink"/>
              </w:rPr>
              <w:t>585</w:t>
            </w:r>
          </w:hyperlink>
        </w:p>
        <w:p>
          <w:pPr>
            <w:pStyle w:val="Contents6"/>
            <w:tabs>
              <w:tab w:val="clear" w:pos="7609"/>
              <w:tab w:val="right" w:pos="9026" w:leader="dot"/>
            </w:tabs>
            <w:rPr/>
          </w:pPr>
          <w:hyperlink w:anchor="__RefHeading___Toc5447603_3224264995">
            <w:r>
              <w:rPr>
                <w:webHidden/>
                <w:rStyle w:val="IndexLink"/>
                <w:rtl w:val="true"/>
              </w:rPr>
              <w:t>هل یحکم بالکفر مع الظنّ بالحق؟</w:t>
            </w:r>
            <w:r>
              <w:rPr>
                <w:rStyle w:val="IndexLink"/>
                <w:rtl w:val="true"/>
              </w:rPr>
              <w:tab/>
            </w:r>
            <w:r>
              <w:rPr>
                <w:rStyle w:val="IndexLink"/>
              </w:rPr>
              <w:t>585</w:t>
            </w:r>
          </w:hyperlink>
        </w:p>
        <w:p>
          <w:pPr>
            <w:pStyle w:val="Contents6"/>
            <w:tabs>
              <w:tab w:val="clear" w:pos="7609"/>
              <w:tab w:val="right" w:pos="9026" w:leader="dot"/>
            </w:tabs>
            <w:rPr/>
          </w:pPr>
          <w:hyperlink w:anchor="__RefHeading___Toc5447605_3224264995">
            <w:r>
              <w:rPr>
                <w:webHidden/>
                <w:rStyle w:val="IndexLink"/>
                <w:rtl w:val="true"/>
              </w:rPr>
              <w:t>حکم الشاکّ غیر الجاحد من حیث الإیمان و الکفر</w:t>
            </w:r>
            <w:r>
              <w:rPr>
                <w:rStyle w:val="IndexLink"/>
                <w:rtl w:val="true"/>
              </w:rPr>
              <w:tab/>
            </w:r>
            <w:r>
              <w:rPr>
                <w:rStyle w:val="IndexLink"/>
              </w:rPr>
              <w:t>586</w:t>
            </w:r>
          </w:hyperlink>
        </w:p>
        <w:p>
          <w:pPr>
            <w:pStyle w:val="Contents6"/>
            <w:tabs>
              <w:tab w:val="clear" w:pos="7609"/>
              <w:tab w:val="right" w:pos="9026" w:leader="dot"/>
            </w:tabs>
            <w:rPr/>
          </w:pPr>
          <w:hyperlink w:anchor="__RefHeading___Toc5447607_3224264995">
            <w:r>
              <w:rPr>
                <w:webHidden/>
                <w:rStyle w:val="IndexLink"/>
                <w:rtl w:val="true"/>
              </w:rPr>
              <w:t>هل یکفی حصول الجزم من التقلید أو لا بدّ من النظر و الاستدلال؟</w:t>
            </w:r>
            <w:r>
              <w:rPr>
                <w:rStyle w:val="IndexLink"/>
                <w:rtl w:val="true"/>
              </w:rPr>
              <w:tab/>
            </w:r>
            <w:r>
              <w:rPr>
                <w:rStyle w:val="IndexLink"/>
              </w:rPr>
              <w:t>587</w:t>
            </w:r>
          </w:hyperlink>
        </w:p>
        <w:p>
          <w:pPr>
            <w:pStyle w:val="Contents6"/>
            <w:tabs>
              <w:tab w:val="clear" w:pos="7609"/>
              <w:tab w:val="right" w:pos="9026" w:leader="dot"/>
            </w:tabs>
            <w:rPr/>
          </w:pPr>
          <w:hyperlink w:anchor="__RefHeading___Toc5447609_3224264995">
            <w:r>
              <w:rPr>
                <w:webHidden/>
                <w:rStyle w:val="IndexLink"/>
                <w:rtl w:val="true"/>
              </w:rPr>
              <w:t>الأقوی</w:t>
            </w:r>
            <w:r>
              <w:rPr>
                <w:rStyle w:val="IndexLink"/>
                <w:rtl w:val="true"/>
              </w:rPr>
              <w:t>:</w:t>
            </w:r>
            <w:r>
              <w:rPr>
                <w:rStyle w:val="IndexLink"/>
                <w:rtl w:val="true"/>
              </w:rPr>
              <w:t>کفایة الجزم الحاصل من التقلید فی الاعتقادیّات</w:t>
            </w:r>
            <w:r>
              <w:rPr>
                <w:rStyle w:val="IndexLink"/>
                <w:rtl w:val="true"/>
              </w:rPr>
              <w:tab/>
            </w:r>
            <w:r>
              <w:rPr>
                <w:rStyle w:val="IndexLink"/>
              </w:rPr>
              <w:t>589</w:t>
            </w:r>
          </w:hyperlink>
        </w:p>
        <w:p>
          <w:pPr>
            <w:pStyle w:val="Contents6"/>
            <w:tabs>
              <w:tab w:val="clear" w:pos="7609"/>
              <w:tab w:val="right" w:pos="9026" w:leader="dot"/>
            </w:tabs>
            <w:rPr/>
          </w:pPr>
          <w:hyperlink w:anchor="__RefHeading___Toc5447611_3224264995">
            <w:r>
              <w:rPr>
                <w:webHidden/>
                <w:rStyle w:val="IndexLink"/>
                <w:rtl w:val="true"/>
              </w:rPr>
              <w:t>المقام الثانی</w:t>
            </w:r>
            <w:r>
              <w:rPr>
                <w:rStyle w:val="IndexLink"/>
                <w:rtl w:val="true"/>
              </w:rPr>
              <w:t>:</w:t>
            </w:r>
            <w:r>
              <w:rPr>
                <w:rStyle w:val="IndexLink"/>
                <w:rtl w:val="true"/>
              </w:rPr>
              <w:t>فی غیر المتمکّن من العلم فی الاعتقادات</w:t>
            </w:r>
            <w:r>
              <w:rPr>
                <w:rStyle w:val="IndexLink"/>
                <w:rtl w:val="true"/>
              </w:rPr>
              <w:tab/>
            </w:r>
            <w:r>
              <w:rPr>
                <w:rStyle w:val="IndexLink"/>
              </w:rPr>
              <w:t>590</w:t>
            </w:r>
          </w:hyperlink>
        </w:p>
        <w:p>
          <w:pPr>
            <w:pStyle w:val="Contents6"/>
            <w:tabs>
              <w:tab w:val="clear" w:pos="7609"/>
              <w:tab w:val="right" w:pos="9026" w:leader="dot"/>
            </w:tabs>
            <w:rPr/>
          </w:pPr>
          <w:hyperlink w:anchor="__RefHeading___Toc5447613_3224264995">
            <w:r>
              <w:rPr>
                <w:webHidden/>
                <w:rStyle w:val="IndexLink"/>
                <w:rtl w:val="true"/>
              </w:rPr>
              <w:t>هل یوجد العاجز فی الاعتقادیّات؟</w:t>
            </w:r>
            <w:r>
              <w:rPr>
                <w:rStyle w:val="IndexLink"/>
                <w:rtl w:val="true"/>
              </w:rPr>
              <w:tab/>
            </w:r>
            <w:r>
              <w:rPr>
                <w:rStyle w:val="IndexLink"/>
              </w:rPr>
              <w:t>590</w:t>
            </w:r>
          </w:hyperlink>
        </w:p>
        <w:p>
          <w:pPr>
            <w:pStyle w:val="Contents6"/>
            <w:tabs>
              <w:tab w:val="clear" w:pos="7609"/>
              <w:tab w:val="right" w:pos="9026" w:leader="dot"/>
            </w:tabs>
            <w:rPr/>
          </w:pPr>
          <w:hyperlink w:anchor="__RefHeading___Toc5447615_3224264995">
            <w:r>
              <w:rPr>
                <w:webHidden/>
                <w:rStyle w:val="IndexLink"/>
                <w:rtl w:val="true"/>
              </w:rPr>
              <w:t>شهادة الوجدان بقصور بعض المکلّفین</w:t>
            </w:r>
            <w:r>
              <w:rPr>
                <w:rStyle w:val="IndexLink"/>
                <w:rtl w:val="true"/>
              </w:rPr>
              <w:tab/>
            </w:r>
            <w:r>
              <w:rPr>
                <w:rStyle w:val="IndexLink"/>
              </w:rPr>
              <w:t>591</w:t>
            </w:r>
          </w:hyperlink>
        </w:p>
        <w:p>
          <w:pPr>
            <w:pStyle w:val="Contents6"/>
            <w:tabs>
              <w:tab w:val="clear" w:pos="7609"/>
              <w:tab w:val="right" w:pos="9026" w:leader="dot"/>
            </w:tabs>
            <w:rPr/>
          </w:pPr>
          <w:hyperlink w:anchor="__RefHeading___Toc5447617_3224264995">
            <w:r>
              <w:rPr>
                <w:webHidden/>
                <w:rStyle w:val="IndexLink"/>
                <w:rtl w:val="true"/>
              </w:rPr>
              <w:t>هل یجب تحصیل الظنّ علی العاجز؟</w:t>
            </w:r>
            <w:r>
              <w:rPr>
                <w:rStyle w:val="IndexLink"/>
                <w:rtl w:val="true"/>
              </w:rPr>
              <w:tab/>
            </w:r>
            <w:r>
              <w:rPr>
                <w:rStyle w:val="IndexLink"/>
              </w:rPr>
              <w:t>591</w:t>
            </w:r>
          </w:hyperlink>
        </w:p>
        <w:p>
          <w:pPr>
            <w:pStyle w:val="Contents6"/>
            <w:tabs>
              <w:tab w:val="clear" w:pos="7609"/>
              <w:tab w:val="right" w:pos="9026" w:leader="dot"/>
            </w:tabs>
            <w:rPr/>
          </w:pPr>
          <w:hyperlink w:anchor="__RefHeading___Toc5447619_3224264995">
            <w:r>
              <w:rPr>
                <w:webHidden/>
                <w:rStyle w:val="IndexLink"/>
                <w:rtl w:val="true"/>
              </w:rPr>
              <w:t>حکم العاجز من حیث الإیمان و الکفر</w:t>
            </w:r>
            <w:r>
              <w:rPr>
                <w:rStyle w:val="IndexLink"/>
                <w:rtl w:val="true"/>
              </w:rPr>
              <w:tab/>
            </w:r>
            <w:r>
              <w:rPr>
                <w:rStyle w:val="IndexLink"/>
              </w:rPr>
              <w:t>592</w:t>
            </w:r>
          </w:hyperlink>
        </w:p>
        <w:p>
          <w:pPr>
            <w:pStyle w:val="Contents6"/>
            <w:tabs>
              <w:tab w:val="clear" w:pos="7609"/>
              <w:tab w:val="right" w:pos="9026" w:leader="dot"/>
            </w:tabs>
            <w:rPr/>
          </w:pPr>
          <w:hyperlink w:anchor="__RefHeading___Toc5447621_3224264995">
            <w:r>
              <w:rPr>
                <w:webHidden/>
                <w:rStyle w:val="IndexLink"/>
                <w:rtl w:val="true"/>
              </w:rPr>
              <w:t>کلام السیّد الصدر فی أقسام المقلّد فی اصول الدین و بعض المناقشات فیه</w:t>
            </w:r>
            <w:r>
              <w:rPr>
                <w:rStyle w:val="IndexLink"/>
                <w:rtl w:val="true"/>
              </w:rPr>
              <w:tab/>
            </w:r>
            <w:r>
              <w:rPr>
                <w:rStyle w:val="IndexLink"/>
              </w:rPr>
              <w:t>593</w:t>
            </w:r>
          </w:hyperlink>
        </w:p>
        <w:p>
          <w:pPr>
            <w:pStyle w:val="Contents6"/>
            <w:tabs>
              <w:tab w:val="clear" w:pos="7609"/>
              <w:tab w:val="right" w:pos="9026" w:leader="dot"/>
            </w:tabs>
            <w:rPr/>
          </w:pPr>
          <w:hyperlink w:anchor="__RefHeading___Toc5447623_3224264995">
            <w:r>
              <w:rPr>
                <w:webHidden/>
                <w:rStyle w:val="IndexLink"/>
                <w:rtl w:val="true"/>
              </w:rPr>
              <w:t>کلام الشیخ الطوسی فی العدّة فی وجوب النظر مع العفو</w:t>
            </w:r>
            <w:r>
              <w:rPr>
                <w:rStyle w:val="IndexLink"/>
                <w:rtl w:val="true"/>
              </w:rPr>
              <w:tab/>
            </w:r>
            <w:r>
              <w:rPr>
                <w:rStyle w:val="IndexLink"/>
              </w:rPr>
              <w:t>596</w:t>
            </w:r>
          </w:hyperlink>
        </w:p>
        <w:p>
          <w:pPr>
            <w:pStyle w:val="Contents6"/>
            <w:tabs>
              <w:tab w:val="clear" w:pos="7609"/>
              <w:tab w:val="right" w:pos="9026" w:leader="dot"/>
            </w:tabs>
            <w:rPr/>
          </w:pPr>
          <w:hyperlink w:anchor="__RefHeading___Toc5447625_3224264995">
            <w:r>
              <w:rPr>
                <w:webHidden/>
                <w:rStyle w:val="IndexLink"/>
                <w:rtl w:val="true"/>
              </w:rPr>
              <w:t>المناقشة فیما أفاده الشیخ الطوسی</w:t>
            </w:r>
            <w:r>
              <w:rPr>
                <w:rStyle w:val="IndexLink"/>
                <w:rtl w:val="true"/>
              </w:rPr>
              <w:tab/>
            </w:r>
            <w:r>
              <w:rPr>
                <w:rStyle w:val="IndexLink"/>
              </w:rPr>
              <w:t>598</w:t>
            </w:r>
          </w:hyperlink>
        </w:p>
        <w:p>
          <w:pPr>
            <w:pStyle w:val="Contents6"/>
            <w:tabs>
              <w:tab w:val="clear" w:pos="7609"/>
              <w:tab w:val="right" w:pos="9026" w:leader="dot"/>
            </w:tabs>
            <w:rPr/>
          </w:pPr>
          <w:hyperlink w:anchor="__RefHeading___Toc5447627_3224264995">
            <w:r>
              <w:rPr>
                <w:webHidden/>
                <w:rStyle w:val="IndexLink"/>
                <w:rtl w:val="true"/>
              </w:rPr>
              <w:t>رأی المصنّف فی المسألة</w:t>
            </w:r>
            <w:r>
              <w:rPr>
                <w:rStyle w:val="IndexLink"/>
                <w:rtl w:val="true"/>
              </w:rPr>
              <w:tab/>
            </w:r>
            <w:r>
              <w:rPr>
                <w:rStyle w:val="IndexLink"/>
              </w:rPr>
              <w:t>599</w:t>
            </w:r>
          </w:hyperlink>
        </w:p>
        <w:p>
          <w:pPr>
            <w:pStyle w:val="Contents6"/>
            <w:tabs>
              <w:tab w:val="clear" w:pos="7609"/>
              <w:tab w:val="right" w:pos="9026" w:leader="dot"/>
            </w:tabs>
            <w:rPr/>
          </w:pPr>
          <w:hyperlink w:anchor="__RefHeading___Toc5447629_3224264995">
            <w:r>
              <w:rPr>
                <w:webHidden/>
                <w:rStyle w:val="IndexLink"/>
                <w:rtl w:val="true"/>
              </w:rPr>
              <w:t>الأمر السادس</w:t>
            </w:r>
            <w:r>
              <w:rPr>
                <w:rStyle w:val="IndexLink"/>
                <w:rtl w:val="true"/>
              </w:rPr>
              <w:tab/>
            </w:r>
            <w:r>
              <w:rPr>
                <w:rStyle w:val="IndexLink"/>
              </w:rPr>
              <w:t>600</w:t>
            </w:r>
          </w:hyperlink>
        </w:p>
        <w:p>
          <w:pPr>
            <w:pStyle w:val="Contents6"/>
            <w:tabs>
              <w:tab w:val="clear" w:pos="7609"/>
              <w:tab w:val="right" w:pos="9026" w:leader="dot"/>
            </w:tabs>
            <w:rPr/>
          </w:pPr>
          <w:hyperlink w:anchor="__RefHeading___Toc5447631_3224264995">
            <w:r>
              <w:rPr>
                <w:webHidden/>
                <w:rStyle w:val="IndexLink"/>
                <w:rtl w:val="true"/>
              </w:rPr>
              <w:t>بناه علی عدم فهل له آثار اخر غیر الحجیة</w:t>
            </w:r>
            <w:r>
              <w:rPr>
                <w:rStyle w:val="IndexLink"/>
                <w:rtl w:val="true"/>
              </w:rPr>
              <w:tab/>
            </w:r>
            <w:r>
              <w:rPr>
                <w:rStyle w:val="IndexLink"/>
              </w:rPr>
              <w:t>600</w:t>
            </w:r>
          </w:hyperlink>
        </w:p>
        <w:p>
          <w:pPr>
            <w:pStyle w:val="Contents6"/>
            <w:tabs>
              <w:tab w:val="clear" w:pos="7609"/>
              <w:tab w:val="right" w:pos="9026" w:leader="dot"/>
            </w:tabs>
            <w:rPr/>
          </w:pPr>
          <w:hyperlink w:anchor="__RefHeading___Toc5447633_3224264995">
            <w:r>
              <w:rPr>
                <w:webHidden/>
                <w:rStyle w:val="IndexLink"/>
                <w:rtl w:val="true"/>
              </w:rPr>
              <w:t>المقام الأوّل</w:t>
            </w:r>
            <w:r>
              <w:rPr>
                <w:rStyle w:val="IndexLink"/>
                <w:rtl w:val="true"/>
              </w:rPr>
              <w:t>:</w:t>
            </w:r>
            <w:r>
              <w:rPr>
                <w:rStyle w:val="IndexLink"/>
                <w:rtl w:val="true"/>
              </w:rPr>
              <w:t>الجبر بالظنّ الغیر المعتبر</w:t>
            </w:r>
            <w:r>
              <w:rPr>
                <w:rStyle w:val="IndexLink"/>
                <w:rtl w:val="true"/>
              </w:rPr>
              <w:tab/>
            </w:r>
            <w:r>
              <w:rPr>
                <w:rStyle w:val="IndexLink"/>
              </w:rPr>
              <w:t>601</w:t>
            </w:r>
          </w:hyperlink>
        </w:p>
        <w:p>
          <w:pPr>
            <w:pStyle w:val="Contents6"/>
            <w:tabs>
              <w:tab w:val="clear" w:pos="7609"/>
              <w:tab w:val="right" w:pos="9026" w:leader="dot"/>
            </w:tabs>
            <w:rPr/>
          </w:pPr>
          <w:hyperlink w:anchor="__RefHeading___Toc5447635_3224264995">
            <w:r>
              <w:rPr>
                <w:webHidden/>
                <w:rStyle w:val="IndexLink"/>
                <w:rtl w:val="true"/>
              </w:rPr>
              <w:t>هل یکون الظن غیر المعتبر جابرا</w:t>
            </w:r>
            <w:r>
              <w:rPr>
                <w:rStyle w:val="IndexLink"/>
                <w:rtl w:val="true"/>
              </w:rPr>
              <w:tab/>
            </w:r>
            <w:r>
              <w:rPr>
                <w:rStyle w:val="IndexLink"/>
              </w:rPr>
              <w:t>601</w:t>
            </w:r>
          </w:hyperlink>
        </w:p>
        <w:p>
          <w:pPr>
            <w:pStyle w:val="Contents6"/>
            <w:tabs>
              <w:tab w:val="clear" w:pos="7609"/>
              <w:tab w:val="right" w:pos="9026" w:leader="dot"/>
            </w:tabs>
            <w:rPr/>
          </w:pPr>
          <w:hyperlink w:anchor="__RefHeading___Toc5447637_3224264995">
            <w:r>
              <w:rPr>
                <w:webHidden/>
                <w:rStyle w:val="IndexLink"/>
                <w:rtl w:val="true"/>
              </w:rPr>
              <w:t>الکلام فی جبر قصور السند</w:t>
            </w:r>
            <w:r>
              <w:rPr>
                <w:rStyle w:val="IndexLink"/>
                <w:rtl w:val="true"/>
              </w:rPr>
              <w:tab/>
            </w:r>
            <w:r>
              <w:rPr>
                <w:rStyle w:val="IndexLink"/>
              </w:rPr>
              <w:t>601</w:t>
            </w:r>
          </w:hyperlink>
        </w:p>
        <w:p>
          <w:pPr>
            <w:pStyle w:val="Contents6"/>
            <w:tabs>
              <w:tab w:val="clear" w:pos="7609"/>
              <w:tab w:val="right" w:pos="9026" w:leader="dot"/>
            </w:tabs>
            <w:rPr/>
          </w:pPr>
          <w:hyperlink w:anchor="__RefHeading___Toc5447639_3224264995">
            <w:r>
              <w:rPr>
                <w:webHidden/>
                <w:rStyle w:val="IndexLink"/>
                <w:rtl w:val="true"/>
              </w:rPr>
              <w:t>الکلام فی جبر قصور الدلالة</w:t>
            </w:r>
            <w:r>
              <w:rPr>
                <w:rStyle w:val="IndexLink"/>
                <w:rtl w:val="true"/>
              </w:rPr>
              <w:tab/>
            </w:r>
            <w:r>
              <w:rPr>
                <w:rStyle w:val="IndexLink"/>
              </w:rPr>
              <w:t>601</w:t>
            </w:r>
          </w:hyperlink>
        </w:p>
        <w:p>
          <w:pPr>
            <w:pStyle w:val="Contents6"/>
            <w:tabs>
              <w:tab w:val="clear" w:pos="7609"/>
              <w:tab w:val="right" w:pos="9026" w:leader="dot"/>
            </w:tabs>
            <w:rPr/>
          </w:pPr>
          <w:hyperlink w:anchor="__RefHeading___Toc5447641_3224264995">
            <w:r>
              <w:rPr>
                <w:webHidden/>
                <w:rStyle w:val="IndexLink"/>
                <w:rtl w:val="true"/>
              </w:rPr>
              <w:t>الکلام فیما اشتهر</w:t>
            </w:r>
            <w:r>
              <w:rPr>
                <w:rStyle w:val="IndexLink"/>
                <w:rtl w:val="true"/>
              </w:rPr>
              <w:t>:</w:t>
            </w:r>
            <w:r>
              <w:rPr>
                <w:rStyle w:val="IndexLink"/>
                <w:rtl w:val="true"/>
              </w:rPr>
              <w:t>من کون الشهرة فی الفتوی جابرة لضعف سند الخبر</w:t>
            </w:r>
            <w:r>
              <w:rPr>
                <w:rStyle w:val="IndexLink"/>
                <w:rtl w:val="true"/>
              </w:rPr>
              <w:tab/>
            </w:r>
            <w:r>
              <w:rPr>
                <w:rStyle w:val="IndexLink"/>
              </w:rPr>
              <w:t>602</w:t>
            </w:r>
          </w:hyperlink>
        </w:p>
        <w:p>
          <w:pPr>
            <w:pStyle w:val="Contents6"/>
            <w:tabs>
              <w:tab w:val="clear" w:pos="7609"/>
              <w:tab w:val="right" w:pos="9026" w:leader="dot"/>
            </w:tabs>
            <w:rPr/>
          </w:pPr>
          <w:hyperlink w:anchor="__RefHeading___Toc5447643_3224264995">
            <w:r>
              <w:rPr>
                <w:webHidden/>
                <w:rStyle w:val="IndexLink"/>
                <w:rtl w:val="true"/>
              </w:rPr>
              <w:t>المقام الثانی</w:t>
            </w:r>
            <w:r>
              <w:rPr>
                <w:rStyle w:val="IndexLink"/>
                <w:rtl w:val="true"/>
              </w:rPr>
              <w:t>:</w:t>
            </w:r>
            <w:r>
              <w:rPr>
                <w:rStyle w:val="IndexLink"/>
                <w:rtl w:val="true"/>
              </w:rPr>
              <w:t>فی کون الظنّ الغیر المعتبر موهنا</w:t>
            </w:r>
            <w:r>
              <w:rPr>
                <w:rStyle w:val="IndexLink"/>
                <w:rtl w:val="true"/>
              </w:rPr>
              <w:tab/>
            </w:r>
            <w:r>
              <w:rPr>
                <w:rStyle w:val="IndexLink"/>
              </w:rPr>
              <w:t>606</w:t>
            </w:r>
          </w:hyperlink>
        </w:p>
        <w:p>
          <w:pPr>
            <w:pStyle w:val="Contents6"/>
            <w:tabs>
              <w:tab w:val="clear" w:pos="7609"/>
              <w:tab w:val="right" w:pos="9026" w:leader="dot"/>
            </w:tabs>
            <w:rPr/>
          </w:pPr>
          <w:hyperlink w:anchor="__RefHeading___Toc5447645_3224264995">
            <w:r>
              <w:rPr>
                <w:webHidden/>
                <w:rStyle w:val="IndexLink"/>
                <w:rtl w:val="true"/>
              </w:rPr>
              <w:t>الکلام فی الظنّ الذی علم عدم اعتباره</w:t>
            </w:r>
            <w:r>
              <w:rPr>
                <w:rStyle w:val="IndexLink"/>
                <w:rtl w:val="true"/>
              </w:rPr>
              <w:tab/>
            </w:r>
            <w:r>
              <w:rPr>
                <w:rStyle w:val="IndexLink"/>
              </w:rPr>
              <w:t>606</w:t>
            </w:r>
          </w:hyperlink>
        </w:p>
        <w:p>
          <w:pPr>
            <w:pStyle w:val="Contents6"/>
            <w:tabs>
              <w:tab w:val="clear" w:pos="7609"/>
              <w:tab w:val="right" w:pos="9026" w:leader="dot"/>
            </w:tabs>
            <w:rPr/>
          </w:pPr>
          <w:hyperlink w:anchor="__RefHeading___Toc5447647_3224264995">
            <w:r>
              <w:rPr>
                <w:webHidden/>
                <w:rStyle w:val="IndexLink"/>
                <w:rtl w:val="true"/>
              </w:rPr>
              <w:t>الکلام فی الظنّ الذی لم یثبت اعتباره</w:t>
            </w:r>
            <w:r>
              <w:rPr>
                <w:rStyle w:val="IndexLink"/>
                <w:rtl w:val="true"/>
              </w:rPr>
              <w:tab/>
            </w:r>
            <w:r>
              <w:rPr>
                <w:rStyle w:val="IndexLink"/>
              </w:rPr>
              <w:t>611</w:t>
            </w:r>
          </w:hyperlink>
        </w:p>
        <w:p>
          <w:pPr>
            <w:pStyle w:val="Contents6"/>
            <w:tabs>
              <w:tab w:val="clear" w:pos="7609"/>
              <w:tab w:val="right" w:pos="9026" w:leader="dot"/>
            </w:tabs>
            <w:rPr/>
          </w:pPr>
          <w:hyperlink w:anchor="__RefHeading___Toc5447649_3224264995">
            <w:r>
              <w:rPr>
                <w:webHidden/>
                <w:rStyle w:val="IndexLink"/>
                <w:rtl w:val="true"/>
              </w:rPr>
              <w:t>المقام الثالث</w:t>
            </w:r>
            <w:r>
              <w:rPr>
                <w:rStyle w:val="IndexLink"/>
                <w:rtl w:val="true"/>
              </w:rPr>
              <w:t>:</w:t>
            </w:r>
            <w:r>
              <w:rPr>
                <w:rStyle w:val="IndexLink"/>
                <w:rtl w:val="true"/>
              </w:rPr>
              <w:t>فی الترجیح بالظنّ الغیر المعتبر</w:t>
            </w:r>
            <w:r>
              <w:rPr>
                <w:rStyle w:val="IndexLink"/>
                <w:rtl w:val="true"/>
              </w:rPr>
              <w:tab/>
            </w:r>
            <w:r>
              <w:rPr>
                <w:rStyle w:val="IndexLink"/>
              </w:rPr>
              <w:t>612</w:t>
            </w:r>
          </w:hyperlink>
        </w:p>
        <w:p>
          <w:pPr>
            <w:pStyle w:val="Contents6"/>
            <w:tabs>
              <w:tab w:val="clear" w:pos="7609"/>
              <w:tab w:val="right" w:pos="9026" w:leader="dot"/>
            </w:tabs>
            <w:rPr/>
          </w:pPr>
          <w:hyperlink w:anchor="__RefHeading___Toc5447651_3224264995">
            <w:r>
              <w:rPr>
                <w:webHidden/>
                <w:rStyle w:val="IndexLink"/>
                <w:rtl w:val="true"/>
              </w:rPr>
              <w:t>هل یکون الظن غیر المعتبر مرجحا</w:t>
            </w:r>
            <w:r>
              <w:rPr>
                <w:rStyle w:val="IndexLink"/>
                <w:rtl w:val="true"/>
              </w:rPr>
              <w:tab/>
            </w:r>
            <w:r>
              <w:rPr>
                <w:rStyle w:val="IndexLink"/>
              </w:rPr>
              <w:t>612</w:t>
            </w:r>
          </w:hyperlink>
        </w:p>
        <w:p>
          <w:pPr>
            <w:pStyle w:val="Contents6"/>
            <w:tabs>
              <w:tab w:val="clear" w:pos="7609"/>
              <w:tab w:val="right" w:pos="9026" w:leader="dot"/>
            </w:tabs>
            <w:rPr/>
          </w:pPr>
          <w:hyperlink w:anchor="__RefHeading___Toc5447653_3224264995">
            <w:r>
              <w:rPr>
                <w:webHidden/>
                <w:rStyle w:val="IndexLink"/>
                <w:rtl w:val="true"/>
              </w:rPr>
              <w:t>الکلام فی الظنّ الذی ورد النهی عنه بالخصوص</w:t>
            </w:r>
            <w:r>
              <w:rPr>
                <w:rStyle w:val="IndexLink"/>
                <w:rtl w:val="true"/>
              </w:rPr>
              <w:tab/>
            </w:r>
            <w:r>
              <w:rPr>
                <w:rStyle w:val="IndexLink"/>
              </w:rPr>
              <w:t>612</w:t>
            </w:r>
          </w:hyperlink>
        </w:p>
        <w:p>
          <w:pPr>
            <w:pStyle w:val="Contents6"/>
            <w:tabs>
              <w:tab w:val="clear" w:pos="7609"/>
              <w:tab w:val="right" w:pos="9026" w:leader="dot"/>
            </w:tabs>
            <w:rPr/>
          </w:pPr>
          <w:hyperlink w:anchor="__RefHeading___Toc5447655_3224264995">
            <w:r>
              <w:rPr>
                <w:webHidden/>
                <w:rStyle w:val="IndexLink"/>
                <w:rtl w:val="true"/>
              </w:rPr>
              <w:t>کلام المحقّق فی الترجیح بالقیاس</w:t>
            </w:r>
            <w:r>
              <w:rPr>
                <w:rStyle w:val="IndexLink"/>
                <w:rtl w:val="true"/>
              </w:rPr>
              <w:tab/>
            </w:r>
            <w:r>
              <w:rPr>
                <w:rStyle w:val="IndexLink"/>
              </w:rPr>
              <w:t>612</w:t>
            </w:r>
          </w:hyperlink>
        </w:p>
        <w:p>
          <w:pPr>
            <w:pStyle w:val="Contents6"/>
            <w:tabs>
              <w:tab w:val="clear" w:pos="7609"/>
              <w:tab w:val="right" w:pos="9026" w:leader="dot"/>
            </w:tabs>
            <w:rPr/>
          </w:pPr>
          <w:hyperlink w:anchor="__RefHeading___Toc5447657_3224264995">
            <w:r>
              <w:rPr>
                <w:webHidden/>
                <w:rStyle w:val="IndexLink"/>
                <w:rtl w:val="true"/>
              </w:rPr>
              <w:t>الحقّ عدم الترجیح</w:t>
            </w:r>
            <w:r>
              <w:rPr>
                <w:rStyle w:val="IndexLink"/>
                <w:rtl w:val="true"/>
              </w:rPr>
              <w:tab/>
            </w:r>
            <w:r>
              <w:rPr>
                <w:rStyle w:val="IndexLink"/>
              </w:rPr>
              <w:t>613</w:t>
            </w:r>
          </w:hyperlink>
        </w:p>
        <w:p>
          <w:pPr>
            <w:pStyle w:val="Contents6"/>
            <w:tabs>
              <w:tab w:val="clear" w:pos="7609"/>
              <w:tab w:val="right" w:pos="9026" w:leader="dot"/>
            </w:tabs>
            <w:rPr/>
          </w:pPr>
          <w:hyperlink w:anchor="__RefHeading___Toc5447659_3224264995">
            <w:r>
              <w:rPr>
                <w:webHidden/>
                <w:rStyle w:val="IndexLink"/>
                <w:rtl w:val="true"/>
              </w:rPr>
              <w:t>الکلام فی الظنّ غیر المعتبر لأجل عدم الدلیل فی مقامات</w:t>
            </w:r>
            <w:r>
              <w:rPr>
                <w:rStyle w:val="IndexLink"/>
                <w:rtl w:val="true"/>
              </w:rPr>
              <w:t>:</w:t>
              <w:tab/>
            </w:r>
            <w:r>
              <w:rPr>
                <w:rStyle w:val="IndexLink"/>
              </w:rPr>
              <w:t>614</w:t>
            </w:r>
          </w:hyperlink>
        </w:p>
        <w:p>
          <w:pPr>
            <w:pStyle w:val="Contents6"/>
            <w:tabs>
              <w:tab w:val="clear" w:pos="7609"/>
              <w:tab w:val="right" w:pos="9026" w:leader="dot"/>
            </w:tabs>
            <w:rPr/>
          </w:pPr>
          <w:hyperlink w:anchor="__RefHeading___Toc5447661_3224264995">
            <w:r>
              <w:rPr>
                <w:webHidden/>
                <w:rStyle w:val="IndexLink"/>
                <w:rtl w:val="true"/>
              </w:rPr>
              <w:t>أمّا المقام الأوّل، الترجیح به فی الدلالة فتفصیل القول فیه</w:t>
            </w:r>
            <w:r>
              <w:rPr>
                <w:rStyle w:val="IndexLink"/>
                <w:rtl w:val="true"/>
              </w:rPr>
              <w:t>:</w:t>
              <w:tab/>
            </w:r>
            <w:r>
              <w:rPr>
                <w:rStyle w:val="IndexLink"/>
              </w:rPr>
              <w:t>615</w:t>
            </w:r>
          </w:hyperlink>
        </w:p>
        <w:p>
          <w:pPr>
            <w:pStyle w:val="Contents6"/>
            <w:tabs>
              <w:tab w:val="clear" w:pos="7609"/>
              <w:tab w:val="right" w:pos="9026" w:leader="dot"/>
            </w:tabs>
            <w:rPr/>
          </w:pPr>
          <w:hyperlink w:anchor="__RefHeading___Toc5447663_3224264995">
            <w:r>
              <w:rPr>
                <w:webHidden/>
                <w:rStyle w:val="IndexLink"/>
                <w:rtl w:val="true"/>
              </w:rPr>
              <w:t>و أمّا المقام الثانی</w:t>
            </w:r>
            <w:r>
              <w:rPr>
                <w:rStyle w:val="IndexLink"/>
                <w:rtl w:val="true"/>
              </w:rPr>
              <w:t xml:space="preserve">: </w:t>
            </w:r>
            <w:r>
              <w:rPr>
                <w:rStyle w:val="IndexLink"/>
                <w:rtl w:val="true"/>
              </w:rPr>
              <w:t>الترجیح به فی وجه الصدور ،فتفصیل القول فیه</w:t>
            </w:r>
            <w:r>
              <w:rPr>
                <w:rStyle w:val="IndexLink"/>
                <w:rtl w:val="true"/>
              </w:rPr>
              <w:t>:</w:t>
              <w:tab/>
            </w:r>
            <w:r>
              <w:rPr>
                <w:rStyle w:val="IndexLink"/>
              </w:rPr>
              <w:t>617</w:t>
            </w:r>
          </w:hyperlink>
        </w:p>
        <w:p>
          <w:pPr>
            <w:pStyle w:val="Contents6"/>
            <w:tabs>
              <w:tab w:val="clear" w:pos="7609"/>
              <w:tab w:val="right" w:pos="9026" w:leader="dot"/>
            </w:tabs>
            <w:rPr/>
          </w:pPr>
          <w:hyperlink w:anchor="__RefHeading___Toc5447665_3224264995">
            <w:r>
              <w:rPr>
                <w:webHidden/>
                <w:rStyle w:val="IndexLink"/>
                <w:rtl w:val="true"/>
              </w:rPr>
              <w:t>و أمّا المقام الثالث</w:t>
            </w:r>
            <w:r>
              <w:rPr>
                <w:rStyle w:val="IndexLink"/>
                <w:rtl w:val="true"/>
              </w:rPr>
              <w:t>:</w:t>
            </w:r>
            <w:r>
              <w:rPr>
                <w:rStyle w:val="IndexLink"/>
                <w:rtl w:val="true"/>
              </w:rPr>
              <w:t>ترجیح السند بمطلق الظن</w:t>
            </w:r>
            <w:r>
              <w:rPr>
                <w:rStyle w:val="IndexLink"/>
                <w:rtl w:val="true"/>
              </w:rPr>
              <w:tab/>
            </w:r>
            <w:r>
              <w:rPr>
                <w:rStyle w:val="IndexLink"/>
              </w:rPr>
              <w:t>618</w:t>
            </w:r>
          </w:hyperlink>
        </w:p>
        <w:p>
          <w:pPr>
            <w:pStyle w:val="Contents6"/>
            <w:tabs>
              <w:tab w:val="clear" w:pos="7609"/>
              <w:tab w:val="right" w:pos="9026" w:leader="dot"/>
            </w:tabs>
            <w:rPr/>
          </w:pPr>
          <w:hyperlink w:anchor="__RefHeading___Toc5447667_3224264995">
            <w:r>
              <w:rPr>
                <w:webHidden/>
                <w:rStyle w:val="IndexLink"/>
                <w:rtl w:val="true"/>
              </w:rPr>
              <w:t>مقتضی الأصل عدم الترجیح</w:t>
            </w:r>
            <w:r>
              <w:rPr>
                <w:rStyle w:val="IndexLink"/>
                <w:rtl w:val="true"/>
              </w:rPr>
              <w:tab/>
            </w:r>
            <w:r>
              <w:rPr>
                <w:rStyle w:val="IndexLink"/>
              </w:rPr>
              <w:t>619</w:t>
            </w:r>
          </w:hyperlink>
        </w:p>
        <w:p>
          <w:pPr>
            <w:pStyle w:val="Contents6"/>
            <w:tabs>
              <w:tab w:val="clear" w:pos="7609"/>
              <w:tab w:val="right" w:pos="9026" w:leader="dot"/>
            </w:tabs>
            <w:rPr/>
          </w:pPr>
          <w:hyperlink w:anchor="__RefHeading___Toc5447669_3224264995">
            <w:r>
              <w:rPr>
                <w:webHidden/>
                <w:rStyle w:val="IndexLink"/>
                <w:rtl w:val="true"/>
              </w:rPr>
              <w:t>ظاهر معظم الاصولیین هو الترجیح</w:t>
            </w:r>
            <w:r>
              <w:rPr>
                <w:rStyle w:val="IndexLink"/>
                <w:rtl w:val="true"/>
              </w:rPr>
              <w:tab/>
            </w:r>
            <w:r>
              <w:rPr>
                <w:rStyle w:val="IndexLink"/>
              </w:rPr>
              <w:t>620</w:t>
            </w:r>
          </w:hyperlink>
        </w:p>
        <w:p>
          <w:pPr>
            <w:pStyle w:val="Contents6"/>
            <w:tabs>
              <w:tab w:val="clear" w:pos="7609"/>
              <w:tab w:val="right" w:pos="9026" w:leader="dot"/>
            </w:tabs>
            <w:rPr/>
          </w:pPr>
          <w:hyperlink w:anchor="__RefHeading___Toc5447671_3224264995">
            <w:r>
              <w:rPr>
                <w:webHidden/>
                <w:rStyle w:val="IndexLink"/>
                <w:rtl w:val="true"/>
              </w:rPr>
              <w:t>ما استدلّ به للترجیح بمطلق الظنّ</w:t>
            </w:r>
            <w:r>
              <w:rPr>
                <w:rStyle w:val="IndexLink"/>
                <w:rtl w:val="true"/>
              </w:rPr>
              <w:t>:</w:t>
              <w:tab/>
            </w:r>
            <w:r>
              <w:rPr>
                <w:rStyle w:val="IndexLink"/>
              </w:rPr>
              <w:t>621</w:t>
            </w:r>
          </w:hyperlink>
        </w:p>
        <w:p>
          <w:pPr>
            <w:pStyle w:val="Contents6"/>
            <w:tabs>
              <w:tab w:val="clear" w:pos="7609"/>
              <w:tab w:val="right" w:pos="9026" w:leader="dot"/>
            </w:tabs>
            <w:rPr/>
          </w:pPr>
          <w:hyperlink w:anchor="__RefHeading___Toc5447673_3224264995">
            <w:r>
              <w:rPr>
                <w:webHidden/>
                <w:rStyle w:val="IndexLink"/>
                <w:rtl w:val="true"/>
              </w:rPr>
              <w:t>الوجه الأوّل</w:t>
            </w:r>
            <w:r>
              <w:rPr>
                <w:rStyle w:val="IndexLink"/>
                <w:rtl w:val="true"/>
              </w:rPr>
              <w:t>:</w:t>
            </w:r>
            <w:r>
              <w:rPr>
                <w:rStyle w:val="IndexLink"/>
                <w:rtl w:val="true"/>
              </w:rPr>
              <w:t>قاعدة الاشتغال</w:t>
            </w:r>
            <w:r>
              <w:rPr>
                <w:rStyle w:val="IndexLink"/>
                <w:rtl w:val="true"/>
              </w:rPr>
              <w:tab/>
            </w:r>
            <w:r>
              <w:rPr>
                <w:rStyle w:val="IndexLink"/>
              </w:rPr>
              <w:t>621</w:t>
            </w:r>
          </w:hyperlink>
        </w:p>
        <w:p>
          <w:pPr>
            <w:pStyle w:val="Contents6"/>
            <w:tabs>
              <w:tab w:val="clear" w:pos="7609"/>
              <w:tab w:val="right" w:pos="9026" w:leader="dot"/>
            </w:tabs>
            <w:rPr/>
          </w:pPr>
          <w:hyperlink w:anchor="__RefHeading___Toc5447675_3224264995">
            <w:r>
              <w:rPr>
                <w:webHidden/>
                <w:rStyle w:val="IndexLink"/>
                <w:rtl w:val="true"/>
              </w:rPr>
              <w:t>الوجه الثانی</w:t>
            </w:r>
            <w:r>
              <w:rPr>
                <w:rStyle w:val="IndexLink"/>
                <w:rtl w:val="true"/>
              </w:rPr>
              <w:t>:</w:t>
            </w:r>
            <w:r>
              <w:rPr>
                <w:rStyle w:val="IndexLink"/>
                <w:rtl w:val="true"/>
              </w:rPr>
              <w:t>ظهور الإجماع علی ذلک</w:t>
            </w:r>
            <w:r>
              <w:rPr>
                <w:rStyle w:val="IndexLink"/>
                <w:rtl w:val="true"/>
              </w:rPr>
              <w:tab/>
            </w:r>
            <w:r>
              <w:rPr>
                <w:rStyle w:val="IndexLink"/>
              </w:rPr>
              <w:t>623</w:t>
            </w:r>
          </w:hyperlink>
        </w:p>
        <w:p>
          <w:pPr>
            <w:pStyle w:val="Contents6"/>
            <w:tabs>
              <w:tab w:val="clear" w:pos="7609"/>
              <w:tab w:val="right" w:pos="9026" w:leader="dot"/>
            </w:tabs>
            <w:rPr/>
          </w:pPr>
          <w:hyperlink w:anchor="__RefHeading___Toc5447677_3224264995">
            <w:r>
              <w:rPr>
                <w:webHidden/>
                <w:rStyle w:val="IndexLink"/>
                <w:rtl w:val="true"/>
              </w:rPr>
              <w:t>الوجه الثالث</w:t>
            </w:r>
            <w:r>
              <w:rPr>
                <w:rStyle w:val="IndexLink"/>
                <w:rtl w:val="true"/>
              </w:rPr>
              <w:t>:</w:t>
            </w:r>
            <w:r>
              <w:rPr>
                <w:rStyle w:val="IndexLink"/>
                <w:rtl w:val="true"/>
              </w:rPr>
              <w:t>ما یظهر من بعض الأخبار</w:t>
            </w:r>
            <w:r>
              <w:rPr>
                <w:rStyle w:val="IndexLink"/>
                <w:rtl w:val="true"/>
              </w:rPr>
              <w:tab/>
            </w:r>
            <w:r>
              <w:rPr>
                <w:rStyle w:val="IndexLink"/>
              </w:rPr>
              <w:t>625</w:t>
            </w:r>
          </w:hyperlink>
        </w:p>
        <w:p>
          <w:pPr>
            <w:pStyle w:val="Contents6"/>
            <w:tabs>
              <w:tab w:val="clear" w:pos="7609"/>
              <w:tab w:val="right" w:pos="9026" w:leader="dot"/>
            </w:tabs>
            <w:rPr/>
          </w:pPr>
          <w:hyperlink w:anchor="__RefHeading___Toc5447679_3224264995">
            <w:r>
              <w:rPr>
                <w:webHidden/>
                <w:rStyle w:val="IndexLink"/>
                <w:rtl w:val="true"/>
              </w:rPr>
              <w:t>ما دل علی الترجیح بالاصدقیه</w:t>
            </w:r>
            <w:r>
              <w:rPr>
                <w:rStyle w:val="IndexLink"/>
                <w:rtl w:val="true"/>
              </w:rPr>
              <w:tab/>
            </w:r>
            <w:r>
              <w:rPr>
                <w:rStyle w:val="IndexLink"/>
              </w:rPr>
              <w:t>625</w:t>
            </w:r>
          </w:hyperlink>
        </w:p>
        <w:p>
          <w:pPr>
            <w:pStyle w:val="Contents6"/>
            <w:tabs>
              <w:tab w:val="clear" w:pos="7609"/>
              <w:tab w:val="right" w:pos="9026" w:leader="dot"/>
            </w:tabs>
            <w:rPr/>
          </w:pPr>
          <w:hyperlink w:anchor="__RefHeading___Toc5447681_3224264995">
            <w:r>
              <w:rPr>
                <w:webHidden/>
                <w:rStyle w:val="IndexLink"/>
                <w:rtl w:val="true"/>
              </w:rPr>
              <w:t>ما دل علی ترجیح احد الخبرین لکونه مشهورا</w:t>
            </w:r>
            <w:r>
              <w:rPr>
                <w:rStyle w:val="IndexLink"/>
                <w:rtl w:val="true"/>
              </w:rPr>
              <w:tab/>
            </w:r>
            <w:r>
              <w:rPr>
                <w:rStyle w:val="IndexLink"/>
              </w:rPr>
              <w:t>626</w:t>
            </w:r>
          </w:hyperlink>
        </w:p>
        <w:p>
          <w:pPr>
            <w:pStyle w:val="Contents6"/>
            <w:tabs>
              <w:tab w:val="clear" w:pos="7609"/>
              <w:tab w:val="right" w:pos="9026" w:leader="dot"/>
            </w:tabs>
            <w:rPr/>
          </w:pPr>
          <w:hyperlink w:anchor="__RefHeading___Toc5447683_3224264995">
            <w:r>
              <w:rPr>
                <w:webHidden/>
                <w:rStyle w:val="IndexLink"/>
                <w:rtl w:val="true"/>
              </w:rPr>
              <w:t>ما دل علی ترجیح احد الخبرین لکونه مشهورا</w:t>
            </w:r>
            <w:r>
              <w:rPr>
                <w:rStyle w:val="IndexLink"/>
                <w:rtl w:val="true"/>
              </w:rPr>
              <w:tab/>
            </w:r>
            <w:r>
              <w:rPr>
                <w:rStyle w:val="IndexLink"/>
              </w:rPr>
              <w:t>626</w:t>
            </w:r>
          </w:hyperlink>
        </w:p>
        <w:p>
          <w:pPr>
            <w:pStyle w:val="Contents6"/>
            <w:tabs>
              <w:tab w:val="clear" w:pos="7609"/>
              <w:tab w:val="right" w:pos="9026" w:leader="dot"/>
            </w:tabs>
            <w:rPr/>
          </w:pPr>
          <w:hyperlink w:anchor="__RefHeading___Toc5447685_3224264995">
            <w:r>
              <w:rPr>
                <w:webHidden/>
                <w:rStyle w:val="IndexLink"/>
                <w:rtl w:val="true"/>
              </w:rPr>
              <w:t>ما دلّ علی الترجیح بمخالفة العامّة</w:t>
            </w:r>
            <w:r>
              <w:rPr>
                <w:rStyle w:val="IndexLink"/>
                <w:rtl w:val="true"/>
              </w:rPr>
              <w:tab/>
            </w:r>
            <w:r>
              <w:rPr>
                <w:rStyle w:val="IndexLink"/>
              </w:rPr>
              <w:t>628</w:t>
            </w:r>
          </w:hyperlink>
        </w:p>
        <w:p>
          <w:pPr>
            <w:pStyle w:val="Contents6"/>
            <w:tabs>
              <w:tab w:val="clear" w:pos="7609"/>
              <w:tab w:val="right" w:pos="9026" w:leader="dot"/>
            </w:tabs>
            <w:rPr/>
          </w:pPr>
          <w:hyperlink w:anchor="__RefHeading___Toc5447687_3224264995">
            <w:r>
              <w:rPr>
                <w:webHidden/>
                <w:rStyle w:val="IndexLink"/>
                <w:rtl w:val="true"/>
              </w:rPr>
              <w:t>ما دعا أصحابنا إلی العمل بکلّ ما یوجب رجحان أحد الخبرین</w:t>
            </w:r>
            <w:r>
              <w:rPr>
                <w:rStyle w:val="IndexLink"/>
                <w:rtl w:val="true"/>
              </w:rPr>
              <w:tab/>
            </w:r>
            <w:r>
              <w:rPr>
                <w:rStyle w:val="IndexLink"/>
              </w:rPr>
              <w:t>631</w:t>
            </w:r>
          </w:hyperlink>
        </w:p>
        <w:p>
          <w:pPr>
            <w:pStyle w:val="Contents6"/>
            <w:tabs>
              <w:tab w:val="clear" w:pos="7609"/>
              <w:tab w:val="right" w:pos="9026" w:leader="dot"/>
            </w:tabs>
            <w:rPr/>
          </w:pPr>
          <w:hyperlink w:anchor="__RefHeading___Toc5447689_3224264995">
            <w:r>
              <w:rPr>
                <w:webHidden/>
                <w:rStyle w:val="IndexLink"/>
                <w:rtl w:val="true"/>
              </w:rPr>
              <w:t>القول بوجوب الترجیح و دلیله</w:t>
            </w:r>
            <w:r>
              <w:rPr>
                <w:rStyle w:val="IndexLink"/>
                <w:rtl w:val="true"/>
              </w:rPr>
              <w:tab/>
            </w:r>
            <w:r>
              <w:rPr>
                <w:rStyle w:val="IndexLink"/>
              </w:rPr>
              <w:t>631</w:t>
            </w:r>
          </w:hyperlink>
        </w:p>
        <w:p>
          <w:pPr>
            <w:pStyle w:val="Contents6"/>
            <w:tabs>
              <w:tab w:val="clear" w:pos="7609"/>
              <w:tab w:val="right" w:pos="9026" w:leader="dot"/>
            </w:tabs>
            <w:rPr/>
          </w:pPr>
          <w:hyperlink w:anchor="__RefHeading___Toc5447691_3224264995">
            <w:r>
              <w:rPr>
                <w:webHidden/>
                <w:rStyle w:val="IndexLink"/>
                <w:rtl w:val="true"/>
              </w:rPr>
              <w:t>القول بعدم وجوب الترجیح و دلیله</w:t>
            </w:r>
            <w:r>
              <w:rPr>
                <w:rStyle w:val="IndexLink"/>
                <w:rtl w:val="true"/>
              </w:rPr>
              <w:tab/>
            </w:r>
            <w:r>
              <w:rPr>
                <w:rStyle w:val="IndexLink"/>
              </w:rPr>
              <w:t>633</w:t>
            </w:r>
          </w:hyperlink>
        </w:p>
        <w:p>
          <w:pPr>
            <w:pStyle w:val="Contents6"/>
            <w:tabs>
              <w:tab w:val="clear" w:pos="7609"/>
              <w:tab w:val="right" w:pos="9026" w:leader="dot"/>
            </w:tabs>
            <w:rPr/>
          </w:pPr>
          <w:hyperlink w:anchor="__RefHeading___Toc5447693_3224264995">
            <w:r>
              <w:rPr>
                <w:webHidden/>
                <w:rStyle w:val="IndexLink"/>
                <w:rtl w:val="true"/>
              </w:rPr>
              <w:t>مقتضی الاحتیاط فی المقام</w:t>
            </w:r>
            <w:r>
              <w:rPr>
                <w:rStyle w:val="IndexLink"/>
                <w:rtl w:val="true"/>
              </w:rPr>
              <w:tab/>
            </w:r>
            <w:r>
              <w:rPr>
                <w:rStyle w:val="IndexLink"/>
              </w:rPr>
              <w:t>634</w:t>
            </w:r>
          </w:hyperlink>
        </w:p>
        <w:p>
          <w:pPr>
            <w:pStyle w:val="Contents2"/>
            <w:tabs>
              <w:tab w:val="clear" w:pos="8743"/>
              <w:tab w:val="right" w:pos="9026" w:leader="dot"/>
            </w:tabs>
            <w:rPr/>
          </w:pPr>
          <w:hyperlink w:anchor="__RefHeading___Toc5447695_3224264995">
            <w:r>
              <w:rPr>
                <w:webHidden/>
                <w:rStyle w:val="IndexLink"/>
                <w:rtl w:val="true"/>
              </w:rPr>
              <w:t>العناوین العامّة</w:t>
            </w:r>
            <w:r>
              <w:rPr>
                <w:rStyle w:val="IndexLink"/>
                <w:rtl w:val="true"/>
              </w:rPr>
              <w:tab/>
            </w:r>
            <w:r>
              <w:rPr>
                <w:rStyle w:val="IndexLink"/>
              </w:rPr>
              <w:t>638</w:t>
            </w:r>
          </w:hyperlink>
        </w:p>
        <w:p>
          <w:pPr>
            <w:pStyle w:val="Contents2"/>
            <w:tabs>
              <w:tab w:val="clear" w:pos="8743"/>
              <w:tab w:val="right" w:pos="9026" w:leader="dot"/>
            </w:tabs>
            <w:rPr/>
          </w:pPr>
          <w:hyperlink w:anchor="__RefHeading___Toc5447697_3224264995">
            <w:r>
              <w:rPr>
                <w:webHidden/>
                <w:rStyle w:val="IndexLink"/>
                <w:rtl w:val="true"/>
              </w:rPr>
              <w:t>فهرس المحتوی</w:t>
            </w:r>
            <w:r>
              <w:rPr>
                <w:rStyle w:val="IndexLink"/>
                <w:rtl w:val="true"/>
              </w:rPr>
              <w:tab/>
            </w:r>
            <w:r>
              <w:rPr>
                <w:rStyle w:val="IndexLink"/>
              </w:rPr>
              <w:t>640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77_114042"/>
      <w:bookmarkStart w:id="1" w:name="pg12977_114042"/>
      <w:bookmarkEnd w:id="1"/>
    </w:p>
    <w:p>
      <w:pPr>
        <w:pStyle w:val="Heading2"/>
        <w:numPr>
          <w:ilvl w:val="1"/>
          <w:numId w:val="1"/>
        </w:numPr>
        <w:rPr/>
      </w:pPr>
      <w:bookmarkStart w:id="2" w:name="pg12977_114042"/>
      <w:bookmarkStart w:id="3" w:name="__RefHeading___Toc5446439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لمرتضی الانصاری؛ اعداد لجنه تحقیق تراث‌الشیخ الاعظم؛ للموتمر العالمی بمناسبه الذکری للمئویه‌الثانیه لمیلاد‌الشیخ‌الانصاری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الفکر‌الاسلامی،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الفکر‌الاسلامی؛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تراث‌الشیخ الاعظم</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فرائد‌الاصول و هو 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ناشران متفاوت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و‌الظن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البرائه و‌الاشتغال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التعادل و‌التراجیح</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فرائد‌الاصول و هو 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الفکر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تحقیق تراث الشیخ الاعظم، گردآورنده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۱۲۰۴۷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46441_322426499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للموتمر العالمی بمناسبه الذکری للمئویه‌الثانیه لمیلاد‌الشیخ‌الانصاری</w:t>
      </w:r>
    </w:p>
    <w:p>
      <w:pPr>
        <w:pStyle w:val="BookText"/>
        <w:rPr/>
      </w:pPr>
      <w:r>
        <w:rPr>
          <w:rFonts w:ascii="IRNazanin" w:hAnsi="IRNazanin" w:eastAsia="IRNazanin"/>
          <w:color w:val="111111"/>
          <w:sz w:val="28"/>
          <w:sz w:val="28"/>
          <w:szCs w:val="28"/>
          <w:rtl w:val="true"/>
          <w:lang w:bidi="fa-IR"/>
        </w:rPr>
        <w:t>فرائد الاصول</w:t>
      </w:r>
    </w:p>
    <w:p>
      <w:pPr>
        <w:pStyle w:val="BookText"/>
        <w:rPr/>
      </w:pPr>
      <w:r>
        <w:rPr>
          <w:rFonts w:ascii="IRNazanin" w:hAnsi="IRNazanin" w:eastAsia="IRNazanin"/>
          <w:color w:val="111111"/>
          <w:sz w:val="28"/>
          <w:sz w:val="28"/>
          <w:szCs w:val="28"/>
          <w:rtl w:val="true"/>
          <w:lang w:bidi="fa-IR"/>
        </w:rPr>
        <w:t>للشیخ الاعظم استاد الفقهاء و المجتهدین الشیخ مرتضی الانصاری</w:t>
      </w:r>
    </w:p>
    <w:p>
      <w:pPr>
        <w:pStyle w:val="BookText"/>
        <w:rPr/>
      </w:pP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الاول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لجنه تحقیق تراث‌الشیخ الاعظم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برعایة</w:t>
      </w:r>
    </w:p>
    <w:p>
      <w:pPr>
        <w:pStyle w:val="BookText"/>
        <w:rPr/>
      </w:pPr>
      <w:r>
        <w:rPr>
          <w:rFonts w:ascii="IRNazanin" w:hAnsi="IRNazanin" w:eastAsia="IRNazanin"/>
          <w:color w:val="111111"/>
          <w:sz w:val="28"/>
          <w:sz w:val="28"/>
          <w:szCs w:val="28"/>
          <w:rtl w:val="true"/>
          <w:lang w:bidi="fa-IR"/>
        </w:rPr>
        <w:t>قائد الثورة الاسلامیه ولی امر من المسلمین</w:t>
      </w:r>
    </w:p>
    <w:p>
      <w:pPr>
        <w:pStyle w:val="BookText"/>
        <w:rPr/>
      </w:pPr>
      <w:r>
        <w:rPr>
          <w:rFonts w:ascii="IRNazanin" w:hAnsi="IRNazanin" w:eastAsia="IRNazanin"/>
          <w:color w:val="111111"/>
          <w:sz w:val="28"/>
          <w:sz w:val="28"/>
          <w:szCs w:val="28"/>
          <w:rtl w:val="true"/>
          <w:lang w:bidi="fa-IR"/>
        </w:rPr>
        <w:t>سماحة ایة الله السید الخامنئی دام ظله الوارف</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طبع هذا الکتاب </w:t>
      </w:r>
      <w:bookmarkStart w:id="7" w:name="pg12977_114048"/>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5446443_3224264995"/>
      <w:bookmarkStart w:id="9" w:name="_Toc3"/>
      <w:bookmarkEnd w:id="8"/>
      <w:r>
        <w:rPr>
          <w:rtl w:val="true"/>
        </w:rPr>
        <w:t>تقدیم</w:t>
      </w:r>
      <w:r>
        <w:rPr>
          <w:rtl w:val="true"/>
        </w:rPr>
        <w:t>:</w:t>
      </w:r>
      <w:bookmarkEnd w:id="9"/>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خیر خلقه محمّد و 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تکن الثورة الإسلامیّة بقیادة الإمام الخمینی رضوان اللّه علیه حدثا سیاسیّا تتحدّد آثاره التغییریّة بحدود الأوضاع السیاسیّة إقلیمیّة أو عالمیّة،بل کانت و بفعل التغییرات الجذریّة التی أعقبتها فی القیم و البنی الحضاریّة التی شیّد علیها صرح الحیاة الإنسانیّة فی عصرها الجدید حدثا حضاریّا إنسانیّا شاملا حمل إلی الإنسان المعاصر رسالة الحیاة الحرّة الکریمة التی بشّر بها الأنبیاء علیهم الصلاة و السلام علی مدی التأریخ و فتح أمام تطلّعات الإنسان الحاضر افقا باسما بالنور و الحیاة،و الخیر و العطاء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اولی نتائج هذا التحوّل الحضاری الثورة الثقافیّة الشاملة التی شهدها مهد الثورة الإسلامیّة إیران و التی دفعت بالمسلم الإیرانی إلی اقتحام میادین الثقافة و العلوم بشتّی فروعها،و جعلت من إیران،و من قم المقدّسة بوجه خاصّ عاصمة للفکر الإسلامی و قلبا نابضا بثقافة القرآن و علوم الإسلام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کانت تعالیم الإمام الراحل رضوان اللّه تعالی علیه و وصایاه و کذا </w:t>
      </w:r>
    </w:p>
    <w:p>
      <w:pPr>
        <w:pStyle w:val="BookText"/>
        <w:rPr/>
      </w:pPr>
      <w:r>
        <w:rPr>
          <w:rFonts w:ascii="IRNazanin" w:hAnsi="IRNazanin" w:eastAsia="IRNazanin"/>
          <w:color w:val="111111"/>
          <w:sz w:val="28"/>
          <w:sz w:val="28"/>
          <w:szCs w:val="28"/>
          <w:rtl w:val="true"/>
          <w:lang w:bidi="fa-IR"/>
        </w:rPr>
        <w:t>توجیهات قائد الثورة الإسلامیّة و ولیّ أمر المسلمین آیة اللّه الخامنئی المصدر الأوّل الذی تستلهم الثورة الثقافیّة منه دستورها و منهجها،و لقد کانت الثقافة الإسلامیّة بالذات علی رأس اهتمامات الإمام الراحل رضوان اللّه علیه و قد أولاها سماحة آیة اللّه الخامنئی حفظه اللّه تعالی رعایته الخاصّة،فکان من نتائج ذاک التوجیه و هذه الرعایة ظهور آفاق جدیدة من التطوّر فی مناهج الدراسات الإسلامیّة بل و مضامینها،و انبثاق مشاریع و طروح تغییریّة تتّجه إلی تنمیة و تطویر العلوم الإسلامیّة و مناهجها بما یناسب مرحلة الثورة الإسلامیّة و حاجات الإنسان الحاضر و تطلّعاته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العلوم الإسلامیّة حصیلة الجهود التی بذلها عباقرة الفکر الإسلامیّ فی مجال فهم القرآن الکریم و السنّة الشریفة فقد کان من أهمّ ما تتطلّبه عملیّة التطویر العلمی فی الدراسات الإسلامیّة تسلیط الأضواء علی حصائل آراء العباقرة و النوابغ الأوّلین الذین تصدّروا حرکة البناء العلمی لصرح الثقافة الإسلامیّة،و القیام بمحاولة جادّة و جدیدة لعرض آرائهم و أفکارهم علی طاولة البحث العلمی و النقد الموضوعی،و دعوة أصحاب الرأی و الفکر المعاصرین إلی دراسة جدیدة و شاملة لتراث السلف الصالح من بناة الصرح الشامخ للعلوم و الدراسات الإسلامیّة و روّاد الفکر الإسلامیّ و عباقرته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بما أنّ الإمام المجدّد الشیخ الأعظم الأنصاری قدّس اللّه نفسه یعتبر الرائد الأوّل للتجدید العلمی فی العصر الأخیر فی مجالی الفقه و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من أهمّ فروع الدراسات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اضطلعت الأمانة العامّة لمؤتمر الشیخ الأعظم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بتوجیه من سماحة قائد الثورة الإسلامیّة آیة اللّه الخامنئی و رعایته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بمشروع إحیاء الذکری المئویّة </w:t>
      </w:r>
    </w:p>
    <w:p>
      <w:pPr>
        <w:pStyle w:val="BookText"/>
        <w:rPr/>
      </w:pPr>
      <w:r>
        <w:rPr>
          <w:rFonts w:ascii="IRNazanin" w:hAnsi="IRNazanin" w:eastAsia="IRNazanin"/>
          <w:color w:val="111111"/>
          <w:sz w:val="28"/>
          <w:sz w:val="28"/>
          <w:szCs w:val="28"/>
          <w:rtl w:val="true"/>
          <w:lang w:bidi="fa-IR"/>
        </w:rPr>
        <w:t>الثانیة لمیلاد الشیخ الأعظم الأنصاری قدّس سرّه و لیتمّ من خلال هذا المشروع عرض مدرسة الشیخ الأنصاری الفکریّة فی شتّی أبعادها و علی الخصوص إبداعات هذه المدرسة و إنتاجاتها المتمیّزة التی جعلت منها المدرسة الامّ لما تلتها من مدارس فکریّة کمدرسة المیرزا الشیرازی و الآخوند الخراسانی و المحقّق النائینی و المحقّق العراقی و المحقّق الأصفهانی و غیرهم من زعماء المدارس الفکریّة الحدیثة علی صعید الفقه الإسلامی و اصوله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تمهیدا لهذا المشروع فقد ارتأت الأمانة العامّة أن تقوم لجنة مختصّة من فضلاء الحوزة العلمیّة بقم المقدّسة بمهمّة إحیاء تراث الشیخ الأنصاری و تحقیق ترکته العلمیّة و إخراجها بالاسلوب العلمی اللائق و عرضها لروّاد الفکر الإسلامیّ و المکتبة الإسلامیّة بالطریقة التی تسهّل للباحثین الاطّلاع علی فکر الشیخ الأنصاری و نتاجه العلمی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الأمانة العامّة لمؤتمر الشیخ الأنصاری إذ تشکر اللّه سبحانه و تعالی علی هذا التوفیق تبتهل إلیه فی أن یدیم ظلّ قائد الثورة الإسلامیّة و یحفظه للإسلام ناصرا و للمسلمین رائدا و قائدا و أن یتقبّل من العاملین فی لجنة التحقیق جهدهم العظیم فی سبیل إحیاء تراث الشیخ الأعظم الأنصاری و أن یمنّ علیهم بأضعاف من الأجر و الثواب</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أمین عام مؤتمر الشیخ الأعظم الأنصاری الشیخ محسن العراقی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2977_114052"/>
      <w:bookmarkStart w:id="11" w:name="pg12977_114052"/>
      <w:bookmarkEnd w:id="11"/>
    </w:p>
    <w:p>
      <w:pPr>
        <w:pStyle w:val="Heading2"/>
        <w:numPr>
          <w:ilvl w:val="1"/>
          <w:numId w:val="1"/>
        </w:numPr>
        <w:rPr/>
      </w:pPr>
      <w:bookmarkStart w:id="12" w:name="pg12977_114052"/>
      <w:bookmarkStart w:id="13" w:name="__RefHeading___Toc5446445_3224264995"/>
      <w:bookmarkStart w:id="14" w:name="_Toc4"/>
      <w:bookmarkEnd w:id="12"/>
      <w:bookmarkEnd w:id="13"/>
      <w:r>
        <w:rPr>
          <w:rtl w:val="true"/>
        </w:rPr>
        <w:t>مقدمة</w:t>
      </w:r>
      <w:bookmarkEnd w:id="14"/>
    </w:p>
    <w:p>
      <w:pPr>
        <w:pStyle w:val="Heading3"/>
        <w:numPr>
          <w:ilvl w:val="2"/>
          <w:numId w:val="1"/>
        </w:numPr>
        <w:rPr/>
      </w:pPr>
      <w:bookmarkStart w:id="15" w:name="__RefHeading___Toc5446447_3224264995"/>
      <w:bookmarkStart w:id="16" w:name="_Toc5"/>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بسم اللّه الرحمن الرحیم الحمد للّه رب العالمین و الصلاة و السلام علی محمّد و أهل بیته الطاهرین،و اللّعن الدائم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الواضح لدی من له أدنی إلمام بعلم الاصول و بالکتب الاصولیة المؤلّفة علی ید المحقّقین من علماء الاصول من الإمامیّة فی القرنین الأخیرین،أنّ للشیخ الأعظم الأنصاری قدّس سرّه دورا تأسیسیا فی بعض أبحاث علم الاصول،و تطویریا فی أغلبها،و بخاصّة فی بحوث القطع،و الظن،و الاصول الجاریة فی مرحلة الشک،کالبراءة و الاشتغال و التخییر و الاستصحاب،و مباحث تعارض الأدلّة و علاجه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بودّنا أن نقوم بدراسة موضوعیة،تقارن اصول الشیخ الأعظم قدّس سرّه بأبحاث من تقدّم علیه أو عاصره و مقدار تأثّره بهم، و تحقیق میادین ریادته،سواء فی نفس الموضوعات الاصولیة أو فی اسلوب طرحها و منهجیة البحث عنها،و لکن لم نوفّق لذلک فاکتفینا فی هذه المقدمة ببیان کیفیة تحقیق الکتاب،تارکین تلک الدراسة إلی فرصة اخری،إن شاء اللّه تعالی</w:t>
      </w:r>
      <w:r>
        <w:rPr>
          <w:rFonts w:eastAsia="IRNazanin" w:cs="IRNazanin"/>
          <w:color w:val="111111"/>
          <w:sz w:val="28"/>
          <w:szCs w:val="28"/>
          <w:rtl w:val="true"/>
          <w:lang w:bidi="fa-IR"/>
        </w:rPr>
        <w:t xml:space="preserve">. </w:t>
      </w:r>
      <w:bookmarkStart w:id="17" w:name="pg12977_114053"/>
    </w:p>
    <w:p>
      <w:pPr>
        <w:pStyle w:val="BookText"/>
        <w:rPr/>
      </w:pPr>
      <w:bookmarkEnd w:id="17"/>
      <w:r>
        <w:rPr>
          <w:rFonts w:ascii="IRNazanin" w:hAnsi="IRNazanin" w:eastAsia="IRNazanin"/>
          <w:color w:val="111111"/>
          <w:sz w:val="28"/>
          <w:sz w:val="28"/>
          <w:szCs w:val="28"/>
          <w:rtl w:val="true"/>
          <w:lang w:bidi="fa-IR"/>
        </w:rPr>
        <w:t>مراحل تحقیق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تحقیق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کسائر الکتب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مراحل،و قبل بیانها نشیر إلی النسخ التی اعتمدنا علیها فی تحقیق الکتاب</w:t>
      </w:r>
      <w:r>
        <w:rPr>
          <w:rFonts w:eastAsia="IRNazanin" w:cs="IRNazanin"/>
          <w:color w:val="111111"/>
          <w:sz w:val="28"/>
          <w:szCs w:val="28"/>
          <w:rtl w:val="true"/>
          <w:lang w:bidi="fa-IR"/>
        </w:rPr>
        <w:t>.</w:t>
      </w:r>
    </w:p>
    <w:p>
      <w:pPr>
        <w:pStyle w:val="Heading3"/>
        <w:numPr>
          <w:ilvl w:val="2"/>
          <w:numId w:val="1"/>
        </w:numPr>
        <w:rPr/>
      </w:pPr>
      <w:bookmarkStart w:id="18" w:name="__RefHeading___Toc5446449_3224264995"/>
      <w:bookmarkStart w:id="19" w:name="_Toc6"/>
      <w:bookmarkEnd w:id="18"/>
      <w:r>
        <w:rPr>
          <w:rtl w:val="true"/>
        </w:rPr>
        <w:t>النسخ المعتمدة فی التحقیق</w:t>
      </w:r>
      <w:r>
        <w:rPr>
          <w:rtl w:val="true"/>
        </w:rPr>
        <w:t>:</w:t>
      </w:r>
      <w:bookmarkEnd w:id="19"/>
    </w:p>
    <w:p>
      <w:pPr>
        <w:pStyle w:val="BookText"/>
        <w:rPr/>
      </w:pPr>
      <w:r>
        <w:rPr>
          <w:rFonts w:ascii="IRNazanin" w:hAnsi="IRNazanin" w:eastAsia="IRNazanin"/>
          <w:color w:val="111111"/>
          <w:sz w:val="28"/>
          <w:sz w:val="28"/>
          <w:szCs w:val="28"/>
          <w:rtl w:val="true"/>
          <w:lang w:bidi="fa-IR"/>
        </w:rPr>
        <w:t>طبع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حیاة المؤلف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لم نبحث کثیرا عن مخطوطاته و إن استفدنا من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تعدّدت طبعاته حتی بلغت أکثر من عشرین طبعة،قام بدراستها سماحة حجة الإسلام و المسلمین الشیخ غلام رضا فیّاضی،فانتخبنا من تلک النسخ المطبوعة عشر نسخ أولا،ثم استغنینا عن خمس منها إلاّ فی 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یلی تعریف بالنسخ الرئیسیة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المخطوطة و المطبوعة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استندنا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صورة فوتوغرافیة عن مخطوطة مکتبة مجلس الشوری الإسلامی برقم </w:t>
      </w:r>
      <w:r>
        <w:rPr>
          <w:rFonts w:eastAsia="IRNazanin" w:cs="IRNazanin"/>
          <w:color w:val="111111"/>
          <w:sz w:val="28"/>
          <w:szCs w:val="28"/>
          <w:lang w:bidi="fa-IR"/>
        </w:rPr>
        <w:t>162/63300</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تتکون من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ورقة،کتبت فی حیاة المؤلف،و هی واضحة، مصحّحة،خالیة من بعض إضافات النسخ الاخری،ابتدأت من أول مبحث القطع إلی آخر الظن،ورد فی بدایتها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الحمد للّه رب العالمین،و الصلاة و السلام علی محمد و آله الطاهرین، و لعنة اللّه علی أعدائهم أجمعین إلی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أنّ المکلّف إذا التفت إلی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نهایتها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أوّلا و آخرا و صلی اللّه علی محمد و آله باطنا و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تمت فی ثامن و العشرین من شهر شعبان </w:t>
      </w:r>
    </w:p>
    <w:p>
      <w:pPr>
        <w:pStyle w:val="BookText"/>
        <w:rPr/>
      </w:pPr>
      <w:r>
        <w:rPr>
          <w:rFonts w:ascii="Amiri" w:hAnsi="Amiri" w:eastAsia="Amiri" w:cs="Amiri"/>
          <w:color w:val="111111"/>
          <w:sz w:val="28"/>
          <w:sz w:val="28"/>
          <w:szCs w:val="28"/>
          <w:rtl w:val="true"/>
          <w:lang w:bidi="ar-SA"/>
        </w:rPr>
        <w:t xml:space="preserve">المعظّم سنة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رمزنا لها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صورة فوتوغرافیة عن مخطوطة مکتبة المسجد الأعظم فی قم برقم </w:t>
      </w:r>
      <w:r>
        <w:rPr>
          <w:rFonts w:eastAsia="IRNazanin" w:cs="IRNazanin"/>
          <w:color w:val="111111"/>
          <w:sz w:val="28"/>
          <w:szCs w:val="28"/>
          <w:lang w:bidi="fa-IR"/>
        </w:rPr>
        <w:t>3230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ضمّت الکتاب کلّه من أوّل القطع الی آخر التراجیح فی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صفحة،و هی ناقصة الأوّل بمقدار نصف صفحة،جیّدة الخط،قد تفرّدت بقسم من العبارات،و احتوت علی بعض الأخطاء الواضحة،تأریخ تدوین موضوع الظنّ فیها سنة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ق،ابتدأت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کذلک فهو حرام،هذا بخلاف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رمزنا لها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فوتوغرافیة عن نسخة مطبوعة فی حیاة المؤلف قدّس سرّه عثرنا علیها فی بعض مکتبات دزفول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أوّل نسخة مطبوعة،اشتملت علی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بالقطع الوزیری، احتوت علی القطع و الظن فقط،مع مقدمة للتعریف بالکتاب و المؤلف بقلم عبد الحسین التستری،ورد فی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اتفق الفراغ من تسوید هذه النسخة الموسومة بحجّیة المظنة من تصنیفات العالم الفاضل العارف الکامل الشیخ مرتضی منّ اللّه علی المسلمین بطول بقائه،و نوّر ساحة الإسلام بشعشعة شمس جماله فی ثالث عشر شهر ربیع الثانی من شهور سنة ثمان و ستین و مائتین من بعد ألف من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قوبلت النسخة مع ما صحّحه المصنّف بنظره الشریف من أوّلها إلی آخرها،و لا نسخة أصحّ منها بظاهرها،و للّه الحمد علی کلّ حال،فإنّه العلیّ المتعال</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رمزنا لها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مطبوعة فی تبریز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أصحّ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النسخة التالیة علی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حصلنا علیها من بعض الأفاضل،طبعت بالقطع الوزیری،جاء فی نهایتها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قوبل مع النسختین الصحیحتین قبالا کاملا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زاغ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أنا العبد هاشم بن الحسین فی سنة </w:t>
      </w:r>
      <w:r>
        <w:rPr>
          <w:rFonts w:eastAsia="IRNazanin" w:cs="IRNazanin"/>
          <w:color w:val="111111"/>
          <w:sz w:val="28"/>
          <w:szCs w:val="28"/>
          <w:lang w:bidi="fa-IR"/>
        </w:rPr>
        <w:t>1302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رمزنا لها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مطبوعة فی تبریز سنة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طبعت بالقطع الرحلی،ورد فی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تمت النسخة الشریفة التی لم یطبع إلی الآن مثلها فی المطبعة المخصوصة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أنا العبد محمد علی التبریزی،فی شهر ربیع الأوّل من شهور </w:t>
      </w:r>
      <w:r>
        <w:rPr>
          <w:rFonts w:eastAsia="IRNazanin" w:cs="IRNazanin"/>
          <w:color w:val="111111"/>
          <w:sz w:val="28"/>
          <w:szCs w:val="28"/>
          <w:lang w:bidi="fa-IR"/>
        </w:rPr>
        <w:t>1314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 لنا هذه النسخة بعض الأفاضل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رمزنا لها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معروفة متداولة بین الأساتذة و الطلاب منذ سنین،طبعت سنة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بالقطع الرحلی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رمزنا لها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مطبوعة فی طهران بالقطع الرحلی،و علیها تصحیحات بعض العلماء الأجلاّء فی أصفهان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حصّلنا هذه النسخة من مکتبة بعض السادة الأجلاّء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رمزنا لها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النسخ الثانویة التی استفدنا منها،فقد أشرنا إلیها فی الکتاب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بذکر رموزها الخاصة،و هی کما یأتی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صورة فوتوغرافیة عن نسخة مطبوعة تحمل الرقم </w:t>
      </w:r>
      <w:r>
        <w:rPr>
          <w:rFonts w:eastAsia="IRNazanin" w:cs="IRNazanin"/>
          <w:color w:val="111111"/>
          <w:sz w:val="28"/>
          <w:szCs w:val="28"/>
          <w:rtl w:val="true"/>
          <w:lang w:bidi="fa-IR"/>
        </w:rPr>
        <w:t>/</w:t>
      </w:r>
      <w:r>
        <w:rPr>
          <w:rFonts w:eastAsia="IRNazanin" w:cs="IRNazanin"/>
          <w:color w:val="111111"/>
          <w:sz w:val="28"/>
          <w:szCs w:val="28"/>
          <w:lang w:bidi="fa-IR"/>
        </w:rPr>
        <w:t>2059</w:t>
      </w:r>
      <w:r>
        <w:rPr>
          <w:rFonts w:eastAsia="IRNazanin" w:cs="IRNazanin"/>
          <w:color w:val="111111"/>
          <w:sz w:val="28"/>
          <w:szCs w:val="28"/>
          <w:rtl w:val="true"/>
          <w:lang w:bidi="fa-IR"/>
        </w:rPr>
        <w:t xml:space="preserve"> </w:t>
      </w:r>
      <w:r>
        <w:rPr>
          <w:rFonts w:eastAsia="IRNazanin" w:cs="IRNazanin"/>
          <w:color w:val="111111"/>
          <w:sz w:val="28"/>
          <w:szCs w:val="28"/>
          <w:lang w:bidi="fa-IR"/>
        </w:rPr>
        <w:t>15/8/8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السید 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کاملة،لم یذکر اسم مستنسخها و لا تأریخ التدوین و 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رمزنا لها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صورة فوتوغرافیة عن نسخة مطبوعة تحمل الرقم </w:t>
      </w:r>
      <w:r>
        <w:rPr>
          <w:rFonts w:eastAsia="IRNazanin" w:cs="IRNazanin"/>
          <w:color w:val="111111"/>
          <w:sz w:val="28"/>
          <w:szCs w:val="28"/>
          <w:rtl w:val="true"/>
          <w:lang w:bidi="fa-IR"/>
        </w:rPr>
        <w:t>/</w:t>
      </w:r>
      <w:r>
        <w:rPr>
          <w:rFonts w:eastAsia="IRNazanin" w:cs="IRNazanin"/>
          <w:color w:val="111111"/>
          <w:sz w:val="28"/>
          <w:szCs w:val="28"/>
          <w:lang w:bidi="fa-IR"/>
        </w:rPr>
        <w:t>3542</w:t>
      </w:r>
      <w:r>
        <w:rPr>
          <w:rFonts w:eastAsia="IRNazanin" w:cs="IRNazanin"/>
          <w:color w:val="111111"/>
          <w:sz w:val="28"/>
          <w:szCs w:val="28"/>
          <w:rtl w:val="true"/>
          <w:lang w:bidi="fa-IR"/>
        </w:rPr>
        <w:t xml:space="preserve"> </w:t>
      </w:r>
      <w:r>
        <w:rPr>
          <w:rFonts w:eastAsia="IRNazanin" w:cs="IRNazanin"/>
          <w:color w:val="111111"/>
          <w:sz w:val="28"/>
          <w:szCs w:val="28"/>
          <w:lang w:bidi="fa-IR"/>
        </w:rPr>
        <w:t>22/8/94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السید 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یذکر اسم مستنسخها و لا تاریخ التدوین و الطبع،و یبدو أنّها طبعت أیام ناصر الدین شاه القاجاری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رمزنا لها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صورة فوتوغرافیة عن نسخة مطبوعة تحمل الرقم </w:t>
      </w:r>
      <w:r>
        <w:rPr>
          <w:rFonts w:eastAsia="IRNazanin" w:cs="IRNazanin"/>
          <w:color w:val="111111"/>
          <w:sz w:val="28"/>
          <w:szCs w:val="28"/>
          <w:lang w:bidi="fa-IR"/>
        </w:rPr>
        <w:t>36804</w:t>
      </w:r>
      <w:r>
        <w:rPr>
          <w:rFonts w:eastAsia="IRNazanin" w:cs="IRNazanin"/>
          <w:color w:val="111111"/>
          <w:sz w:val="28"/>
          <w:szCs w:val="28"/>
          <w:rtl w:val="true"/>
          <w:lang w:bidi="fa-IR"/>
        </w:rPr>
        <w:t xml:space="preserve"> </w:t>
      </w:r>
      <w:r>
        <w:rPr>
          <w:rFonts w:eastAsia="IRNazanin" w:cs="IRNazanin"/>
          <w:color w:val="111111"/>
          <w:sz w:val="28"/>
          <w:szCs w:val="28"/>
          <w:lang w:bidi="fa-IR"/>
        </w:rPr>
        <w:t>8/7/128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السید 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طبعت فی طهران بالقطع الوزیری،تأریخ تدوینها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یبدو من بعض حواشیها أنّ النسخة المصحّحة بید المؤلف کانت عند مصحّحی هذه النسخة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رمزنا لها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صورة فوتوغرافیة عن نسخة مطبوعة تحمل الرقم </w:t>
      </w:r>
      <w:r>
        <w:rPr>
          <w:rFonts w:eastAsia="IRNazanin" w:cs="IRNazanin"/>
          <w:color w:val="111111"/>
          <w:sz w:val="28"/>
          <w:szCs w:val="28"/>
          <w:rtl w:val="true"/>
          <w:lang w:bidi="fa-IR"/>
        </w:rPr>
        <w:t>/</w:t>
      </w:r>
      <w:r>
        <w:rPr>
          <w:rFonts w:eastAsia="IRNazanin" w:cs="IRNazanin"/>
          <w:color w:val="111111"/>
          <w:sz w:val="28"/>
          <w:szCs w:val="28"/>
          <w:lang w:bidi="fa-IR"/>
        </w:rPr>
        <w:t>66688</w:t>
      </w:r>
      <w:r>
        <w:rPr>
          <w:rFonts w:eastAsia="IRNazanin" w:cs="IRNazanin"/>
          <w:color w:val="111111"/>
          <w:sz w:val="28"/>
          <w:szCs w:val="28"/>
          <w:rtl w:val="true"/>
          <w:lang w:bidi="fa-IR"/>
        </w:rPr>
        <w:t xml:space="preserve"> </w:t>
      </w:r>
      <w:r>
        <w:rPr>
          <w:rFonts w:eastAsia="IRNazanin" w:cs="IRNazanin"/>
          <w:color w:val="111111"/>
          <w:sz w:val="28"/>
          <w:szCs w:val="28"/>
          <w:lang w:bidi="fa-IR"/>
        </w:rPr>
        <w:t>6/3/214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السید 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طبعت فی طهران بالقطع الوزیری،دوّنت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ق،یبدو من مقدمة المصححین أنّها قوبلت بعدة نسخ مصححة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رمزنا لها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صورة فوتوغرافیة عن نسخة مطبوعة تحمل الرقم </w:t>
      </w:r>
      <w:r>
        <w:rPr>
          <w:rFonts w:eastAsia="IRNazanin" w:cs="IRNazanin"/>
          <w:color w:val="111111"/>
          <w:sz w:val="28"/>
          <w:szCs w:val="28"/>
          <w:rtl w:val="true"/>
          <w:lang w:bidi="fa-IR"/>
        </w:rPr>
        <w:t>/</w:t>
      </w:r>
      <w:r>
        <w:rPr>
          <w:rFonts w:eastAsia="IRNazanin" w:cs="IRNazanin"/>
          <w:color w:val="111111"/>
          <w:sz w:val="28"/>
          <w:szCs w:val="28"/>
          <w:lang w:bidi="fa-IR"/>
        </w:rPr>
        <w:t>56528</w:t>
      </w:r>
      <w:r>
        <w:rPr>
          <w:rFonts w:eastAsia="IRNazanin" w:cs="IRNazanin"/>
          <w:color w:val="111111"/>
          <w:sz w:val="28"/>
          <w:szCs w:val="28"/>
          <w:rtl w:val="true"/>
          <w:lang w:bidi="fa-IR"/>
        </w:rPr>
        <w:t xml:space="preserve"> </w:t>
      </w:r>
      <w:r>
        <w:rPr>
          <w:rFonts w:eastAsia="IRNazanin" w:cs="IRNazanin"/>
          <w:color w:val="111111"/>
          <w:sz w:val="28"/>
          <w:szCs w:val="28"/>
          <w:lang w:bidi="fa-IR"/>
        </w:rPr>
        <w:t>33/7/185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السید المرعشی</w:t>
      </w:r>
      <w:r>
        <w:rPr>
          <w:rFonts w:eastAsia="IRNazanin" w:cs="IRNazanin"/>
          <w:color w:val="111111"/>
          <w:sz w:val="28"/>
          <w:szCs w:val="28"/>
          <w:rtl w:val="true"/>
          <w:lang w:bidi="fa-IR"/>
        </w:rPr>
        <w:t xml:space="preserve">: </w:t>
      </w:r>
      <w:bookmarkStart w:id="20" w:name="pg12977_114057"/>
    </w:p>
    <w:p>
      <w:pPr>
        <w:pStyle w:val="BookText"/>
        <w:rPr/>
      </w:pPr>
      <w:bookmarkEnd w:id="20"/>
      <w:r>
        <w:rPr>
          <w:rFonts w:ascii="IRNazanin" w:hAnsi="IRNazanin" w:eastAsia="IRNazanin"/>
          <w:color w:val="111111"/>
          <w:sz w:val="28"/>
          <w:sz w:val="28"/>
          <w:szCs w:val="28"/>
          <w:rtl w:val="true"/>
          <w:lang w:bidi="fa-IR"/>
        </w:rPr>
        <w:t xml:space="preserve">طبعت فی طهران بالقطع الوزیری،تأریخ تدوینها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قوبلت ببعض النسخ المصححة کما جاء فی مقدمتها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رمزنا لها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مطبوعة فی قم بالقطع الوزیری سنة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ق،و فی مقدمتها ترجمة لحیاة الشیخ الأنصاری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رمزنا لها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Heading3"/>
        <w:numPr>
          <w:ilvl w:val="2"/>
          <w:numId w:val="1"/>
        </w:numPr>
        <w:rPr/>
      </w:pPr>
      <w:bookmarkStart w:id="21" w:name="__RefHeading___Toc5446451_3224264995"/>
      <w:bookmarkStart w:id="22" w:name="_Toc7"/>
      <w:bookmarkEnd w:id="21"/>
      <w:r>
        <w:rPr>
          <w:rtl w:val="true"/>
        </w:rPr>
        <w:t>مراحل التحقیق</w:t>
      </w:r>
      <w:r>
        <w:rPr>
          <w:rtl w:val="true"/>
        </w:rPr>
        <w:t>:</w:t>
      </w:r>
      <w:bookmarkEnd w:id="22"/>
    </w:p>
    <w:p>
      <w:pPr>
        <w:pStyle w:val="Heading4"/>
        <w:numPr>
          <w:ilvl w:val="3"/>
          <w:numId w:val="1"/>
        </w:numPr>
        <w:rPr/>
      </w:pPr>
      <w:bookmarkStart w:id="23" w:name="__RefHeading___Toc5446453_3224264995"/>
      <w:bookmarkStart w:id="24" w:name="_Toc8"/>
      <w:bookmarkEnd w:id="23"/>
      <w:r>
        <w:rPr>
          <w:rtl w:val="true"/>
        </w:rPr>
        <w:t>اشارة</w:t>
      </w:r>
      <w:bookmarkEnd w:id="24"/>
    </w:p>
    <w:p>
      <w:pPr>
        <w:pStyle w:val="BookText"/>
        <w:rPr/>
      </w:pPr>
      <w:r>
        <w:rPr>
          <w:rFonts w:ascii="IRNazanin" w:hAnsi="IRNazanin" w:eastAsia="IRNazanin"/>
          <w:color w:val="111111"/>
          <w:sz w:val="28"/>
          <w:sz w:val="28"/>
          <w:szCs w:val="28"/>
          <w:rtl w:val="true"/>
          <w:lang w:bidi="fa-IR"/>
        </w:rPr>
        <w:t>شکّلت عدة لجان ذات کفاءة عالیة لإنجاز مراحل تحقیق الکتاب وفقا للبیان الآتی</w:t>
      </w:r>
      <w:r>
        <w:rPr>
          <w:rFonts w:eastAsia="IRNazanin" w:cs="IRNazanin"/>
          <w:color w:val="111111"/>
          <w:sz w:val="28"/>
          <w:szCs w:val="28"/>
          <w:rtl w:val="true"/>
          <w:lang w:bidi="fa-IR"/>
        </w:rPr>
        <w:t>:</w:t>
      </w:r>
    </w:p>
    <w:p>
      <w:pPr>
        <w:pStyle w:val="Heading4"/>
        <w:numPr>
          <w:ilvl w:val="3"/>
          <w:numId w:val="1"/>
        </w:numPr>
        <w:rPr/>
      </w:pPr>
      <w:bookmarkStart w:id="25" w:name="__RefHeading___Toc5446455_3224264995"/>
      <w:bookmarkStart w:id="26" w:name="_Toc9"/>
      <w:bookmarkEnd w:id="25"/>
      <w:r>
        <w:rPr>
          <w:rtl w:val="true"/>
        </w:rPr>
        <w:t>أ</w:t>
      </w:r>
      <w:r>
        <w:rPr>
          <w:rtl w:val="true"/>
        </w:rPr>
        <w:t>-</w:t>
      </w:r>
      <w:r>
        <w:rPr>
          <w:rtl w:val="true"/>
        </w:rPr>
        <w:t>مقابلة النسخ</w:t>
      </w:r>
      <w:r>
        <w:rPr>
          <w:rtl w:val="true"/>
        </w:rPr>
        <w:t>:</w:t>
      </w:r>
      <w:bookmarkEnd w:id="26"/>
    </w:p>
    <w:p>
      <w:pPr>
        <w:pStyle w:val="BookText"/>
        <w:rPr/>
      </w:pPr>
      <w:r>
        <w:rPr>
          <w:rFonts w:ascii="IRNazanin" w:hAnsi="IRNazanin" w:eastAsia="IRNazanin"/>
          <w:color w:val="111111"/>
          <w:sz w:val="28"/>
          <w:sz w:val="28"/>
          <w:szCs w:val="28"/>
          <w:rtl w:val="true"/>
          <w:lang w:bidi="fa-IR"/>
        </w:rPr>
        <w:t>سجّلت اللجنة المختصة بذلک موارد الاختلاف بدقة فائقة،و تکوّنت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 و المسلمین السید یحیی الحسینی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 و المسلمین السید جواد شفیعی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 الشیخ محمد تقی راشدی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 السید هادی عظیمی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صادق الحسون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تبریزیان</w:t>
      </w:r>
      <w:r>
        <w:rPr>
          <w:rFonts w:eastAsia="IRNazanin" w:cs="IRNazanin"/>
          <w:color w:val="111111"/>
          <w:sz w:val="28"/>
          <w:szCs w:val="28"/>
          <w:rtl w:val="true"/>
          <w:lang w:bidi="fa-IR"/>
        </w:rPr>
        <w:t>).</w:t>
      </w:r>
    </w:p>
    <w:p>
      <w:pPr>
        <w:pStyle w:val="Heading4"/>
        <w:numPr>
          <w:ilvl w:val="3"/>
          <w:numId w:val="1"/>
        </w:numPr>
        <w:rPr/>
      </w:pPr>
      <w:bookmarkStart w:id="27" w:name="__RefHeading___Toc5446457_3224264995"/>
      <w:bookmarkStart w:id="28" w:name="_Toc10"/>
      <w:bookmarkEnd w:id="27"/>
      <w:r>
        <w:rPr>
          <w:rtl w:val="true"/>
        </w:rPr>
        <w:t>ب</w:t>
      </w:r>
      <w:r>
        <w:rPr>
          <w:rtl w:val="true"/>
        </w:rPr>
        <w:t>-</w:t>
      </w:r>
      <w:r>
        <w:rPr>
          <w:rtl w:val="true"/>
        </w:rPr>
        <w:t>استخراج مصادر النصوص</w:t>
      </w:r>
      <w:r>
        <w:rPr>
          <w:rtl w:val="true"/>
        </w:rPr>
        <w:t>:</w:t>
      </w:r>
      <w:bookmarkEnd w:id="28"/>
    </w:p>
    <w:p>
      <w:pPr>
        <w:pStyle w:val="BookText"/>
        <w:rPr/>
      </w:pPr>
      <w:r>
        <w:rPr>
          <w:rFonts w:ascii="IRNazanin" w:hAnsi="IRNazanin" w:eastAsia="IRNazanin"/>
          <w:color w:val="111111"/>
          <w:sz w:val="28"/>
          <w:sz w:val="28"/>
          <w:szCs w:val="28"/>
          <w:rtl w:val="true"/>
          <w:lang w:bidi="fa-IR"/>
        </w:rPr>
        <w:t>اسند هذا الأمر إلی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 و المسلمین السید یحیی الحسینی</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 و المسلمین السید جواد شفیعی</w:t>
      </w:r>
      <w:r>
        <w:rPr>
          <w:rFonts w:eastAsia="IRNazanin" w:cs="IRNazanin"/>
          <w:color w:val="111111"/>
          <w:sz w:val="28"/>
          <w:szCs w:val="28"/>
          <w:rtl w:val="true"/>
          <w:lang w:bidi="fa-IR"/>
        </w:rPr>
        <w:t xml:space="preserve">. </w:t>
      </w:r>
      <w:bookmarkStart w:id="29" w:name="pg12977_114058"/>
    </w:p>
    <w:p>
      <w:pPr>
        <w:pStyle w:val="BookText"/>
        <w:rPr/>
      </w:pPr>
      <w:bookmarkEnd w:id="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 و المسلمین الشیخ محمد حسین أحمدی 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استخرج الأوّلان مصادر القطع و الظن و البراءة و الاشتغال،و دقّقها الأخیر الذی تولّی استخراج مصادر الاستصحاب و التعادل و التراجیح و دقّقها حجة الإسلام و المسلمین الشیخ محمد باقر حسن‌پور</w:t>
      </w:r>
      <w:r>
        <w:rPr>
          <w:rFonts w:eastAsia="IRNazanin" w:cs="IRNazanin"/>
          <w:color w:val="111111"/>
          <w:sz w:val="28"/>
          <w:szCs w:val="28"/>
          <w:rtl w:val="true"/>
          <w:lang w:bidi="fa-IR"/>
        </w:rPr>
        <w:t>.</w:t>
      </w:r>
    </w:p>
    <w:p>
      <w:pPr>
        <w:pStyle w:val="Heading4"/>
        <w:numPr>
          <w:ilvl w:val="3"/>
          <w:numId w:val="1"/>
        </w:numPr>
        <w:rPr/>
      </w:pPr>
      <w:bookmarkStart w:id="30" w:name="__RefHeading___Toc5446459_3224264995"/>
      <w:bookmarkStart w:id="31" w:name="_Toc11"/>
      <w:bookmarkEnd w:id="30"/>
      <w:r>
        <w:rPr>
          <w:rtl w:val="true"/>
        </w:rPr>
        <w:t>ج</w:t>
      </w:r>
      <w:r>
        <w:rPr>
          <w:rtl w:val="true"/>
        </w:rPr>
        <w:t>-</w:t>
      </w:r>
      <w:r>
        <w:rPr>
          <w:rtl w:val="true"/>
        </w:rPr>
        <w:t>تقویم النص</w:t>
      </w:r>
      <w:r>
        <w:rPr>
          <w:rtl w:val="true"/>
        </w:rPr>
        <w:t>:</w:t>
      </w:r>
      <w:bookmarkEnd w:id="31"/>
    </w:p>
    <w:p>
      <w:pPr>
        <w:pStyle w:val="BookText"/>
        <w:rPr/>
      </w:pPr>
      <w:r>
        <w:rPr>
          <w:rFonts w:ascii="IRNazanin" w:hAnsi="IRNazanin" w:eastAsia="IRNazanin"/>
          <w:color w:val="111111"/>
          <w:sz w:val="28"/>
          <w:sz w:val="28"/>
          <w:szCs w:val="28"/>
          <w:rtl w:val="true"/>
          <w:lang w:bidi="fa-IR"/>
        </w:rPr>
        <w:t>عملیة التقویم من أهمّ مراحل تحقیق الکتاب،لأنّها تتصدی لانتقاء النصّ الصحیح من بین نسخ عدیدة اشتملت علی اختلافات تغیّر المعنی أحیانا،و خاصّة بالنسبة إلی کتاب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أجری علیه المؤلف نفسه و آخرون عدّة تصحیحات اختلط بعضها ببعض و بتعلیقات توضیحیة أحیانا،فتعقد الأمر و صارت مهمة هذه اللجنة صعبة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قیّض لها اللّه تعالی شخصین فاضلین یطمأن إلیهما،مارسا تدریس هذا الکتاب قبل القیام بتحقیقه،و 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 و المسلمین الشیخ علی رضا إسلامیان الذی تصدّی لتقویم نصوص القطع و الظن و البراءة و الاشتغال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 و المسلمین الشیخ محمد حسین أحمدی الشاهرودی الذی تصدّی لتقویم نصوص الاستصحاب و التعادل و التراجیح،إضافة إلی قیامه بکتابة العناوین الجانبیة</w:t>
      </w:r>
      <w:r>
        <w:rPr>
          <w:rFonts w:eastAsia="IRNazanin" w:cs="IRNazanin"/>
          <w:color w:val="111111"/>
          <w:sz w:val="28"/>
          <w:szCs w:val="28"/>
          <w:rtl w:val="true"/>
          <w:lang w:bidi="fa-IR"/>
        </w:rPr>
        <w:t>.</w:t>
      </w:r>
    </w:p>
    <w:p>
      <w:pPr>
        <w:pStyle w:val="Heading4"/>
        <w:numPr>
          <w:ilvl w:val="3"/>
          <w:numId w:val="1"/>
        </w:numPr>
        <w:rPr/>
      </w:pPr>
      <w:bookmarkStart w:id="32" w:name="__RefHeading___Toc5446461_3224264995"/>
      <w:bookmarkStart w:id="33" w:name="_Toc12"/>
      <w:bookmarkEnd w:id="32"/>
      <w:r>
        <w:rPr>
          <w:rtl w:val="true"/>
        </w:rPr>
        <w:t>د</w:t>
      </w:r>
      <w:r>
        <w:rPr>
          <w:rtl w:val="true"/>
        </w:rPr>
        <w:t>-</w:t>
      </w:r>
      <w:r>
        <w:rPr>
          <w:rtl w:val="true"/>
        </w:rPr>
        <w:t>المراجعة العامة للکتاب</w:t>
      </w:r>
      <w:r>
        <w:rPr>
          <w:rtl w:val="true"/>
        </w:rPr>
        <w:t>:</w:t>
      </w:r>
      <w:bookmarkEnd w:id="33"/>
    </w:p>
    <w:p>
      <w:pPr>
        <w:pStyle w:val="BookText"/>
        <w:rPr/>
      </w:pPr>
      <w:r>
        <w:rPr>
          <w:rFonts w:ascii="IRNazanin" w:hAnsi="IRNazanin" w:eastAsia="IRNazanin"/>
          <w:color w:val="111111"/>
          <w:sz w:val="28"/>
          <w:sz w:val="28"/>
          <w:szCs w:val="28"/>
          <w:rtl w:val="true"/>
          <w:lang w:bidi="fa-IR"/>
        </w:rPr>
        <w:t>انبری لذلک حجة الإسلام و المسلمین السید محمد جواد الحسینی الجلالی،و حجّة الإسلام و المسلمین الشیخ صادق الکاشانی</w:t>
      </w:r>
      <w:r>
        <w:rPr>
          <w:rFonts w:eastAsia="IRNazanin" w:cs="IRNazanin"/>
          <w:color w:val="111111"/>
          <w:sz w:val="28"/>
          <w:szCs w:val="28"/>
          <w:rtl w:val="true"/>
          <w:lang w:bidi="fa-IR"/>
        </w:rPr>
        <w:t>.</w:t>
      </w:r>
    </w:p>
    <w:p>
      <w:pPr>
        <w:pStyle w:val="Heading4"/>
        <w:numPr>
          <w:ilvl w:val="3"/>
          <w:numId w:val="1"/>
        </w:numPr>
        <w:rPr/>
      </w:pPr>
      <w:bookmarkStart w:id="34" w:name="__RefHeading___Toc5446463_3224264995"/>
      <w:bookmarkStart w:id="35" w:name="_Toc13"/>
      <w:bookmarkEnd w:id="34"/>
      <w:r>
        <w:rPr>
          <w:rtl w:val="true"/>
        </w:rPr>
        <w:t>و</w:t>
      </w:r>
      <w:r>
        <w:rPr>
          <w:rtl w:val="true"/>
        </w:rPr>
        <w:t>-</w:t>
      </w:r>
      <w:r>
        <w:rPr>
          <w:rtl w:val="true"/>
        </w:rPr>
        <w:t>نضد الحروف</w:t>
      </w:r>
      <w:r>
        <w:rPr>
          <w:rtl w:val="true"/>
        </w:rPr>
        <w:t>:</w:t>
      </w:r>
      <w:bookmarkEnd w:id="35"/>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ذلک علی ید الأخ محمّد خازن بنحو دقیق،روعیت فیه الجوانب الفنیّة و الجمالیّة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کنت إلی جانب کل هؤلاء الإخوة الأفاضل اقدّم ما تیسّر لی من خدمات متواضعة فی سبیل تحقیق هذا التراث الثمین،إضافة إلی مراجعتی للکتاب عدّة مرّات و فی عدّة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تظافرت جهود هذه المجموعة من الفضلاء و ذوی الخبرة لإخراج الکتاب بنحو علمی دقیق،و بصیاغة حدیثة أنیقة لتوفیر فرص قیّمة للاستفادة منه،راجین من العلماء و الفضلاء و بخاصة الذین مارسوا تدریسه أن یتحفونا بآرائهم و إرشاداتهم رفدا للمسیرة العلمیة المزهرة و وفاء للعلماء المتقدمین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ختاما نرجو اللّه العلی القدیر أن یوفّق کلّ من شارکنا فی تحقیق هذا الکتاب الجلیل لمزید من الخدمات لمذهب أهل البیت علیهم السلام،إنّه قریب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مسئول لجنة التحقیق محمّد علی الأنصاری </w:t>
      </w:r>
    </w:p>
    <w:p>
      <w:pPr>
        <w:pStyle w:val="BookText"/>
        <w:rPr/>
      </w:pPr>
      <w:r>
        <w:rPr>
          <w:rFonts w:ascii="IRNazanin" w:hAnsi="IRNazanin" w:eastAsia="IRNazanin"/>
          <w:color w:val="111111"/>
          <w:sz w:val="28"/>
          <w:sz w:val="28"/>
          <w:szCs w:val="28"/>
          <w:rtl w:val="true"/>
          <w:lang w:bidi="fa-IR"/>
        </w:rPr>
        <w:t>نماذج مصوّرة من بعض النسخ المعتمد علیها فی تحقیق الکتاب</w:t>
      </w:r>
    </w:p>
    <w:p>
      <w:pPr>
        <w:pStyle w:val="BookText"/>
        <w:rPr/>
      </w:pPr>
      <w:r>
        <w:rPr>
          <w:rFonts w:ascii="Amiri" w:hAnsi="Amiri" w:eastAsia="Amiri" w:cs="Amiri"/>
          <w:color w:val="111111"/>
          <w:sz w:val="28"/>
          <w:sz w:val="28"/>
          <w:szCs w:val="28"/>
          <w:rtl w:val="true"/>
          <w:lang w:bidi="ar-SA"/>
        </w:rPr>
        <w:t>صورة</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737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8" o:detectmouseclick="t"/>
                <v:stroke color="#3465a4" joinstyle="round" endcap="flat"/>
                <w10:wrap type="none"/>
              </v:shape>
            </w:pict>
          </mc:Fallback>
        </mc:AlternateConten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737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1" o:detectmouseclick="t"/>
                <v:stroke color="#3465a4" joinstyle="round" endcap="flat"/>
                <w10:wrap type="none"/>
              </v:shape>
            </w:pict>
          </mc:Fallback>
        </mc:AlternateConten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الاولی من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737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4" o:detectmouseclick="t"/>
                <v:stroke color="#3465a4" joinstyle="round" endcap="flat"/>
                <w10:wrap type="none"/>
              </v:shape>
            </w:pict>
          </mc:Fallback>
        </mc:AlternateConten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الاولی من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للموتمر العالمی بمناسبه الذکری للمئویه‌الثانیه لمیلاد‌الشیخ‌الانصاری</w:t>
      </w:r>
    </w:p>
    <w:p>
      <w:pPr>
        <w:pStyle w:val="BookText"/>
        <w:rPr/>
      </w:pPr>
      <w:r>
        <w:rPr>
          <w:rFonts w:ascii="IRNazanin" w:hAnsi="IRNazanin" w:eastAsia="IRNazanin"/>
          <w:color w:val="111111"/>
          <w:sz w:val="28"/>
          <w:sz w:val="28"/>
          <w:szCs w:val="28"/>
          <w:rtl w:val="true"/>
          <w:lang w:bidi="fa-IR"/>
        </w:rPr>
        <w:t>فرائد الاصول</w:t>
      </w:r>
    </w:p>
    <w:p>
      <w:pPr>
        <w:pStyle w:val="BookText"/>
        <w:rPr/>
      </w:pPr>
      <w:r>
        <w:rPr>
          <w:rFonts w:ascii="IRNazanin" w:hAnsi="IRNazanin" w:eastAsia="IRNazanin"/>
          <w:color w:val="111111"/>
          <w:sz w:val="28"/>
          <w:sz w:val="28"/>
          <w:szCs w:val="28"/>
          <w:rtl w:val="true"/>
          <w:lang w:bidi="fa-IR"/>
        </w:rPr>
        <w:t>للشیخ الاعظم استاد الفقهاء و المجتهدین الشیخ مرتضی الانصاری</w:t>
      </w:r>
    </w:p>
    <w:p>
      <w:pPr>
        <w:pStyle w:val="BookText"/>
        <w:rPr/>
      </w:pP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الاول</w:t>
      </w:r>
    </w:p>
    <w:p>
      <w:pPr>
        <w:pStyle w:val="BookText"/>
        <w:rPr/>
      </w:pPr>
      <w:r>
        <w:rPr>
          <w:rFonts w:ascii="IRNazanin" w:hAnsi="IRNazanin" w:eastAsia="IRNazanin"/>
          <w:color w:val="111111"/>
          <w:sz w:val="28"/>
          <w:sz w:val="28"/>
          <w:szCs w:val="28"/>
          <w:rtl w:val="true"/>
          <w:lang w:bidi="fa-IR"/>
        </w:rPr>
        <w:t>اعداد</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لجنه تحقیق تراث‌الشیخ الاعظم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12977_114066"/>
      <w:bookmarkStart w:id="37" w:name="pg12977_114066"/>
      <w:bookmarkEnd w:id="37"/>
    </w:p>
    <w:p>
      <w:pPr>
        <w:pStyle w:val="Heading2"/>
        <w:numPr>
          <w:ilvl w:val="1"/>
          <w:numId w:val="1"/>
        </w:numPr>
        <w:rPr/>
      </w:pPr>
      <w:bookmarkStart w:id="38" w:name="pg12977_114066"/>
      <w:bookmarkStart w:id="39" w:name="__RefHeading___Toc5446465_3224264995"/>
      <w:bookmarkStart w:id="40" w:name="_Toc14"/>
      <w:bookmarkEnd w:id="38"/>
      <w:bookmarkEnd w:id="39"/>
      <w:r>
        <w:rPr>
          <w:rtl w:val="true"/>
        </w:rPr>
        <w:t>تمهید</w:t>
      </w:r>
      <w:bookmarkEnd w:id="40"/>
    </w:p>
    <w:p>
      <w:pPr>
        <w:pStyle w:val="Heading3"/>
        <w:numPr>
          <w:ilvl w:val="2"/>
          <w:numId w:val="1"/>
        </w:numPr>
        <w:rPr/>
      </w:pPr>
      <w:bookmarkStart w:id="41" w:name="__RefHeading___Toc5446467_3224264995"/>
      <w:bookmarkStart w:id="42" w:name="_Toc15"/>
      <w:bookmarkEnd w:id="41"/>
      <w:r>
        <w:rPr>
          <w:rtl w:val="true"/>
        </w:rPr>
        <w:t>اشارة</w:t>
      </w:r>
      <w:bookmarkEnd w:id="42"/>
    </w:p>
    <w:p>
      <w:pPr>
        <w:pStyle w:val="BookText"/>
        <w:rPr/>
      </w:pPr>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43" w:name="__RefHeading___Toc5446469_3224264995"/>
      <w:bookmarkStart w:id="44" w:name="_Toc16"/>
      <w:bookmarkEnd w:id="43"/>
      <w:r>
        <w:rPr>
          <w:rtl w:val="true"/>
        </w:rPr>
        <w:t>المکلّف إذا التفت إلی حکم شرعیّ</w:t>
      </w:r>
      <w:bookmarkEnd w:id="44"/>
    </w:p>
    <w:p>
      <w:pPr>
        <w:pStyle w:val="BookText"/>
        <w:rPr/>
      </w:pPr>
      <w:r>
        <w:rPr>
          <w:rFonts w:ascii="IRNazanin" w:hAnsi="IRNazanin" w:eastAsia="IRNazanin"/>
          <w:color w:val="111111"/>
          <w:sz w:val="28"/>
          <w:sz w:val="28"/>
          <w:szCs w:val="28"/>
          <w:rtl w:val="true"/>
          <w:lang w:bidi="fa-IR"/>
        </w:rPr>
        <w:t xml:space="preserve">اعلم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المکلّف إذا التفت إلی حکم شرعیّ،فإمّا أن یحصل له </w:t>
      </w:r>
      <w:r>
        <w:rPr>
          <w:rStyle w:val="FootnoteAnchor"/>
          <w:rtl w:val="true"/>
        </w:rPr>
        <w:footnoteReference w:id="3"/>
      </w:r>
      <w:r>
        <w:rPr>
          <w:rFonts w:ascii="IRNazanin" w:hAnsi="IRNazanin" w:eastAsia="IRNazanin"/>
          <w:color w:val="111111"/>
          <w:sz w:val="28"/>
          <w:sz w:val="28"/>
          <w:szCs w:val="28"/>
          <w:rtl w:val="true"/>
          <w:lang w:bidi="fa-IR"/>
        </w:rPr>
        <w:t>الشکّ فیه،أو القطع،أو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حصل له </w:t>
      </w:r>
      <w:r>
        <w:rPr>
          <w:rStyle w:val="FootnoteAnchor"/>
          <w:rtl w:val="true"/>
        </w:rPr>
        <w:footnoteReference w:id="4"/>
      </w:r>
      <w:r>
        <w:rPr>
          <w:rFonts w:ascii="IRNazanin" w:hAnsi="IRNazanin" w:eastAsia="IRNazanin"/>
          <w:color w:val="111111"/>
          <w:sz w:val="28"/>
          <w:sz w:val="28"/>
          <w:szCs w:val="28"/>
          <w:rtl w:val="true"/>
          <w:lang w:bidi="fa-IR"/>
        </w:rPr>
        <w:t>الشکّ،فالمرجع فیه هی القواعد الشرعیّة الثابتة للشاکّ فی مقام العمل،و تسمّی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منحصرة فی أربعة؛لأنّ الشکّ</w:t>
      </w:r>
      <w:r>
        <w:rPr>
          <w:rFonts w:eastAsia="IRNazanin" w:cs="IRNazanin"/>
          <w:color w:val="111111"/>
          <w:sz w:val="28"/>
          <w:szCs w:val="28"/>
          <w:rtl w:val="true"/>
          <w:lang w:bidi="fa-IR"/>
        </w:rPr>
        <w:t>:</w:t>
      </w:r>
    </w:p>
    <w:p>
      <w:pPr>
        <w:pStyle w:val="Heading3"/>
        <w:numPr>
          <w:ilvl w:val="2"/>
          <w:numId w:val="1"/>
        </w:numPr>
        <w:rPr/>
      </w:pPr>
      <w:bookmarkStart w:id="45" w:name="__RefHeading___Toc5446471_3224264995"/>
      <w:bookmarkStart w:id="46" w:name="_Toc17"/>
      <w:bookmarkEnd w:id="45"/>
      <w:r>
        <w:rPr>
          <w:rtl w:val="true"/>
        </w:rPr>
        <w:t>الأصول العملیة الأربعة و مجاریها</w:t>
      </w:r>
      <w:bookmarkEnd w:id="46"/>
    </w:p>
    <w:p>
      <w:pPr>
        <w:pStyle w:val="BookText"/>
        <w:rPr/>
      </w:pPr>
      <w:r>
        <w:rPr>
          <w:rFonts w:ascii="IRNazanin" w:hAnsi="IRNazanin" w:eastAsia="IRNazanin"/>
          <w:color w:val="111111"/>
          <w:sz w:val="28"/>
          <w:sz w:val="28"/>
          <w:szCs w:val="28"/>
          <w:rtl w:val="true"/>
          <w:lang w:bidi="fa-IR"/>
        </w:rPr>
        <w:t>إمّا أن یلاحظ فیه الحالة السابقة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أن یمکن الاحتیاط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أن یکون الشکّ فی التکلیف أو فی المکلّف به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فالأوّل مجری الاستصحاب،و الثانی </w:t>
      </w:r>
      <w:r>
        <w:rPr>
          <w:rStyle w:val="FootnoteAnchor"/>
          <w:rtl w:val="true"/>
        </w:rPr>
        <w:footnoteReference w:id="5"/>
      </w:r>
      <w:r>
        <w:rPr>
          <w:rFonts w:ascii="IRNazanin" w:hAnsi="IRNazanin" w:eastAsia="IRNazanin"/>
          <w:color w:val="111111"/>
          <w:sz w:val="28"/>
          <w:sz w:val="28"/>
          <w:szCs w:val="28"/>
          <w:rtl w:val="true"/>
          <w:lang w:bidi="fa-IR"/>
        </w:rPr>
        <w:t xml:space="preserve">مجری التخییر،و الثالث </w:t>
      </w:r>
      <w:bookmarkStart w:id="47" w:name="pg12977_114067"/>
    </w:p>
    <w:p>
      <w:pPr>
        <w:pStyle w:val="BookText"/>
        <w:rPr/>
      </w:pPr>
      <w:bookmarkEnd w:id="47"/>
      <w:r>
        <w:rPr>
          <w:rFonts w:ascii="IRNazanin" w:hAnsi="IRNazanin" w:eastAsia="IRNazanin"/>
          <w:color w:val="111111"/>
          <w:sz w:val="28"/>
          <w:sz w:val="28"/>
          <w:szCs w:val="28"/>
          <w:rtl w:val="true"/>
          <w:lang w:bidi="fa-IR"/>
        </w:rPr>
        <w:t>مجری أصالة البراءة،و الرابع مجری قاعدة الاحتیاط</w:t>
      </w:r>
      <w:r>
        <w:rPr>
          <w:rFonts w:eastAsia="IRNazanin" w:cs="IRNazanin"/>
          <w:color w:val="111111"/>
          <w:sz w:val="28"/>
          <w:szCs w:val="28"/>
          <w:rtl w:val="true"/>
          <w:lang w:bidi="fa-IR"/>
        </w:rPr>
        <w:t>.</w:t>
      </w:r>
    </w:p>
    <w:p>
      <w:pPr>
        <w:pStyle w:val="Heading3"/>
        <w:numPr>
          <w:ilvl w:val="2"/>
          <w:numId w:val="1"/>
        </w:numPr>
        <w:rPr/>
      </w:pPr>
      <w:bookmarkStart w:id="48" w:name="__RefHeading___Toc5446473_3224264995"/>
      <w:bookmarkStart w:id="49" w:name="_Toc18"/>
      <w:bookmarkEnd w:id="48"/>
      <w:r>
        <w:rPr>
          <w:rtl w:val="true"/>
        </w:rPr>
        <w:t>تقریر آخر لمجاری الاصول العملیّة</w:t>
      </w:r>
      <w:bookmarkEnd w:id="49"/>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الشکّ إمّا أن یلاحظ فیه الحالة السابقة أو لا </w:t>
      </w:r>
      <w:r>
        <w:rPr>
          <w:rStyle w:val="FootnoteAnchor"/>
          <w:rtl w:val="true"/>
        </w:rPr>
        <w:footnoteReference w:id="6"/>
      </w:r>
      <w:r>
        <w:rPr>
          <w:rFonts w:ascii="IRNazanin" w:hAnsi="IRNazanin" w:eastAsia="IRNazanin"/>
          <w:color w:val="111111"/>
          <w:sz w:val="28"/>
          <w:sz w:val="28"/>
          <w:szCs w:val="28"/>
          <w:rtl w:val="true"/>
          <w:lang w:bidi="fa-IR"/>
        </w:rPr>
        <w:t>، فالأوّل مجری الاستصحاب،و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الشکّ فیه فی التکلیف أو لا،فالأوّل مجری أصالة البراءة،و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أن یمکن الاحتیاط فیه أو لا،فالأوّل مجری قاعدة الاحتیاط،و الثانی مجری قاعدة التخییر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ذکرنا هو المختار فی مجاری الاصول الأربعة،و قد وقع الخلاف فیها،و تمام الکلام فی کلّ واحد موکول إلی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مقاصد الکتاب فالکلام یقع فی مقاصد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الظنّ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الشکّ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المقصد الأوّل فی القطع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12977_114070"/>
      <w:bookmarkStart w:id="51" w:name="pg12977_114070"/>
      <w:bookmarkEnd w:id="51"/>
    </w:p>
    <w:p>
      <w:pPr>
        <w:pStyle w:val="Heading2"/>
        <w:numPr>
          <w:ilvl w:val="1"/>
          <w:numId w:val="1"/>
        </w:numPr>
        <w:rPr/>
      </w:pPr>
      <w:bookmarkStart w:id="52" w:name="pg12977_114070"/>
      <w:bookmarkStart w:id="53" w:name="__RefHeading___Toc5446475_3224264995"/>
      <w:bookmarkStart w:id="54" w:name="_Toc19"/>
      <w:bookmarkEnd w:id="52"/>
      <w:bookmarkEnd w:id="53"/>
      <w:r>
        <w:rPr>
          <w:rtl w:val="true"/>
        </w:rPr>
        <w:t>المقصد الأوّل</w:t>
      </w:r>
      <w:r>
        <w:rPr>
          <w:rtl w:val="true"/>
        </w:rPr>
        <w:t xml:space="preserve">: </w:t>
      </w:r>
      <w:r>
        <w:rPr>
          <w:rtl w:val="true"/>
        </w:rPr>
        <w:t>فی القطع</w:t>
      </w:r>
      <w:bookmarkEnd w:id="54"/>
    </w:p>
    <w:p>
      <w:pPr>
        <w:pStyle w:val="Heading3"/>
        <w:numPr>
          <w:ilvl w:val="2"/>
          <w:numId w:val="1"/>
        </w:numPr>
        <w:rPr/>
      </w:pPr>
      <w:bookmarkStart w:id="55" w:name="__RefHeading___Toc5446477_3224264995"/>
      <w:bookmarkStart w:id="56" w:name="_Toc20"/>
      <w:bookmarkEnd w:id="55"/>
      <w:r>
        <w:rPr>
          <w:rtl w:val="true"/>
        </w:rPr>
        <w:t>اشارة</w:t>
      </w:r>
      <w:bookmarkEnd w:id="56"/>
    </w:p>
    <w:p>
      <w:pPr>
        <w:pStyle w:val="BookText"/>
        <w:rPr/>
      </w:pPr>
      <w:r>
        <w:rPr>
          <w:rFonts w:ascii="IRNazanin" w:hAnsi="IRNazanin" w:eastAsia="IRNazanin"/>
          <w:color w:val="111111"/>
          <w:sz w:val="28"/>
          <w:sz w:val="28"/>
          <w:szCs w:val="28"/>
          <w:rtl w:val="true"/>
          <w:lang w:bidi="fa-IR"/>
        </w:rPr>
        <w:t xml:space="preserve">المقصد الأوّل فی القطع </w:t>
      </w:r>
      <w:r>
        <w:rPr>
          <w:rStyle w:val="FootnoteAnchor"/>
          <w:rtl w:val="true"/>
        </w:rPr>
        <w:footnoteReference w:id="9"/>
      </w:r>
    </w:p>
    <w:p>
      <w:pPr>
        <w:pStyle w:val="Heading3"/>
        <w:numPr>
          <w:ilvl w:val="2"/>
          <w:numId w:val="1"/>
        </w:numPr>
        <w:rPr/>
      </w:pPr>
      <w:bookmarkStart w:id="57" w:name="__RefHeading___Toc5446479_3224264995"/>
      <w:bookmarkStart w:id="58" w:name="_Toc21"/>
      <w:bookmarkEnd w:id="57"/>
      <w:r>
        <w:rPr>
          <w:rtl w:val="true"/>
        </w:rPr>
        <w:t>وجوب متابعة القطع</w:t>
      </w:r>
      <w:bookmarkEnd w:id="58"/>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إشکال فی وجوب متابعة القطع و العمل علیه ما دام موجودا؛لأنّه بنفسه طریق إلی الواقع،و لیس طریقیّته قابلة لجعل الشارع إثباتا أو نفیا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5446481_3224264995"/>
      <w:bookmarkStart w:id="60" w:name="_Toc22"/>
      <w:bookmarkEnd w:id="59"/>
      <w:r>
        <w:rPr>
          <w:rtl w:val="true"/>
        </w:rPr>
        <w:t>إطلاق الحجّة علی القطع و المراد منه</w:t>
      </w:r>
      <w:bookmarkEnd w:id="60"/>
    </w:p>
    <w:p>
      <w:pPr>
        <w:pStyle w:val="BookText"/>
        <w:rPr/>
      </w:pPr>
      <w:r>
        <w:rPr>
          <w:rFonts w:ascii="IRNazanin" w:hAnsi="IRNazanin" w:eastAsia="IRNazanin"/>
          <w:color w:val="111111"/>
          <w:sz w:val="28"/>
          <w:sz w:val="28"/>
          <w:szCs w:val="28"/>
          <w:rtl w:val="true"/>
          <w:lang w:bidi="fa-IR"/>
        </w:rPr>
        <w:t>و من هنا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لیس کإطلاق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الأمارات المعتبرة شرعا؛لأنّ الحجّة عبارة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الوسط الذی به یحتجّ علی ثبوت الأکبر للأصغر،و یصیر واسطة للقطع بثبوته له،کالتغیّر لإثبات حدوث العالم،فقولنا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حجّة،أو البیّنة حجّة،أو فتوی المفتی حجّة،یراد به کون هذه الامور أوساطا لإثبات أحکام متعلّقاتها،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مظنون الخمریّة،و کلّ مظنون الخمریّة یجب الاجتناب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الفعل ممّا أفتی المفتی بتحریمه،أو قامت البیّنة علی کونه محرّما،و کلّ ما کان کذلک فهو حرام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بخلاف القطع؛لأنّه إذا قطع بوجوب شیء،فیقال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w:t>
      </w:r>
      <w:bookmarkStart w:id="61" w:name="pg12977_114071"/>
    </w:p>
    <w:p>
      <w:pPr>
        <w:pStyle w:val="BookText"/>
        <w:rPr/>
      </w:pPr>
      <w:bookmarkEnd w:id="61"/>
      <w:r>
        <w:rPr>
          <w:rFonts w:ascii="IRNazanin" w:hAnsi="IRNazanin" w:eastAsia="IRNazanin"/>
          <w:color w:val="111111"/>
          <w:sz w:val="28"/>
          <w:sz w:val="28"/>
          <w:szCs w:val="28"/>
          <w:rtl w:val="true"/>
          <w:lang w:bidi="fa-IR"/>
        </w:rPr>
        <w:t>واجب،و کلّ واجب یحرم ضدّه أو یجب مقدّمته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العلم بالموضوعات،فإذا قطع بخمریة شیء،فیقال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خمر،و کلّ خمر یجب الاجتناب عنه،و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معلوم الخمریّة، و کلّ معلوم الخمریّة حکمه کذا؛لأنّ أحکام الخمر إنّما تثبت للخمر، لا لما علم أنّه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 القطع حجّة غیر معقول؛لأنّ الحجّة ما یوجب القطع بالمطلوب،فلا یطلق علی نفس القطع</w:t>
      </w:r>
      <w:r>
        <w:rPr>
          <w:rFonts w:eastAsia="IRNazanin" w:cs="IRNazanin"/>
          <w:color w:val="111111"/>
          <w:sz w:val="28"/>
          <w:szCs w:val="28"/>
          <w:rtl w:val="true"/>
          <w:lang w:bidi="fa-IR"/>
        </w:rPr>
        <w:t>.</w:t>
      </w:r>
    </w:p>
    <w:p>
      <w:pPr>
        <w:pStyle w:val="Heading3"/>
        <w:numPr>
          <w:ilvl w:val="2"/>
          <w:numId w:val="1"/>
        </w:numPr>
        <w:rPr/>
      </w:pPr>
      <w:bookmarkStart w:id="62" w:name="__RefHeading___Toc5446483_3224264995"/>
      <w:bookmarkStart w:id="63" w:name="_Toc23"/>
      <w:bookmarkEnd w:id="62"/>
      <w:r>
        <w:rPr>
          <w:rtl w:val="true"/>
        </w:rPr>
        <w:t>انقسام القطع إلی طریقی و موضوعی</w:t>
      </w:r>
      <w:r>
        <w:rPr>
          <w:rtl w:val="true"/>
        </w:rPr>
        <w:t>:</w:t>
      </w:r>
      <w:bookmarkEnd w:id="63"/>
    </w:p>
    <w:p>
      <w:pPr>
        <w:pStyle w:val="Heading4"/>
        <w:numPr>
          <w:ilvl w:val="3"/>
          <w:numId w:val="1"/>
        </w:numPr>
        <w:rPr/>
      </w:pPr>
      <w:bookmarkStart w:id="64" w:name="__RefHeading___Toc5446485_3224264995"/>
      <w:bookmarkStart w:id="65" w:name="_Toc24"/>
      <w:bookmarkEnd w:id="64"/>
      <w:r>
        <w:rPr>
          <w:rtl w:val="true"/>
        </w:rPr>
        <w:t>اشارة</w:t>
      </w:r>
      <w:bookmarkEnd w:id="65"/>
    </w:p>
    <w:p>
      <w:pPr>
        <w:pStyle w:val="BookText"/>
        <w:rPr/>
      </w:pPr>
      <w:r>
        <w:rPr>
          <w:rFonts w:ascii="IRNazanin" w:hAnsi="IRNazanin" w:eastAsia="IRNazanin"/>
          <w:color w:val="111111"/>
          <w:sz w:val="28"/>
          <w:sz w:val="28"/>
          <w:szCs w:val="28"/>
          <w:rtl w:val="true"/>
          <w:lang w:bidi="fa-IR"/>
        </w:rPr>
        <w:t>هذا کلّه بالنسبة إلی حکم متعلّق القطع و هو الأمر المقطوع به، و أمّا بالنسبة إلی حکم آخر،فیجوز أن یکون القطع مأخوذا فی موضوعه،فیقال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الشیء المعلوم بوصف کونه معلوما حکمه کذا، و حینئذ فالعلم یکون وسطا لثبوت ذلک الحکم </w:t>
      </w:r>
      <w:r>
        <w:rPr>
          <w:rStyle w:val="FootnoteAnchor"/>
          <w:rtl w:val="true"/>
        </w:rPr>
        <w:footnoteReference w:id="11"/>
      </w:r>
      <w:r>
        <w:rPr>
          <w:rFonts w:ascii="IRNazanin" w:hAnsi="IRNazanin" w:eastAsia="IRNazanin"/>
          <w:color w:val="111111"/>
          <w:sz w:val="28"/>
          <w:sz w:val="28"/>
          <w:szCs w:val="28"/>
          <w:rtl w:val="true"/>
          <w:lang w:bidi="fa-IR"/>
        </w:rPr>
        <w:t>و إن لم یطلق علیه الحجّة؛إذ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وسطا لثبوت أحکام </w:t>
      </w:r>
      <w:r>
        <w:rPr>
          <w:rStyle w:val="FootnoteAnchor"/>
          <w:rtl w:val="true"/>
        </w:rPr>
        <w:footnoteReference w:id="12"/>
      </w:r>
      <w:r>
        <w:rPr>
          <w:rFonts w:ascii="IRNazanin" w:hAnsi="IRNazanin" w:eastAsia="IRNazanin"/>
          <w:color w:val="111111"/>
          <w:sz w:val="28"/>
          <w:sz w:val="28"/>
          <w:szCs w:val="28"/>
          <w:rtl w:val="true"/>
          <w:lang w:bidi="fa-IR"/>
        </w:rPr>
        <w:t xml:space="preserve">متعلّقه شرعا،لا لحکم آخر </w:t>
      </w:r>
      <w:r>
        <w:rPr>
          <w:rStyle w:val="FootnoteAnchor"/>
          <w:rtl w:val="true"/>
        </w:rPr>
        <w:footnoteReference w:id="13"/>
      </w:r>
      <w:r>
        <w:rPr>
          <w:rFonts w:ascii="IRNazanin" w:hAnsi="IRNazanin" w:eastAsia="IRNazanin"/>
          <w:color w:val="111111"/>
          <w:sz w:val="28"/>
          <w:sz w:val="28"/>
          <w:szCs w:val="28"/>
          <w:rtl w:val="true"/>
          <w:lang w:bidi="fa-IR"/>
        </w:rPr>
        <w:t xml:space="preserve">،کما إذا رتّب الشارع الحرمة علی الخمر المعلوم کونها خمرا،لا علی نفس الخمر،و کترتّب وجوب الإطاعة عقلا </w:t>
      </w:r>
      <w:r>
        <w:rPr>
          <w:rStyle w:val="FootnoteAnchor"/>
          <w:rtl w:val="true"/>
        </w:rPr>
        <w:footnoteReference w:id="14"/>
      </w:r>
      <w:r>
        <w:rPr>
          <w:rFonts w:ascii="IRNazanin" w:hAnsi="IRNazanin" w:eastAsia="IRNazanin"/>
          <w:color w:val="111111"/>
          <w:sz w:val="28"/>
          <w:sz w:val="28"/>
          <w:szCs w:val="28"/>
          <w:rtl w:val="true"/>
          <w:lang w:bidi="fa-IR"/>
        </w:rPr>
        <w:t xml:space="preserve">علی معلوم الوجوب،لا الواجب الواقعی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فالقطع قد یکون طریقا للحکم،و قد یکون مأخوذا فی </w:t>
      </w:r>
      <w:bookmarkStart w:id="66" w:name="pg12977_114072"/>
    </w:p>
    <w:p>
      <w:pPr>
        <w:pStyle w:val="BookText"/>
        <w:rPr/>
      </w:pPr>
      <w:bookmarkEnd w:id="66"/>
      <w:r>
        <w:rPr>
          <w:rFonts w:ascii="IRNazanin" w:hAnsi="IRNazanin" w:eastAsia="IRNazanin"/>
          <w:color w:val="111111"/>
          <w:sz w:val="28"/>
          <w:sz w:val="28"/>
          <w:szCs w:val="28"/>
          <w:rtl w:val="true"/>
          <w:lang w:bidi="fa-IR"/>
        </w:rPr>
        <w:t>موضوع الحکم</w:t>
      </w:r>
      <w:r>
        <w:rPr>
          <w:rFonts w:eastAsia="IRNazanin" w:cs="IRNazanin"/>
          <w:color w:val="111111"/>
          <w:sz w:val="28"/>
          <w:szCs w:val="28"/>
          <w:rtl w:val="true"/>
          <w:lang w:bidi="fa-IR"/>
        </w:rPr>
        <w:t>.</w:t>
      </w:r>
    </w:p>
    <w:p>
      <w:pPr>
        <w:pStyle w:val="Heading4"/>
        <w:numPr>
          <w:ilvl w:val="3"/>
          <w:numId w:val="1"/>
        </w:numPr>
        <w:rPr/>
      </w:pPr>
      <w:bookmarkStart w:id="67" w:name="__RefHeading___Toc5446487_3224264995"/>
      <w:bookmarkStart w:id="68" w:name="_Toc25"/>
      <w:bookmarkEnd w:id="67"/>
      <w:r>
        <w:rPr>
          <w:rtl w:val="true"/>
        </w:rPr>
        <w:t>خواص القسمین</w:t>
      </w:r>
      <w:r>
        <w:rPr>
          <w:rtl w:val="true"/>
        </w:rPr>
        <w:t>:</w:t>
      </w:r>
      <w:bookmarkEnd w:id="68"/>
    </w:p>
    <w:p>
      <w:pPr>
        <w:pStyle w:val="Heading5"/>
        <w:numPr>
          <w:ilvl w:val="4"/>
          <w:numId w:val="1"/>
        </w:numPr>
        <w:rPr/>
      </w:pPr>
      <w:bookmarkStart w:id="69" w:name="__RefHeading___Toc5446489_3224264995"/>
      <w:bookmarkStart w:id="70" w:name="_Toc26"/>
      <w:bookmarkEnd w:id="69"/>
      <w:r>
        <w:rPr>
          <w:rtl w:val="true"/>
        </w:rPr>
        <w:t>اشارة</w:t>
      </w:r>
      <w:bookmarkEnd w:id="70"/>
    </w:p>
    <w:p>
      <w:pPr>
        <w:pStyle w:val="BookText"/>
        <w:rPr/>
      </w:pPr>
      <w:r>
        <w:rPr>
          <w:rFonts w:ascii="IRNazanin" w:hAnsi="IRNazanin" w:eastAsia="IRNazanin"/>
          <w:color w:val="111111"/>
          <w:sz w:val="28"/>
          <w:sz w:val="28"/>
          <w:szCs w:val="28"/>
          <w:rtl w:val="true"/>
          <w:lang w:bidi="fa-IR"/>
        </w:rPr>
        <w:t>ثمّ ما کان منه طریقا لا یفرّق فیه بین خصوصیّاته،من حیث القاطع و المقطوع به و أسباب القطع و أزمانه؛إذ المفروض کونه طریقا إلی متعلّقه،فیترتّب علیه أحکام متعلّقه،و لا یجوز للشارع أن ینهی عن العمل به؛لأنّه مستلزم للتناقض</w:t>
      </w:r>
      <w:r>
        <w:rPr>
          <w:rFonts w:eastAsia="IRNazanin" w:cs="IRNazanin"/>
          <w:color w:val="111111"/>
          <w:sz w:val="28"/>
          <w:szCs w:val="28"/>
          <w:rtl w:val="true"/>
          <w:lang w:bidi="fa-IR"/>
        </w:rPr>
        <w:t>.</w:t>
      </w:r>
    </w:p>
    <w:p>
      <w:pPr>
        <w:pStyle w:val="Heading5"/>
        <w:numPr>
          <w:ilvl w:val="4"/>
          <w:numId w:val="1"/>
        </w:numPr>
        <w:rPr/>
      </w:pPr>
      <w:bookmarkStart w:id="71" w:name="__RefHeading___Toc5446491_3224264995"/>
      <w:bookmarkStart w:id="72" w:name="_Toc27"/>
      <w:bookmarkEnd w:id="71"/>
      <w:r>
        <w:rPr/>
        <w:t>1</w:t>
      </w:r>
      <w:r>
        <w:rPr>
          <w:rtl w:val="true"/>
        </w:rPr>
        <w:t>-</w:t>
      </w:r>
      <w:r>
        <w:rPr>
          <w:rtl w:val="true"/>
        </w:rPr>
        <w:t>عدم جواز النهی عن العمل فی الطریقی و جوازه فی الموضوعی</w:t>
      </w:r>
      <w:bookmarkEnd w:id="72"/>
    </w:p>
    <w:p>
      <w:pPr>
        <w:pStyle w:val="Heading6"/>
        <w:numPr>
          <w:ilvl w:val="5"/>
          <w:numId w:val="1"/>
        </w:numPr>
        <w:rPr/>
      </w:pPr>
      <w:bookmarkStart w:id="73" w:name="__RefHeading___Toc5446493_3224264995"/>
      <w:bookmarkStart w:id="74" w:name="_Toc28"/>
      <w:bookmarkEnd w:id="73"/>
      <w:r>
        <w:rPr>
          <w:rtl w:val="true"/>
        </w:rPr>
        <w:t>اشارة</w:t>
      </w:r>
      <w:bookmarkEnd w:id="74"/>
    </w:p>
    <w:p>
      <w:pPr>
        <w:pStyle w:val="BookText"/>
        <w:rPr/>
      </w:pPr>
      <w:r>
        <w:rPr>
          <w:rFonts w:ascii="IRNazanin" w:hAnsi="IRNazanin" w:eastAsia="IRNazanin"/>
          <w:color w:val="111111"/>
          <w:sz w:val="28"/>
          <w:sz w:val="28"/>
          <w:szCs w:val="28"/>
          <w:rtl w:val="true"/>
          <w:lang w:bidi="fa-IR"/>
        </w:rPr>
        <w:t xml:space="preserve">فإذا قطع بکون </w:t>
      </w:r>
      <w:r>
        <w:rPr>
          <w:rStyle w:val="FootnoteAnchor"/>
          <w:rtl w:val="true"/>
        </w:rPr>
        <w:footnoteReference w:id="16"/>
      </w:r>
      <w:r>
        <w:rPr>
          <w:rFonts w:ascii="IRNazanin" w:hAnsi="IRNazanin" w:eastAsia="IRNazanin"/>
          <w:color w:val="111111"/>
          <w:sz w:val="28"/>
          <w:sz w:val="28"/>
          <w:szCs w:val="28"/>
          <w:rtl w:val="true"/>
          <w:lang w:bidi="fa-IR"/>
        </w:rPr>
        <w:t>مائع بولا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 سبب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للشارع أن یحکم بعدم نجاسته أو عدم وجوب الاجتناب عنه؛لأنّ المفروض أنّه بمجرّد القطع یحصل له صغری و کبری،أعنی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بول،و کلّ بول یجب الاجتناب عنه،فهذا یجب الاجتناب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فحکم الشارع بأنّه لا یجب الاجتناب عنه مناقض له،إلاّ إذا فرض عدم کون النجاسة و وجوب الاجتناب من أحکام نفس البول،بل من أحکام ما علم بولیّته علی وجه خاصّ من حیث السبب أو الشخص أو غیرهما،</w:t>
      </w:r>
    </w:p>
    <w:p>
      <w:pPr>
        <w:pStyle w:val="Heading6"/>
        <w:numPr>
          <w:ilvl w:val="5"/>
          <w:numId w:val="1"/>
        </w:numPr>
        <w:rPr/>
      </w:pPr>
      <w:bookmarkStart w:id="75" w:name="__RefHeading___Toc5446495_3224264995"/>
      <w:bookmarkStart w:id="76" w:name="_Toc29"/>
      <w:bookmarkEnd w:id="75"/>
      <w:r>
        <w:rPr>
          <w:rtl w:val="true"/>
        </w:rPr>
        <w:t>القطع الموضوعی تابع فی اعتباره مطلقا او علی وجه خاص لدلیل الحکم</w:t>
      </w:r>
      <w:bookmarkEnd w:id="76"/>
    </w:p>
    <w:p>
      <w:pPr>
        <w:pStyle w:val="BookText"/>
        <w:rPr/>
      </w:pPr>
      <w:r>
        <w:rPr>
          <w:rFonts w:ascii="IRNazanin" w:hAnsi="IRNazanin" w:eastAsia="IRNazanin"/>
          <w:color w:val="111111"/>
          <w:sz w:val="28"/>
          <w:sz w:val="28"/>
          <w:szCs w:val="28"/>
          <w:rtl w:val="true"/>
          <w:lang w:bidi="fa-IR"/>
        </w:rPr>
        <w:t xml:space="preserve">فیخرج العلم عن </w:t>
      </w:r>
      <w:r>
        <w:rPr>
          <w:rStyle w:val="FootnoteAnchor"/>
          <w:rtl w:val="true"/>
        </w:rPr>
        <w:footnoteReference w:id="17"/>
      </w:r>
      <w:r>
        <w:rPr>
          <w:rFonts w:ascii="IRNazanin" w:hAnsi="IRNazanin" w:eastAsia="IRNazanin"/>
          <w:color w:val="111111"/>
          <w:sz w:val="28"/>
          <w:sz w:val="28"/>
          <w:szCs w:val="28"/>
          <w:rtl w:val="true"/>
          <w:lang w:bidi="fa-IR"/>
        </w:rPr>
        <w:t xml:space="preserve">کونه طریقا </w:t>
      </w:r>
      <w:r>
        <w:rPr>
          <w:rStyle w:val="FootnoteAnchor"/>
          <w:rtl w:val="true"/>
        </w:rPr>
        <w:footnoteReference w:id="18"/>
      </w:r>
      <w:r>
        <w:rPr>
          <w:rFonts w:ascii="IRNazanin" w:hAnsi="IRNazanin" w:eastAsia="IRNazanin"/>
          <w:color w:val="111111"/>
          <w:sz w:val="28"/>
          <w:sz w:val="28"/>
          <w:szCs w:val="28"/>
          <w:rtl w:val="true"/>
          <w:lang w:bidi="fa-IR"/>
        </w:rPr>
        <w:t xml:space="preserve">،و یکون مأخوذا </w:t>
      </w:r>
      <w:r>
        <w:rPr>
          <w:rStyle w:val="FootnoteAnchor"/>
          <w:rtl w:val="true"/>
        </w:rPr>
        <w:footnoteReference w:id="19"/>
      </w:r>
      <w:r>
        <w:rPr>
          <w:rFonts w:ascii="IRNazanin" w:hAnsi="IRNazanin" w:eastAsia="IRNazanin"/>
          <w:color w:val="111111"/>
          <w:sz w:val="28"/>
          <w:sz w:val="28"/>
          <w:szCs w:val="28"/>
          <w:rtl w:val="true"/>
          <w:lang w:bidi="fa-IR"/>
        </w:rPr>
        <w:t>فی الموضوع، و حکمه أنّه یتّبع فی 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أو علی وجه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ذلک الحکم الثابت الذی اخذ العلم فی موضوعه</w:t>
      </w:r>
      <w:r>
        <w:rPr>
          <w:rFonts w:eastAsia="IRNazanin" w:cs="IRNazanin"/>
          <w:color w:val="111111"/>
          <w:sz w:val="28"/>
          <w:szCs w:val="28"/>
          <w:rtl w:val="true"/>
          <w:lang w:bidi="fa-IR"/>
        </w:rPr>
        <w:t>.</w:t>
      </w:r>
    </w:p>
    <w:p>
      <w:pPr>
        <w:pStyle w:val="Heading6"/>
        <w:numPr>
          <w:ilvl w:val="5"/>
          <w:numId w:val="1"/>
        </w:numPr>
        <w:rPr/>
      </w:pPr>
      <w:bookmarkStart w:id="77" w:name="__RefHeading___Toc5446497_3224264995"/>
      <w:bookmarkStart w:id="78" w:name="_Toc30"/>
      <w:bookmarkEnd w:id="77"/>
      <w:r>
        <w:rPr>
          <w:rtl w:val="true"/>
        </w:rPr>
        <w:t>أمثلة للقطع الموضوعی المعتبر مطلقا</w:t>
      </w:r>
      <w:r>
        <w:rPr>
          <w:rtl w:val="true"/>
        </w:rPr>
        <w:t>:</w:t>
      </w:r>
      <w:bookmarkEnd w:id="7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یدلّ علی ثبوت الحکم لشیء بشرط العلم به،بمعنی انکشافه للمکلّف من غیر خصوصیّة للانکشاف،کما فی حکم العقل بحسن إتیان </w:t>
      </w:r>
      <w:bookmarkStart w:id="79" w:name="pg12977_114073"/>
    </w:p>
    <w:p>
      <w:pPr>
        <w:pStyle w:val="BookText"/>
        <w:rPr/>
      </w:pPr>
      <w:bookmarkEnd w:id="79"/>
      <w:r>
        <w:rPr>
          <w:rFonts w:ascii="IRNazanin" w:hAnsi="IRNazanin" w:eastAsia="IRNazanin"/>
          <w:color w:val="111111"/>
          <w:sz w:val="28"/>
          <w:sz w:val="28"/>
          <w:szCs w:val="28"/>
          <w:rtl w:val="true"/>
          <w:lang w:bidi="fa-IR"/>
        </w:rPr>
        <w:t>ما قطع العبد بکونه مطلوبا لمولاه،و قبح ما یقطع بکونه مبغوضا؛فإنّ مدخلیّة القطع بالمطلوبیّة أو المبغوضیّة فی صیرورة الفعل حسنا أو قبیحا عند العقل لا یختصّ ببعض أفراده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کما فی حکم الشارع </w:t>
      </w:r>
      <w:r>
        <w:rPr>
          <w:rStyle w:val="FootnoteAnchor"/>
          <w:rtl w:val="true"/>
        </w:rPr>
        <w:footnoteReference w:id="20"/>
      </w:r>
      <w:r>
        <w:rPr>
          <w:rFonts w:ascii="Amiri" w:hAnsi="Amiri" w:eastAsia="Amiri" w:cs="Amiri"/>
          <w:color w:val="111111"/>
          <w:sz w:val="28"/>
          <w:sz w:val="28"/>
          <w:szCs w:val="28"/>
          <w:rtl w:val="true"/>
          <w:lang w:bidi="ar-SA"/>
        </w:rPr>
        <w:t xml:space="preserve">بحرمة ما علم أنّه خمر أو نجاسته بقول مطلق </w:t>
      </w:r>
      <w:r>
        <w:rPr>
          <w:rStyle w:val="FootnoteAnchor"/>
          <w:rtl w:val="true"/>
        </w:rPr>
        <w:footnoteReference w:id="21"/>
      </w:r>
      <w:r>
        <w:rPr>
          <w:rFonts w:ascii="IRNazanin" w:hAnsi="IRNazanin" w:eastAsia="IRNazanin"/>
          <w:color w:val="111111"/>
          <w:sz w:val="28"/>
          <w:sz w:val="28"/>
          <w:szCs w:val="28"/>
          <w:rtl w:val="true"/>
          <w:lang w:bidi="fa-IR"/>
        </w:rPr>
        <w:t>،بناء علی أنّ الحرمة و النجاسة الواقعیّتین إنّما تعرضان مواردهما بشرط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نفس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هو قول بعض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 w:name="__RefHeading___Toc5446499_3224264995"/>
      <w:bookmarkStart w:id="81" w:name="_Toc31"/>
      <w:bookmarkEnd w:id="80"/>
      <w:r>
        <w:rPr>
          <w:rtl w:val="true"/>
        </w:rPr>
        <w:t>أمثلة للقطع الموضوعی المعتبر علی وجه خاص</w:t>
      </w:r>
      <w:r>
        <w:rPr>
          <w:rtl w:val="true"/>
        </w:rPr>
        <w:t>:</w:t>
      </w:r>
      <w:bookmarkEnd w:id="8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یدلّ دلیل ذلک الحکم علی ثبوته لشیء بشرط حصول القطع به من سبب خاصّ أو شخص خاصّ،مثل ما ذهب إلیه بعض الأخباریین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عدم جواز العمل فی الشرعیات بالعلم الغیر </w:t>
      </w:r>
      <w:r>
        <w:rPr>
          <w:rStyle w:val="FootnoteAnchor"/>
          <w:rtl w:val="true"/>
        </w:rPr>
        <w:footnoteReference w:id="24"/>
      </w:r>
      <w:r>
        <w:rPr>
          <w:rFonts w:ascii="IRNazanin" w:hAnsi="IRNazanin" w:eastAsia="IRNazanin"/>
          <w:color w:val="111111"/>
          <w:sz w:val="28"/>
          <w:sz w:val="28"/>
          <w:szCs w:val="28"/>
          <w:rtl w:val="true"/>
          <w:lang w:bidi="fa-IR"/>
        </w:rPr>
        <w:t>الحاصل من 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ذهب إلیه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منع عمل القاضی بعلمه فی حقوق اللّه تعالی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82" w:name="pg12977_114074"/>
    </w:p>
    <w:p>
      <w:pPr>
        <w:pStyle w:val="Heading6"/>
        <w:numPr>
          <w:ilvl w:val="5"/>
          <w:numId w:val="1"/>
        </w:numPr>
        <w:rPr/>
      </w:pPr>
      <w:bookmarkStart w:id="83" w:name="__RefHeading___Toc5446501_3224264995"/>
      <w:bookmarkStart w:id="84" w:name="_Toc32"/>
      <w:bookmarkEnd w:id="82"/>
      <w:bookmarkEnd w:id="83"/>
      <w:r>
        <w:rPr>
          <w:rtl w:val="true"/>
        </w:rPr>
        <w:t>أمثلة للقطع الموضوعی بالنسبة إلی حکم غیر القاطع</w:t>
      </w:r>
      <w:r>
        <w:rPr>
          <w:rtl w:val="true"/>
        </w:rPr>
        <w:t>:</w:t>
      </w:r>
      <w:bookmarkEnd w:id="84"/>
    </w:p>
    <w:p>
      <w:pPr>
        <w:pStyle w:val="BookText"/>
        <w:rPr/>
      </w:pPr>
      <w:r>
        <w:rPr>
          <w:rFonts w:ascii="IRNazanin" w:hAnsi="IRNazanin" w:eastAsia="IRNazanin"/>
          <w:color w:val="111111"/>
          <w:sz w:val="28"/>
          <w:sz w:val="28"/>
          <w:szCs w:val="28"/>
          <w:rtl w:val="true"/>
          <w:lang w:bidi="fa-IR"/>
        </w:rPr>
        <w:t xml:space="preserve">و أمثلة ذلک بالنسبة إلی حکم </w:t>
      </w:r>
      <w:r>
        <w:rPr>
          <w:rStyle w:val="FootnoteAnchor"/>
          <w:rtl w:val="true"/>
        </w:rPr>
        <w:footnoteReference w:id="26"/>
      </w:r>
      <w:r>
        <w:rPr>
          <w:rFonts w:ascii="IRNazanin" w:hAnsi="IRNazanin" w:eastAsia="IRNazanin"/>
          <w:color w:val="111111"/>
          <w:sz w:val="28"/>
          <w:sz w:val="28"/>
          <w:szCs w:val="28"/>
          <w:rtl w:val="true"/>
          <w:lang w:bidi="fa-IR"/>
        </w:rPr>
        <w:t xml:space="preserve">غیر القاطع کثیرة </w:t>
      </w:r>
      <w:r>
        <w:rPr>
          <w:rStyle w:val="FootnoteAnchor"/>
          <w:rtl w:val="true"/>
        </w:rPr>
        <w:footnoteReference w:id="27"/>
      </w:r>
      <w:r>
        <w:rPr>
          <w:rFonts w:ascii="IRNazanin" w:hAnsi="IRNazanin" w:eastAsia="IRNazanin"/>
          <w:color w:val="111111"/>
          <w:sz w:val="28"/>
          <w:sz w:val="28"/>
          <w:szCs w:val="28"/>
          <w:rtl w:val="true"/>
          <w:lang w:bidi="fa-IR"/>
        </w:rPr>
        <w:t xml:space="preserve">،کحکم الشارع علی المقلّد بوجوب الرجوع إلی الغیر فی الحکم الشرعی إذا علم به من الطرق الاجتهادیّة المعهودة،لا من مثل الرمل و الجفر؛فإنّ القطع الحاصل من هذه و إن وجب علی القاطع الأخذ به فی عمل نفسه، إلاّ أنّه لا یجوز للغیر تقلیده فی ذلک،و کذلک العلم الحاصل للمجتهد الفاسق أو غیر الإمامیّ من الطرق الاجتهادیّة المتعارفة،فإنّه لا یجوز للغیر العمل بها </w:t>
      </w:r>
      <w:r>
        <w:rPr>
          <w:rStyle w:val="FootnoteAnchor"/>
          <w:rtl w:val="true"/>
        </w:rPr>
        <w:footnoteReference w:id="28"/>
      </w:r>
      <w:r>
        <w:rPr>
          <w:rFonts w:ascii="IRNazanin" w:hAnsi="IRNazanin" w:eastAsia="IRNazanin"/>
          <w:color w:val="111111"/>
          <w:sz w:val="28"/>
          <w:sz w:val="28"/>
          <w:szCs w:val="28"/>
          <w:rtl w:val="true"/>
          <w:lang w:bidi="fa-IR"/>
        </w:rPr>
        <w:t>،و کحکم الشارع علی الحاکم بوجوب قبول خبر العدل المعلوم له من الحسّ لا من الحدس،إلی غیر ذلک</w:t>
      </w:r>
      <w:r>
        <w:rPr>
          <w:rFonts w:eastAsia="IRNazanin" w:cs="IRNazanin"/>
          <w:color w:val="111111"/>
          <w:sz w:val="28"/>
          <w:szCs w:val="28"/>
          <w:rtl w:val="true"/>
          <w:lang w:bidi="fa-IR"/>
        </w:rPr>
        <w:t>.</w:t>
      </w:r>
    </w:p>
    <w:p>
      <w:pPr>
        <w:pStyle w:val="Heading5"/>
        <w:numPr>
          <w:ilvl w:val="4"/>
          <w:numId w:val="1"/>
        </w:numPr>
        <w:rPr/>
      </w:pPr>
      <w:bookmarkStart w:id="85" w:name="__RefHeading___Toc5446503_3224264995"/>
      <w:bookmarkStart w:id="86" w:name="_Toc33"/>
      <w:bookmarkEnd w:id="85"/>
      <w:r>
        <w:rPr/>
        <w:t>2</w:t>
      </w:r>
      <w:r>
        <w:rPr>
          <w:rtl w:val="true"/>
        </w:rPr>
        <w:t>-</w:t>
      </w:r>
      <w:r>
        <w:rPr>
          <w:rtl w:val="true"/>
        </w:rPr>
        <w:t>قیام الأمارات و بعض الأصول مقام القطع الموضوعی و الطریقی</w:t>
      </w:r>
      <w:r>
        <w:rPr>
          <w:rtl w:val="true"/>
        </w:rPr>
        <w:t>:</w:t>
      </w:r>
      <w:bookmarkEnd w:id="86"/>
    </w:p>
    <w:p>
      <w:pPr>
        <w:pStyle w:val="Heading6"/>
        <w:numPr>
          <w:ilvl w:val="5"/>
          <w:numId w:val="1"/>
        </w:numPr>
        <w:rPr/>
      </w:pPr>
      <w:bookmarkStart w:id="87" w:name="__RefHeading___Toc5446505_3224264995"/>
      <w:bookmarkStart w:id="88" w:name="_Toc34"/>
      <w:bookmarkEnd w:id="87"/>
      <w:r>
        <w:rPr>
          <w:rtl w:val="true"/>
        </w:rPr>
        <w:t>اشارة</w:t>
      </w:r>
      <w:bookmarkEnd w:id="88"/>
    </w:p>
    <w:p>
      <w:pPr>
        <w:pStyle w:val="BookText"/>
        <w:rPr/>
      </w:pPr>
      <w:r>
        <w:rPr>
          <w:rFonts w:ascii="IRNazanin" w:hAnsi="IRNazanin" w:eastAsia="IRNazanin"/>
          <w:color w:val="111111"/>
          <w:sz w:val="28"/>
          <w:sz w:val="28"/>
          <w:szCs w:val="28"/>
          <w:rtl w:val="true"/>
          <w:lang w:bidi="fa-IR"/>
        </w:rPr>
        <w:t>ثمّ من خواصّ القطع الذی هو طریق إلی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الأمارات الشرعیّة و بعض </w:t>
      </w:r>
      <w:r>
        <w:rPr>
          <w:rStyle w:val="FootnoteAnchor"/>
          <w:rtl w:val="true"/>
        </w:rPr>
        <w:footnoteReference w:id="29"/>
      </w:r>
      <w:r>
        <w:rPr>
          <w:rFonts w:ascii="IRNazanin" w:hAnsi="IRNazanin" w:eastAsia="IRNazanin"/>
          <w:color w:val="111111"/>
          <w:sz w:val="28"/>
          <w:sz w:val="28"/>
          <w:szCs w:val="28"/>
          <w:rtl w:val="true"/>
          <w:lang w:bidi="fa-IR"/>
        </w:rPr>
        <w:t xml:space="preserve">الاصول العملیّة مقامه فی العمل،بخلاف المأخوذ فی الحکم علی وجه الموضوعیّة؛فإنّه تابع لدلیل الحکم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ظهر منه أو من دلیل خارج </w:t>
      </w:r>
      <w:r>
        <w:rPr>
          <w:rStyle w:val="FootnoteAnchor"/>
          <w:rtl w:val="true"/>
        </w:rPr>
        <w:footnoteReference w:id="31"/>
      </w:r>
      <w:r>
        <w:rPr>
          <w:rFonts w:ascii="IRNazanin" w:hAnsi="IRNazanin" w:eastAsia="IRNazanin"/>
          <w:color w:val="111111"/>
          <w:sz w:val="28"/>
          <w:sz w:val="28"/>
          <w:szCs w:val="28"/>
          <w:rtl w:val="true"/>
          <w:lang w:bidi="fa-IR"/>
        </w:rPr>
        <w:t>اعتباره علی وجه الطریقیة للموضوع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کالامثلة المتقدّمة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قامت الأمارات و بعض </w:t>
      </w:r>
      <w:r>
        <w:rPr>
          <w:rStyle w:val="FootnoteAnchor"/>
          <w:rtl w:val="true"/>
        </w:rPr>
        <w:footnoteReference w:id="33"/>
      </w:r>
      <w:r>
        <w:rPr>
          <w:rFonts w:ascii="IRNazanin" w:hAnsi="IRNazanin" w:eastAsia="IRNazanin"/>
          <w:color w:val="111111"/>
          <w:sz w:val="28"/>
          <w:sz w:val="28"/>
          <w:szCs w:val="28"/>
          <w:rtl w:val="true"/>
          <w:lang w:bidi="fa-IR"/>
        </w:rPr>
        <w:t>الاصول مقامه</w:t>
      </w:r>
      <w:r>
        <w:rPr>
          <w:rFonts w:eastAsia="IRNazanin" w:cs="IRNazanin"/>
          <w:color w:val="111111"/>
          <w:sz w:val="28"/>
          <w:szCs w:val="28"/>
          <w:rtl w:val="true"/>
          <w:lang w:bidi="fa-IR"/>
        </w:rPr>
        <w:t xml:space="preserve">. </w:t>
      </w:r>
      <w:bookmarkStart w:id="89" w:name="pg12977_114075"/>
    </w:p>
    <w:p>
      <w:pPr>
        <w:pStyle w:val="Heading6"/>
        <w:numPr>
          <w:ilvl w:val="5"/>
          <w:numId w:val="1"/>
        </w:numPr>
        <w:rPr/>
      </w:pPr>
      <w:bookmarkStart w:id="90" w:name="__RefHeading___Toc5446507_3224264995"/>
      <w:bookmarkStart w:id="91" w:name="_Toc35"/>
      <w:bookmarkEnd w:id="89"/>
      <w:bookmarkEnd w:id="90"/>
      <w:r>
        <w:rPr>
          <w:rtl w:val="true"/>
        </w:rPr>
        <w:t>عدم قیامها مقام القطع الموضوعی الصفتی</w:t>
      </w:r>
      <w:r>
        <w:rPr>
          <w:rtl w:val="true"/>
        </w:rPr>
        <w:t>:</w:t>
      </w:r>
      <w:bookmarkEnd w:id="91"/>
    </w:p>
    <w:p>
      <w:pPr>
        <w:pStyle w:val="BookText"/>
        <w:rPr/>
      </w:pPr>
      <w:r>
        <w:rPr>
          <w:rFonts w:ascii="IRNazanin" w:hAnsi="IRNazanin" w:eastAsia="IRNazanin"/>
          <w:color w:val="111111"/>
          <w:sz w:val="28"/>
          <w:sz w:val="28"/>
          <w:szCs w:val="28"/>
          <w:rtl w:val="true"/>
          <w:lang w:bidi="fa-IR"/>
        </w:rPr>
        <w:t xml:space="preserve">و إن ظهر من دلیل الحکم </w:t>
      </w:r>
      <w:r>
        <w:rPr>
          <w:rStyle w:val="FootnoteAnchor"/>
          <w:rtl w:val="true"/>
        </w:rPr>
        <w:footnoteReference w:id="34"/>
      </w:r>
      <w:r>
        <w:rPr>
          <w:rFonts w:ascii="IRNazanin" w:hAnsi="IRNazanin" w:eastAsia="IRNazanin"/>
          <w:color w:val="111111"/>
          <w:sz w:val="28"/>
          <w:sz w:val="28"/>
          <w:szCs w:val="28"/>
          <w:rtl w:val="true"/>
          <w:lang w:bidi="fa-IR"/>
        </w:rPr>
        <w:t xml:space="preserve">اعتبار القطع </w:t>
      </w:r>
      <w:r>
        <w:rPr>
          <w:rStyle w:val="FootnoteAnchor"/>
          <w:rtl w:val="true"/>
        </w:rPr>
        <w:footnoteReference w:id="35"/>
      </w:r>
      <w:r>
        <w:rPr>
          <w:rFonts w:ascii="IRNazanin" w:hAnsi="IRNazanin" w:eastAsia="IRNazanin"/>
          <w:color w:val="111111"/>
          <w:sz w:val="28"/>
          <w:sz w:val="28"/>
          <w:szCs w:val="28"/>
          <w:rtl w:val="true"/>
          <w:lang w:bidi="fa-IR"/>
        </w:rPr>
        <w:t xml:space="preserve">فی الموضوع من حیث کونها صفة خاصّة قائمة بالشخص لم یقم مقامه غیره،کما إذا فرضنا أنّ الشارع اعتبر صفة القطع علی هذا الوجه فی حفظ عدد الرکعات الثنائیّة و الثلاثیّة و الاولیین من الرباعیّة </w:t>
      </w:r>
      <w:r>
        <w:rPr>
          <w:rStyle w:val="FootnoteAnchor"/>
          <w:rtl w:val="true"/>
        </w:rPr>
        <w:footnoteReference w:id="36"/>
      </w:r>
      <w:r>
        <w:rPr>
          <w:rFonts w:ascii="IRNazanin" w:hAnsi="IRNazanin" w:eastAsia="IRNazanin"/>
          <w:color w:val="111111"/>
          <w:sz w:val="28"/>
          <w:sz w:val="28"/>
          <w:szCs w:val="28"/>
          <w:rtl w:val="true"/>
          <w:lang w:bidi="fa-IR"/>
        </w:rPr>
        <w:t>فإنّ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کالظنّ بأحد الطرفین أو أصالة عدم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یقوم مقامه إلاّ بدلیل خاصّ خارجیّ غیر أدلّة حجّیة مطلق الظنّ فی الصلاة و أصالة عدم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أداء الشهادة استنادا إلی البیّنة أو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جاز تعویل الشاهد فی عمل نفسه بهما إجماعا؛ لأنّ العلم بالمشهود به مأخوذ </w:t>
      </w:r>
      <w:r>
        <w:rPr>
          <w:rStyle w:val="FootnoteAnchor"/>
          <w:rtl w:val="true"/>
        </w:rPr>
        <w:footnoteReference w:id="37"/>
      </w:r>
      <w:r>
        <w:rPr>
          <w:rFonts w:ascii="IRNazanin" w:hAnsi="IRNazanin" w:eastAsia="IRNazanin"/>
          <w:color w:val="111111"/>
          <w:sz w:val="28"/>
          <w:sz w:val="28"/>
          <w:szCs w:val="28"/>
          <w:rtl w:val="true"/>
          <w:lang w:bidi="fa-IR"/>
        </w:rPr>
        <w:t>فی مقام العمل علی وجه الطریقیّة، بخلاف مقام أداء الشهادة،إلاّ أن یثبت من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کلّ ما یجوز العمل به من الطرق الشرعیّة یجوز الاستناد إلیه فی الشهادة؛کما یظهر من روایة حفص الواردة فی جواز الاستناد إلی الید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نذر أحد أن یتصدّق کلّ یوم بدرهم ما دام متیقّنا بحیاة ولده،فإنّه لا یجب التصدّق عند الشکّ فی الحیاة لأجل استصحاب الحیاة،بخلاف ما لو علّق النذر بنفس الحیاة،فإنّه یکفی فی الوجوب الاستصحاب</w:t>
      </w:r>
      <w:r>
        <w:rPr>
          <w:rFonts w:eastAsia="IRNazanin" w:cs="IRNazanin"/>
          <w:color w:val="111111"/>
          <w:sz w:val="28"/>
          <w:szCs w:val="28"/>
          <w:rtl w:val="true"/>
          <w:lang w:bidi="fa-IR"/>
        </w:rPr>
        <w:t xml:space="preserve">. </w:t>
      </w:r>
      <w:bookmarkStart w:id="92" w:name="pg12977_114076"/>
    </w:p>
    <w:p>
      <w:pPr>
        <w:pStyle w:val="Heading3"/>
        <w:numPr>
          <w:ilvl w:val="2"/>
          <w:numId w:val="1"/>
        </w:numPr>
        <w:rPr/>
      </w:pPr>
      <w:bookmarkStart w:id="93" w:name="__RefHeading___Toc5446509_3224264995"/>
      <w:bookmarkStart w:id="94" w:name="_Toc36"/>
      <w:bookmarkEnd w:id="92"/>
      <w:bookmarkEnd w:id="93"/>
      <w:r>
        <w:rPr>
          <w:rtl w:val="true"/>
        </w:rPr>
        <w:t>انقسام الظن کالقطع إلی طریقی و موضوعی</w:t>
      </w:r>
      <w:r>
        <w:rPr>
          <w:rtl w:val="true"/>
        </w:rPr>
        <w:t>:</w:t>
      </w:r>
      <w:bookmarkEnd w:id="94"/>
    </w:p>
    <w:p>
      <w:pPr>
        <w:pStyle w:val="Heading4"/>
        <w:numPr>
          <w:ilvl w:val="3"/>
          <w:numId w:val="1"/>
        </w:numPr>
        <w:rPr/>
      </w:pPr>
      <w:bookmarkStart w:id="95" w:name="__RefHeading___Toc5446511_3224264995"/>
      <w:bookmarkStart w:id="96" w:name="_Toc37"/>
      <w:bookmarkEnd w:id="95"/>
      <w:r>
        <w:rPr>
          <w:rtl w:val="true"/>
        </w:rPr>
        <w:t>اشارة</w:t>
      </w:r>
      <w:bookmarkEnd w:id="96"/>
    </w:p>
    <w:p>
      <w:pPr>
        <w:pStyle w:val="BookText"/>
        <w:rPr/>
      </w:pPr>
      <w:r>
        <w:rPr>
          <w:rFonts w:ascii="Amiri" w:hAnsi="Amiri" w:eastAsia="Amiri" w:cs="Amiri"/>
          <w:color w:val="111111"/>
          <w:sz w:val="28"/>
          <w:sz w:val="28"/>
          <w:szCs w:val="28"/>
          <w:rtl w:val="true"/>
          <w:lang w:bidi="ar-SA"/>
        </w:rPr>
        <w:t>ثمّ إنّ هذا الذی ذکرنا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Style w:val="FootnoteAnchor"/>
          <w:rtl w:val="true"/>
        </w:rPr>
        <w:footnoteReference w:id="39"/>
      </w:r>
      <w:r>
        <w:rPr>
          <w:rFonts w:ascii="IRNazanin" w:hAnsi="IRNazanin" w:eastAsia="IRNazanin"/>
          <w:color w:val="111111"/>
          <w:sz w:val="28"/>
          <w:sz w:val="28"/>
          <w:szCs w:val="28"/>
          <w:rtl w:val="true"/>
          <w:lang w:bidi="fa-IR"/>
        </w:rPr>
        <w:t>کون القطع مأخوذا تارة علی وجه الطریقیّة و اخری علی وجه الموضوعیّة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جار فی الظنّ أیضا؛فإنّه </w:t>
      </w:r>
      <w:r>
        <w:rPr>
          <w:rStyle w:val="FootnoteAnchor"/>
          <w:rtl w:val="true"/>
        </w:rPr>
        <w:footnoteReference w:id="40"/>
      </w:r>
      <w:r>
        <w:rPr>
          <w:rFonts w:ascii="IRNazanin" w:hAnsi="IRNazanin" w:eastAsia="IRNazanin"/>
          <w:color w:val="111111"/>
          <w:sz w:val="28"/>
          <w:sz w:val="28"/>
          <w:szCs w:val="28"/>
          <w:rtl w:val="true"/>
          <w:lang w:bidi="fa-IR"/>
        </w:rPr>
        <w:t>و إن فارق العلم فی کیفیّة الطریقیّة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العلم طریق بنفسه،و الظنّ المعتبر طریق بجعل الشارع،بمعنی کونه وسطا فی ترتّب أحکام متعلّقه، کما أشرنا إلیه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أنّه </w:t>
      </w:r>
      <w:r>
        <w:rPr>
          <w:rStyle w:val="FootnoteAnchor"/>
          <w:rtl w:val="true"/>
        </w:rPr>
        <w:footnoteReference w:id="41"/>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یؤخذ طریقا مجعولا إلی متعلّقه یقوم مقامه سائر الطرق الشرعیّة،و قد یؤخذ موضوعا لحکم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بدّ من ملاحظة دلیل ذلک،ثمّ الحکم بقیام غیره من الطرق المعتبرة مقامه،لکن الغالب فیه الأوّل</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12977_114078"/>
      <w:bookmarkStart w:id="98" w:name="pg12977_114078"/>
      <w:bookmarkEnd w:id="98"/>
    </w:p>
    <w:p>
      <w:pPr>
        <w:pStyle w:val="BookText"/>
        <w:rPr/>
      </w:pPr>
      <w:bookmarkStart w:id="99" w:name="pg12977_114078"/>
      <w:bookmarkEnd w:id="99"/>
      <w:r>
        <w:rPr>
          <w:rFonts w:ascii="IRNazanin" w:hAnsi="IRNazanin" w:eastAsia="IRNazanin"/>
          <w:color w:val="111111"/>
          <w:sz w:val="28"/>
          <w:sz w:val="28"/>
          <w:szCs w:val="28"/>
          <w:rtl w:val="true"/>
          <w:lang w:bidi="fa-IR"/>
        </w:rPr>
        <w:t>و ینبغی</w:t>
      </w:r>
    </w:p>
    <w:p>
      <w:pPr>
        <w:pStyle w:val="Heading4"/>
        <w:numPr>
          <w:ilvl w:val="3"/>
          <w:numId w:val="1"/>
        </w:numPr>
        <w:rPr/>
      </w:pPr>
      <w:bookmarkStart w:id="100" w:name="__RefHeading___Toc5446513_3224264995"/>
      <w:bookmarkStart w:id="101" w:name="_Toc38"/>
      <w:bookmarkEnd w:id="100"/>
      <w:r>
        <w:rPr>
          <w:rtl w:val="true"/>
        </w:rPr>
        <w:t>التنبیه علی امور</w:t>
      </w:r>
      <w:r>
        <w:rPr>
          <w:rtl w:val="true"/>
        </w:rPr>
        <w:t>:</w:t>
      </w:r>
      <w:bookmarkEnd w:id="101"/>
    </w:p>
    <w:p>
      <w:pPr>
        <w:pStyle w:val="Heading5"/>
        <w:numPr>
          <w:ilvl w:val="4"/>
          <w:numId w:val="1"/>
        </w:numPr>
        <w:rPr/>
      </w:pPr>
      <w:bookmarkStart w:id="102" w:name="__RefHeading___Toc5446515_3224264995"/>
      <w:bookmarkStart w:id="103" w:name="_Toc39"/>
      <w:bookmarkEnd w:id="102"/>
      <w:r>
        <w:rPr>
          <w:rtl w:val="true"/>
        </w:rPr>
        <w:t xml:space="preserve">الامر الأوّل </w:t>
      </w:r>
      <w:r>
        <w:rPr>
          <w:rtl w:val="true"/>
        </w:rPr>
        <w:t>:</w:t>
      </w:r>
      <w:r>
        <w:rPr>
          <w:rtl w:val="true"/>
        </w:rPr>
        <w:t>الکلام فی التجرّی و أنّه حرام أم لا؟</w:t>
      </w:r>
      <w:bookmarkEnd w:id="103"/>
    </w:p>
    <w:p>
      <w:pPr>
        <w:pStyle w:val="Heading6"/>
        <w:numPr>
          <w:ilvl w:val="5"/>
          <w:numId w:val="1"/>
        </w:numPr>
        <w:rPr/>
      </w:pPr>
      <w:bookmarkStart w:id="104" w:name="__RefHeading___Toc5446517_3224264995"/>
      <w:bookmarkStart w:id="105" w:name="_Toc40"/>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 xml:space="preserve">أنّه قد عرفت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القاطع لا یحتاج فی العمل بقطعه إلی أزید من الأدلّة المثبتة لأحکام مقطوعه،فیجعل ذلک کبری لصغری قطع بها، فیقطع بالنتیجة،فإذا قطع بکون شیء خمرا،و قام الدلیل علی کون حکم الخمر فی نفسها هی الحرمة،فیقطع بحرمة ذلک الشیء</w:t>
      </w:r>
      <w:r>
        <w:rPr>
          <w:rFonts w:eastAsia="IRNazanin" w:cs="IRNazanin"/>
          <w:color w:val="111111"/>
          <w:sz w:val="28"/>
          <w:szCs w:val="28"/>
          <w:rtl w:val="true"/>
          <w:lang w:bidi="fa-IR"/>
        </w:rPr>
        <w:t>.</w:t>
      </w:r>
    </w:p>
    <w:p>
      <w:pPr>
        <w:pStyle w:val="Heading6"/>
        <w:numPr>
          <w:ilvl w:val="5"/>
          <w:numId w:val="1"/>
        </w:numPr>
        <w:rPr/>
      </w:pPr>
      <w:bookmarkStart w:id="106" w:name="__RefHeading___Toc5446519_3224264995"/>
      <w:bookmarkStart w:id="107" w:name="_Toc41"/>
      <w:bookmarkEnd w:id="106"/>
      <w:r>
        <w:rPr>
          <w:rtl w:val="true"/>
        </w:rPr>
        <w:t>هل القطع حجّة مطلقا أو فی خصوص صورة مصادفته للواقع؟</w:t>
      </w:r>
      <w:bookmarkEnd w:id="107"/>
    </w:p>
    <w:p>
      <w:pPr>
        <w:pStyle w:val="BookText"/>
        <w:rPr/>
      </w:pPr>
      <w:r>
        <w:rPr>
          <w:rFonts w:ascii="IRNazanin" w:hAnsi="IRNazanin" w:eastAsia="IRNazanin"/>
          <w:color w:val="111111"/>
          <w:sz w:val="28"/>
          <w:sz w:val="28"/>
          <w:szCs w:val="28"/>
          <w:rtl w:val="true"/>
          <w:lang w:bidi="fa-IR"/>
        </w:rPr>
        <w:t>لکنّ الکلام فی أنّ قطعه هذا هل هو حجّة علیه من الشارع و إن کان مخالفا للواقع فی علم اللّه،فیعاقب علی مخالفته،أو أنّه حجّة علیه إذا صادف الواقع؟بمعنی أنّه لو شرب الخمر الواقعیّ عالما عوقب علیه فی مقابل من شربها جاهلا،لا أنّه یعاقب علی شرب ما قطع بکونه خمرا و إن لم یکن خمرا فی الواقع</w:t>
      </w:r>
      <w:r>
        <w:rPr>
          <w:rFonts w:eastAsia="IRNazanin" w:cs="IRNazanin"/>
          <w:color w:val="111111"/>
          <w:sz w:val="28"/>
          <w:szCs w:val="28"/>
          <w:rtl w:val="true"/>
          <w:lang w:bidi="fa-IR"/>
        </w:rPr>
        <w:t>.</w:t>
      </w:r>
    </w:p>
    <w:p>
      <w:pPr>
        <w:pStyle w:val="Heading6"/>
        <w:numPr>
          <w:ilvl w:val="5"/>
          <w:numId w:val="1"/>
        </w:numPr>
        <w:rPr/>
      </w:pPr>
      <w:bookmarkStart w:id="108" w:name="__RefHeading___Toc5446521_3224264995"/>
      <w:bookmarkStart w:id="109" w:name="_Toc42"/>
      <w:bookmarkEnd w:id="108"/>
      <w:r>
        <w:rPr>
          <w:rtl w:val="true"/>
        </w:rPr>
        <w:t>الاستدلال علی حرمة التجرّی بالإجماع</w:t>
      </w:r>
      <w:bookmarkEnd w:id="10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کلماتهم فی بعض المقامات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الاتّفاق علی الأوّل؛کما یظهر من دعوی جماعة </w:t>
      </w:r>
      <w:r>
        <w:rPr>
          <w:rStyle w:val="FootnoteAnchor"/>
          <w:rtl w:val="true"/>
        </w:rPr>
        <w:footnoteReference w:id="44"/>
      </w:r>
      <w:r>
        <w:rPr>
          <w:rFonts w:ascii="IRNazanin" w:hAnsi="IRNazanin" w:eastAsia="IRNazanin"/>
          <w:color w:val="111111"/>
          <w:sz w:val="28"/>
          <w:sz w:val="28"/>
          <w:szCs w:val="28"/>
          <w:rtl w:val="true"/>
          <w:lang w:bidi="fa-IR"/>
        </w:rPr>
        <w:t xml:space="preserve">الإجماع علی أنّ ظانّ ضیق الوقت إذا أخّر الصلاة عصی و إن انکشف بقاء الوقت؛فإنّ تعبیرهم بظنّ الضیق لبیان أدنی </w:t>
      </w:r>
      <w:bookmarkStart w:id="110" w:name="pg12977_114079"/>
    </w:p>
    <w:p>
      <w:pPr>
        <w:pStyle w:val="BookText"/>
        <w:rPr/>
      </w:pPr>
      <w:bookmarkEnd w:id="110"/>
      <w:r>
        <w:rPr>
          <w:rFonts w:ascii="IRNazanin" w:hAnsi="IRNazanin" w:eastAsia="IRNazanin"/>
          <w:color w:val="111111"/>
          <w:sz w:val="28"/>
          <w:sz w:val="28"/>
          <w:szCs w:val="28"/>
          <w:rtl w:val="true"/>
          <w:lang w:bidi="fa-IR"/>
        </w:rPr>
        <w:t>فردی الرجحان،فیشمل القطع بالضیق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نعم،حکی عن النهایة </w:t>
      </w:r>
      <w:r>
        <w:rPr>
          <w:rStyle w:val="FootnoteAnchor"/>
          <w:rtl w:val="true"/>
        </w:rPr>
        <w:footnoteReference w:id="45"/>
      </w:r>
      <w:r>
        <w:rPr>
          <w:rFonts w:ascii="IRNazanin" w:hAnsi="IRNazanin" w:eastAsia="IRNazanin"/>
          <w:color w:val="111111"/>
          <w:sz w:val="28"/>
          <w:sz w:val="28"/>
          <w:szCs w:val="28"/>
          <w:rtl w:val="true"/>
          <w:lang w:bidi="fa-IR"/>
        </w:rPr>
        <w:t xml:space="preserve">و شیخنا البهائی </w:t>
      </w:r>
      <w:r>
        <w:rPr>
          <w:rStyle w:val="FootnoteAnchor"/>
          <w:rtl w:val="true"/>
        </w:rPr>
        <w:footnoteReference w:id="46"/>
      </w:r>
      <w:r>
        <w:rPr>
          <w:rFonts w:ascii="IRNazanin" w:hAnsi="IRNazanin" w:eastAsia="IRNazanin"/>
          <w:color w:val="111111"/>
          <w:sz w:val="28"/>
          <w:sz w:val="28"/>
          <w:szCs w:val="28"/>
          <w:rtl w:val="true"/>
          <w:lang w:bidi="fa-IR"/>
        </w:rPr>
        <w:t>التوقّف فی العصیان، بل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ظنّ ضیق الوقت عصی لو أخّر إن استمرّ الظنّ، و إن انکشف خلافه </w:t>
      </w:r>
      <w:r>
        <w:rPr>
          <w:rStyle w:val="FootnoteAnchor"/>
          <w:rtl w:val="true"/>
        </w:rPr>
        <w:footnoteReference w:id="47"/>
      </w:r>
      <w:r>
        <w:rPr>
          <w:rFonts w:ascii="IRNazanin" w:hAnsi="IRNazanin" w:eastAsia="IRNazanin"/>
          <w:color w:val="111111"/>
          <w:sz w:val="28"/>
          <w:sz w:val="28"/>
          <w:szCs w:val="28"/>
          <w:rtl w:val="true"/>
          <w:lang w:bidi="fa-IR"/>
        </w:rPr>
        <w:t xml:space="preserve">فالوجه عدم العصیان </w:t>
      </w:r>
      <w:r>
        <w:rPr>
          <w:rStyle w:val="FootnoteAnchor"/>
          <w:rtl w:val="true"/>
        </w:rPr>
        <w:footnoteReference w:id="48"/>
      </w:r>
      <w:r>
        <w:rPr>
          <w:rFonts w:ascii="IRNazanin" w:hAnsi="IRNazanin" w:eastAsia="IRNazanin"/>
          <w:color w:val="111111"/>
          <w:sz w:val="28"/>
          <w:sz w:val="28"/>
          <w:szCs w:val="28"/>
          <w:rtl w:val="true"/>
          <w:lang w:bidi="fa-IR"/>
        </w:rPr>
        <w:t xml:space="preserve">،انتهی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استقرب العدم سیّد مشایخنا فی المفاتیح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لا خلاف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سلوک الطریق المظنون الخطر أو مقطوعه معصیة یجب إتمام الصلاة فیه و لو بعد انکشاف عدم الضرر فیه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1" w:name="__RefHeading___Toc5446523_3224264995"/>
      <w:bookmarkStart w:id="112" w:name="_Toc43"/>
      <w:bookmarkEnd w:id="111"/>
      <w:r>
        <w:rPr>
          <w:rtl w:val="true"/>
        </w:rPr>
        <w:t>تأیید الحرمة ببناء العقلاء</w:t>
      </w:r>
      <w:bookmarkEnd w:id="112"/>
    </w:p>
    <w:p>
      <w:p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العقلاء علی الاستحقاق،و حکم العقل بقبح التجرّی</w:t>
      </w:r>
      <w:r>
        <w:rPr>
          <w:rFonts w:eastAsia="IRNazanin" w:cs="IRNazanin"/>
          <w:color w:val="111111"/>
          <w:sz w:val="28"/>
          <w:szCs w:val="28"/>
          <w:rtl w:val="true"/>
          <w:lang w:bidi="fa-IR"/>
        </w:rPr>
        <w:t>.</w:t>
      </w:r>
    </w:p>
    <w:p>
      <w:pPr>
        <w:pStyle w:val="Heading6"/>
        <w:numPr>
          <w:ilvl w:val="5"/>
          <w:numId w:val="1"/>
        </w:numPr>
        <w:rPr/>
      </w:pPr>
      <w:bookmarkStart w:id="113" w:name="__RefHeading___Toc5446525_3224264995"/>
      <w:bookmarkStart w:id="114" w:name="_Toc44"/>
      <w:bookmarkEnd w:id="113"/>
      <w:r>
        <w:rPr>
          <w:rtl w:val="true"/>
        </w:rPr>
        <w:t>الاستدلال علی الحرمة بالدلیل العقلی</w:t>
      </w:r>
      <w:bookmarkEnd w:id="11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یقرّر دلالة العقل علی ذلک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بأنّا إذا فرضنا شخصین قاطعین،بأن قطع أحدهما بکون مائع معیّن خمرا،و قطع الآخر بکون </w:t>
      </w:r>
      <w:bookmarkStart w:id="115" w:name="pg12977_114080"/>
    </w:p>
    <w:p>
      <w:pPr>
        <w:pStyle w:val="BookText"/>
        <w:rPr/>
      </w:pPr>
      <w:bookmarkEnd w:id="115"/>
      <w:r>
        <w:rPr>
          <w:rFonts w:ascii="IRNazanin" w:hAnsi="IRNazanin" w:eastAsia="IRNazanin"/>
          <w:color w:val="111111"/>
          <w:sz w:val="28"/>
          <w:sz w:val="28"/>
          <w:szCs w:val="28"/>
          <w:rtl w:val="true"/>
          <w:lang w:bidi="fa-IR"/>
        </w:rPr>
        <w:t xml:space="preserve">مائع </w:t>
      </w:r>
      <w:r>
        <w:rPr>
          <w:rStyle w:val="FootnoteAnchor"/>
          <w:rtl w:val="true"/>
        </w:rPr>
        <w:footnoteReference w:id="53"/>
      </w:r>
      <w:r>
        <w:rPr>
          <w:rFonts w:ascii="IRNazanin" w:hAnsi="IRNazanin" w:eastAsia="IRNazanin"/>
          <w:color w:val="111111"/>
          <w:sz w:val="28"/>
          <w:sz w:val="28"/>
          <w:szCs w:val="28"/>
          <w:rtl w:val="true"/>
          <w:lang w:bidi="fa-IR"/>
        </w:rPr>
        <w:t>آخر خمرا،فشرباهما،فاتّفق مصادفة أحدهما للواقع و مخالفة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أن یستحقّا العقاب،أو لا یستحقّه أحدهما،أو یستحقّه من صادف قطعه الواقع دون الآخر،أو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سبیل إلی الثانی و الرابع،و الثالث مستلزم لإناطة استحقاق العقاب بما هو خارج عن الاختیار،و هو مناف لما یقتضیه العدل،فتعیّن الأوّل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الخدشة فی الکلّ</w:t>
      </w:r>
      <w:r>
        <w:rPr>
          <w:rFonts w:eastAsia="IRNazanin" w:cs="IRNazanin"/>
          <w:color w:val="111111"/>
          <w:sz w:val="28"/>
          <w:szCs w:val="28"/>
          <w:rtl w:val="true"/>
          <w:lang w:bidi="fa-IR"/>
        </w:rPr>
        <w:t>:</w:t>
      </w:r>
    </w:p>
    <w:p>
      <w:pPr>
        <w:pStyle w:val="Heading6"/>
        <w:numPr>
          <w:ilvl w:val="5"/>
          <w:numId w:val="1"/>
        </w:numPr>
        <w:rPr/>
      </w:pPr>
      <w:bookmarkStart w:id="116" w:name="__RefHeading___Toc5446527_3224264995"/>
      <w:bookmarkStart w:id="117" w:name="_Toc45"/>
      <w:bookmarkEnd w:id="116"/>
      <w:r>
        <w:rPr>
          <w:rtl w:val="true"/>
        </w:rPr>
        <w:t>المناقشة فی الإجماع</w:t>
      </w:r>
      <w:bookmarkEnd w:id="117"/>
    </w:p>
    <w:p>
      <w:pPr>
        <w:pStyle w:val="BookText"/>
        <w:rPr/>
      </w:pPr>
      <w:r>
        <w:rPr>
          <w:rFonts w:ascii="IRNazanin" w:hAnsi="IRNazanin" w:eastAsia="IRNazanin"/>
          <w:color w:val="111111"/>
          <w:sz w:val="28"/>
          <w:sz w:val="28"/>
          <w:szCs w:val="28"/>
          <w:rtl w:val="true"/>
          <w:lang w:bidi="fa-IR"/>
        </w:rPr>
        <w:t xml:space="preserve">أمّا الإجماع،فالمحصّل منه غیر حاصل،و المسألة عقلیّة،خصوصا مع مخالفة غیر واحد،کما عرفت من النهایة </w:t>
      </w:r>
      <w:r>
        <w:rPr>
          <w:rStyle w:val="FootnoteAnchor"/>
          <w:rtl w:val="true"/>
        </w:rPr>
        <w:footnoteReference w:id="55"/>
      </w:r>
      <w:r>
        <w:rPr>
          <w:rFonts w:ascii="IRNazanin" w:hAnsi="IRNazanin" w:eastAsia="IRNazanin"/>
          <w:color w:val="111111"/>
          <w:sz w:val="28"/>
          <w:sz w:val="28"/>
          <w:szCs w:val="28"/>
          <w:rtl w:val="true"/>
          <w:lang w:bidi="fa-IR"/>
        </w:rPr>
        <w:t xml:space="preserve">و ستعرف من قواعد الشهید قدّس سرّه </w:t>
      </w:r>
      <w:r>
        <w:rPr>
          <w:rStyle w:val="FootnoteAnchor"/>
          <w:rtl w:val="true"/>
        </w:rPr>
        <w:footnoteReference w:id="56"/>
      </w:r>
      <w:r>
        <w:rPr>
          <w:rFonts w:ascii="IRNazanin" w:hAnsi="IRNazanin" w:eastAsia="IRNazanin"/>
          <w:color w:val="111111"/>
          <w:sz w:val="28"/>
          <w:sz w:val="28"/>
          <w:szCs w:val="28"/>
          <w:rtl w:val="true"/>
          <w:lang w:bidi="fa-IR"/>
        </w:rPr>
        <w:t>،و المنقول منه لیس حجّة فی المقام</w:t>
      </w:r>
      <w:r>
        <w:rPr>
          <w:rFonts w:eastAsia="IRNazanin" w:cs="IRNazanin"/>
          <w:color w:val="111111"/>
          <w:sz w:val="28"/>
          <w:szCs w:val="28"/>
          <w:rtl w:val="true"/>
          <w:lang w:bidi="fa-IR"/>
        </w:rPr>
        <w:t>.</w:t>
      </w:r>
    </w:p>
    <w:p>
      <w:pPr>
        <w:pStyle w:val="Heading6"/>
        <w:numPr>
          <w:ilvl w:val="5"/>
          <w:numId w:val="1"/>
        </w:numPr>
        <w:rPr/>
      </w:pPr>
      <w:bookmarkStart w:id="118" w:name="__RefHeading___Toc5446529_3224264995"/>
      <w:bookmarkStart w:id="119" w:name="_Toc46"/>
      <w:bookmarkEnd w:id="118"/>
      <w:r>
        <w:rPr>
          <w:rtl w:val="true"/>
        </w:rPr>
        <w:t>المناقشة فی بناء العقلاء</w:t>
      </w:r>
      <w:bookmarkEnd w:id="119"/>
    </w:p>
    <w:p>
      <w:pPr>
        <w:pStyle w:val="BookText"/>
        <w:rPr/>
      </w:pPr>
      <w:r>
        <w:rPr>
          <w:rFonts w:ascii="IRNazanin" w:hAnsi="IRNazanin" w:eastAsia="IRNazanin"/>
          <w:color w:val="111111"/>
          <w:sz w:val="28"/>
          <w:sz w:val="28"/>
          <w:szCs w:val="28"/>
          <w:rtl w:val="true"/>
          <w:lang w:bidi="fa-IR"/>
        </w:rPr>
        <w:t>و أمّا بناء العقلاء،فلو سلّم فإنّما هو علی مذمّة الشخص من حیث إنّ هذا الفعل یکشف عن وجود صفة الشقاوة فیه،لا علی نفس فعله،کمن انکشف لهم من حاله أنّه بحیث لو قدر علی قتل سیّده لقتله؛ فإنّ المذمّة علی المنکشف،لا الکاشف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یظهر الجواب عن قبح التجرّی؛فإنّه لکشف ما تجرّی به عن خبث الفاعل </w:t>
      </w:r>
      <w:r>
        <w:rPr>
          <w:rStyle w:val="FootnoteAnchor"/>
          <w:rtl w:val="true"/>
        </w:rPr>
        <w:footnoteReference w:id="57"/>
      </w:r>
      <w:r>
        <w:rPr>
          <w:rFonts w:ascii="IRNazanin" w:hAnsi="IRNazanin" w:eastAsia="IRNazanin"/>
          <w:color w:val="111111"/>
          <w:sz w:val="28"/>
          <w:sz w:val="28"/>
          <w:szCs w:val="28"/>
          <w:rtl w:val="true"/>
          <w:lang w:bidi="fa-IR"/>
        </w:rPr>
        <w:t>،لا عن کون الفعل مبغوضا للمولی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الکلام فی کون هذا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 المنهیّ عنه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مبغوضا للمولی من حیث تعلّق اعتقاد المکلّف بکونه مبغوضا،لا فی أنّ </w:t>
      </w:r>
      <w:bookmarkStart w:id="120" w:name="pg12977_114081"/>
    </w:p>
    <w:p>
      <w:pPr>
        <w:pStyle w:val="BookText"/>
        <w:rPr/>
      </w:pPr>
      <w:bookmarkEnd w:id="120"/>
      <w:r>
        <w:rPr>
          <w:rFonts w:ascii="IRNazanin" w:hAnsi="IRNazanin" w:eastAsia="IRNazanin"/>
          <w:color w:val="111111"/>
          <w:sz w:val="28"/>
          <w:sz w:val="28"/>
          <w:szCs w:val="28"/>
          <w:rtl w:val="true"/>
          <w:lang w:bidi="fa-IR"/>
        </w:rPr>
        <w:t>هذا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المنهی عنه باعتقاده ظاهرا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ینبئ عن سوء سریرة العبد مع سیّده و کونه فی مقام الطغیان و المعصیة </w:t>
      </w:r>
      <w:r>
        <w:rPr>
          <w:rStyle w:val="FootnoteAnchor"/>
          <w:rtl w:val="true"/>
        </w:rPr>
        <w:footnoteReference w:id="59"/>
      </w:r>
      <w:r>
        <w:rPr>
          <w:rFonts w:ascii="IRNazanin" w:hAnsi="IRNazanin" w:eastAsia="IRNazanin"/>
          <w:color w:val="111111"/>
          <w:sz w:val="28"/>
          <w:sz w:val="28"/>
          <w:szCs w:val="28"/>
          <w:rtl w:val="true"/>
          <w:lang w:bidi="fa-IR"/>
        </w:rPr>
        <w:t xml:space="preserve">فإنّ هذا غیر منکر فی المقام </w:t>
      </w:r>
      <w:r>
        <w:rPr>
          <w:rStyle w:val="FootnoteAnchor"/>
          <w:rtl w:val="true"/>
        </w:rPr>
        <w:footnoteReference w:id="60"/>
      </w:r>
      <w:r>
        <w:rPr>
          <w:rFonts w:ascii="IRNazanin" w:hAnsi="IRNazanin" w:eastAsia="IRNazanin"/>
          <w:color w:val="111111"/>
          <w:sz w:val="28"/>
          <w:sz w:val="28"/>
          <w:szCs w:val="28"/>
          <w:rtl w:val="true"/>
          <w:lang w:bidi="fa-IR"/>
        </w:rPr>
        <w:t>،لکن لا یجدی فی کون الفعل محرّما شرعیّا؛لأنّ استحقاق المذمّة علی ما کشف عنه الفعل لا یوجب استحقاقه علی نفس الفعل، و من المعلوم أنّ الحکم العقلی باستحقاق الذمّ إنّما یلازم استحقاق العقاب شرعا إذا تعلّق بالفعل،لا بالفاعل</w:t>
      </w:r>
      <w:r>
        <w:rPr>
          <w:rFonts w:eastAsia="IRNazanin" w:cs="IRNazanin"/>
          <w:color w:val="111111"/>
          <w:sz w:val="28"/>
          <w:szCs w:val="28"/>
          <w:rtl w:val="true"/>
          <w:lang w:bidi="fa-IR"/>
        </w:rPr>
        <w:t>.</w:t>
      </w:r>
    </w:p>
    <w:p>
      <w:pPr>
        <w:pStyle w:val="Heading6"/>
        <w:numPr>
          <w:ilvl w:val="5"/>
          <w:numId w:val="1"/>
        </w:numPr>
        <w:rPr/>
      </w:pPr>
      <w:bookmarkStart w:id="121" w:name="__RefHeading___Toc5446531_3224264995"/>
      <w:bookmarkStart w:id="122" w:name="_Toc47"/>
      <w:bookmarkEnd w:id="121"/>
      <w:r>
        <w:rPr>
          <w:rtl w:val="true"/>
        </w:rPr>
        <w:t>المناقشة فی الدلیل العقلی</w:t>
      </w:r>
      <w:bookmarkEnd w:id="122"/>
    </w:p>
    <w:p>
      <w:pPr>
        <w:pStyle w:val="BookText"/>
        <w:rPr/>
      </w:pPr>
      <w:r>
        <w:rPr>
          <w:rFonts w:ascii="IRNazanin" w:hAnsi="IRNazanin" w:eastAsia="IRNazanin"/>
          <w:color w:val="111111"/>
          <w:sz w:val="28"/>
          <w:sz w:val="28"/>
          <w:szCs w:val="28"/>
          <w:rtl w:val="true"/>
          <w:lang w:bidi="fa-IR"/>
        </w:rPr>
        <w:t>و أمّا ما ذکر من الدلیل العقلی،فنلتزم باستحقاق من صادف قطعه الواقع؛لأنّه عصی اختیارا،دون من لم یصادف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61"/>
      </w:r>
      <w:r>
        <w:rPr>
          <w:rFonts w:ascii="IRNazanin" w:hAnsi="IRNazanin" w:eastAsia="IRNazanin"/>
          <w:color w:val="111111"/>
          <w:sz w:val="28"/>
          <w:sz w:val="28"/>
          <w:szCs w:val="28"/>
          <w:rtl w:val="true"/>
          <w:lang w:bidi="fa-IR"/>
        </w:rPr>
        <w:t>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التفاوت بالاستحقاق و العدم لا یحسن أن یناط بما هو خارج عن الاختیار،ممنوع؛فإنّ العقاب بما لا یرجع بالأخرة إلی الاختیار قبیح،إلاّ أنّ عدم العقاب لأمر لا یرجع إلی الاختیار قبحه غیر معلوم؛کما یشهد به الأخبار الواردة فی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سنّ سنّة حسنة کان له مثل أجر من عمل بها،و من سنّ سنّة سیّئة کان له مثل وزر من عمل بها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فرضنا أنّ شخصین سنّا سنّة حسنة أو سیّئة،و اتّفق کثرة </w:t>
      </w:r>
      <w:bookmarkStart w:id="123" w:name="pg12977_114082"/>
    </w:p>
    <w:p>
      <w:pPr>
        <w:pStyle w:val="BookText"/>
        <w:rPr/>
      </w:pPr>
      <w:bookmarkEnd w:id="123"/>
      <w:r>
        <w:rPr>
          <w:rFonts w:ascii="IRNazanin" w:hAnsi="IRNazanin" w:eastAsia="IRNazanin"/>
          <w:color w:val="111111"/>
          <w:sz w:val="28"/>
          <w:sz w:val="28"/>
          <w:szCs w:val="28"/>
          <w:rtl w:val="true"/>
          <w:lang w:bidi="fa-IR"/>
        </w:rPr>
        <w:t>العامل بإحداهما و قلّة العامل بما سنّه الآخر،فإنّ مقتضی الروایات کون ثواب الأوّل أو عقابه أعظم،و قد اشتهر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للمصیب أجرین و للمخطئ أجرا واحدا</w:t>
      </w:r>
      <w:r>
        <w:rPr>
          <w:rFonts w:eastAsia="IRNazanin" w:cs="IRNazanin"/>
          <w:color w:val="111111"/>
          <w:sz w:val="28"/>
          <w:szCs w:val="28"/>
          <w:rtl w:val="true"/>
          <w:lang w:bidi="fa-IR"/>
        </w:rPr>
        <w:t xml:space="preserve">» </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الأخبار فی أمثال ذلک فی طرف </w:t>
      </w:r>
      <w:r>
        <w:rPr>
          <w:rStyle w:val="FootnoteAnchor"/>
          <w:rtl w:val="true"/>
        </w:rPr>
        <w:footnoteReference w:id="64"/>
      </w:r>
      <w:r>
        <w:rPr>
          <w:rFonts w:ascii="IRNazanin" w:hAnsi="IRNazanin" w:eastAsia="IRNazanin"/>
          <w:color w:val="111111"/>
          <w:sz w:val="28"/>
          <w:sz w:val="28"/>
          <w:szCs w:val="28"/>
          <w:rtl w:val="true"/>
          <w:lang w:bidi="fa-IR"/>
        </w:rPr>
        <w:t>الثواب و العقاب بحدّ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العقل إنّما یحکم بتساویهما فی استحقاق المذمّة من حیث شقاوة الفاعل و خبث سریرته مع المولی،لا فی استحقاق المذمّة علی الفعل المقطوع بکونه 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یؤیّد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نجد من أنفسنا الفرق فی مرتبة الذمّ </w:t>
      </w:r>
      <w:r>
        <w:rPr>
          <w:rStyle w:val="FootnoteAnchor"/>
          <w:rtl w:val="true"/>
        </w:rPr>
        <w:footnoteReference w:id="65"/>
      </w:r>
      <w:r>
        <w:rPr>
          <w:rFonts w:ascii="IRNazanin" w:hAnsi="IRNazanin" w:eastAsia="IRNazanin"/>
          <w:color w:val="111111"/>
          <w:sz w:val="28"/>
          <w:sz w:val="28"/>
          <w:szCs w:val="28"/>
          <w:rtl w:val="true"/>
          <w:lang w:bidi="fa-IR"/>
        </w:rPr>
        <w:t xml:space="preserve">بین من صادف قطعه </w:t>
      </w:r>
      <w:r>
        <w:rPr>
          <w:rStyle w:val="FootnoteAnchor"/>
          <w:rtl w:val="true"/>
        </w:rPr>
        <w:footnoteReference w:id="66"/>
      </w:r>
      <w:r>
        <w:rPr>
          <w:rFonts w:ascii="IRNazanin" w:hAnsi="IRNazanin" w:eastAsia="IRNazanin"/>
          <w:color w:val="111111"/>
          <w:sz w:val="28"/>
          <w:sz w:val="28"/>
          <w:szCs w:val="28"/>
          <w:rtl w:val="true"/>
          <w:lang w:bidi="fa-IR"/>
        </w:rPr>
        <w:t>الواقع و بین من لم یصادف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ذلک إنّما هو فی المبغوضات العقلائیّة؛من حیث إنّ زیادة العقاب </w:t>
      </w:r>
      <w:r>
        <w:rPr>
          <w:rStyle w:val="FootnoteAnchor"/>
          <w:rtl w:val="true"/>
        </w:rPr>
        <w:footnoteReference w:id="67"/>
      </w:r>
      <w:r>
        <w:rPr>
          <w:rFonts w:ascii="Amiri" w:hAnsi="Amiri" w:eastAsia="Amiri" w:cs="Amiri"/>
          <w:color w:val="111111"/>
          <w:sz w:val="28"/>
          <w:sz w:val="28"/>
          <w:szCs w:val="28"/>
          <w:rtl w:val="true"/>
          <w:lang w:bidi="ar-SA"/>
        </w:rPr>
        <w:t xml:space="preserve">من المولی و تأکّد الذمّ </w:t>
      </w:r>
      <w:r>
        <w:rPr>
          <w:rStyle w:val="FootnoteAnchor"/>
          <w:rtl w:val="true"/>
        </w:rPr>
        <w:footnoteReference w:id="68"/>
      </w:r>
      <w:r>
        <w:rPr>
          <w:rFonts w:ascii="IRNazanin" w:hAnsi="IRNazanin" w:eastAsia="IRNazanin"/>
          <w:color w:val="111111"/>
          <w:sz w:val="28"/>
          <w:sz w:val="28"/>
          <w:szCs w:val="28"/>
          <w:rtl w:val="true"/>
          <w:lang w:bidi="fa-IR"/>
        </w:rPr>
        <w:t>من العقلاء بالنسبة إلی من صادف اعتقاده الواقع لأجل التشفّی،المستحیل فی حقّ الحکیم تعالی،فتأمّل</w:t>
      </w:r>
      <w:r>
        <w:rPr>
          <w:rFonts w:eastAsia="IRNazanin" w:cs="IRNazanin"/>
          <w:color w:val="111111"/>
          <w:sz w:val="28"/>
          <w:szCs w:val="28"/>
          <w:rtl w:val="true"/>
          <w:lang w:bidi="fa-IR"/>
        </w:rPr>
        <w:t>.</w:t>
      </w:r>
    </w:p>
    <w:p>
      <w:pPr>
        <w:pStyle w:val="Heading6"/>
        <w:numPr>
          <w:ilvl w:val="5"/>
          <w:numId w:val="1"/>
        </w:numPr>
        <w:rPr/>
      </w:pPr>
      <w:bookmarkStart w:id="124" w:name="__RefHeading___Toc5446533_3224264995"/>
      <w:bookmarkStart w:id="125" w:name="_Toc48"/>
      <w:bookmarkEnd w:id="124"/>
      <w:r>
        <w:rPr>
          <w:rtl w:val="true"/>
        </w:rPr>
        <w:t>تفصیل صاحب الفصول فی التجرّی</w:t>
      </w:r>
      <w:r>
        <w:rPr>
          <w:rtl w:val="true"/>
        </w:rPr>
        <w:t>:</w:t>
      </w:r>
      <w:bookmarkEnd w:id="12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هذا،و قد یظهر من بعض المعاصرین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التفصیل فی صورة القطع </w:t>
      </w:r>
    </w:p>
    <w:p>
      <w:pPr>
        <w:pStyle w:val="BookText"/>
        <w:rPr/>
      </w:pPr>
      <w:r>
        <w:rPr>
          <w:rFonts w:ascii="IRNazanin" w:hAnsi="IRNazanin" w:eastAsia="IRNazanin"/>
          <w:color w:val="111111"/>
          <w:sz w:val="28"/>
          <w:sz w:val="28"/>
          <w:szCs w:val="28"/>
          <w:rtl w:val="true"/>
          <w:lang w:bidi="fa-IR"/>
        </w:rPr>
        <w:t>بتحریم شیء غیر محرّم واقعا،فرجّح استحقاق العقاب بفعله،إلاّ أن یعتقد تحریم واجب غیر مشروط بقصد القربة،فإنّه لا یبعد عدم استحقاق العقاب علیه مطلقا أو فی بعض الموارد؛نظرا إلی معارضة الجهة الواقعیّة للجهة الظاهریّة؛فإنّ قبح التجرّی عندنا لیس ذاتیّا،بل یختلف بالوجوه و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اشتبه علیه مؤمن ورع عالم بکافر واجب القتل،فحسب أنّه ذلک الکافر و تجرّی فلم یقتله،فإنّه لا یستحقّ الذمّ علی هذا الفعل عقلا عند من انکشف له الواقع،و إن کان معذورا لو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أظهر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جزم بوجوب قتل نبیّ أو وصیّ،فتجرّی و لم یقتله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المولی الحکیم إذا أمر عبده بقتل عدوّ له،فصادف العبد ابنه و زعمه ذلک العدوّ فتجرّی و لم یقتله،أنّ المولی إذا اطّلع علی حاله لا یذمّه علی هذا التجرّی،بل یرضی به و إن کان معذورا لو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نصب له طریقا غیر القطع إلی معرفة عدوّه،فأدّی الطریق إلی تعیین ابنه فتجرّی و لم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الاحتمال حیث یتحقّق عند المتجرّی لا یجدیه إن لم یصادف الواقع؛و لذا یلزمه العقل بالعمل بالطریق المنصوب؛لما فیه من القطع بالسلامة من العقاب،بخلاف ما لو ترک العمل به،فإنّ المظنون فیه عدمها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التجرّی علی الحرام فی المکروهات الواقعیّة أشدّ منه فی مباحاتها،و هو فیها أشدّ منه فی مندوباتها،و یختلف باختلافها ضعفا و شدّة کالمکروهات،و یمکن أن یراعی فی الواجبات الواقعیّة </w:t>
      </w:r>
      <w:bookmarkStart w:id="126" w:name="pg12977_114084"/>
    </w:p>
    <w:p>
      <w:pPr>
        <w:pStyle w:val="BookText"/>
        <w:rPr/>
      </w:pPr>
      <w:bookmarkEnd w:id="126"/>
      <w:r>
        <w:rPr>
          <w:rFonts w:ascii="IRNazanin" w:hAnsi="IRNazanin" w:eastAsia="IRNazanin"/>
          <w:color w:val="111111"/>
          <w:sz w:val="28"/>
          <w:sz w:val="28"/>
          <w:szCs w:val="28"/>
          <w:rtl w:val="true"/>
          <w:lang w:bidi="fa-IR"/>
        </w:rPr>
        <w:t xml:space="preserve">ما هو الأقوی من جهاته و جهات التجرّی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کلامه،رفع مقامه</w:t>
      </w:r>
      <w:r>
        <w:rPr>
          <w:rFonts w:eastAsia="IRNazanin" w:cs="IRNazanin"/>
          <w:color w:val="111111"/>
          <w:sz w:val="28"/>
          <w:szCs w:val="28"/>
          <w:rtl w:val="true"/>
          <w:lang w:bidi="fa-IR"/>
        </w:rPr>
        <w:t>.</w:t>
      </w:r>
    </w:p>
    <w:p>
      <w:pPr>
        <w:pStyle w:val="Heading6"/>
        <w:numPr>
          <w:ilvl w:val="5"/>
          <w:numId w:val="1"/>
        </w:numPr>
        <w:rPr/>
      </w:pPr>
      <w:bookmarkStart w:id="127" w:name="__RefHeading___Toc5446535_3224264995"/>
      <w:bookmarkStart w:id="128" w:name="_Toc49"/>
      <w:bookmarkEnd w:id="127"/>
      <w:r>
        <w:rPr>
          <w:rtl w:val="true"/>
        </w:rPr>
        <w:t>المناقشة فی تفصیل صاحب الفصول</w:t>
      </w:r>
      <w:r>
        <w:rPr>
          <w:rtl w:val="true"/>
        </w:rPr>
        <w:t>:</w:t>
      </w:r>
      <w:bookmarkEnd w:id="12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ما ذکره من عدم کون قبح التجرّی ذاتیّا؛لأنّ التجرّی علی المولی قبیح ذاتا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کان لنفس الفعل أو لکشفه عن کونه جریئا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کالظلم،بل هو قسم من الظلم،فیمتنع عروض الصفة المحسّنة له،و فی مقابله الانقیاد للّه سبحانه و تعالی،فإنّه یمتنع أن یعرض له جهة مقبّحة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سلّم أنّه لا امتناع فی أن یعرض له جهة محسّنة، لکنّه باق علی قبحه ما لم یعرض له تلک الجهة،و لیس ممّا لا یعرض له فی نفسه حسن و لا قبح إلاّ بعد ملاحظة </w:t>
      </w:r>
      <w:r>
        <w:rPr>
          <w:rStyle w:val="FootnoteAnchor"/>
          <w:rtl w:val="true"/>
        </w:rPr>
        <w:footnoteReference w:id="73"/>
      </w:r>
      <w:r>
        <w:rPr>
          <w:rFonts w:ascii="IRNazanin" w:hAnsi="IRNazanin" w:eastAsia="IRNazanin"/>
          <w:color w:val="111111"/>
          <w:sz w:val="28"/>
          <w:sz w:val="28"/>
          <w:szCs w:val="28"/>
          <w:rtl w:val="true"/>
          <w:lang w:bidi="fa-IR"/>
        </w:rPr>
        <w:t>ما یتحقّق فی 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عدم کونه علّة تامّة للقبح کالظلم، فلا شکّ فی کونه مقتضیا له کالکذب،و لیس من قبیل الأفعال التی لا یدرک العقل بملاحظتها فی أنفسها حسنها و لا قبحها،و حینئذ فیتوقّف ارتفاع قبحه علی انضمام جهة یتدارک بها قبحه،کالکذب المتضمّن لإنجاء نبیّ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 ترک قتل المؤمن بوصف أنّه مؤمن فی المثال الذی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من الامور التی تتّصف بحسن أو قبح؛للجهل </w:t>
      </w:r>
    </w:p>
    <w:p>
      <w:pPr>
        <w:pStyle w:val="BookText"/>
        <w:rPr/>
      </w:pPr>
      <w:r>
        <w:rPr>
          <w:rFonts w:ascii="IRNazanin" w:hAnsi="IRNazanin" w:eastAsia="IRNazanin"/>
          <w:color w:val="111111"/>
          <w:sz w:val="28"/>
          <w:sz w:val="28"/>
          <w:szCs w:val="28"/>
          <w:rtl w:val="true"/>
          <w:lang w:bidi="fa-IR"/>
        </w:rPr>
        <w:t>بکونه قتل مؤمن؛و لذا اعترف فی کلامه بأنّه لو قتله کان معذورا،فإذا لم یکن هذا الفعل الذی تحقّق التجرّی فی ضمنه ممّا یتّصف بحسن أو قبح،لم یؤثّر فی اقتضاء ما یقتضی القبح،کما لا یؤثّر فی اقتضاء ما یقتضی الحسن لو فرض أمره بقتل کافر فقتل مؤمنا معتقدا کفره؛فإنّه لا إشکال فی مدحه من حیث الانقیاد و عدم مزاحمة حسنه بکونه فی الواقع قتل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الفعل الذی یتحقّق به التجرّی و إن لم یتّصف فی نفسه بحسن و لا قبح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مجهول 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لا یمتنع أن یؤثّر فی قبح ما یقتضی القبح بأن یرفعه،إلاّ أن نقول بعدم مدخلیّة الامور الخارجة عن القدرة فی استحقاق المدح و الذمّ،و هو محلّ نظر،بل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یمکن ابتناء منع الدلیل العقلی السابق </w:t>
      </w:r>
      <w:r>
        <w:rPr>
          <w:rStyle w:val="FootnoteAnchor"/>
          <w:rtl w:val="true"/>
        </w:rPr>
        <w:footnoteReference w:id="74"/>
      </w:r>
      <w:r>
        <w:rPr>
          <w:rFonts w:ascii="IRNazanin" w:hAnsi="IRNazanin" w:eastAsia="IRNazanin"/>
          <w:color w:val="111111"/>
          <w:sz w:val="28"/>
          <w:sz w:val="28"/>
          <w:szCs w:val="28"/>
          <w:rtl w:val="true"/>
          <w:lang w:bidi="fa-IR"/>
        </w:rPr>
        <w:t>فی قبح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الفرق بین ما نحن فیه و بین ما تقدّم من الدلیل العقلی،کما لا یخفی علی المتأمّل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العقل مستقلّ بقبح التجرّی فی المثال المذکور،و مجرّد تحقّق ترک قتل المؤمن فی ضمنه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الاعتراف بأنّ ترک القتل لا یتّصف بحسن و لا قبح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یرفع قبحه؛ و لذا یحکم العقل بقبح الکذب و ضرب الیتیم إذا انضمّ إلیهما ما یصرفهما إلی المصلحة إذا جهل الفاعل بذلک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ذکر هذا القائل فی بعض کلماته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التجرّی إذا صادف المعصیة الواقعیّة تداخل عقابهما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129" w:name="pg12977_114086"/>
    </w:p>
    <w:p>
      <w:pPr>
        <w:pStyle w:val="BookText"/>
        <w:rPr/>
      </w:pPr>
      <w:bookmarkEnd w:id="129"/>
      <w:r>
        <w:rPr>
          <w:rFonts w:ascii="IRNazanin" w:hAnsi="IRNazanin" w:eastAsia="IRNazanin"/>
          <w:color w:val="111111"/>
          <w:sz w:val="28"/>
          <w:sz w:val="28"/>
          <w:szCs w:val="28"/>
          <w:rtl w:val="true"/>
          <w:lang w:bidi="fa-IR"/>
        </w:rPr>
        <w:t xml:space="preserve">و لم یعلم معنی محصّل لهذا الکلام؛إذ مع کون التجرّی عنوانا مستقلا فی استحقاق العقاب لا وجه للتداخل إن ارید به وحدة العقاب؛ فإنّه ترجیح بلا مرجّح </w:t>
      </w:r>
      <w:r>
        <w:rPr>
          <w:rStyle w:val="FootnoteAnchor"/>
          <w:rtl w:val="true"/>
        </w:rPr>
        <w:footnoteReference w:id="76"/>
      </w:r>
      <w:r>
        <w:rPr>
          <w:rFonts w:ascii="IRNazanin" w:hAnsi="IRNazanin" w:eastAsia="IRNazanin"/>
          <w:color w:val="111111"/>
          <w:sz w:val="28"/>
          <w:sz w:val="28"/>
          <w:szCs w:val="28"/>
          <w:rtl w:val="true"/>
          <w:lang w:bidi="fa-IR"/>
        </w:rPr>
        <w:t>،و إن ارید به عقاب زائد علی عقاب محض التجرّی،فهذا لیس تداخلا؛لأنّ کلّ فعل اجتمع فیه عنوانان من القبح یزید عقابه علی ما کان فیه أحدهما</w:t>
      </w:r>
      <w:r>
        <w:rPr>
          <w:rFonts w:eastAsia="IRNazanin" w:cs="IRNazanin"/>
          <w:color w:val="111111"/>
          <w:sz w:val="28"/>
          <w:szCs w:val="28"/>
          <w:rtl w:val="true"/>
          <w:lang w:bidi="fa-IR"/>
        </w:rPr>
        <w:t>.</w:t>
      </w:r>
    </w:p>
    <w:p>
      <w:pPr>
        <w:pStyle w:val="Heading6"/>
        <w:numPr>
          <w:ilvl w:val="5"/>
          <w:numId w:val="1"/>
        </w:numPr>
        <w:rPr/>
      </w:pPr>
      <w:bookmarkStart w:id="130" w:name="__RefHeading___Toc5446537_3224264995"/>
      <w:bookmarkStart w:id="131" w:name="_Toc50"/>
      <w:bookmarkEnd w:id="130"/>
      <w:r>
        <w:rPr>
          <w:rtl w:val="true"/>
        </w:rPr>
        <w:t>عدم الإشکال فی القبح الفاعلی</w:t>
      </w:r>
      <w:r>
        <w:rPr>
          <w:rtl w:val="true"/>
        </w:rPr>
        <w:t>:</w:t>
      </w:r>
      <w:bookmarkEnd w:id="131"/>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فرق فی قبح التجرّی بین موارده،و أنّ المتجرّی لا إشکال فی استحقاقه الذمّ من جهة انکشاف خبث باطنه و سوء سریرته بذلک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2" w:name="__RefHeading___Toc5446539_3224264995"/>
      <w:bookmarkStart w:id="133" w:name="_Toc51"/>
      <w:bookmarkEnd w:id="132"/>
      <w:r>
        <w:rPr>
          <w:rtl w:val="true"/>
        </w:rPr>
        <w:t>الإشکال فی القبح الفعلی</w:t>
      </w:r>
      <w:r>
        <w:rPr>
          <w:rtl w:val="true"/>
        </w:rPr>
        <w:t>:</w:t>
      </w:r>
      <w:bookmarkEnd w:id="13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استحقاقه للذمّ من حیث الفعل المتجرّی فی ضمنه، ففیه إشکال،کما اعترف به الشهید قدّس سرّه فیما یأتی </w:t>
      </w:r>
      <w:r>
        <w:rPr>
          <w:rStyle w:val="FootnoteAnchor"/>
          <w:rtl w:val="true"/>
        </w:rPr>
        <w:footnoteReference w:id="78"/>
      </w:r>
      <w:r>
        <w:rPr>
          <w:rFonts w:ascii="IRNazanin" w:hAnsi="IRNazanin" w:eastAsia="IRNazanin"/>
          <w:color w:val="111111"/>
          <w:sz w:val="28"/>
          <w:sz w:val="28"/>
          <w:szCs w:val="28"/>
          <w:rtl w:val="true"/>
          <w:lang w:bidi="fa-IR"/>
        </w:rPr>
        <w:t xml:space="preserve">من کلامه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134" w:name="pg12977_114087"/>
    </w:p>
    <w:p>
      <w:pPr>
        <w:pStyle w:val="Heading6"/>
        <w:numPr>
          <w:ilvl w:val="5"/>
          <w:numId w:val="1"/>
        </w:numPr>
        <w:rPr/>
      </w:pPr>
      <w:bookmarkStart w:id="135" w:name="__RefHeading___Toc5446541_3224264995"/>
      <w:bookmarkStart w:id="136" w:name="_Toc52"/>
      <w:bookmarkEnd w:id="134"/>
      <w:bookmarkEnd w:id="135"/>
      <w:r>
        <w:rPr>
          <w:rtl w:val="true"/>
        </w:rPr>
        <w:t>دلالة الأخبار الکثیرة علی العفو عن التجرّی بمجرّد القصد إلی المعصیة</w:t>
      </w:r>
      <w:bookmarkEnd w:id="136"/>
    </w:p>
    <w:p>
      <w:pPr>
        <w:pStyle w:val="BookText"/>
        <w:rPr/>
      </w:pPr>
      <w:r>
        <w:rPr>
          <w:rFonts w:ascii="IRNazanin" w:hAnsi="IRNazanin" w:eastAsia="IRNazanin"/>
          <w:color w:val="111111"/>
          <w:sz w:val="28"/>
          <w:sz w:val="28"/>
          <w:szCs w:val="28"/>
          <w:rtl w:val="true"/>
          <w:lang w:bidi="fa-IR"/>
        </w:rPr>
        <w:t xml:space="preserve">نعم،لو کان </w:t>
      </w:r>
      <w:r>
        <w:rPr>
          <w:rStyle w:val="FootnoteAnchor"/>
          <w:rtl w:val="true"/>
        </w:rPr>
        <w:footnoteReference w:id="80"/>
      </w:r>
      <w:r>
        <w:rPr>
          <w:rFonts w:ascii="IRNazanin" w:hAnsi="IRNazanin" w:eastAsia="IRNazanin"/>
          <w:color w:val="111111"/>
          <w:sz w:val="28"/>
          <w:sz w:val="28"/>
          <w:szCs w:val="28"/>
          <w:rtl w:val="true"/>
          <w:lang w:bidi="fa-IR"/>
        </w:rPr>
        <w:t xml:space="preserve">التجرّی علی المعصیة بالقصد </w:t>
      </w:r>
      <w:r>
        <w:rPr>
          <w:rStyle w:val="FootnoteAnchor"/>
          <w:rtl w:val="true"/>
        </w:rPr>
        <w:footnoteReference w:id="81"/>
      </w:r>
      <w:r>
        <w:rPr>
          <w:rFonts w:ascii="IRNazanin" w:hAnsi="IRNazanin" w:eastAsia="IRNazanin"/>
          <w:color w:val="111111"/>
          <w:sz w:val="28"/>
          <w:sz w:val="28"/>
          <w:szCs w:val="28"/>
          <w:rtl w:val="true"/>
          <w:lang w:bidi="fa-IR"/>
        </w:rPr>
        <w:t xml:space="preserve">إلی المعصیة فالمصرّح به فی الأخبار الکثیرة العفو عنه </w:t>
      </w:r>
      <w:r>
        <w:rPr>
          <w:rStyle w:val="FootnoteAnchor"/>
          <w:rtl w:val="true"/>
        </w:rPr>
        <w:footnoteReference w:id="82"/>
      </w:r>
      <w:r>
        <w:rPr>
          <w:rFonts w:ascii="IRNazanin" w:hAnsi="IRNazanin" w:eastAsia="IRNazanin"/>
          <w:color w:val="111111"/>
          <w:sz w:val="28"/>
          <w:sz w:val="28"/>
          <w:szCs w:val="28"/>
          <w:rtl w:val="true"/>
          <w:lang w:bidi="fa-IR"/>
        </w:rPr>
        <w:t xml:space="preserve">،و إن کان یظهر من أخبار أخر العقاب علی القصد أیضا </w:t>
      </w:r>
      <w:r>
        <w:rPr>
          <w:rStyle w:val="FootnoteAnchor"/>
          <w:rtl w:val="true"/>
        </w:rPr>
        <w:footnoteReference w:id="83"/>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الکافر شرّ من عمله</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یحشر الناس علی نیّاتهم</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7" w:name="__RefHeading___Toc5446543_3224264995"/>
      <w:bookmarkStart w:id="138" w:name="_Toc53"/>
      <w:bookmarkEnd w:id="137"/>
      <w:r>
        <w:rPr>
          <w:rtl w:val="true"/>
        </w:rPr>
        <w:t>دلالة بعض الأخبار علی العقاب فی القصد</w:t>
      </w:r>
      <w:r>
        <w:rPr>
          <w:rtl w:val="true"/>
        </w:rPr>
        <w:t>:</w:t>
      </w:r>
      <w:bookmarkEnd w:id="138"/>
    </w:p>
    <w:p>
      <w:pPr>
        <w:pStyle w:val="BookText"/>
        <w:rPr/>
      </w:pPr>
      <w:r>
        <w:rPr>
          <w:rFonts w:ascii="IRNazanin" w:hAnsi="IRNazanin" w:eastAsia="IRNazanin"/>
          <w:color w:val="111111"/>
          <w:sz w:val="28"/>
          <w:sz w:val="28"/>
          <w:szCs w:val="28"/>
          <w:rtl w:val="true"/>
          <w:lang w:bidi="fa-IR"/>
        </w:rPr>
        <w:t xml:space="preserve">و ما ورد من تعلیل خلود أهل النار فی النار،و خلود أهل الجنّة فی الجنّة؛بعزم کلّ من الطائفتین علی الثبات علی ما کان علیه من المعصیة و الطاعة لو خلّدوا فی الدنیا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ورد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التقی المسلمان بسیفهما فالقاتل و المقتول فی النار،قیل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اللّه،هذا القاتل،فما بال المقتول؟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أراد قتل صاحبه</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ما ورد فی العقاب علی فعل بعض المقدّمات بقصد ترتّب الحرام، کغارس الخمر </w:t>
      </w:r>
      <w:r>
        <w:rPr>
          <w:rStyle w:val="FootnoteAnchor"/>
          <w:rtl w:val="true"/>
        </w:rPr>
        <w:footnoteReference w:id="88"/>
      </w:r>
      <w:r>
        <w:rPr>
          <w:rFonts w:ascii="IRNazanin" w:hAnsi="IRNazanin" w:eastAsia="IRNazanin"/>
          <w:color w:val="111111"/>
          <w:sz w:val="28"/>
          <w:sz w:val="28"/>
          <w:szCs w:val="28"/>
          <w:rtl w:val="true"/>
          <w:lang w:bidi="fa-IR"/>
        </w:rPr>
        <w:t xml:space="preserve">و الماشی لسعایة مؤمن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فحوی ما دلّ علی أنّ الرضا بفعل کفعله </w:t>
      </w:r>
      <w:r>
        <w:rPr>
          <w:rStyle w:val="FootnoteAnchor"/>
          <w:rtl w:val="true"/>
        </w:rPr>
        <w:footnoteReference w:id="90"/>
      </w:r>
      <w:r>
        <w:rPr>
          <w:rFonts w:ascii="IRNazanin" w:hAnsi="IRNazanin" w:eastAsia="IRNazanin"/>
          <w:color w:val="111111"/>
          <w:sz w:val="28"/>
          <w:sz w:val="28"/>
          <w:szCs w:val="28"/>
          <w:rtl w:val="true"/>
          <w:lang w:bidi="fa-IR"/>
        </w:rPr>
        <w:t>،مثل ما عن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الراضی بفعل قوم کالداخل فیه معهم،و علی الداخل إثمان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إثم الرضا،و إثم الدخول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ورد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قَتَلْتُمُوهُمْ إِنْ کُنْتُمْ صادِقِینَ </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نسبة القتل إلی المخاطبین مع تأخّرهم عن القاتلین بکثیر؛لرضاهم </w:t>
      </w:r>
      <w:r>
        <w:rPr>
          <w:rStyle w:val="FootnoteAnchor"/>
          <w:rtl w:val="true"/>
        </w:rPr>
        <w:footnoteReference w:id="95"/>
      </w:r>
      <w:r>
        <w:rPr>
          <w:rFonts w:ascii="IRNazanin" w:hAnsi="IRNazanin" w:eastAsia="IRNazanin"/>
          <w:color w:val="111111"/>
          <w:sz w:val="28"/>
          <w:sz w:val="28"/>
          <w:szCs w:val="28"/>
          <w:rtl w:val="true"/>
          <w:lang w:bidi="fa-IR"/>
        </w:rPr>
        <w:t xml:space="preserve">بفعلهم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یؤیّده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یُحِبُّونَ أَنْ تَشِیعَ الْفاحِشَةُ فِی الَّذِینَ آمَنُوا لَهُمْ عَذابٌ أَلِیمٌ </w:t>
      </w:r>
      <w:r>
        <w:rPr>
          <w:rStyle w:val="FootnoteAnchor"/>
          <w:rtl w:val="true"/>
        </w:rPr>
        <w:footnoteReference w:id="97"/>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ما فِی أَنْفُسِکُمْ أَوْ </w:t>
      </w:r>
      <w:bookmarkStart w:id="139" w:name="pg12977_114089"/>
    </w:p>
    <w:p>
      <w:pPr>
        <w:pStyle w:val="BookText"/>
        <w:rPr/>
      </w:pPr>
      <w:bookmarkEnd w:id="139"/>
      <w:r>
        <w:rPr>
          <w:rFonts w:ascii="Amiri" w:hAnsi="Amiri" w:eastAsia="Amiri" w:cs="Amiri"/>
          <w:color w:val="111111"/>
          <w:sz w:val="28"/>
          <w:sz w:val="28"/>
          <w:szCs w:val="28"/>
          <w:rtl w:val="true"/>
          <w:lang w:bidi="ar-SA"/>
        </w:rPr>
        <w:t>تُخْفُوهُ یُحاسِبْکُمْ بِهِ اللّهُ</w:t>
      </w:r>
    </w:p>
    <w:p>
      <w:pPr>
        <w:pStyle w:val="BookText"/>
        <w:rPr/>
      </w:pP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ورد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رضی بفعل فقد لزمه و إن لم یفعل</w:t>
      </w:r>
      <w:r>
        <w:rPr>
          <w:rFonts w:eastAsia="IRNazanin" w:cs="IRNazanin"/>
          <w:color w:val="111111"/>
          <w:sz w:val="28"/>
          <w:szCs w:val="28"/>
          <w:rtl w:val="true"/>
          <w:lang w:bidi="fa-IR"/>
        </w:rPr>
        <w:t xml:space="preserve">» </w:t>
      </w:r>
      <w:r>
        <w:rPr>
          <w:rStyle w:val="FootnoteAnchor"/>
          <w:rtl w:val="true"/>
        </w:rPr>
        <w:footnoteReference w:id="99"/>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الدّارُ الْآخِرَةُ نَجْعَلُها لِلَّذِینَ لا یُرِیدُونَ عُلُوًّا فِی الْأَرْضِ وَ لا فَساداً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0" w:name="__RefHeading___Toc5446545_3224264995"/>
      <w:bookmarkStart w:id="141" w:name="_Toc54"/>
      <w:bookmarkEnd w:id="140"/>
      <w:r>
        <w:rPr>
          <w:rtl w:val="true"/>
        </w:rPr>
        <w:t>الجمع بین أخبار العفو و العقاب</w:t>
      </w:r>
      <w:r>
        <w:rPr>
          <w:rtl w:val="true"/>
        </w:rPr>
        <w:t>:</w:t>
      </w:r>
      <w:bookmarkEnd w:id="141"/>
    </w:p>
    <w:p>
      <w:pPr>
        <w:pStyle w:val="BookText"/>
        <w:rPr/>
      </w:pPr>
      <w:r>
        <w:rPr>
          <w:rFonts w:ascii="IRNazanin" w:hAnsi="IRNazanin" w:eastAsia="IRNazanin"/>
          <w:color w:val="111111"/>
          <w:sz w:val="28"/>
          <w:sz w:val="28"/>
          <w:szCs w:val="28"/>
          <w:rtl w:val="true"/>
          <w:lang w:bidi="fa-IR"/>
        </w:rPr>
        <w:t>و یمکن حمل الأخبار الأول علی من ارتدع عن قصده بنفسه،و حمل الأخبار الأخیرة علی من بقی علی قصده حتّی عجز عن الفعل لا باختیاره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یحمل الأول علی من اکتفی بمجرّد القصد،و الثانیة علی من اشتغل بعد القصد ببعض المقدّمات؛کما یشهد له حرمة الإعانة علی المحرّم،حیث عمّمه بعض الأساطین </w:t>
      </w:r>
      <w:r>
        <w:rPr>
          <w:rStyle w:val="FootnoteAnchor"/>
          <w:rtl w:val="true"/>
        </w:rPr>
        <w:footnoteReference w:id="101"/>
      </w:r>
      <w:r>
        <w:rPr>
          <w:rFonts w:ascii="IRNazanin" w:hAnsi="IRNazanin" w:eastAsia="IRNazanin"/>
          <w:color w:val="111111"/>
          <w:sz w:val="28"/>
          <w:sz w:val="28"/>
          <w:szCs w:val="28"/>
          <w:rtl w:val="true"/>
          <w:lang w:bidi="fa-IR"/>
        </w:rPr>
        <w:t>لإعانة نفسه علی الحرام؛و لعلّه لتنقیح المناط،لا بالدلالة اللفظیة</w:t>
      </w:r>
      <w:r>
        <w:rPr>
          <w:rFonts w:eastAsia="IRNazanin" w:cs="IRNazanin"/>
          <w:color w:val="111111"/>
          <w:sz w:val="28"/>
          <w:szCs w:val="28"/>
          <w:rtl w:val="true"/>
          <w:lang w:bidi="fa-IR"/>
        </w:rPr>
        <w:t>.</w:t>
      </w:r>
    </w:p>
    <w:p>
      <w:pPr>
        <w:pStyle w:val="Heading6"/>
        <w:numPr>
          <w:ilvl w:val="5"/>
          <w:numId w:val="1"/>
        </w:numPr>
        <w:rPr/>
      </w:pPr>
      <w:bookmarkStart w:id="142" w:name="__RefHeading___Toc5446547_3224264995"/>
      <w:bookmarkStart w:id="143" w:name="_Toc55"/>
      <w:bookmarkEnd w:id="142"/>
      <w:r>
        <w:rPr>
          <w:rtl w:val="true"/>
        </w:rPr>
        <w:t>أقسام التجرّی</w:t>
      </w:r>
      <w:r>
        <w:rPr>
          <w:rtl w:val="true"/>
        </w:rPr>
        <w:t>:</w:t>
      </w:r>
      <w:bookmarkEnd w:id="143"/>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Style w:val="FootnoteAnchor"/>
          <w:rtl w:val="true"/>
        </w:rPr>
        <w:footnoteReference w:id="102"/>
      </w:r>
      <w:r>
        <w:rPr>
          <w:rFonts w:ascii="IRNazanin" w:hAnsi="IRNazanin" w:eastAsia="IRNazanin"/>
          <w:color w:val="111111"/>
          <w:sz w:val="28"/>
          <w:sz w:val="28"/>
          <w:szCs w:val="28"/>
          <w:rtl w:val="true"/>
          <w:lang w:bidi="fa-IR"/>
        </w:rPr>
        <w:t xml:space="preserve">التجرّی علی أقسام،یجمعها عدم المبالاة بالمعصیة أو قلّتها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القصد إلی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 مع الاشتغال بمقدّماته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 مع التلبّس بما یعتقد کونه معصیة</w:t>
      </w:r>
      <w:r>
        <w:rPr>
          <w:rFonts w:eastAsia="IRNazanin" w:cs="IRNazanin"/>
          <w:color w:val="111111"/>
          <w:sz w:val="28"/>
          <w:szCs w:val="28"/>
          <w:rtl w:val="true"/>
          <w:lang w:bidi="fa-IR"/>
        </w:rPr>
        <w:t xml:space="preserve">. </w:t>
      </w:r>
      <w:bookmarkStart w:id="144" w:name="pg12977_114090"/>
    </w:p>
    <w:p>
      <w:pPr>
        <w:pStyle w:val="BookText"/>
        <w:rPr/>
      </w:pPr>
      <w:bookmarkEnd w:id="144"/>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التلبّس بما یحتمل کونه معصیة رجاء لتحقّق المعصیة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التلبّس به لعدم المبالاة بمصادفة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سادسها </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التلبّس برجاء </w:t>
      </w:r>
      <w:r>
        <w:rPr>
          <w:rStyle w:val="FootnoteAnchor"/>
          <w:rtl w:val="true"/>
        </w:rPr>
        <w:footnoteReference w:id="105"/>
      </w:r>
      <w:r>
        <w:rPr>
          <w:rFonts w:ascii="IRNazanin" w:hAnsi="IRNazanin" w:eastAsia="IRNazanin"/>
          <w:color w:val="111111"/>
          <w:sz w:val="28"/>
          <w:sz w:val="28"/>
          <w:szCs w:val="28"/>
          <w:rtl w:val="true"/>
          <w:lang w:bidi="fa-IR"/>
        </w:rPr>
        <w:t>أن لا یکون معصیة،و خوف أن یکون 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صدق التجرّی فی الثلاثة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کون الجهل عذرا عقلیّا أو شرعیّا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الشبهة المحصورة الوجوبیّة أو التحریمیّة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إلاّ لم یتحقّق احتمال المعصیة و إن تحقّق احتمال المخالفة للحکم الواقعی، کما فی موارد أصالة البراءة و استصحابها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الأقسام الستّة کلّها مشترکة فی استحقاق الفاعل للمذمّة من حیث خبث ذاته و جرأته </w:t>
      </w:r>
      <w:r>
        <w:rPr>
          <w:rStyle w:val="FootnoteAnchor"/>
          <w:rtl w:val="true"/>
        </w:rPr>
        <w:footnoteReference w:id="106"/>
      </w:r>
      <w:r>
        <w:rPr>
          <w:rFonts w:ascii="IRNazanin" w:hAnsi="IRNazanin" w:eastAsia="IRNazanin"/>
          <w:color w:val="111111"/>
          <w:sz w:val="28"/>
          <w:sz w:val="28"/>
          <w:szCs w:val="28"/>
          <w:rtl w:val="true"/>
          <w:lang w:bidi="fa-IR"/>
        </w:rPr>
        <w:t>و سوء سریرته،و إنّما الکلام فی تحقّق العصیان بالفعل المتحقّق فی ضمنه التجرّی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بالتأمّل فی کلّ من الأقسام</w:t>
      </w:r>
      <w:r>
        <w:rPr>
          <w:rFonts w:eastAsia="IRNazanin" w:cs="IRNazanin"/>
          <w:color w:val="111111"/>
          <w:sz w:val="28"/>
          <w:szCs w:val="28"/>
          <w:rtl w:val="true"/>
          <w:lang w:bidi="fa-IR"/>
        </w:rPr>
        <w:t>.</w:t>
      </w:r>
    </w:p>
    <w:p>
      <w:pPr>
        <w:pStyle w:val="Heading6"/>
        <w:numPr>
          <w:ilvl w:val="5"/>
          <w:numId w:val="1"/>
        </w:numPr>
        <w:rPr/>
      </w:pPr>
      <w:bookmarkStart w:id="145" w:name="__RefHeading___Toc5446549_3224264995"/>
      <w:bookmarkStart w:id="146" w:name="_Toc56"/>
      <w:bookmarkEnd w:id="145"/>
      <w:r>
        <w:rPr>
          <w:rtl w:val="true"/>
        </w:rPr>
        <w:t>ما أفاده الشهید حول بعض الأقسام المذکورة</w:t>
      </w:r>
      <w:r>
        <w:rPr>
          <w:rtl w:val="true"/>
        </w:rPr>
        <w:t>:</w:t>
      </w:r>
      <w:bookmarkEnd w:id="146"/>
    </w:p>
    <w:p>
      <w:pPr>
        <w:pStyle w:val="BookText"/>
        <w:rPr/>
      </w:pPr>
      <w:r>
        <w:rPr>
          <w:rFonts w:ascii="IRNazanin" w:hAnsi="IRNazanin" w:eastAsia="IRNazanin"/>
          <w:color w:val="111111"/>
          <w:sz w:val="28"/>
          <w:sz w:val="28"/>
          <w:szCs w:val="28"/>
          <w:rtl w:val="true"/>
          <w:lang w:bidi="fa-IR"/>
        </w:rPr>
        <w:t>قال الشهید قدّس سرّه فی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یؤثّر نیّة المعصیة عقابا و لا ذمّا ما لم یتلبّس بها،و هو </w:t>
      </w:r>
      <w:r>
        <w:rPr>
          <w:rStyle w:val="FootnoteAnchor"/>
          <w:rtl w:val="true"/>
        </w:rPr>
        <w:footnoteReference w:id="107"/>
      </w:r>
      <w:r>
        <w:rPr>
          <w:rFonts w:ascii="IRNazanin" w:hAnsi="IRNazanin" w:eastAsia="IRNazanin"/>
          <w:color w:val="111111"/>
          <w:sz w:val="28"/>
          <w:sz w:val="28"/>
          <w:szCs w:val="28"/>
          <w:rtl w:val="true"/>
          <w:lang w:bidi="fa-IR"/>
        </w:rPr>
        <w:t xml:space="preserve">ما </w:t>
      </w:r>
      <w:r>
        <w:rPr>
          <w:rStyle w:val="FootnoteAnchor"/>
          <w:rtl w:val="true"/>
        </w:rPr>
        <w:footnoteReference w:id="108"/>
      </w:r>
      <w:r>
        <w:rPr>
          <w:rFonts w:ascii="IRNazanin" w:hAnsi="IRNazanin" w:eastAsia="IRNazanin"/>
          <w:color w:val="111111"/>
          <w:sz w:val="28"/>
          <w:sz w:val="28"/>
          <w:szCs w:val="28"/>
          <w:rtl w:val="true"/>
          <w:lang w:bidi="fa-IR"/>
        </w:rPr>
        <w:t xml:space="preserve">ثبت فی الأخبار العفو عنه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نوی المعصیة و تلبّس بما یراه معصیة،فظهر خلافها،ففی </w:t>
      </w:r>
    </w:p>
    <w:p>
      <w:pPr>
        <w:pStyle w:val="BookText"/>
        <w:rPr/>
      </w:pPr>
      <w:r>
        <w:rPr>
          <w:rFonts w:ascii="IRNazanin" w:hAnsi="IRNazanin" w:eastAsia="IRNazanin"/>
          <w:color w:val="111111"/>
          <w:sz w:val="28"/>
          <w:sz w:val="28"/>
          <w:szCs w:val="28"/>
          <w:rtl w:val="true"/>
          <w:lang w:bidi="fa-IR"/>
        </w:rPr>
        <w:t>تأثیر هذه النیّة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أنّها لمّا لم تصادف المعصیة صارت کنیّة مجرّدة،و هو </w:t>
      </w:r>
      <w:r>
        <w:rPr>
          <w:rStyle w:val="FootnoteAnchor"/>
          <w:rtl w:val="true"/>
        </w:rPr>
        <w:footnoteReference w:id="110"/>
      </w:r>
      <w:r>
        <w:rPr>
          <w:rFonts w:ascii="IRNazanin" w:hAnsi="IRNazanin" w:eastAsia="IRNazanin"/>
          <w:color w:val="111111"/>
          <w:sz w:val="28"/>
          <w:sz w:val="28"/>
          <w:szCs w:val="28"/>
          <w:rtl w:val="true"/>
          <w:lang w:bidi="fa-IR"/>
        </w:rPr>
        <w:t>غیر مؤاخذ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دلالتها علی انتهاک الحرمة و جرأته علی المعاصی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 بعض الأصحاب </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شرب المباح تشبّها بشرب المسکر فعل حراما، و لعلّه لیس لمجرّد النیّة،بل بانضمام فعل الجوارح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یتصوّر محلّ النظر فی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وجد امرأة فی منزل غیره،فظنّها أجنبیّة فأصابها، فبان أنّها زوجته أو أمته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وطئ زوجته بظنّ أنّها حائض،فبانت طاهرة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Style w:val="FootnoteAnchor"/>
          <w:rtl w:val="true"/>
        </w:rPr>
        <w:footnoteReference w:id="112"/>
      </w:r>
      <w:r>
        <w:rPr>
          <w:rFonts w:ascii="IRNazanin" w:hAnsi="IRNazanin" w:eastAsia="IRNazanin"/>
          <w:color w:val="111111"/>
          <w:sz w:val="28"/>
          <w:sz w:val="28"/>
          <w:szCs w:val="28"/>
          <w:rtl w:val="true"/>
          <w:lang w:bidi="fa-IR"/>
        </w:rPr>
        <w:t>لو هجم علی طعام بید غیره فأکله،فتبیّن أنّه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Style w:val="FootnoteAnchor"/>
          <w:rtl w:val="true"/>
        </w:rPr>
        <w:footnoteReference w:id="113"/>
      </w:r>
      <w:r>
        <w:rPr>
          <w:rFonts w:ascii="IRNazanin" w:hAnsi="IRNazanin" w:eastAsia="IRNazanin"/>
          <w:color w:val="111111"/>
          <w:sz w:val="28"/>
          <w:sz w:val="28"/>
          <w:szCs w:val="28"/>
          <w:rtl w:val="true"/>
          <w:lang w:bidi="fa-IR"/>
        </w:rPr>
        <w:t>لو ذبح شاة بظنّها للغیر بقصد العدوان،فظهرت ملکه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إذا قتل نفسا بظنّ أنّها معصومة،فبانت مهدورة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قال بعض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نحکم بفسق المتعاطی ذلک؛لدلالته علی عدم المبالاة بالمعاصی،و یعاقب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عقابا متوسّطا بین الصغیرة و الکبیرة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کلاهما تحکّم و تخرّص علی الغیب </w:t>
      </w:r>
      <w:r>
        <w:rPr>
          <w:rStyle w:val="FootnoteAnchor"/>
          <w:rtl w:val="true"/>
        </w:rPr>
        <w:footnoteReference w:id="11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147" w:name="pg12977_114092"/>
    </w:p>
    <w:p>
      <w:pPr>
        <w:pStyle w:val="Heading5"/>
        <w:numPr>
          <w:ilvl w:val="4"/>
          <w:numId w:val="1"/>
        </w:numPr>
        <w:rPr/>
      </w:pPr>
      <w:bookmarkStart w:id="148" w:name="__RefHeading___Toc5446551_3224264995"/>
      <w:bookmarkStart w:id="149" w:name="_Toc57"/>
      <w:bookmarkEnd w:id="147"/>
      <w:bookmarkEnd w:id="148"/>
      <w:r>
        <w:rPr>
          <w:rtl w:val="true"/>
        </w:rPr>
        <w:t>الأمر الثانی</w:t>
      </w:r>
      <w:r>
        <w:rPr>
          <w:rtl w:val="true"/>
        </w:rPr>
        <w:t>:</w:t>
      </w:r>
      <w:r>
        <w:rPr>
          <w:rtl w:val="true"/>
        </w:rPr>
        <w:t>عدم حجّیة القطع الحاصل من المقدّمات العقلیّة عند الأخباریّین</w:t>
      </w:r>
      <w:bookmarkEnd w:id="149"/>
    </w:p>
    <w:p>
      <w:pPr>
        <w:pStyle w:val="Heading6"/>
        <w:numPr>
          <w:ilvl w:val="5"/>
          <w:numId w:val="1"/>
        </w:numPr>
        <w:rPr/>
      </w:pPr>
      <w:bookmarkStart w:id="150" w:name="__RefHeading___Toc5446553_3224264995"/>
      <w:bookmarkStart w:id="151" w:name="_Toc58"/>
      <w:bookmarkEnd w:id="150"/>
      <w:r>
        <w:rPr>
          <w:rtl w:val="true"/>
        </w:rPr>
        <w:t>اشارة</w:t>
      </w:r>
      <w:bookmarkEnd w:id="151"/>
    </w:p>
    <w:p>
      <w:pPr>
        <w:pStyle w:val="BookText"/>
        <w:rPr/>
      </w:pPr>
      <w:r>
        <w:rPr>
          <w:rFonts w:ascii="Amiri" w:hAnsi="Amiri" w:eastAsia="Amiri" w:cs="Amiri"/>
          <w:color w:val="111111"/>
          <w:sz w:val="28"/>
          <w:sz w:val="28"/>
          <w:szCs w:val="28"/>
          <w:rtl w:val="true"/>
          <w:lang w:bidi="ar-SA"/>
        </w:rPr>
        <w:t xml:space="preserve">أنّک قد عرفت </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فرق فیما یکون العلم فیه کاشفا محضا بین أسباب العلم،و ینسب إلی غیر واحد من أصحابنا الأخباریّین </w:t>
      </w:r>
      <w:r>
        <w:rPr>
          <w:rStyle w:val="FootnoteAnchor"/>
          <w:rtl w:val="true"/>
        </w:rPr>
        <w:footnoteReference w:id="116"/>
      </w:r>
      <w:r>
        <w:rPr>
          <w:rFonts w:ascii="IRNazanin" w:hAnsi="IRNazanin" w:eastAsia="IRNazanin"/>
          <w:color w:val="111111"/>
          <w:sz w:val="28"/>
          <w:sz w:val="28"/>
          <w:szCs w:val="28"/>
          <w:rtl w:val="true"/>
          <w:lang w:bidi="fa-IR"/>
        </w:rPr>
        <w:t xml:space="preserve">عدم الاعتماد علی القطع الحاصل من المقدّمات العقلیّة القطعیّة </w:t>
      </w:r>
      <w:r>
        <w:rPr>
          <w:rStyle w:val="FootnoteAnchor"/>
          <w:rtl w:val="true"/>
        </w:rPr>
        <w:footnoteReference w:id="117"/>
      </w:r>
      <w:r>
        <w:rPr>
          <w:rFonts w:ascii="IRNazanin" w:hAnsi="IRNazanin" w:eastAsia="IRNazanin"/>
          <w:color w:val="111111"/>
          <w:sz w:val="28"/>
          <w:sz w:val="28"/>
          <w:szCs w:val="28"/>
          <w:rtl w:val="true"/>
          <w:lang w:bidi="fa-IR"/>
        </w:rPr>
        <w:t>الغیر الضروریّة؛لکثرة وقوع الاشتباه و الغلط فیها،فلا یمکن الرکون إلی شیء منها</w:t>
      </w:r>
      <w:r>
        <w:rPr>
          <w:rFonts w:eastAsia="IRNazanin" w:cs="IRNazanin"/>
          <w:color w:val="111111"/>
          <w:sz w:val="28"/>
          <w:szCs w:val="28"/>
          <w:rtl w:val="true"/>
          <w:lang w:bidi="fa-IR"/>
        </w:rPr>
        <w:t>.</w:t>
      </w:r>
    </w:p>
    <w:p>
      <w:pPr>
        <w:pStyle w:val="Heading6"/>
        <w:numPr>
          <w:ilvl w:val="5"/>
          <w:numId w:val="1"/>
        </w:numPr>
        <w:rPr/>
      </w:pPr>
      <w:bookmarkStart w:id="152" w:name="__RefHeading___Toc5446555_3224264995"/>
      <w:bookmarkStart w:id="153" w:name="_Toc59"/>
      <w:bookmarkEnd w:id="152"/>
      <w:r>
        <w:rPr>
          <w:rtl w:val="true"/>
        </w:rPr>
        <w:t>مناقشة الأخباریّین</w:t>
      </w:r>
      <w:r>
        <w:rPr>
          <w:rtl w:val="true"/>
        </w:rPr>
        <w:t>:</w:t>
      </w:r>
      <w:bookmarkEnd w:id="153"/>
    </w:p>
    <w:p>
      <w:pPr>
        <w:pStyle w:val="BookText"/>
        <w:rPr/>
      </w:pPr>
      <w:r>
        <w:rPr>
          <w:rFonts w:ascii="IRNazanin" w:hAnsi="IRNazanin" w:eastAsia="IRNazanin"/>
          <w:color w:val="111111"/>
          <w:sz w:val="28"/>
          <w:sz w:val="28"/>
          <w:szCs w:val="28"/>
          <w:rtl w:val="true"/>
          <w:lang w:bidi="fa-IR"/>
        </w:rPr>
        <w:t>فإن أرادوا عدم جواز الرکون بعد حصول القطع،فلا یعقل ذلک فی مقام اعتبار العلم من حیث الکشف؛و لو أمکن الحکم بعدم اعتباره لجری مثله فی القطع الحاصل من المقدّمات الشرعیّة طابق النعل بالنعل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أرادوا عدم جواز الخوض فی المطالب العقلیّة لتحصیل المطالب الشرعیّة؛لکثرة وقوع الغلط و الاشتباه فیها،فلو سلّم ذلک و اغمض عن المعارضة بکثرة ما یحصل من الخطأ فی فهم المطالب من الأدلّة الشرعیّة،فله وجه،و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خاض فیها و حصل القطع بما </w:t>
      </w:r>
      <w:bookmarkStart w:id="154" w:name="pg12977_114093"/>
    </w:p>
    <w:p>
      <w:pPr>
        <w:pStyle w:val="BookText"/>
        <w:rPr/>
      </w:pPr>
      <w:bookmarkEnd w:id="154"/>
      <w:r>
        <w:rPr>
          <w:rFonts w:ascii="IRNazanin" w:hAnsi="IRNazanin" w:eastAsia="IRNazanin"/>
          <w:color w:val="111111"/>
          <w:sz w:val="28"/>
          <w:sz w:val="28"/>
          <w:szCs w:val="28"/>
          <w:rtl w:val="true"/>
          <w:lang w:bidi="fa-IR"/>
        </w:rPr>
        <w:t>لا یوافق الحکم الواقعی لم یعذر فی ذلک؛لتقصیره فی مقدّمات التحصیل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الشأن فی ثبوت کثرة الخطأ أزید ممّا یقع فی فهم المطالب من الأدلّة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عثرت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ذکرت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کلام یحکی عن المحدّث الأسترابادی فی فوائده المدنیّة،قال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عداد ما استدلّ به علی انحصار الدلیل فی غیر الضروریّات الدینیّة فی السماع عن الصادقین علیهم السّلام</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5" w:name="__RefHeading___Toc5446557_3224264995"/>
      <w:bookmarkStart w:id="156" w:name="_Toc60"/>
      <w:bookmarkEnd w:id="155"/>
      <w:r>
        <w:rPr>
          <w:rtl w:val="true"/>
        </w:rPr>
        <w:t>کلام المحدّث الأسترابادی فی المسألة</w:t>
      </w:r>
      <w:bookmarkEnd w:id="156"/>
    </w:p>
    <w:p>
      <w:pPr>
        <w:pStyle w:val="BookText"/>
        <w:rPr/>
      </w:pPr>
      <w:r>
        <w:rPr>
          <w:rFonts w:ascii="IRNazanin" w:hAnsi="IRNazanin" w:eastAsia="IRNazanin"/>
          <w:color w:val="111111"/>
          <w:sz w:val="28"/>
          <w:sz w:val="28"/>
          <w:szCs w:val="28"/>
          <w:rtl w:val="true"/>
          <w:lang w:bidi="fa-IR"/>
        </w:rPr>
        <w:t>الدلیل التاسع مبنیّ علی مقدّمة دقیقة شریفة تفطّنت لها بتوفیق اللّه تعالی،و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العلوم النظریة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ینتهی إلی مادّة هی قریبة من الإحساس،و من هذا القسم علم الهندسة و الحساب و أکثر أبواب المنطق،و هذا القسم لا یقع فیه الخلاف بین العلماء و الخطأ فی نتائج الأفکار؛و السبب فی ذلک أنّ الخطأ فی الفکر إمّا من جهة الصورة أو من جهة المادّة،و الخطأ من جهة الصورة لا یقع من العلماء؛لأنّ معرفة الصورة من الامور الواضحة عند الأذهان المستقیمة،و الخطأ من جهة المادّة لا یتصوّر فی هذه العلوم؛ لقرب الموادّ فیها إلی الإحساس</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قسم ینتهی إلی مادّة هی بعیدة عن الإحساس،و من هذا القسم الحکمة الإلهیّة و الطبیعیة و علم الکلام و علم اصول الفقه و المسائل النظریة الفقهیّة و بعض القواعد المذکورة فی کتب المنطق؛و من ثمّ وقع الاختلافات و المشاجرات بین الفلاسفة فی الحکمة الإلهیّة و الطبیعیّة،و بین </w:t>
      </w:r>
    </w:p>
    <w:p>
      <w:pPr>
        <w:pStyle w:val="BookText"/>
        <w:rPr/>
      </w:pPr>
      <w:r>
        <w:rPr>
          <w:rFonts w:ascii="IRNazanin" w:hAnsi="IRNazanin" w:eastAsia="IRNazanin"/>
          <w:color w:val="111111"/>
          <w:sz w:val="28"/>
          <w:sz w:val="28"/>
          <w:szCs w:val="28"/>
          <w:rtl w:val="true"/>
          <w:lang w:bidi="fa-IR"/>
        </w:rPr>
        <w:t>علماء الإسلام فی اصول الفقه و المسائل الفقهیّة و علم الکلام،و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القواعد المنطقیّة إنّما هی عاصمة من الخطأ من جهة الصورة،لا من جهة المادّة </w:t>
      </w:r>
      <w:r>
        <w:rPr>
          <w:rStyle w:val="FootnoteAnchor"/>
          <w:rtl w:val="true"/>
        </w:rPr>
        <w:footnoteReference w:id="119"/>
      </w:r>
      <w:r>
        <w:rPr>
          <w:rFonts w:ascii="IRNazanin" w:hAnsi="IRNazanin" w:eastAsia="IRNazanin"/>
          <w:color w:val="111111"/>
          <w:sz w:val="28"/>
          <w:sz w:val="28"/>
          <w:szCs w:val="28"/>
          <w:rtl w:val="true"/>
          <w:lang w:bidi="fa-IR"/>
        </w:rPr>
        <w:t>،و لیست فی المنطق قاعدة بها یعلم أنّ کلّ مادّة مخصوصة داخلة فی أیّ قسم من الأقسام،و من المعلوم امتناع وضع قاعدة تکفل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استظهر ببعض الوجوه تأییدا لما ذکره،و قال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ذلک بین العقلیّات و الشرعیّات؛و الشاهد علی ذلک ما نشاهد من کثرة الاختلافات الواقعة بین أهل الشرع فی اصول الدین و فی الفروع الفقهیّة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نشأ ذلک من ضمّ مقدّمة عقلیّة باطلة بالمقدّمة النقلیّة الظنیّة أو القطعیّة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الموضحات لما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لیس فی المنطق قانون یعصم عن الخطأ فی مادّة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المشّائیین ادّعوا البداهة فی أنّ تفریق ماء کوز إلی کوزین إعدام لشخصه و إحداث لشخصین آخرین،و علی هذه المقدّمة بنوا إثبات الهیولی،و الإشراقیین ادّعوا البداهة فی أنّه لیس إعداما للشخص الأوّل </w:t>
      </w:r>
      <w:r>
        <w:rPr>
          <w:rStyle w:val="FootnoteAnchor"/>
          <w:rtl w:val="true"/>
        </w:rPr>
        <w:footnoteReference w:id="120"/>
      </w:r>
      <w:r>
        <w:rPr>
          <w:rFonts w:ascii="Amiri" w:hAnsi="Amiri" w:eastAsia="Amiri" w:cs="Amiri"/>
          <w:color w:val="111111"/>
          <w:sz w:val="28"/>
          <w:sz w:val="28"/>
          <w:szCs w:val="28"/>
          <w:rtl w:val="true"/>
          <w:lang w:bidi="ar-SA"/>
        </w:rPr>
        <w:t>و إنّما انعدمت صفة من صفاته،و هو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ما مهّدناه من </w:t>
      </w:r>
      <w:r>
        <w:rPr>
          <w:rStyle w:val="FootnoteAnchor"/>
          <w:rtl w:val="true"/>
        </w:rPr>
        <w:footnoteReference w:id="121"/>
      </w:r>
      <w:r>
        <w:rPr>
          <w:rFonts w:ascii="IRNazanin" w:hAnsi="IRNazanin" w:eastAsia="IRNazanin"/>
          <w:color w:val="111111"/>
          <w:sz w:val="28"/>
          <w:sz w:val="28"/>
          <w:szCs w:val="28"/>
          <w:rtl w:val="true"/>
          <w:lang w:bidi="fa-IR"/>
        </w:rPr>
        <w:t>الدقیقة الشریفة،فنقول</w:t>
      </w:r>
      <w:r>
        <w:rPr>
          <w:rFonts w:eastAsia="IRNazanin" w:cs="IRNazanin"/>
          <w:color w:val="111111"/>
          <w:sz w:val="28"/>
          <w:szCs w:val="28"/>
          <w:rtl w:val="true"/>
          <w:lang w:bidi="fa-IR"/>
        </w:rPr>
        <w:t xml:space="preserve">: </w:t>
      </w:r>
      <w:bookmarkStart w:id="157" w:name="pg12977_114095"/>
    </w:p>
    <w:p>
      <w:pPr>
        <w:pStyle w:val="BookText"/>
        <w:rPr/>
      </w:pPr>
      <w:bookmarkEnd w:id="157"/>
      <w:r>
        <w:rPr>
          <w:rFonts w:ascii="IRNazanin" w:hAnsi="IRNazanin" w:eastAsia="IRNazanin"/>
          <w:color w:val="111111"/>
          <w:sz w:val="28"/>
          <w:sz w:val="28"/>
          <w:szCs w:val="28"/>
          <w:rtl w:val="true"/>
          <w:lang w:bidi="fa-IR"/>
        </w:rPr>
        <w:t xml:space="preserve">إن تمسّکنا بکلامهم علیهم السّلام فقد عصمنا من الخطأ،و إن تمسّکنا بغیرهم لم نعصم عنه </w:t>
      </w:r>
      <w:r>
        <w:rPr>
          <w:rStyle w:val="FootnoteAnchor"/>
          <w:rtl w:val="true"/>
        </w:rPr>
        <w:footnoteReference w:id="122"/>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المستفاد 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حجّیة إدراکات العقل فی غیر المحسوسات و ما تکون مبادئه قریبة من الإحساس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استحسن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لم یتوافق علیه العقول </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واحد ممّن تأخّر عنه،منهم السیّد المحدّث الجزائری قدّس سرّه فی أوائل شرح التهذیب علی ما حکی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بعد ذکر کلام المحدّث المتقدّم بطوله</w:t>
      </w:r>
      <w:r>
        <w:rPr>
          <w:rFonts w:eastAsia="IRNazanin" w:cs="IRNazanin"/>
          <w:color w:val="111111"/>
          <w:sz w:val="28"/>
          <w:szCs w:val="28"/>
          <w:rtl w:val="true"/>
          <w:lang w:bidi="fa-IR"/>
        </w:rPr>
        <w:t>:</w:t>
      </w:r>
    </w:p>
    <w:p>
      <w:pPr>
        <w:pStyle w:val="Heading6"/>
        <w:numPr>
          <w:ilvl w:val="5"/>
          <w:numId w:val="1"/>
        </w:numPr>
        <w:rPr/>
      </w:pPr>
      <w:bookmarkStart w:id="158" w:name="__RefHeading___Toc5446559_3224264995"/>
      <w:bookmarkStart w:id="159" w:name="_Toc61"/>
      <w:bookmarkEnd w:id="158"/>
      <w:r>
        <w:rPr>
          <w:rtl w:val="true"/>
        </w:rPr>
        <w:t>کلام المحدث الجزائری فی المسألة</w:t>
      </w:r>
      <w:r>
        <w:rPr>
          <w:rtl w:val="true"/>
        </w:rPr>
        <w:t>:</w:t>
      </w:r>
      <w:bookmarkEnd w:id="159"/>
    </w:p>
    <w:p>
      <w:pPr>
        <w:pStyle w:val="BookText"/>
        <w:rPr/>
      </w:pPr>
      <w:r>
        <w:rPr>
          <w:rFonts w:ascii="IRNazanin" w:hAnsi="IRNazanin" w:eastAsia="IRNazanin"/>
          <w:color w:val="111111"/>
          <w:sz w:val="28"/>
          <w:sz w:val="28"/>
          <w:szCs w:val="28"/>
          <w:rtl w:val="true"/>
          <w:lang w:bidi="fa-IR"/>
        </w:rPr>
        <w:t>و تحقیق المقام یقتضی ما ذهب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عزلت العقل عن الحکم فی الاصول و الفروع،فهل یبقی له حکم فی مسألة من المسائل؟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البدیهیّات فهی له وحده،و هو الحاکم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النظریات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وافقه النقل و حکم بحکمه قدّم حکمه علی النقل وحده، و أمّا لو تعارض هو و النقلی </w:t>
      </w:r>
      <w:r>
        <w:rPr>
          <w:rStyle w:val="FootnoteAnchor"/>
          <w:rtl w:val="true"/>
        </w:rPr>
        <w:footnoteReference w:id="124"/>
      </w:r>
      <w:r>
        <w:rPr>
          <w:rFonts w:ascii="IRNazanin" w:hAnsi="IRNazanin" w:eastAsia="IRNazanin"/>
          <w:color w:val="111111"/>
          <w:sz w:val="28"/>
          <w:sz w:val="28"/>
          <w:szCs w:val="28"/>
          <w:rtl w:val="true"/>
          <w:lang w:bidi="fa-IR"/>
        </w:rPr>
        <w:t>فلا شکّ عندنا فی ترجیح النقل و عدم، الالتفات إلی ما حکم به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أصل یبتنی علیه مسائل کثیرة،ثمّ ذکر جملة من المسائل </w:t>
      </w:r>
      <w:bookmarkStart w:id="160" w:name="pg12977_114096"/>
    </w:p>
    <w:p>
      <w:pPr>
        <w:pStyle w:val="BookText"/>
        <w:rPr/>
      </w:pPr>
      <w:bookmarkEnd w:id="160"/>
      <w:r>
        <w:rPr>
          <w:rFonts w:ascii="Amiri" w:hAnsi="Amiri" w:eastAsia="Amiri" w:cs="Amiri"/>
          <w:color w:val="111111"/>
          <w:sz w:val="28"/>
          <w:sz w:val="28"/>
          <w:szCs w:val="28"/>
          <w:rtl w:val="true"/>
          <w:lang w:bidi="ar-SA"/>
        </w:rPr>
        <w:t xml:space="preserve">المتفرّعة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1" w:name="__RefHeading___Toc5446561_3224264995"/>
      <w:bookmarkStart w:id="162" w:name="_Toc62"/>
      <w:bookmarkEnd w:id="161"/>
      <w:r>
        <w:rPr>
          <w:rtl w:val="true"/>
        </w:rPr>
        <w:t>مناقشة ما أفاده المحدث الجزائری</w:t>
      </w:r>
      <w:r>
        <w:rPr>
          <w:rtl w:val="true"/>
        </w:rPr>
        <w:t>:</w:t>
      </w:r>
      <w:bookmarkEnd w:id="16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یحضرنی شرح التهذیب حتّی الاحظ ما فرّع علی ذلک، فلیت 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فرض حکم العقل علی وجه القطع بشیء،کیف یجوز حصول القطع أو الظنّ من الدلیل النقلی علی خلافه؟و کذا لو فرض حصول القطع من الدلیل النقلی،کیف یجوز حکم العقل بخلافه علی وجه القطع؟</w:t>
      </w:r>
    </w:p>
    <w:p>
      <w:pPr>
        <w:pStyle w:val="Heading6"/>
        <w:numPr>
          <w:ilvl w:val="5"/>
          <w:numId w:val="1"/>
        </w:numPr>
        <w:rPr/>
      </w:pPr>
      <w:bookmarkStart w:id="163" w:name="__RefHeading___Toc5446563_3224264995"/>
      <w:bookmarkStart w:id="164" w:name="_Toc63"/>
      <w:bookmarkEnd w:id="163"/>
      <w:r>
        <w:rPr>
          <w:rtl w:val="true"/>
        </w:rPr>
        <w:t>کلام المحدث البحرانی فی المسألة</w:t>
      </w:r>
      <w:r>
        <w:rPr>
          <w:rtl w:val="true"/>
        </w:rPr>
        <w:t>:</w:t>
      </w:r>
      <w:bookmarkEnd w:id="164"/>
    </w:p>
    <w:p>
      <w:pPr>
        <w:pStyle w:val="BookText"/>
        <w:rPr/>
      </w:pPr>
      <w:r>
        <w:rPr>
          <w:rFonts w:ascii="IRNazanin" w:hAnsi="IRNazanin" w:eastAsia="IRNazanin"/>
          <w:color w:val="111111"/>
          <w:sz w:val="28"/>
          <w:sz w:val="28"/>
          <w:szCs w:val="28"/>
          <w:rtl w:val="true"/>
          <w:lang w:bidi="fa-IR"/>
        </w:rPr>
        <w:t>و ممّن وافقهما علی ذلک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البحرانی فی مقدّمات الحدائق،حیث نقل کلاما للسیّد المتقدّم فی هذا المقام و استحسنه،إلاّ أنّه صرّح بحجّیة العقل الفطری الصحیح،و حکم بمطابقته للشرع و مطابقة الشرع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مدخل للعقل فی شیء من الأحکام الفقهیّة من عبادات و غیرها،و لا سبیل إلیها إلاّ السماع عن المعصوم علیه السّلام؛لقصور العقل المذکور عن الاطّلاع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نعم،یبقی الکلام بالنسبة إلی ما لا یتوقّف </w:t>
      </w:r>
      <w:r>
        <w:rPr>
          <w:rStyle w:val="FootnoteAnchor"/>
          <w:rtl w:val="true"/>
        </w:rPr>
        <w:footnoteReference w:id="126"/>
      </w:r>
      <w:r>
        <w:rPr>
          <w:rFonts w:ascii="IRNazanin" w:hAnsi="IRNazanin" w:eastAsia="IRNazanin"/>
          <w:color w:val="111111"/>
          <w:sz w:val="28"/>
          <w:sz w:val="28"/>
          <w:szCs w:val="28"/>
          <w:rtl w:val="true"/>
          <w:lang w:bidi="fa-IR"/>
        </w:rPr>
        <w:t>علی التوقیف،فنقول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الدلیل العقلی المتعلّق بذلک بدیهیّا ظاهر البداهة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الواحد نصف الاثنین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ریب فی صحّة العمل به،و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یعارضه دلیل عقلیّ و لا نقلیّ فکذلک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عارضه دلیل عقلیّ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تأیّد أحدهما بنقلی کان </w:t>
      </w:r>
      <w:bookmarkStart w:id="165" w:name="pg12977_114097"/>
    </w:p>
    <w:p>
      <w:pPr>
        <w:pStyle w:val="BookText"/>
        <w:rPr/>
      </w:pPr>
      <w:bookmarkEnd w:id="165"/>
      <w:r>
        <w:rPr>
          <w:rFonts w:ascii="IRNazanin" w:hAnsi="IRNazanin" w:eastAsia="IRNazanin"/>
          <w:color w:val="111111"/>
          <w:sz w:val="28"/>
          <w:sz w:val="28"/>
          <w:szCs w:val="28"/>
          <w:rtl w:val="true"/>
          <w:lang w:bidi="fa-IR"/>
        </w:rPr>
        <w:t xml:space="preserve">الترجیح له </w:t>
      </w:r>
      <w:r>
        <w:rPr>
          <w:rStyle w:val="FootnoteAnchor"/>
          <w:rtl w:val="true"/>
        </w:rPr>
        <w:footnoteReference w:id="127"/>
      </w:r>
      <w:r>
        <w:rPr>
          <w:rFonts w:ascii="IRNazanin" w:hAnsi="IRNazanin" w:eastAsia="IRNazanin"/>
          <w:color w:val="111111"/>
          <w:sz w:val="28"/>
          <w:sz w:val="28"/>
          <w:szCs w:val="28"/>
          <w:rtl w:val="true"/>
          <w:lang w:bidi="fa-IR"/>
        </w:rPr>
        <w:t>،و إلاّ فإشکال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عارضه دلیل نقلیّ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تأیّد ذلک العقلی بدلیل نقلی کان الترجیح للعقلی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فی الحقیقة تعارض فی النقلیّات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فالترجیح للنقلی،وفاقا للسیّد المحدّث المتقدّم ذکره،و خلافا للأکثر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العقلی بقول مطلق،أمّا لو ارید به المعنی الأخصّ، و هو الفطریّ الخالی عن شوائب الأوهام الذی هو حجّة من حجج الملک العلاّم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شذّ وجوده فی الأنام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ترجیح النقلیّ علیه إشکال </w:t>
      </w:r>
      <w:r>
        <w:rPr>
          <w:rStyle w:val="FootnoteAnchor"/>
          <w:rtl w:val="true"/>
        </w:rPr>
        <w:footnoteReference w:id="12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166" w:name="__RefHeading___Toc5446565_3224264995"/>
      <w:bookmarkStart w:id="167" w:name="_Toc64"/>
      <w:bookmarkEnd w:id="166"/>
      <w:r>
        <w:rPr>
          <w:rtl w:val="true"/>
        </w:rPr>
        <w:t>مناقشة ما أفاده المحدث البحرانی</w:t>
      </w:r>
      <w:r>
        <w:rPr>
          <w:rtl w:val="true"/>
        </w:rPr>
        <w:t>:</w:t>
      </w:r>
      <w:bookmarkEnd w:id="167"/>
    </w:p>
    <w:p>
      <w:pPr>
        <w:pStyle w:val="BookText"/>
        <w:rPr/>
      </w:pPr>
      <w:r>
        <w:rPr>
          <w:rFonts w:ascii="IRNazanin" w:hAnsi="IRNazanin" w:eastAsia="IRNazanin"/>
          <w:color w:val="111111"/>
          <w:sz w:val="28"/>
          <w:sz w:val="28"/>
          <w:szCs w:val="28"/>
          <w:rtl w:val="true"/>
          <w:lang w:bidi="fa-IR"/>
        </w:rPr>
        <w:t>و لا أدری کیف جعل الدلیل النقلی فی الأحکام النظریّة مقدّما علی ما هو فی البداهة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نصف الاثنین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ضروریّات الدین و المذهب لم یزد فی البداهة علی ذلک؟</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 العجب ممّا ذکره فی الترجیح عند تعارض العقل و النقل،کیف یتصوّر الترجیح فی القطعیّین،و أیّ دلیل علی الترجیح المذکور؟</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أعجب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الاستشکال فی تعارض العقلیّین من دون </w:t>
      </w:r>
      <w:bookmarkStart w:id="168" w:name="pg12977_114098"/>
    </w:p>
    <w:p>
      <w:pPr>
        <w:pStyle w:val="BookText"/>
        <w:rPr/>
      </w:pPr>
      <w:bookmarkEnd w:id="168"/>
      <w:r>
        <w:rPr>
          <w:rFonts w:ascii="IRNazanin" w:hAnsi="IRNazanin" w:eastAsia="IRNazanin"/>
          <w:color w:val="111111"/>
          <w:sz w:val="28"/>
          <w:sz w:val="28"/>
          <w:szCs w:val="28"/>
          <w:rtl w:val="true"/>
          <w:lang w:bidi="fa-IR"/>
        </w:rPr>
        <w:t xml:space="preserve">ترجیح؛مع أنّه لا إشکال فی تساقطهما </w:t>
      </w:r>
      <w:r>
        <w:rPr>
          <w:rStyle w:val="FootnoteAnchor"/>
          <w:rtl w:val="true"/>
        </w:rPr>
        <w:footnoteReference w:id="130"/>
      </w:r>
      <w:r>
        <w:rPr>
          <w:rFonts w:ascii="IRNazanin" w:hAnsi="IRNazanin" w:eastAsia="IRNazanin"/>
          <w:color w:val="111111"/>
          <w:sz w:val="28"/>
          <w:sz w:val="28"/>
          <w:szCs w:val="28"/>
          <w:rtl w:val="true"/>
          <w:lang w:bidi="fa-IR"/>
        </w:rPr>
        <w:t xml:space="preserve">،و </w:t>
      </w:r>
      <w:r>
        <w:rPr>
          <w:rStyle w:val="FootnoteAnchor"/>
          <w:rtl w:val="true"/>
        </w:rPr>
        <w:footnoteReference w:id="131"/>
      </w:r>
      <w:r>
        <w:rPr>
          <w:rFonts w:ascii="IRNazanin" w:hAnsi="IRNazanin" w:eastAsia="IRNazanin"/>
          <w:color w:val="111111"/>
          <w:sz w:val="28"/>
          <w:sz w:val="28"/>
          <w:szCs w:val="28"/>
          <w:rtl w:val="true"/>
          <w:lang w:bidi="fa-IR"/>
        </w:rPr>
        <w:t xml:space="preserve">فی تقدیم العقلی الفطری الخالی عن شوائب الأوهام علی الدلیل النقلی </w:t>
      </w:r>
      <w:r>
        <w:rPr>
          <w:rStyle w:val="FootnoteAnchor"/>
          <w:rtl w:val="true"/>
        </w:rPr>
        <w:footnoteReference w:id="132"/>
      </w:r>
      <w:r>
        <w:rPr>
          <w:rFonts w:ascii="IRNazanin" w:hAnsi="IRNazanin" w:eastAsia="IRNazanin"/>
          <w:color w:val="111111"/>
          <w:sz w:val="28"/>
          <w:sz w:val="28"/>
          <w:szCs w:val="28"/>
          <w:rtl w:val="true"/>
          <w:lang w:bidi="fa-IR"/>
        </w:rPr>
        <w:t xml:space="preserve">مع أنّ العلم بوجود </w:t>
      </w:r>
      <w:r>
        <w:rPr>
          <w:rStyle w:val="FootnoteAnchor"/>
          <w:rtl w:val="true"/>
        </w:rPr>
        <w:footnoteReference w:id="133"/>
      </w:r>
      <w:r>
        <w:rPr>
          <w:rFonts w:ascii="IRNazanin" w:hAnsi="IRNazanin" w:eastAsia="IRNazanin"/>
          <w:color w:val="111111"/>
          <w:sz w:val="28"/>
          <w:sz w:val="28"/>
          <w:szCs w:val="28"/>
          <w:rtl w:val="true"/>
          <w:lang w:bidi="fa-IR"/>
        </w:rPr>
        <w:t>الصانع جلّ ذکره إمّا أن یحصل من هذا العقل الفطری،أو ممّا دونه من العقلیّات البدیهیة،بل النظریات المنتهیة إلی البداهة</w:t>
      </w:r>
      <w:r>
        <w:rPr>
          <w:rFonts w:eastAsia="IRNazanin" w:cs="IRNazanin"/>
          <w:color w:val="111111"/>
          <w:sz w:val="28"/>
          <w:szCs w:val="28"/>
          <w:rtl w:val="true"/>
          <w:lang w:bidi="fa-IR"/>
        </w:rPr>
        <w:t>.</w:t>
      </w:r>
    </w:p>
    <w:p>
      <w:pPr>
        <w:pStyle w:val="Heading6"/>
        <w:numPr>
          <w:ilvl w:val="5"/>
          <w:numId w:val="1"/>
        </w:numPr>
        <w:rPr/>
      </w:pPr>
      <w:bookmarkStart w:id="169" w:name="__RefHeading___Toc5446567_3224264995"/>
      <w:bookmarkStart w:id="170" w:name="_Toc65"/>
      <w:bookmarkEnd w:id="169"/>
      <w:r>
        <w:rPr>
          <w:rtl w:val="true"/>
        </w:rPr>
        <w:t>نظریة المصنف فی المسألة</w:t>
      </w:r>
      <w:r>
        <w:rPr>
          <w:rtl w:val="true"/>
        </w:rPr>
        <w:t>:</w:t>
      </w:r>
      <w:bookmarkEnd w:id="170"/>
    </w:p>
    <w:p>
      <w:pPr>
        <w:pStyle w:val="BookText"/>
        <w:rPr/>
      </w:pPr>
      <w:r>
        <w:rPr>
          <w:rFonts w:ascii="IRNazanin" w:hAnsi="IRNazanin" w:eastAsia="IRNazanin"/>
          <w:color w:val="111111"/>
          <w:sz w:val="28"/>
          <w:sz w:val="28"/>
          <w:szCs w:val="28"/>
          <w:rtl w:val="true"/>
          <w:lang w:bidi="fa-IR"/>
        </w:rPr>
        <w:t>و الذی یقتضیه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وفاقا لأکثر أهل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حصل القطع من دلیل عقلی فلا یجوز أن یعارضه دلیل نقلی،و إن وجد ما ظاهره المعارضة فلا بدّ من تأویله إن لم یمکن طرحه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کلّما حصل القطع من دلیل نقلی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القطع الحاصل من إجماع جمیع الشرائع علی حدوث العالم زمانا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یجوز أن یحصل القطع علی خلافه من دلیل عقلی،مثل استحالة تخلّف الأثر عن المؤثّر،و لو حصل منه صورة برهان کانت شبهة فی مقابلة البدیهة،لکن هذا لا یتأتّی فی العقل </w:t>
      </w:r>
      <w:r>
        <w:rPr>
          <w:rStyle w:val="FootnoteAnchor"/>
          <w:rtl w:val="true"/>
        </w:rPr>
        <w:footnoteReference w:id="134"/>
      </w:r>
      <w:r>
        <w:rPr>
          <w:rFonts w:ascii="IRNazanin" w:hAnsi="IRNazanin" w:eastAsia="IRNazanin"/>
          <w:color w:val="111111"/>
          <w:sz w:val="28"/>
          <w:sz w:val="28"/>
          <w:szCs w:val="28"/>
          <w:rtl w:val="true"/>
          <w:lang w:bidi="fa-IR"/>
        </w:rPr>
        <w:t>البدیهی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نصف الاثنین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فی </w:t>
      </w:r>
      <w:r>
        <w:rPr>
          <w:rStyle w:val="FootnoteAnchor"/>
          <w:rtl w:val="true"/>
        </w:rPr>
        <w:footnoteReference w:id="135"/>
      </w:r>
      <w:r>
        <w:rPr>
          <w:rFonts w:ascii="IRNazanin" w:hAnsi="IRNazanin" w:eastAsia="IRNazanin"/>
          <w:color w:val="111111"/>
          <w:sz w:val="28"/>
          <w:sz w:val="28"/>
          <w:szCs w:val="28"/>
          <w:rtl w:val="true"/>
          <w:lang w:bidi="fa-IR"/>
        </w:rPr>
        <w:t xml:space="preserve">الفطری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الخالی عن شوائب الأوهام،فلا بدّ فی مواردهما </w:t>
      </w:r>
      <w:r>
        <w:rPr>
          <w:rStyle w:val="FootnoteAnchor"/>
          <w:rtl w:val="true"/>
        </w:rPr>
        <w:footnoteReference w:id="137"/>
      </w:r>
      <w:r>
        <w:rPr>
          <w:rFonts w:ascii="IRNazanin" w:hAnsi="IRNazanin" w:eastAsia="IRNazanin"/>
          <w:color w:val="111111"/>
          <w:sz w:val="28"/>
          <w:sz w:val="28"/>
          <w:szCs w:val="28"/>
          <w:rtl w:val="true"/>
          <w:lang w:bidi="fa-IR"/>
        </w:rPr>
        <w:t xml:space="preserve">من التزام عدم حصول القطع من النقل علی خلافه؛لأنّ الأدلّة القطعیّة النظریّة فی النقلیّات مضبوطة محصورة لیس فیها شیء یصادم العقل </w:t>
      </w:r>
      <w:r>
        <w:rPr>
          <w:rStyle w:val="FootnoteAnchor"/>
          <w:rtl w:val="true"/>
        </w:rPr>
        <w:footnoteReference w:id="138"/>
      </w:r>
      <w:r>
        <w:rPr>
          <w:rFonts w:ascii="IRNazanin" w:hAnsi="IRNazanin" w:eastAsia="IRNazanin"/>
          <w:color w:val="111111"/>
          <w:sz w:val="28"/>
          <w:sz w:val="28"/>
          <w:szCs w:val="28"/>
          <w:rtl w:val="true"/>
          <w:lang w:bidi="fa-IR"/>
        </w:rPr>
        <w:t>البدیهی أو الفطری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 نظر هؤلاء فی ذلک </w:t>
      </w:r>
      <w:r>
        <w:rPr>
          <w:rStyle w:val="FootnoteAnchor"/>
          <w:rtl w:val="true"/>
        </w:rPr>
        <w:footnoteReference w:id="139"/>
      </w:r>
      <w:r>
        <w:rPr>
          <w:rFonts w:ascii="IRNazanin" w:hAnsi="IRNazanin" w:eastAsia="IRNazanin"/>
          <w:color w:val="111111"/>
          <w:sz w:val="28"/>
          <w:sz w:val="28"/>
          <w:szCs w:val="28"/>
          <w:rtl w:val="true"/>
          <w:lang w:bidi="fa-IR"/>
        </w:rPr>
        <w:t xml:space="preserve">إلی ما یستفاد من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علیکم أن تقولوا بشیء ما لم تسمعوه منّا</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،و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رجلا قام لیله،و صام نهاره،و حجّ دهره،و تصدّق بجمیع ماله،و لم یعرف ولایة ولیّ اللّه؛فیکون أعماله بدلالته فیوالیه،ما کان له علی اللّه ثواب</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،و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دان اللّه بغیر سماع من صادق فهو کذا و کذا</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الواجب علینا هو امتثال أحکام اللّه تعالی التی بلّغها حججه علیهم السّلام، فکلّ حکم لم یکن الحجّة واسطة فی تبلیغه لم یجب امتثاله،بل یکون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اسکتوا عمّا سکت اللّه عنه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فإنّ معنی سکوته عنه </w:t>
      </w:r>
    </w:p>
    <w:p>
      <w:pPr>
        <w:pStyle w:val="BookText"/>
        <w:rPr/>
      </w:pPr>
      <w:r>
        <w:rPr>
          <w:rFonts w:ascii="IRNazanin" w:hAnsi="IRNazanin" w:eastAsia="IRNazanin"/>
          <w:color w:val="111111"/>
          <w:sz w:val="28"/>
          <w:sz w:val="28"/>
          <w:szCs w:val="28"/>
          <w:rtl w:val="true"/>
          <w:lang w:bidi="fa-IR"/>
        </w:rPr>
        <w:t xml:space="preserve">عدم أمر أولیائه بتبلیغه،و حینئذ فالحکم المستکشف </w:t>
      </w:r>
      <w:r>
        <w:rPr>
          <w:rStyle w:val="FootnoteAnchor"/>
          <w:rtl w:val="true"/>
        </w:rPr>
        <w:footnoteReference w:id="145"/>
      </w:r>
      <w:r>
        <w:rPr>
          <w:rFonts w:ascii="IRNazanin" w:hAnsi="IRNazanin" w:eastAsia="IRNazanin"/>
          <w:color w:val="111111"/>
          <w:sz w:val="28"/>
          <w:sz w:val="28"/>
          <w:szCs w:val="28"/>
          <w:rtl w:val="true"/>
          <w:lang w:bidi="fa-IR"/>
        </w:rPr>
        <w:t xml:space="preserve">بغیر واسطة الحجّة ملغی </w:t>
      </w:r>
      <w:r>
        <w:rPr>
          <w:rStyle w:val="FootnoteAnchor"/>
          <w:rtl w:val="true"/>
        </w:rPr>
        <w:footnoteReference w:id="146"/>
      </w:r>
      <w:r>
        <w:rPr>
          <w:rFonts w:ascii="IRNazanin" w:hAnsi="IRNazanin" w:eastAsia="IRNazanin"/>
          <w:color w:val="111111"/>
          <w:sz w:val="28"/>
          <w:sz w:val="28"/>
          <w:szCs w:val="28"/>
          <w:rtl w:val="true"/>
          <w:lang w:bidi="fa-IR"/>
        </w:rPr>
        <w:t>فی نظر الشارع و إن کان مطابقا للواقع؛کما یشهد به تصریح الإمام علیه السّلام بنفی الثواب علی التصدّق بجمیع المال،مع القطع بکونه محبوبا و مرضیّا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الاستشکال فی تقدیم النقلی علی العقلی </w:t>
      </w:r>
      <w:r>
        <w:rPr>
          <w:rStyle w:val="FootnoteAnchor"/>
          <w:rtl w:val="true"/>
        </w:rPr>
        <w:footnoteReference w:id="147"/>
      </w:r>
      <w:r>
        <w:rPr>
          <w:rFonts w:ascii="IRNazanin" w:hAnsi="IRNazanin" w:eastAsia="IRNazanin"/>
          <w:color w:val="111111"/>
          <w:sz w:val="28"/>
          <w:sz w:val="28"/>
          <w:szCs w:val="28"/>
          <w:rtl w:val="true"/>
          <w:lang w:bidi="fa-IR"/>
        </w:rPr>
        <w:t xml:space="preserve">الفطری السلیم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ورد من النقل المتواتر علی حجّیة العقل،و أنّه حجّة باطنة </w:t>
      </w:r>
      <w:r>
        <w:rPr>
          <w:rStyle w:val="FootnoteAnchor"/>
          <w:rtl w:val="true"/>
        </w:rPr>
        <w:footnoteReference w:id="149"/>
      </w:r>
      <w:r>
        <w:rPr>
          <w:rFonts w:ascii="Amiri" w:hAnsi="Amiri" w:eastAsia="Amiri" w:cs="Amiri"/>
          <w:color w:val="111111"/>
          <w:sz w:val="28"/>
          <w:sz w:val="28"/>
          <w:szCs w:val="28"/>
          <w:rtl w:val="true"/>
          <w:lang w:bidi="ar-SA"/>
        </w:rPr>
        <w:t xml:space="preserve">،و أنّه ممّا </w:t>
      </w:r>
      <w:r>
        <w:rPr>
          <w:rStyle w:val="FootnoteAnchor"/>
          <w:rtl w:val="true"/>
        </w:rPr>
        <w:footnoteReference w:id="150"/>
      </w:r>
      <w:r>
        <w:rPr>
          <w:rFonts w:ascii="IRNazanin" w:hAnsi="IRNazanin" w:eastAsia="IRNazanin"/>
          <w:color w:val="111111"/>
          <w:sz w:val="28"/>
          <w:sz w:val="28"/>
          <w:szCs w:val="28"/>
          <w:rtl w:val="true"/>
          <w:lang w:bidi="fa-IR"/>
        </w:rPr>
        <w:t xml:space="preserve">یعبد به الرحمن و یکتسب به الجنان </w:t>
      </w:r>
      <w:r>
        <w:rPr>
          <w:rStyle w:val="FootnoteAnchor"/>
          <w:rtl w:val="true"/>
        </w:rPr>
        <w:footnoteReference w:id="151"/>
      </w:r>
      <w:r>
        <w:rPr>
          <w:rFonts w:ascii="IRNazanin" w:hAnsi="IRNazanin" w:eastAsia="IRNazanin"/>
          <w:color w:val="111111"/>
          <w:sz w:val="28"/>
          <w:sz w:val="28"/>
          <w:szCs w:val="28"/>
          <w:rtl w:val="true"/>
          <w:lang w:bidi="fa-IR"/>
        </w:rPr>
        <w:t xml:space="preserve">،و نحوها ممّا یستفاد منه کون العقل السلیم أیضا حجّة من الحجج،فالحکم المستکشف به حکم بلّغه الرسول الباطنی،الذی هو شرع من داخل،کما أنّ الشرع عقل من خارج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یشیر إلی ما ذکرنا من قبل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السیّد الصدر رحمه اللّه فی شرح الوافیة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جملة کلام له فی حکم ما یستقلّ به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xml:space="preserve">: </w:t>
      </w:r>
      <w:bookmarkStart w:id="171" w:name="pg12977_114101"/>
    </w:p>
    <w:p>
      <w:pPr>
        <w:pStyle w:val="Heading6"/>
        <w:numPr>
          <w:ilvl w:val="5"/>
          <w:numId w:val="1"/>
        </w:numPr>
        <w:rPr/>
      </w:pPr>
      <w:bookmarkStart w:id="172" w:name="__RefHeading___Toc5446569_3224264995"/>
      <w:bookmarkStart w:id="173" w:name="_Toc66"/>
      <w:bookmarkEnd w:id="171"/>
      <w:bookmarkEnd w:id="172"/>
      <w:r>
        <w:rPr>
          <w:rtl w:val="true"/>
        </w:rPr>
        <w:t>کلام السید الصدر فی المسألة</w:t>
      </w:r>
      <w:r>
        <w:rPr>
          <w:rtl w:val="true"/>
        </w:rPr>
        <w:t>:</w:t>
      </w:r>
      <w:bookmarkEnd w:id="173"/>
    </w:p>
    <w:p>
      <w:pPr>
        <w:pStyle w:val="BookText"/>
        <w:rPr/>
      </w:pPr>
      <w:r>
        <w:rPr>
          <w:rFonts w:ascii="IRNazanin" w:hAnsi="IRNazanin" w:eastAsia="IRNazanin"/>
          <w:color w:val="111111"/>
          <w:sz w:val="28"/>
          <w:sz w:val="28"/>
          <w:szCs w:val="28"/>
          <w:rtl w:val="true"/>
          <w:lang w:bidi="fa-IR"/>
        </w:rPr>
        <w:t xml:space="preserve">إنّ المعلوم هو أنّه یجب فعل شیء أو ترکه </w:t>
      </w:r>
      <w:r>
        <w:rPr>
          <w:rStyle w:val="FootnoteAnchor"/>
          <w:rtl w:val="true"/>
        </w:rPr>
        <w:footnoteReference w:id="153"/>
      </w:r>
      <w:r>
        <w:rPr>
          <w:rFonts w:ascii="IRNazanin" w:hAnsi="IRNazanin" w:eastAsia="IRNazanin"/>
          <w:color w:val="111111"/>
          <w:sz w:val="28"/>
          <w:sz w:val="28"/>
          <w:szCs w:val="28"/>
          <w:rtl w:val="true"/>
          <w:lang w:bidi="fa-IR"/>
        </w:rPr>
        <w:t xml:space="preserve">أو لا یجب إذا حصل الظنّ أو القطع بوجوبه أو حرمته أو غیرهما من جهة نقل قول المعصوم علیه السّلام أو فعله أو تقریره،لا أنّه یجب فعله أو ترکه أو لا یجب مع حصولهما من أیّ طریق کان </w:t>
      </w:r>
      <w:r>
        <w:rPr>
          <w:rStyle w:val="FootnoteAnchor"/>
          <w:rtl w:val="true"/>
        </w:rPr>
        <w:footnoteReference w:id="154"/>
      </w:r>
      <w:r>
        <w:rPr>
          <w:rFonts w:ascii="IRNazanin" w:hAnsi="IRNazanin" w:eastAsia="IRNazanin"/>
          <w:color w:val="111111"/>
          <w:sz w:val="28"/>
          <w:sz w:val="28"/>
          <w:szCs w:val="28"/>
          <w:rtl w:val="true"/>
          <w:lang w:bidi="fa-IR"/>
        </w:rPr>
        <w:t>،انتهی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نمنع مدخلیّة توسّط تبلیغ الحجّة فی وجوب إطاعة حکم اللّه سبحانه؛کیف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العقل بعد ما عرف أنّ اللّه تعالی لا یرضی بترک الشیء الفلانی،و علم بوجوب إطاعة اللّه،لم یحتج ذلک إلی توسّط مبلّغ</w:t>
      </w:r>
      <w:r>
        <w:rPr>
          <w:rFonts w:eastAsia="IRNazanin" w:cs="IRNazanin"/>
          <w:color w:val="111111"/>
          <w:sz w:val="28"/>
          <w:szCs w:val="28"/>
          <w:rtl w:val="true"/>
          <w:lang w:bidi="fa-IR"/>
        </w:rPr>
        <w:t>.</w:t>
      </w:r>
    </w:p>
    <w:p>
      <w:pPr>
        <w:pStyle w:val="Heading6"/>
        <w:numPr>
          <w:ilvl w:val="5"/>
          <w:numId w:val="1"/>
        </w:numPr>
        <w:rPr/>
      </w:pPr>
      <w:bookmarkStart w:id="174" w:name="__RefHeading___Toc5446571_3224264995"/>
      <w:bookmarkStart w:id="175" w:name="_Toc67"/>
      <w:bookmarkEnd w:id="174"/>
      <w:r>
        <w:rPr>
          <w:rtl w:val="true"/>
        </w:rPr>
        <w:t>تفسیر الأخبار الدالّة علی مدخلیّة تبلیغ الحجّة</w:t>
      </w:r>
      <w:r>
        <w:rPr>
          <w:rtl w:val="true"/>
        </w:rPr>
        <w:t>:</w:t>
      </w:r>
      <w:bookmarkEnd w:id="17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استفادة ذلک من الأخبار،ممنوعة؛فإنّ المقصود من أمثال الخبر المذکور عدم جواز الاستبداد فی الأحکام </w:t>
      </w:r>
      <w:r>
        <w:rPr>
          <w:rStyle w:val="FootnoteAnchor"/>
          <w:rtl w:val="true"/>
        </w:rPr>
        <w:footnoteReference w:id="155"/>
      </w:r>
      <w:r>
        <w:rPr>
          <w:rFonts w:ascii="IRNazanin" w:hAnsi="IRNazanin" w:eastAsia="IRNazanin"/>
          <w:color w:val="111111"/>
          <w:sz w:val="28"/>
          <w:sz w:val="28"/>
          <w:szCs w:val="28"/>
          <w:rtl w:val="true"/>
          <w:lang w:bidi="fa-IR"/>
        </w:rPr>
        <w:t>الشرعیّة بالعقول الناقصة الظنیّة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کان متعارفا فی ذلک الزمان من العمل بالأقیسة و الاستحسانات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غیر مراجعة حجج اللّه،بل فی مقابلهم علیهم السّلام </w:t>
      </w:r>
      <w:r>
        <w:rPr>
          <w:rStyle w:val="FootnoteAnchor"/>
          <w:rtl w:val="true"/>
        </w:rPr>
        <w:footnoteReference w:id="156"/>
      </w:r>
      <w:r>
        <w:rPr>
          <w:rFonts w:ascii="IRNazanin" w:hAnsi="IRNazanin" w:eastAsia="IRNazanin"/>
          <w:color w:val="111111"/>
          <w:sz w:val="28"/>
          <w:sz w:val="28"/>
          <w:szCs w:val="28"/>
          <w:rtl w:val="true"/>
          <w:lang w:bidi="fa-IR"/>
        </w:rPr>
        <w:t xml:space="preserve">و إلاّ فإدراک العقل القطعی للحکم المخالف للدلیل النقلی علی وجه لا یمکن الجمع بینهما </w:t>
      </w:r>
      <w:r>
        <w:rPr>
          <w:rStyle w:val="FootnoteAnchor"/>
          <w:rtl w:val="true"/>
        </w:rPr>
        <w:footnoteReference w:id="157"/>
      </w:r>
      <w:r>
        <w:rPr>
          <w:rFonts w:ascii="IRNazanin" w:hAnsi="IRNazanin" w:eastAsia="IRNazanin"/>
          <w:color w:val="111111"/>
          <w:sz w:val="28"/>
          <w:sz w:val="28"/>
          <w:szCs w:val="28"/>
          <w:rtl w:val="true"/>
          <w:lang w:bidi="fa-IR"/>
        </w:rPr>
        <w:t xml:space="preserve">فی غایة الندرة،بل لا نعرف وجوده،فلا ینبغی </w:t>
      </w:r>
    </w:p>
    <w:p>
      <w:pPr>
        <w:pStyle w:val="BookText"/>
        <w:rPr/>
      </w:pPr>
      <w:r>
        <w:rPr>
          <w:rFonts w:ascii="IRNazanin" w:hAnsi="IRNazanin" w:eastAsia="IRNazanin"/>
          <w:color w:val="111111"/>
          <w:sz w:val="28"/>
          <w:sz w:val="28"/>
          <w:szCs w:val="28"/>
          <w:rtl w:val="true"/>
          <w:lang w:bidi="fa-IR"/>
        </w:rPr>
        <w:t xml:space="preserve">الاهتمام به فی هذه الأخبار الکثیرة،مع أنّ ظاهرها ینفی حکومة العقل و لو مع عدم المعارض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ذکرنا یحمل ما ورد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دین اللّه لا یصاب بالعقول</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نفی الثواب علی التصدّق مع عدم کون العمل </w:t>
      </w:r>
      <w:r>
        <w:rPr>
          <w:rStyle w:val="FootnoteAnchor"/>
          <w:rtl w:val="true"/>
        </w:rPr>
        <w:footnoteReference w:id="160"/>
      </w:r>
      <w:r>
        <w:rPr>
          <w:rFonts w:ascii="IRNazanin" w:hAnsi="IRNazanin" w:eastAsia="IRNazanin"/>
          <w:color w:val="111111"/>
          <w:sz w:val="28"/>
          <w:sz w:val="28"/>
          <w:szCs w:val="28"/>
          <w:rtl w:val="true"/>
          <w:lang w:bidi="fa-IR"/>
        </w:rPr>
        <w:t>بدلالة ولیّ اللّه، فلو ابقی علی ظاهره دلّ علی عدم الاعتبار بالعقل الفطری الخالی عن شوائب الأوهام،مع اعترافه بأنّه حجّة من حجج الملک العلاّم،فلا بدّ من حمله علی التصدّقات الغیر المقبولة،مثل التصدّق علی المخالفین لأجل تدیّنهم بذلک الدین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الغالب فی تصدّق المخالف علی المخالف، کما فی تصدّقنا علی فقراء الشیعة؛لأجل محبّتهم لأمیر المؤمنین علیه السّلام و بغضهم لأعدائه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أنّ المراد حبط ثواب التصدّق؛من أجل عدم المعرفة لولیّ اللّه،أو علی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مدخلیّة تبلیغ الحجّة فی وجوب الإطاعة،لکنّا إذا علمنا إجمالا بأنّ حکم الواقعة الفلانیة لعموم الابتلاء بها قد صدر یقینا من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إلی ما ورد من قوله صلّی اللّه علیه و آله فی خطبة حجّة الوداع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معاشر الناس ما من شیء یقرّبکم إلی الجنّة و یباعدکم عن النار إلاّ أمرتکم به،و ما من شیء یقرّبکم إلی النار و یباعدکم عن الجنّة إلاّ و قد </w:t>
      </w:r>
      <w:bookmarkStart w:id="176" w:name="pg12977_114103"/>
    </w:p>
    <w:p>
      <w:pPr>
        <w:pStyle w:val="BookText"/>
        <w:rPr/>
      </w:pPr>
      <w:bookmarkEnd w:id="176"/>
      <w:r>
        <w:rPr>
          <w:rFonts w:ascii="IRNazanin" w:hAnsi="IRNazanin" w:eastAsia="IRNazanin"/>
          <w:color w:val="111111"/>
          <w:sz w:val="28"/>
          <w:sz w:val="28"/>
          <w:szCs w:val="28"/>
          <w:rtl w:val="true"/>
          <w:lang w:bidi="fa-IR"/>
        </w:rPr>
        <w:t>نهیتکم عنه</w:t>
      </w:r>
      <w:r>
        <w:rPr>
          <w:rFonts w:eastAsia="IRNazanin" w:cs="IRNazanin"/>
          <w:color w:val="111111"/>
          <w:sz w:val="28"/>
          <w:szCs w:val="28"/>
          <w:rtl w:val="true"/>
          <w:lang w:bidi="fa-IR"/>
        </w:rPr>
        <w:t xml:space="preserve">» </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أدرکنا ذلک الحکم إمّا بالعقل المستقلّ و إمّا بواسطة مقدّمة عقلیّة،نجزم من ذلک بأنّ ما استکشفناه بعقولنا صادر عن الحجّة صلوات اللّه علیه،فیکون الإطاعة بواسطة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الأخبار المتقدّمة و أدلّة وجوب الرجوع إلی الأئمة صلوات اللّه علیهم أجمعین تدلّ علی مدخلیّة تبلیغ الحجّة و بیانه فی طریق الحکم،و أنّ کلّ حکم لم یعلم من طریق السماع عنهم علیهم السّلام و لو بالواسطة فهو غیر واجب الإطاعة،و حینئذ فلا یجدی مطابقة الحکم المدرک لما صدر عن الحجّة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قد عرفت عدم دلالة الأخبار </w:t>
      </w:r>
      <w:r>
        <w:rPr>
          <w:rStyle w:val="FootnoteAnchor"/>
          <w:rtl w:val="true"/>
        </w:rPr>
        <w:footnoteReference w:id="163"/>
      </w:r>
      <w:r>
        <w:rPr>
          <w:rFonts w:ascii="IRNazanin" w:hAnsi="IRNazanin" w:eastAsia="IRNazanin"/>
          <w:color w:val="111111"/>
          <w:sz w:val="28"/>
          <w:sz w:val="28"/>
          <w:szCs w:val="28"/>
          <w:rtl w:val="true"/>
          <w:lang w:bidi="fa-IR"/>
        </w:rPr>
        <w:t>،و مع تسلیم ظهورها فهو أیضا من باب تعارض النقل الظنّی مع العقل القطعی؛و لذلک لا فائدة مهمّة فی هذه المسألة؛إذ بعد ما قطع العقل بحکم و قطع بعدم رضا اللّه جلّ ذکره بمخالفته،فلا یعقل ترک العمل بذلک ما دام هذا القطع باقیا، فکلّ ما دلّ علی خلاف ذلک فمؤوّل أو مطروح</w:t>
      </w:r>
      <w:r>
        <w:rPr>
          <w:rFonts w:eastAsia="IRNazanin" w:cs="IRNazanin"/>
          <w:color w:val="111111"/>
          <w:sz w:val="28"/>
          <w:szCs w:val="28"/>
          <w:rtl w:val="true"/>
          <w:lang w:bidi="fa-IR"/>
        </w:rPr>
        <w:t>.</w:t>
      </w:r>
    </w:p>
    <w:p>
      <w:pPr>
        <w:pStyle w:val="Heading6"/>
        <w:numPr>
          <w:ilvl w:val="5"/>
          <w:numId w:val="1"/>
        </w:numPr>
        <w:rPr/>
      </w:pPr>
      <w:bookmarkStart w:id="177" w:name="__RefHeading___Toc5446573_3224264995"/>
      <w:bookmarkStart w:id="178" w:name="_Toc68"/>
      <w:bookmarkEnd w:id="177"/>
      <w:r>
        <w:rPr>
          <w:rtl w:val="true"/>
        </w:rPr>
        <w:t>عدم جواز الرکون إلی العقل فیما یتعلّق بمناطات الأحکام</w:t>
      </w:r>
      <w:r>
        <w:rPr>
          <w:rtl w:val="true"/>
        </w:rPr>
        <w:t>:</w:t>
      </w:r>
      <w:bookmarkEnd w:id="17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نعم،الإنصاف أنّ الرکون إلی العقل فیما یتعلّق بإدراک مناطات الأحکام لینتقل منها إلی إدراک نفس الأحکام،موجب للوقوع فی الخطأ کثیرا فی نفس الأمر،و إن لم یحتمل ذلک عند المدرک، کما یدلّ علیه الأخبار الکثیرة الواردة بمضمون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دین اللّه لا یصاب بالعقول</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شیء أبعد عن دین اللّه من عقول </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أوضح من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أبان بن تغلب عن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قطع إصبعا من أصابع المرأة،کم فیها من الدیة؟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من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إصبعین؟قال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ثلاثا؟قال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أربعا؟قال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 ثلاثا فیکون علیه ثلاثون،و یقطع أربعا فیکون علیه 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یبلغنا هذا و نحن بالعراق،فقلنا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جاء به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مهلا یا أبان،هذا حکم رسول اللّه صلی اللّه علیه و آله،إنّ المرأة تعاقل الرجل إلی ثلث الدیة،فإذا بلغت الثلث رجعت </w:t>
      </w:r>
      <w:r>
        <w:rPr>
          <w:rStyle w:val="FootnoteAnchor"/>
          <w:rtl w:val="true"/>
        </w:rPr>
        <w:footnoteReference w:id="166"/>
      </w:r>
      <w:r>
        <w:rPr>
          <w:rFonts w:ascii="IRNazanin" w:hAnsi="IRNazanin" w:eastAsia="IRNazanin"/>
          <w:color w:val="111111"/>
          <w:sz w:val="28"/>
          <w:sz w:val="28"/>
          <w:szCs w:val="28"/>
          <w:rtl w:val="true"/>
          <w:lang w:bidi="fa-IR"/>
        </w:rPr>
        <w:t>إلی النصف، یا أبان،إنّک أخذتنی بالقیاس،و السنّة إذا قیست محق الدین</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و إن کانت ظاهرة فی توبیخ أبان علی ردّ الروایة الظنّیة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سمعها فی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بمجرّد استقلال عقله بخلافه،أو علی تعجّبه ممّا حکم به الإمام علیه السّلام؛من جهة مخالفته لمقتضی القیاس </w:t>
      </w:r>
      <w:r>
        <w:rPr>
          <w:rStyle w:val="FootnoteAnchor"/>
          <w:rtl w:val="true"/>
        </w:rPr>
        <w:footnoteReference w:id="168"/>
      </w:r>
      <w:r>
        <w:rPr>
          <w:rFonts w:ascii="IRNazanin" w:hAnsi="IRNazanin" w:eastAsia="IRNazanin"/>
          <w:color w:val="111111"/>
          <w:sz w:val="28"/>
          <w:sz w:val="28"/>
          <w:szCs w:val="28"/>
          <w:rtl w:val="true"/>
          <w:lang w:bidi="fa-IR"/>
        </w:rPr>
        <w:t>،إلاّ أنّ مرجع الکلّ إلی التوبیخ علی مراجعة العقل فی استنباط الأحکام،فهو توبیخ علی المقدّمات المفضیة إلی مخالفة الواقع</w:t>
      </w:r>
      <w:r>
        <w:rPr>
          <w:rFonts w:eastAsia="IRNazanin" w:cs="IRNazanin"/>
          <w:color w:val="111111"/>
          <w:sz w:val="28"/>
          <w:szCs w:val="28"/>
          <w:rtl w:val="true"/>
          <w:lang w:bidi="fa-IR"/>
        </w:rPr>
        <w:t xml:space="preserve">. </w:t>
      </w:r>
      <w:bookmarkStart w:id="179" w:name="pg12977_114105"/>
    </w:p>
    <w:p>
      <w:pPr>
        <w:pStyle w:val="BookText"/>
        <w:rPr/>
      </w:pPr>
      <w:bookmarkEnd w:id="179"/>
      <w:r>
        <w:rPr>
          <w:rFonts w:ascii="IRNazanin" w:hAnsi="IRNazanin" w:eastAsia="IRNazanin"/>
          <w:color w:val="111111"/>
          <w:sz w:val="28"/>
          <w:sz w:val="28"/>
          <w:szCs w:val="28"/>
          <w:rtl w:val="true"/>
          <w:lang w:bidi="fa-IR"/>
        </w:rPr>
        <w:t xml:space="preserve">و قد أشرنا هنا و فی أوّل المسألة </w:t>
      </w:r>
      <w:r>
        <w:rPr>
          <w:rStyle w:val="FootnoteAnchor"/>
          <w:rtl w:val="true"/>
        </w:rPr>
        <w:footnoteReference w:id="169"/>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الخوض لاستکشاف الأحکام الدینیّة،فی المطالب العقلیّة،و الاستعانة بها فی تحصیل مناط الحکم و الانتقال منه إلیه علی طریق اللّم؛لأنّ انس الذهن بها یوجب عدم حصول الوثوق بما یصل إلیه من الأحکام التوقیفیّة،فقد یصیر منشأ لطرح الأمارات النقلیّة الظنّیة؛لعدم حصول الظنّ له منها بالحکم</w:t>
      </w:r>
      <w:r>
        <w:rPr>
          <w:rFonts w:eastAsia="IRNazanin" w:cs="IRNazanin"/>
          <w:color w:val="111111"/>
          <w:sz w:val="28"/>
          <w:szCs w:val="28"/>
          <w:rtl w:val="true"/>
          <w:lang w:bidi="fa-IR"/>
        </w:rPr>
        <w:t>.</w:t>
      </w:r>
    </w:p>
    <w:p>
      <w:pPr>
        <w:pStyle w:val="Heading6"/>
        <w:numPr>
          <w:ilvl w:val="5"/>
          <w:numId w:val="1"/>
        </w:numPr>
        <w:rPr/>
      </w:pPr>
      <w:bookmarkStart w:id="180" w:name="__RefHeading___Toc5446575_3224264995"/>
      <w:bookmarkStart w:id="181" w:name="_Toc69"/>
      <w:bookmarkEnd w:id="180"/>
      <w:r>
        <w:rPr>
          <w:rtl w:val="true"/>
        </w:rPr>
        <w:t>ترک الخوض فی المطالب العقلیّة فیما یتعلّق باصول الدین</w:t>
      </w:r>
      <w:r>
        <w:rPr>
          <w:rtl w:val="true"/>
        </w:rPr>
        <w:t>:</w:t>
      </w:r>
      <w:bookmarkEnd w:id="181"/>
    </w:p>
    <w:p>
      <w:pPr>
        <w:pStyle w:val="BookText"/>
        <w:rPr/>
      </w:pPr>
      <w:r>
        <w:rPr>
          <w:rFonts w:ascii="IRNazanin" w:hAnsi="IRNazanin" w:eastAsia="IRNazanin"/>
          <w:color w:val="111111"/>
          <w:sz w:val="28"/>
          <w:sz w:val="28"/>
          <w:szCs w:val="28"/>
          <w:rtl w:val="true"/>
          <w:lang w:bidi="fa-IR"/>
        </w:rPr>
        <w:t>و أوجب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الخوض فی المطالب العقلیّة النظریّة لإدراک ما یتعلّق باصول الدین؛فإنّه تعریض للهلاک الدائم و العذاب الخالد،و قد اشیر إلی ذلک عند النهی عن الخوض فی مسألة القضاء و القدر،و عند نهی بعض أصحابهم صلوات اللّه علیهم عن المجادلة فی المسائل الکلامیّة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لکنّ </w:t>
      </w:r>
      <w:r>
        <w:rPr>
          <w:rStyle w:val="FootnoteAnchor"/>
          <w:rtl w:val="true"/>
        </w:rPr>
        <w:footnoteReference w:id="171"/>
      </w:r>
      <w:r>
        <w:rPr>
          <w:rFonts w:ascii="IRNazanin" w:hAnsi="IRNazanin" w:eastAsia="IRNazanin"/>
          <w:color w:val="111111"/>
          <w:sz w:val="28"/>
          <w:sz w:val="28"/>
          <w:szCs w:val="28"/>
          <w:rtl w:val="true"/>
          <w:lang w:bidi="fa-IR"/>
        </w:rPr>
        <w:t>الظاهر من بعض تلک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الوجه فی النهی عن الأخیر عدم الاطمئنان بمهارة الشخص المنهیّ فی المجادلة،فیصیر مفحما عند المخالفین،و یوجب ذلک وهن المطالب الحقّة فی نظر أهل الخلاف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182" w:name="pg12977_114106"/>
    </w:p>
    <w:p>
      <w:pPr>
        <w:pStyle w:val="Heading5"/>
        <w:numPr>
          <w:ilvl w:val="4"/>
          <w:numId w:val="1"/>
        </w:numPr>
        <w:rPr/>
      </w:pPr>
      <w:bookmarkStart w:id="183" w:name="__RefHeading___Toc5446577_3224264995"/>
      <w:bookmarkStart w:id="184" w:name="_Toc70"/>
      <w:bookmarkEnd w:id="182"/>
      <w:bookmarkEnd w:id="183"/>
      <w:r>
        <w:rPr>
          <w:rtl w:val="true"/>
        </w:rPr>
        <w:t xml:space="preserve">الأمر الثالث </w:t>
      </w:r>
      <w:r>
        <w:rPr>
          <w:rtl w:val="true"/>
        </w:rPr>
        <w:t>:</w:t>
      </w:r>
      <w:r>
        <w:rPr>
          <w:rtl w:val="true"/>
        </w:rPr>
        <w:t>المشهور عدم اعتبار قطع القطّاع</w:t>
      </w:r>
      <w:bookmarkEnd w:id="184"/>
    </w:p>
    <w:p>
      <w:pPr>
        <w:pStyle w:val="Heading6"/>
        <w:numPr>
          <w:ilvl w:val="5"/>
          <w:numId w:val="1"/>
        </w:numPr>
        <w:rPr/>
      </w:pPr>
      <w:bookmarkStart w:id="185" w:name="__RefHeading___Toc5446579_3224264995"/>
      <w:bookmarkStart w:id="186" w:name="_Toc71"/>
      <w:bookmarkEnd w:id="185"/>
      <w:r>
        <w:rPr>
          <w:rtl w:val="true"/>
        </w:rPr>
        <w:t>اشارة</w:t>
      </w:r>
      <w:bookmarkEnd w:id="186"/>
    </w:p>
    <w:p>
      <w:pPr>
        <w:pStyle w:val="BookText"/>
        <w:rPr/>
      </w:pPr>
      <w:r>
        <w:rPr>
          <w:rFonts w:ascii="IRNazanin" w:hAnsi="IRNazanin" w:eastAsia="IRNazanin"/>
          <w:color w:val="111111"/>
          <w:sz w:val="28"/>
          <w:sz w:val="28"/>
          <w:szCs w:val="28"/>
          <w:rtl w:val="true"/>
          <w:lang w:bidi="fa-IR"/>
        </w:rPr>
        <w:t>قد اشتهر فی ألسنة المعاصرین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قطع القطّاع لا اعتبار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الأصل فی ذلک ما صرّح به کاشف الغطاء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الحکم بأنّ کثیر الشکّ لا اعتبار بشکّه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Heading6"/>
        <w:numPr>
          <w:ilvl w:val="5"/>
          <w:numId w:val="1"/>
        </w:numPr>
        <w:rPr/>
      </w:pPr>
      <w:bookmarkStart w:id="187" w:name="__RefHeading___Toc5446581_3224264995"/>
      <w:bookmarkStart w:id="188" w:name="_Toc72"/>
      <w:bookmarkEnd w:id="187"/>
      <w:r>
        <w:rPr>
          <w:rtl w:val="true"/>
        </w:rPr>
        <w:t>کلام کاشف الغطاء فی المسألة</w:t>
      </w:r>
      <w:r>
        <w:rPr>
          <w:rtl w:val="true"/>
        </w:rPr>
        <w:t>:</w:t>
      </w:r>
      <w:bookmarkEnd w:id="188"/>
    </w:p>
    <w:p>
      <w:pPr>
        <w:pStyle w:val="BookText"/>
        <w:rPr/>
      </w:pPr>
      <w:r>
        <w:rPr>
          <w:rFonts w:ascii="IRNazanin" w:hAnsi="IRNazanin" w:eastAsia="IRNazanin"/>
          <w:color w:val="111111"/>
          <w:sz w:val="28"/>
          <w:sz w:val="28"/>
          <w:szCs w:val="28"/>
          <w:rtl w:val="true"/>
          <w:lang w:bidi="fa-IR"/>
        </w:rPr>
        <w:t xml:space="preserve">و کذا من خرج عن العادة فی قطعه أو </w:t>
      </w:r>
      <w:r>
        <w:rPr>
          <w:rStyle w:val="FootnoteAnchor"/>
          <w:rtl w:val="true"/>
        </w:rPr>
        <w:footnoteReference w:id="173"/>
      </w:r>
      <w:r>
        <w:rPr>
          <w:rFonts w:ascii="IRNazanin" w:hAnsi="IRNazanin" w:eastAsia="IRNazanin"/>
          <w:color w:val="111111"/>
          <w:sz w:val="28"/>
          <w:sz w:val="28"/>
          <w:szCs w:val="28"/>
          <w:rtl w:val="true"/>
          <w:lang w:bidi="fa-IR"/>
        </w:rPr>
        <w:t xml:space="preserve">فی ظنّه،فیلغو اعتبارهما فی حقّه </w:t>
      </w:r>
      <w:r>
        <w:rPr>
          <w:rStyle w:val="FootnoteAnchor"/>
          <w:rtl w:val="true"/>
        </w:rPr>
        <w:footnoteReference w:id="17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189" w:name="__RefHeading___Toc5446583_3224264995"/>
      <w:bookmarkStart w:id="190" w:name="_Toc73"/>
      <w:bookmarkEnd w:id="189"/>
      <w:r>
        <w:rPr>
          <w:rtl w:val="true"/>
        </w:rPr>
        <w:t>مناقشة ما أفاده کاشف الغطاء</w:t>
      </w:r>
      <w:bookmarkEnd w:id="19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عدم اعتبار ظنّ من خرج عن العادة فی ظنّه؛ فلأنّ أدلّة اعتبار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یعتبر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مختصّة بالظنّ الحاصل من الأسباب التی یتعارف حصول الظنّ منها لمتعارف الناس لو وجدت تلک الأسباب عندهم علی النحو الذی وجد عند هذا الشخص،فالحاصل من غیرها یساوی الشکّ فی الحکم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قطع من خرج قطعه عن 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ارید بعدم اعتباره عدم اعتباره فی الأحکام التی یکون القطع موضوعا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کقبول شهادته </w:t>
      </w:r>
    </w:p>
    <w:p>
      <w:pPr>
        <w:pStyle w:val="BookText"/>
        <w:rPr/>
      </w:pPr>
      <w:r>
        <w:rPr>
          <w:rFonts w:ascii="IRNazanin" w:hAnsi="IRNazanin" w:eastAsia="IRNazanin"/>
          <w:color w:val="111111"/>
          <w:sz w:val="28"/>
          <w:sz w:val="28"/>
          <w:szCs w:val="28"/>
          <w:rtl w:val="true"/>
          <w:lang w:bidi="fa-IR"/>
        </w:rPr>
        <w:t>و فتواه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حقّ؛لأنّ أدلّة اعتبار العلم فی هذه المقامات لا تشمل هذا قطعا،لکن ظاهر کلام من ذکره فی سیاق کثیر الشکّ إرادة غیر هذا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ارید </w:t>
      </w:r>
      <w:r>
        <w:rPr>
          <w:rStyle w:val="FootnoteAnchor"/>
          <w:rtl w:val="true"/>
        </w:rPr>
        <w:footnoteReference w:id="175"/>
      </w:r>
      <w:r>
        <w:rPr>
          <w:rFonts w:ascii="IRNazanin" w:hAnsi="IRNazanin" w:eastAsia="IRNazanin"/>
          <w:color w:val="111111"/>
          <w:sz w:val="28"/>
          <w:sz w:val="28"/>
          <w:szCs w:val="28"/>
          <w:rtl w:val="true"/>
          <w:lang w:bidi="fa-IR"/>
        </w:rPr>
        <w:t>عدم اعتباره فی مقامات یعتبر القطع فیها من حیث الکاشفیّة و الطریقیّة إلی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ارید بذلک أنّه حین قطعه کالشاکّ،فلا شکّ فی أنّ أحکام الشاکّ و غیر العالم لا تجری فی حقّه؛و کیف یحکم علی القاطع بالتکلیف بالرجوع إلی ما دلّ علی عدم الوجوب عند عدم العلم،و القاطع بأنّه صلّی ثلاثا بالبناء علی أنّه صلّی أربعا،و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ارید بذلک وجوب ردعه عن قطعه و تنزیله </w:t>
      </w:r>
      <w:r>
        <w:rPr>
          <w:rStyle w:val="FootnoteAnchor"/>
          <w:rtl w:val="true"/>
        </w:rPr>
        <w:footnoteReference w:id="176"/>
      </w:r>
      <w:r>
        <w:rPr>
          <w:rFonts w:ascii="IRNazanin" w:hAnsi="IRNazanin" w:eastAsia="IRNazanin"/>
          <w:color w:val="111111"/>
          <w:sz w:val="28"/>
          <w:sz w:val="28"/>
          <w:szCs w:val="28"/>
          <w:rtl w:val="true"/>
          <w:lang w:bidi="fa-IR"/>
        </w:rPr>
        <w:t>إلی الشکّ،أو تنبیهه علی مرضه لیرتدع بنفسه،و لو بأن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لا یرید منک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 عدم تفطّنه لقطعه بأنّ اللّه یرید الواقع منه و من کلّ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حقّ،لکنّه یدخل فی باب الإرشاد،و لا یختصّ بالقطّاع،بل بکلّ من قطع بما یقطع بخطئه فیه من الأحکام الشرعیّة و الموضوعات الخارجیّة المتعلّقة بحفظ النفوس و الأعراض،بل الأموال فی الجملة،و أمّا فی ما عدا ذلک ممّا یتعلّق بحقوق اللّه سبحانه،فلا دلیل علی وجوب الردع فی القطّاع،کما لا دلیل علیه فی غیره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بنی علی وجوب ذلک فی حقوق اللّه سبحانه من باب الأمر بالمعروف و النهی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 بعض النصوص و الفتاوی</w:t>
      </w:r>
      <w:r>
        <w:rPr>
          <w:rFonts w:eastAsia="IRNazanin" w:cs="IRNazanin"/>
          <w:color w:val="111111"/>
          <w:sz w:val="28"/>
          <w:szCs w:val="28"/>
          <w:rtl w:val="true"/>
          <w:lang w:bidi="fa-IR"/>
        </w:rPr>
        <w:t xml:space="preserve">- </w:t>
      </w:r>
      <w:bookmarkStart w:id="191" w:name="pg12977_114108"/>
    </w:p>
    <w:p>
      <w:pPr>
        <w:pStyle w:val="BookText"/>
        <w:rPr/>
      </w:pPr>
      <w:bookmarkEnd w:id="191"/>
      <w:r>
        <w:rPr>
          <w:rFonts w:ascii="IRNazanin" w:hAnsi="IRNazanin" w:eastAsia="IRNazanin"/>
          <w:color w:val="111111"/>
          <w:sz w:val="28"/>
          <w:sz w:val="28"/>
          <w:szCs w:val="28"/>
          <w:rtl w:val="true"/>
          <w:lang w:bidi="fa-IR"/>
        </w:rPr>
        <w:t>لم یفرّق أیضا بین القطّاع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بذلک أنّه بعد انکشاف الواقع لا یجزی ما أتی به علی طبق قطعه،فهو أیضا حقّ فی الجملة؛لأنّ المکلّف إن کان تکلیفه حین العمل مجرّد الواقع من دون مدخلیّة للاعتقاد،فالمأتیّ به المخالف للواقع لا یجزی عن الواقع،سواء القطّاع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للاعتقاد مدخل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أمر الشارع بالصلاة إلی ما یعتقد کونها 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قضیّة هذا کفایة القطع المتعارف،لا قطع القطّاع،فیجب علیه الإعادة و إن لم تجب علی غیره</w:t>
      </w:r>
      <w:r>
        <w:rPr>
          <w:rFonts w:eastAsia="IRNazanin" w:cs="IRNazanin"/>
          <w:color w:val="111111"/>
          <w:sz w:val="28"/>
          <w:szCs w:val="28"/>
          <w:rtl w:val="true"/>
          <w:lang w:bidi="fa-IR"/>
        </w:rPr>
        <w:t>.</w:t>
      </w:r>
    </w:p>
    <w:p>
      <w:pPr>
        <w:pStyle w:val="Heading6"/>
        <w:numPr>
          <w:ilvl w:val="5"/>
          <w:numId w:val="1"/>
        </w:numPr>
        <w:rPr/>
      </w:pPr>
      <w:bookmarkStart w:id="192" w:name="__RefHeading___Toc5446585_3224264995"/>
      <w:bookmarkStart w:id="193" w:name="_Toc74"/>
      <w:bookmarkEnd w:id="192"/>
      <w:r>
        <w:rPr>
          <w:rtl w:val="true"/>
        </w:rPr>
        <w:t>توجیه الحکم بعدم اعتبار قطع القطّاع</w:t>
      </w:r>
      <w:r>
        <w:rPr>
          <w:rtl w:val="true"/>
        </w:rPr>
        <w:t>:</w:t>
      </w:r>
      <w:bookmarkEnd w:id="193"/>
    </w:p>
    <w:p>
      <w:pPr>
        <w:pStyle w:val="BookText"/>
        <w:rPr/>
      </w:pPr>
      <w:r>
        <w:rPr>
          <w:rFonts w:ascii="Amiri" w:hAnsi="Amiri" w:eastAsia="Amiri" w:cs="Amiri"/>
          <w:color w:val="111111"/>
          <w:sz w:val="28"/>
          <w:sz w:val="28"/>
          <w:szCs w:val="28"/>
          <w:rtl w:val="true"/>
          <w:lang w:bidi="ar-SA"/>
        </w:rPr>
        <w:t xml:space="preserve">ثمّ إنّ بعض المعاصرین </w:t>
      </w:r>
      <w:r>
        <w:rPr>
          <w:rStyle w:val="FootnoteAnchor"/>
          <w:rtl w:val="true"/>
        </w:rPr>
        <w:footnoteReference w:id="177"/>
      </w:r>
      <w:r>
        <w:rPr>
          <w:rFonts w:ascii="IRNazanin" w:hAnsi="IRNazanin" w:eastAsia="IRNazanin"/>
          <w:color w:val="111111"/>
          <w:sz w:val="28"/>
          <w:sz w:val="28"/>
          <w:szCs w:val="28"/>
          <w:rtl w:val="true"/>
          <w:lang w:bidi="fa-IR"/>
        </w:rPr>
        <w:t xml:space="preserve">وجّه الحکم بعدم اعتبار قطع القطّاع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تقییده بما إذا علم القطّاع أو احتمل أن یکون حجیّة قطعه مشروطة بعدم کونه قطّاعا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یشترط فی حجّیة القطع عدم منع الشارع عنه و إن کان العقل أیضا قد یقطع بعدم المنع،إلاّ أنّه إذا احتمل المنع یحکم بحجّیة القطع ظاهرا ما لم یثبت المنع</w:t>
      </w:r>
      <w:r>
        <w:rPr>
          <w:rFonts w:eastAsia="IRNazanin" w:cs="IRNazanin"/>
          <w:color w:val="111111"/>
          <w:sz w:val="28"/>
          <w:szCs w:val="28"/>
          <w:rtl w:val="true"/>
          <w:lang w:bidi="fa-IR"/>
        </w:rPr>
        <w:t>.</w:t>
      </w:r>
    </w:p>
    <w:p>
      <w:pPr>
        <w:pStyle w:val="Heading6"/>
        <w:numPr>
          <w:ilvl w:val="5"/>
          <w:numId w:val="1"/>
        </w:numPr>
        <w:rPr/>
      </w:pPr>
      <w:bookmarkStart w:id="194" w:name="__RefHeading___Toc5446587_3224264995"/>
      <w:bookmarkStart w:id="195" w:name="_Toc75"/>
      <w:bookmarkEnd w:id="194"/>
      <w:r>
        <w:rPr>
          <w:rtl w:val="true"/>
        </w:rPr>
        <w:t>مناقشة التوجیه المذکور</w:t>
      </w:r>
      <w:r>
        <w:rPr>
          <w:rtl w:val="true"/>
        </w:rPr>
        <w:t>:</w:t>
      </w:r>
      <w:bookmarkEnd w:id="195"/>
    </w:p>
    <w:p>
      <w:pPr>
        <w:pStyle w:val="BookText"/>
        <w:rPr/>
      </w:pPr>
      <w:r>
        <w:rPr>
          <w:rFonts w:ascii="IRNazanin" w:hAnsi="IRNazanin" w:eastAsia="IRNazanin"/>
          <w:color w:val="111111"/>
          <w:sz w:val="28"/>
          <w:sz w:val="28"/>
          <w:szCs w:val="28"/>
          <w:rtl w:val="true"/>
          <w:lang w:bidi="fa-IR"/>
        </w:rPr>
        <w:t>و أنت خبیر بأنّه یکفی فی فساد ذلک عدم تصوّر القطع بشیء و عدم ترتیب آثار ذلک الشیء علیه مع فرض کون الآثار آثارا له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أنّ المعاصر مثّل لذلک بما إذا قال المولی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تعتمد فی معرفة أوامری علی ما تقطع به من قبل عقلک،أو یؤدّی إلیه حدسک،بل اقتصر علی ما یصل إلیک منّی بطریق المشافهة أو المراسلة </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فساده یظهر ممّا سبق من أوّل المسألة إلی هنا</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 w:name="pg12977_114110"/>
      <w:bookmarkStart w:id="197" w:name="pg12977_114110"/>
      <w:bookmarkEnd w:id="197"/>
    </w:p>
    <w:p>
      <w:pPr>
        <w:pStyle w:val="Heading5"/>
        <w:numPr>
          <w:ilvl w:val="4"/>
          <w:numId w:val="1"/>
        </w:numPr>
        <w:rPr/>
      </w:pPr>
      <w:bookmarkStart w:id="198" w:name="pg12977_114110"/>
      <w:bookmarkStart w:id="199" w:name="__RefHeading___Toc5446589_3224264995"/>
      <w:bookmarkStart w:id="200" w:name="_Toc76"/>
      <w:bookmarkEnd w:id="198"/>
      <w:bookmarkEnd w:id="199"/>
      <w:r>
        <w:rPr>
          <w:rtl w:val="true"/>
        </w:rPr>
        <w:t xml:space="preserve">الأمر الرابع </w:t>
      </w:r>
      <w:r>
        <w:rPr>
          <w:rtl w:val="true"/>
        </w:rPr>
        <w:t>:</w:t>
      </w:r>
      <w:r>
        <w:rPr>
          <w:rtl w:val="true"/>
        </w:rPr>
        <w:t>الکلام فی اعتبار العلم الإجمالی،و فیه مقامان</w:t>
      </w:r>
      <w:r>
        <w:rPr>
          <w:rtl w:val="true"/>
        </w:rPr>
        <w:t>:</w:t>
      </w:r>
      <w:bookmarkEnd w:id="200"/>
    </w:p>
    <w:p>
      <w:pPr>
        <w:pStyle w:val="Heading6"/>
        <w:numPr>
          <w:ilvl w:val="5"/>
          <w:numId w:val="1"/>
        </w:numPr>
        <w:rPr/>
      </w:pPr>
      <w:bookmarkStart w:id="201" w:name="__RefHeading___Toc5446591_3224264995"/>
      <w:bookmarkStart w:id="202" w:name="_Toc77"/>
      <w:bookmarkEnd w:id="201"/>
      <w:r>
        <w:rPr>
          <w:rtl w:val="true"/>
        </w:rPr>
        <w:t>اشارة</w:t>
      </w:r>
      <w:bookmarkEnd w:id="202"/>
    </w:p>
    <w:p>
      <w:pPr>
        <w:pStyle w:val="BookText"/>
        <w:rPr/>
      </w:pPr>
      <w:r>
        <w:rPr>
          <w:rFonts w:ascii="IRNazanin" w:hAnsi="IRNazanin" w:eastAsia="IRNazanin"/>
          <w:color w:val="111111"/>
          <w:sz w:val="28"/>
          <w:sz w:val="28"/>
          <w:szCs w:val="28"/>
          <w:rtl w:val="true"/>
          <w:lang w:bidi="fa-IR"/>
        </w:rPr>
        <w:t>أنّ المعلوم إجمالا هل هو کالمعلوم بالتفصیل فی الاعتبار،أم لا؟</w:t>
      </w:r>
    </w:p>
    <w:p>
      <w:pPr>
        <w:pStyle w:val="BookText"/>
        <w:rPr/>
      </w:pPr>
      <w:r>
        <w:rPr>
          <w:rFonts w:ascii="IRNazanin" w:hAnsi="IRNazanin" w:eastAsia="IRNazanin"/>
          <w:color w:val="111111"/>
          <w:sz w:val="28"/>
          <w:sz w:val="28"/>
          <w:szCs w:val="28"/>
          <w:rtl w:val="true"/>
          <w:lang w:bidi="fa-IR"/>
        </w:rPr>
        <w:t>و الکلام فیه یقع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فی اعتباره من حیث إثبات التکلیف به،و أنّ الحکم المعلوم بالإجمال هل هو کالمعلوم بالتفصیل فی التنجّز علی المکلّف،أم هو کالمجهول رأسا؟</w:t>
      </w:r>
    </w:p>
    <w:p>
      <w:pPr>
        <w:pStyle w:val="BookText"/>
        <w:rPr/>
      </w:pPr>
      <w:r>
        <w:rPr>
          <w:rFonts w:ascii="IRNazanin" w:hAnsi="IRNazanin" w:eastAsia="IRNazanin"/>
          <w:color w:val="111111"/>
          <w:sz w:val="28"/>
          <w:sz w:val="28"/>
          <w:szCs w:val="28"/>
          <w:rtl w:val="true"/>
          <w:lang w:bidi="fa-IR"/>
        </w:rPr>
        <w:t>و اخری فی أنّه بعد ما ثبت التکلیف بالعلم التفصیلی أو الإجمالی المعتبر،فهل یکتفی فی امتثاله بالموافقة الإجمالیة و لو مع تیسّر العلم التفصیلی،أم لا یکتفی به إلاّ مع تعذّر العلم التفصیلی،فلا یجوز إکرام شخصین أحدهما زید مع التمکّن من معرفة زید بالتفصیل،و لا فعل الصلاتین فی ثوبین مشتبهین مع إمکان الصلاة فی ثوب طاهر؟</w:t>
      </w:r>
    </w:p>
    <w:p>
      <w:pPr>
        <w:pStyle w:val="BookText"/>
        <w:rPr/>
      </w:pPr>
      <w:r>
        <w:rPr>
          <w:rFonts w:ascii="IRNazanin" w:hAnsi="IRNazanin" w:eastAsia="IRNazanin"/>
          <w:color w:val="111111"/>
          <w:sz w:val="28"/>
          <w:sz w:val="28"/>
          <w:szCs w:val="28"/>
          <w:rtl w:val="true"/>
          <w:lang w:bidi="fa-IR"/>
        </w:rPr>
        <w:t xml:space="preserve">و الکلام </w:t>
      </w:r>
      <w:r>
        <w:rPr>
          <w:rStyle w:val="FootnoteAnchor"/>
          <w:rtl w:val="true"/>
        </w:rPr>
        <w:footnoteReference w:id="179"/>
      </w:r>
      <w:r>
        <w:rPr>
          <w:rFonts w:ascii="IRNazanin" w:hAnsi="IRNazanin" w:eastAsia="IRNazanin"/>
          <w:color w:val="111111"/>
          <w:sz w:val="28"/>
          <w:sz w:val="28"/>
          <w:szCs w:val="28"/>
          <w:rtl w:val="true"/>
          <w:lang w:bidi="fa-IR"/>
        </w:rPr>
        <w:t>من الجهة الاولی یقع من جهتین؛لأنّ اعتبار العلم الإجمالی له مرتبتان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المخالفة القطعیّة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الموافقة القطعیّة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المتکفّل للتکلّم فی المرتبة الثانیة هی مسألة البراءة و الاشتغال عند الشکّ فی المکلّف به،فالمقصود فی المقام الأوّل التکلّم فی المرتبة الاولی</w:t>
      </w:r>
      <w:r>
        <w:rPr>
          <w:rFonts w:eastAsia="IRNazanin" w:cs="IRNazanin"/>
          <w:color w:val="111111"/>
          <w:sz w:val="28"/>
          <w:szCs w:val="28"/>
          <w:rtl w:val="true"/>
          <w:lang w:bidi="fa-IR"/>
        </w:rPr>
        <w:t xml:space="preserve">. </w:t>
      </w:r>
      <w:bookmarkStart w:id="203" w:name="pg12977_114112"/>
    </w:p>
    <w:p>
      <w:pPr>
        <w:pStyle w:val="Heading6"/>
        <w:numPr>
          <w:ilvl w:val="5"/>
          <w:numId w:val="1"/>
        </w:numPr>
        <w:rPr/>
      </w:pPr>
      <w:bookmarkStart w:id="204" w:name="__RefHeading___Toc5446593_3224264995"/>
      <w:bookmarkStart w:id="205" w:name="_Toc78"/>
      <w:bookmarkEnd w:id="203"/>
      <w:bookmarkEnd w:id="204"/>
      <w:r>
        <w:rPr>
          <w:rtl w:val="true"/>
        </w:rPr>
        <w:t>المقام الثانی</w:t>
      </w:r>
      <w:r>
        <w:rPr>
          <w:rtl w:val="true"/>
        </w:rPr>
        <w:t>:</w:t>
      </w:r>
      <w:bookmarkEnd w:id="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یکفی العلم الإجمالی فی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لنقدّم الکلام فی المقام الثانی </w:t>
      </w:r>
      <w:r>
        <w:rPr>
          <w:rStyle w:val="FootnoteAnchor"/>
          <w:rtl w:val="true"/>
        </w:rPr>
        <w:footnoteReference w:id="181"/>
      </w:r>
      <w:r>
        <w:rPr>
          <w:rFonts w:ascii="IRNazanin" w:hAnsi="IRNazanin" w:eastAsia="IRNazanin"/>
          <w:color w:val="111111"/>
          <w:sz w:val="28"/>
          <w:sz w:val="28"/>
          <w:szCs w:val="28"/>
          <w:rtl w:val="true"/>
          <w:lang w:bidi="fa-IR"/>
        </w:rPr>
        <w:t>،و هو کفایة العلم الإجمالی فی الامتثال،فنقول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الاقتصار فی الامتثال بالعلم </w:t>
      </w:r>
      <w:r>
        <w:rPr>
          <w:rStyle w:val="FootnoteAnchor"/>
          <w:rtl w:val="true"/>
        </w:rPr>
        <w:footnoteReference w:id="182"/>
      </w:r>
      <w:r>
        <w:rPr>
          <w:rFonts w:ascii="IRNazanin" w:hAnsi="IRNazanin" w:eastAsia="IRNazanin"/>
          <w:color w:val="111111"/>
          <w:sz w:val="28"/>
          <w:sz w:val="28"/>
          <w:szCs w:val="28"/>
          <w:rtl w:val="true"/>
          <w:lang w:bidi="fa-IR"/>
        </w:rPr>
        <w:t>الإجمالی بإتیان المکلّف به؛</w:t>
      </w:r>
    </w:p>
    <w:p>
      <w:pPr>
        <w:pStyle w:val="Heading6"/>
        <w:numPr>
          <w:ilvl w:val="5"/>
          <w:numId w:val="1"/>
        </w:numPr>
        <w:rPr/>
      </w:pPr>
      <w:bookmarkStart w:id="206" w:name="__RefHeading___Toc5446595_3224264995"/>
      <w:bookmarkStart w:id="207" w:name="_Toc79"/>
      <w:bookmarkEnd w:id="206"/>
      <w:r>
        <w:rPr>
          <w:rtl w:val="true"/>
        </w:rPr>
        <w:t>الامتثال الإجمالی فی العبادات</w:t>
      </w:r>
      <w:r>
        <w:rPr>
          <w:rtl w:val="true"/>
        </w:rPr>
        <w:t>:</w:t>
      </w:r>
      <w:bookmarkEnd w:id="207"/>
    </w:p>
    <w:p>
      <w:pPr>
        <w:pStyle w:val="BookText"/>
        <w:rPr/>
      </w:pPr>
      <w:r>
        <w:rPr>
          <w:rFonts w:ascii="IRNazanin" w:hAnsi="IRNazanin" w:eastAsia="IRNazanin"/>
          <w:color w:val="111111"/>
          <w:sz w:val="28"/>
          <w:sz w:val="28"/>
          <w:szCs w:val="28"/>
          <w:rtl w:val="true"/>
          <w:lang w:bidi="fa-IR"/>
        </w:rPr>
        <w:t>أمّا فیما لا یحتاج سقوط التکلیف فیه إلی قصد الإطاعة ففی غایة الوضوح،و أمّا فیما یحتاج إلی قصد الإطاعة،فالظاهر أیضا تحقّق الإطاعة إذا قصد الإتیان بشیئین یقطع بکون أحدهما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العلم بکون المأتیّ به مقرّبا معتبر حین الإتیان به و لا یکفی العلم بعده بإتیانه،ممنوعة؛إذ لا شاهد لها بعد تحقّق الإطاعة بغیر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فیجوز لمن تمکّن من تحصیل العلم التفصیلی بأداء العبادات العمل بالاحتیاط و ترک تحصیل العلم التفصیلی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هو المحکیّ عن بعض </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ثبوت الاتّفاق علی </w:t>
      </w:r>
      <w:bookmarkStart w:id="208" w:name="pg12977_114113"/>
    </w:p>
    <w:p>
      <w:pPr>
        <w:pStyle w:val="Heading6"/>
        <w:numPr>
          <w:ilvl w:val="5"/>
          <w:numId w:val="1"/>
        </w:numPr>
        <w:rPr/>
      </w:pPr>
      <w:bookmarkStart w:id="209" w:name="__RefHeading___Toc5446597_3224264995"/>
      <w:bookmarkStart w:id="210" w:name="_Toc80"/>
      <w:bookmarkEnd w:id="208"/>
      <w:bookmarkEnd w:id="209"/>
      <w:r>
        <w:rPr>
          <w:rtl w:val="true"/>
        </w:rPr>
        <w:t>لو توقّف الاحتیاط علی تکرار العبادة</w:t>
      </w:r>
      <w:bookmarkEnd w:id="210"/>
    </w:p>
    <w:p>
      <w:pPr>
        <w:pStyle w:val="BookText"/>
        <w:rPr/>
      </w:pPr>
      <w:r>
        <w:rPr>
          <w:rFonts w:ascii="IRNazanin" w:hAnsi="IRNazanin" w:eastAsia="IRNazanin"/>
          <w:color w:val="111111"/>
          <w:sz w:val="28"/>
          <w:sz w:val="28"/>
          <w:szCs w:val="28"/>
          <w:rtl w:val="true"/>
          <w:lang w:bidi="fa-IR"/>
        </w:rPr>
        <w:t xml:space="preserve">عدم جواز الاکتفاء بالاحتیاط إذا توقّف علی تکرار العبادة،بل ظاهر المحکیّ عن الحلّی </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مسألة الصلاة فی الثوبین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جواز التکرار للاحتیاط حتّی مع عدم التمکّن من العلم التفصیلی،و إن کان ما ذکره من التعمیم </w:t>
      </w:r>
      <w:r>
        <w:rPr>
          <w:rStyle w:val="FootnoteAnchor"/>
          <w:rtl w:val="true"/>
        </w:rPr>
        <w:footnoteReference w:id="185"/>
      </w:r>
      <w:r>
        <w:rPr>
          <w:rFonts w:ascii="IRNazanin" w:hAnsi="IRNazanin" w:eastAsia="IRNazanin"/>
          <w:color w:val="111111"/>
          <w:sz w:val="28"/>
          <w:sz w:val="28"/>
          <w:szCs w:val="28"/>
          <w:rtl w:val="true"/>
          <w:lang w:bidi="fa-IR"/>
        </w:rPr>
        <w:t xml:space="preserve">ممنوعا،و حینئذ </w:t>
      </w:r>
      <w:r>
        <w:rPr>
          <w:rStyle w:val="FootnoteAnchor"/>
          <w:rtl w:val="true"/>
        </w:rPr>
        <w:footnoteReference w:id="186"/>
      </w:r>
      <w:r>
        <w:rPr>
          <w:rFonts w:ascii="IRNazanin" w:hAnsi="IRNazanin" w:eastAsia="IRNazanin"/>
          <w:color w:val="111111"/>
          <w:sz w:val="28"/>
          <w:sz w:val="28"/>
          <w:szCs w:val="28"/>
          <w:rtl w:val="true"/>
          <w:lang w:bidi="fa-IR"/>
        </w:rPr>
        <w:t>فلا یجوز لمن تمکّن من تحصیل العلم بالماء المطلق،أو بجهة القبلة،أو فی ثوب طاهر،أن یتوضّأ وضوءین یقطع بوقوع أحدهما بالماء المطلق،أو یصلّی إلی جهتین یقطع بکون أحدهما القبلة،أو فی ثوبین یقطع بطهارة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الظاهر من صاحب المدارک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ترجیح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الأخیرة </w:t>
      </w:r>
      <w:r>
        <w:rPr>
          <w:rStyle w:val="FootnoteAnchor"/>
          <w:rtl w:val="true"/>
        </w:rPr>
        <w:footnoteReference w:id="187"/>
      </w:r>
      <w:r>
        <w:rPr>
          <w:rFonts w:ascii="IRNazanin" w:hAnsi="IRNazanin" w:eastAsia="IRNazanin"/>
          <w:color w:val="111111"/>
          <w:sz w:val="28"/>
          <w:sz w:val="28"/>
          <w:szCs w:val="28"/>
          <w:rtl w:val="true"/>
          <w:lang w:bidi="fa-IR"/>
        </w:rPr>
        <w:t>،و لعلّه متأمّل فی الکلّ؛إذ لا خصوصیّة للمسألة الأخیرة</w:t>
      </w:r>
      <w:r>
        <w:rPr>
          <w:rFonts w:eastAsia="IRNazanin" w:cs="IRNazanin"/>
          <w:color w:val="111111"/>
          <w:sz w:val="28"/>
          <w:szCs w:val="28"/>
          <w:rtl w:val="true"/>
          <w:lang w:bidi="fa-IR"/>
        </w:rPr>
        <w:t>.</w:t>
      </w:r>
    </w:p>
    <w:p>
      <w:pPr>
        <w:pStyle w:val="Heading6"/>
        <w:numPr>
          <w:ilvl w:val="5"/>
          <w:numId w:val="1"/>
        </w:numPr>
        <w:rPr/>
      </w:pPr>
      <w:bookmarkStart w:id="211" w:name="__RefHeading___Toc5446599_3224264995"/>
      <w:bookmarkStart w:id="212" w:name="_Toc81"/>
      <w:bookmarkEnd w:id="211"/>
      <w:r>
        <w:rPr>
          <w:rtl w:val="true"/>
        </w:rPr>
        <w:t>لو لم یتوقّف الاحتیاط علی التکرار</w:t>
      </w:r>
      <w:r>
        <w:rPr>
          <w:rtl w:val="true"/>
        </w:rPr>
        <w:t>:</w:t>
      </w:r>
      <w:bookmarkEnd w:id="21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لم یتوقّف الاحتیاط علی التکرار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أتی بالصلاة مع جمیع ما یحتمل أن یکون جزءا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عدم ثبوت اتّفاق علی المنع و وجوب تحصیل الیقین التفصیلی،لکن لا یبعد ذهاب المشهور إلی ذلک،بل ظاهر کلام السیّد الرضیّ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مسألة الجاهل بوجوب 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تقریر أخیه السیّد المرتضی </w:t>
      </w:r>
      <w:r>
        <w:rPr>
          <w:rStyle w:val="FootnoteAnchor"/>
          <w:rtl w:val="true"/>
        </w:rPr>
        <w:footnoteReference w:id="188"/>
      </w:r>
      <w:r>
        <w:rPr>
          <w:rFonts w:ascii="IRNazanin" w:hAnsi="IRNazanin" w:eastAsia="IRNazanin"/>
          <w:color w:val="111111"/>
          <w:sz w:val="28"/>
          <w:sz w:val="28"/>
          <w:szCs w:val="28"/>
          <w:rtl w:val="true"/>
          <w:lang w:bidi="fa-IR"/>
        </w:rPr>
        <w:t>رحمه اللّه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ثبوت الإجماع </w:t>
      </w:r>
      <w:bookmarkStart w:id="213" w:name="pg12977_114114"/>
    </w:p>
    <w:p>
      <w:pPr>
        <w:pStyle w:val="BookText"/>
        <w:rPr/>
      </w:pPr>
      <w:bookmarkEnd w:id="213"/>
      <w:r>
        <w:rPr>
          <w:rFonts w:ascii="IRNazanin" w:hAnsi="IRNazanin" w:eastAsia="IRNazanin"/>
          <w:color w:val="111111"/>
          <w:sz w:val="28"/>
          <w:sz w:val="28"/>
          <w:szCs w:val="28"/>
          <w:rtl w:val="true"/>
          <w:lang w:bidi="fa-IR"/>
        </w:rPr>
        <w:t>علی بطلان صلاة من لا یعلم 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تقدیم العلم التفصیلی علی الإجمالی</w:t>
      </w:r>
      <w:r>
        <w:rPr>
          <w:rFonts w:eastAsia="IRNazanin" w:cs="IRNazanin"/>
          <w:color w:val="111111"/>
          <w:sz w:val="28"/>
          <w:szCs w:val="28"/>
          <w:rtl w:val="true"/>
          <w:lang w:bidi="fa-IR"/>
        </w:rPr>
        <w:t>.</w:t>
      </w:r>
    </w:p>
    <w:p>
      <w:pPr>
        <w:pStyle w:val="Heading6"/>
        <w:numPr>
          <w:ilvl w:val="5"/>
          <w:numId w:val="1"/>
        </w:numPr>
        <w:rPr/>
      </w:pPr>
      <w:bookmarkStart w:id="214" w:name="__RefHeading___Toc5446601_3224264995"/>
      <w:bookmarkStart w:id="215" w:name="_Toc82"/>
      <w:bookmarkEnd w:id="214"/>
      <w:r>
        <w:rPr>
          <w:rtl w:val="true"/>
        </w:rPr>
        <w:t>هل یقدّم الظنّ التفصیلی المعتبر علی العلم الإجمالی؟</w:t>
      </w:r>
      <w:bookmarkEnd w:id="215"/>
    </w:p>
    <w:p>
      <w:pPr>
        <w:pStyle w:val="BookText"/>
        <w:rPr/>
      </w:pPr>
      <w:r>
        <w:rPr>
          <w:rFonts w:ascii="IRNazanin" w:hAnsi="IRNazanin" w:eastAsia="IRNazanin"/>
          <w:color w:val="111111"/>
          <w:sz w:val="28"/>
          <w:sz w:val="28"/>
          <w:szCs w:val="28"/>
          <w:rtl w:val="true"/>
          <w:lang w:bidi="fa-IR"/>
        </w:rPr>
        <w:t>و هل یلحق بالعلم التفصیلی الظنّ التفصیلی المعتبر،فیقدّم علی العلم الإجمالی،أم لا؟</w:t>
      </w:r>
    </w:p>
    <w:p>
      <w:pPr>
        <w:pStyle w:val="Heading6"/>
        <w:numPr>
          <w:ilvl w:val="5"/>
          <w:numId w:val="1"/>
        </w:numPr>
        <w:rPr/>
      </w:pPr>
      <w:bookmarkStart w:id="216" w:name="__RefHeading___Toc5446603_3224264995"/>
      <w:bookmarkStart w:id="217" w:name="_Toc83"/>
      <w:bookmarkEnd w:id="216"/>
      <w:r>
        <w:rPr>
          <w:rtl w:val="true"/>
        </w:rPr>
        <w:t>لو کان الظنّ ممّا ثبت اعتباره بدلیل الانسداد</w:t>
      </w:r>
      <w:r>
        <w:rPr>
          <w:rtl w:val="true"/>
        </w:rPr>
        <w:t>:</w:t>
      </w:r>
      <w:bookmarkEnd w:id="217"/>
    </w:p>
    <w:p>
      <w:pPr>
        <w:pStyle w:val="BookText"/>
        <w:rPr/>
      </w:pPr>
      <w:r>
        <w:rPr>
          <w:rFonts w:ascii="IRNazanin" w:hAnsi="IRNazanin" w:eastAsia="IRNazanin"/>
          <w:color w:val="111111"/>
          <w:sz w:val="28"/>
          <w:sz w:val="28"/>
          <w:szCs w:val="28"/>
          <w:rtl w:val="true"/>
          <w:lang w:bidi="fa-IR"/>
        </w:rPr>
        <w:t>التحقیق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الظنّ المذکور إن کان ممّا لم یثبت اعتباره إلاّ من جهة دلیل الانسداد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بین المتأخّرین لإثبات حجّیة الظنّ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 فی جواز ترک تحصیله و الأخذ بالاحتیاط إذا لم یتوقّف علی التکرار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العجب ممّن </w:t>
      </w:r>
      <w:r>
        <w:rPr>
          <w:rStyle w:val="FootnoteAnchor"/>
          <w:rtl w:val="true"/>
        </w:rPr>
        <w:footnoteReference w:id="189"/>
      </w:r>
      <w:r>
        <w:rPr>
          <w:rFonts w:ascii="IRNazanin" w:hAnsi="IRNazanin" w:eastAsia="IRNazanin"/>
          <w:color w:val="111111"/>
          <w:sz w:val="28"/>
          <w:sz w:val="28"/>
          <w:szCs w:val="28"/>
          <w:rtl w:val="true"/>
          <w:lang w:bidi="fa-IR"/>
        </w:rPr>
        <w:t>یعمل بالأمارات من باب الظنّ المطلق،ثمّ یذهب إلی عدم صحّة عبادة تارک طریق الاجتهاد و التقلید و الأخذ بالاحتیاط، و لعلّ الشبهة من جهة اعتبار قصد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لإبطال هذه الشبهة،و إثبات صحّة عبادة المحتاط محلّ آخر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لو توقّف الاحتیاط علی التکرار،ففی جواز الأخذ به و ترک تحصیل الظنّ بتعیین المکلّف به أو عدم الجواز،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العمل بالظنّ المطلق لم یثبت إلاّ جوازه و عدم وجوب تقدیم الاحتیاط علیه،أمّا تقدیمه علی الاحتیاط فلم یدلّ علیه دلیل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أنّ الظاهر أنّ تکرار العبادة احتیاطا فی الشبهة الحکمیّة مع ثبوت الطریق إلی الحکم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هو الظنّ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 السیرة المستمرّة بین العلماء،مع أنّ جواز العمل بالظنّ إجماعیّ،فیکفی </w:t>
      </w:r>
      <w:bookmarkStart w:id="218" w:name="pg12977_114115"/>
    </w:p>
    <w:p>
      <w:pPr>
        <w:pStyle w:val="BookText"/>
        <w:rPr/>
      </w:pPr>
      <w:bookmarkEnd w:id="218"/>
      <w:r>
        <w:rPr>
          <w:rFonts w:ascii="IRNazanin" w:hAnsi="IRNazanin" w:eastAsia="IRNazanin"/>
          <w:color w:val="111111"/>
          <w:sz w:val="28"/>
          <w:sz w:val="28"/>
          <w:szCs w:val="28"/>
          <w:rtl w:val="true"/>
          <w:lang w:bidi="fa-IR"/>
        </w:rPr>
        <w:t>فی عدم جواز الاحتیاط بالتکرار احتمال عدم جوازه و اعتبار الاعتقاد التفصیلی فی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دائر بین تحصیل الاعتقاد التفصیلی و لو کان ظنّا،و بین تحصیل العلم بتحقّق الإطاعة و لو إجمالا،فمع قطع النظر عن الدلیل الخارجی یکون الثانی مقدّما علی الأوّل فی مقام الإطاعة؛بحکم العقل و العقلاء،لکن بعد العلم بجواز الأوّل و الشکّ فی جواز الثانی فی الشرعیّات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جهة منع جماعة من الأصحاب عن ذلک و إطلاقهم اعتبار نیّة الوجه </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فالأحوط ترک ذلک و إن لم یکن واجبا؛لأنّ نیّة الوجه لو قلنا باعتباره </w:t>
      </w:r>
      <w:r>
        <w:rPr>
          <w:rStyle w:val="FootnoteAnchor"/>
          <w:rtl w:val="true"/>
        </w:rPr>
        <w:footnoteReference w:id="192"/>
      </w:r>
      <w:r>
        <w:rPr>
          <w:rFonts w:ascii="IRNazanin" w:hAnsi="IRNazanin" w:eastAsia="IRNazanin"/>
          <w:color w:val="111111"/>
          <w:sz w:val="28"/>
          <w:sz w:val="28"/>
          <w:szCs w:val="28"/>
          <w:rtl w:val="true"/>
          <w:lang w:bidi="fa-IR"/>
        </w:rPr>
        <w:t>فلا نسلّمه إلاّ مع العلم بالوجه أو الظنّ الخاصّ،لا الظنّ المطلق الذی لم یثبت القائل به جوازه إلاّ بعدم وجوب الاحتیاط،لا بعدم جوازه،فکیف یعقل تقدیمه علی الاحتیاط؟</w:t>
      </w:r>
    </w:p>
    <w:p>
      <w:pPr>
        <w:pStyle w:val="Heading6"/>
        <w:numPr>
          <w:ilvl w:val="5"/>
          <w:numId w:val="1"/>
        </w:numPr>
        <w:rPr/>
      </w:pPr>
      <w:bookmarkStart w:id="219" w:name="__RefHeading___Toc5446605_3224264995"/>
      <w:bookmarkStart w:id="220" w:name="_Toc84"/>
      <w:bookmarkEnd w:id="219"/>
      <w:r>
        <w:rPr>
          <w:rtl w:val="true"/>
        </w:rPr>
        <w:t>لو کان الظنّ ممّا ثبت اعتباره بالخصوص</w:t>
      </w:r>
      <w:r>
        <w:rPr>
          <w:rtl w:val="true"/>
        </w:rPr>
        <w:t>:</w:t>
      </w:r>
      <w:bookmarkEnd w:id="22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لو کان الظنّ ممّا ثبت اعتباره بالخصوص،فالظاهر أنّ تقدیمه علی الاحتیاط إذا لم یتوقّف علی التکرار مبنیّ علی اعتبار قصد الوجه،و حیث قد رجّحنا فی مقامه </w:t>
      </w:r>
      <w:r>
        <w:rPr>
          <w:rStyle w:val="FootnoteAnchor"/>
          <w:rtl w:val="true"/>
        </w:rPr>
        <w:footnoteReference w:id="193"/>
      </w:r>
      <w:r>
        <w:rPr>
          <w:rFonts w:ascii="IRNazanin" w:hAnsi="IRNazanin" w:eastAsia="IRNazanin"/>
          <w:color w:val="111111"/>
          <w:sz w:val="28"/>
          <w:sz w:val="28"/>
          <w:szCs w:val="28"/>
          <w:rtl w:val="true"/>
          <w:lang w:bidi="fa-IR"/>
        </w:rPr>
        <w:t>عدم اعتبار نیّة الوجه؛فالأقوی جواز ترک تحصیل الظنّ و الأخذ بالاحتیاط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یترجّح القول بصحّة عبادة المقلّد إذا أخذ بالاحتیاط و ترک التقلید،إلاّ أنّه خلاف </w:t>
      </w:r>
    </w:p>
    <w:p>
      <w:pPr>
        <w:pStyle w:val="BookText"/>
        <w:rPr/>
      </w:pPr>
      <w:r>
        <w:rPr>
          <w:rFonts w:ascii="IRNazanin" w:hAnsi="IRNazanin" w:eastAsia="IRNazanin"/>
          <w:color w:val="111111"/>
          <w:sz w:val="28"/>
          <w:sz w:val="28"/>
          <w:szCs w:val="28"/>
          <w:rtl w:val="true"/>
          <w:lang w:bidi="fa-IR"/>
        </w:rPr>
        <w:t xml:space="preserve">الاحتیاط؛من جهة وجود القول بالمنع من جماعة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توقّف الاحتیاط علی التکرار فالظاهر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التکرار، بل أولویّته علی الأخذ بالظنّ الخاصّ؛لما تقدّم </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تحصیل الواقع بطریق العلم و لو إجمالا أولی من تحصیل الاعتقاد الظنّی به و لو کان تفصیلا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أدلّة الظنون الخاصّة إنّما دلّت علی کفایتها عن الواقع،لا تعیّن </w:t>
      </w:r>
      <w:r>
        <w:rPr>
          <w:rStyle w:val="FootnoteAnchor"/>
          <w:rtl w:val="true"/>
        </w:rPr>
        <w:footnoteReference w:id="196"/>
      </w:r>
      <w:r>
        <w:rPr>
          <w:rFonts w:ascii="IRNazanin" w:hAnsi="IRNazanin" w:eastAsia="IRNazanin"/>
          <w:color w:val="111111"/>
          <w:sz w:val="28"/>
          <w:sz w:val="28"/>
          <w:szCs w:val="28"/>
          <w:rtl w:val="true"/>
          <w:lang w:bidi="fa-IR"/>
        </w:rPr>
        <w:t>العمل بها فی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شبهة اعتبار نیّة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هو قول جماعة،بل المشهور بین المتأخّرین </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w:t>
      </w:r>
      <w:r>
        <w:rPr>
          <w:rStyle w:val="FootnoteAnchor"/>
          <w:rtl w:val="true"/>
        </w:rPr>
        <w:footnoteReference w:id="198"/>
      </w:r>
      <w:r>
        <w:rPr>
          <w:rFonts w:ascii="IRNazanin" w:hAnsi="IRNazanin" w:eastAsia="IRNazanin"/>
          <w:color w:val="111111"/>
          <w:sz w:val="28"/>
          <w:sz w:val="28"/>
          <w:szCs w:val="28"/>
          <w:rtl w:val="true"/>
          <w:lang w:bidi="fa-IR"/>
        </w:rPr>
        <w:t>الاحتیاط فی خلاف ذلک،مضافا إلی ما عرفت من مخالفة التکرار للسیرة المستمرّة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إمکان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القطع بکون داعی الأمر هو التعبّد بالمأمور به،لا حصوله بأیّ وجه اتّفق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الداعی هو التعبّد بإیجاده و لو فی ضمن أمرین أو أزید،أو التعبّد بخصوصه متمیّزا عن غیره،فالأصل عدم سقوط الغرض الداعی إلاّ بالثانی،و هذا لیس تقییدا فی دلیل تلک العبادة حتّی یدفع بإطلاقه،کما لا یخفی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ینبغی،بل لا یجوز ترک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جمیع موارد </w:t>
      </w:r>
    </w:p>
    <w:p>
      <w:pPr>
        <w:pStyle w:val="BookText"/>
        <w:rPr/>
      </w:pPr>
      <w:r>
        <w:rPr>
          <w:rFonts w:ascii="IRNazanin" w:hAnsi="IRNazanin" w:eastAsia="IRNazanin"/>
          <w:color w:val="111111"/>
          <w:sz w:val="28"/>
          <w:sz w:val="28"/>
          <w:szCs w:val="28"/>
          <w:rtl w:val="true"/>
          <w:lang w:bidi="fa-IR"/>
        </w:rPr>
        <w:t>إرادة التکرار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بتحصیل الواقع أوّلا بظنّه المعتبر،من التقلید أو الاجتهاد بإعمال الظنون الخاصّة أو المطلقة،و إتیان الواجب مع نیّة الوجه،ثمّ الإتیان بالمحتمل الآخر بقصد القربة من جهة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قد یخالف الاحتیاط؛من جهة احتمال کون الواجب ما أتی به بقصد القربة،فیکون قد أخلّ فیه بنیّة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المقدار من المخالفة للاحتیاط ممّا لا بدّ منه؛إذ لو أتی به بنیّة الوجوب کان فاسدا قطعا؛لعدم وجوبه ظاهرا علی المکلّف بعد فرض الإتیان بما وجب علیه فی ظنّه المعتبر</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نیّة الوجه ساقطة فیما یؤتی به من باب الاحتیاط إجماعا حتّی من القائلین باعتبار نیّة الوجه؛لأنّ لازم قولهم باعتبار نیّة الوجه فی مقام الاحتیاط عدم مشروعیّة الاحتیاط و کونه لغوا،و لا أظنّ أحدا یلتزم بذلک عدا السیّد أبی المکارم فی ظاهر کلامه فی الغنیة فی ردّ الاستدلال علی کون الأمر للوجوب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أحوط </w:t>
      </w:r>
      <w:r>
        <w:rPr>
          <w:rStyle w:val="FootnoteAnchor"/>
          <w:rtl w:val="true"/>
        </w:rPr>
        <w:footnoteReference w:id="199"/>
      </w:r>
      <w:r>
        <w:rPr>
          <w:rFonts w:ascii="IRNazanin" w:hAnsi="IRNazanin" w:eastAsia="IRNazanin"/>
          <w:color w:val="111111"/>
          <w:sz w:val="28"/>
          <w:sz w:val="28"/>
          <w:szCs w:val="28"/>
          <w:rtl w:val="true"/>
          <w:lang w:bidi="fa-IR"/>
        </w:rPr>
        <w:t xml:space="preserve">،و سیأتی ذکره </w:t>
      </w:r>
      <w:r>
        <w:rPr>
          <w:rStyle w:val="FootnoteAnchor"/>
          <w:rtl w:val="true"/>
        </w:rPr>
        <w:footnoteReference w:id="200"/>
      </w:r>
      <w:r>
        <w:rPr>
          <w:rFonts w:ascii="IRNazanin" w:hAnsi="IRNazanin" w:eastAsia="IRNazanin"/>
          <w:color w:val="111111"/>
          <w:sz w:val="28"/>
          <w:sz w:val="28"/>
          <w:szCs w:val="28"/>
          <w:rtl w:val="true"/>
          <w:lang w:bidi="fa-IR"/>
        </w:rPr>
        <w:t xml:space="preserve">عند الکلام علی الاحتیاط فی طیّ مقدّمات دلیل الانسداد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bookmarkStart w:id="221" w:name="pg12977_114118"/>
    </w:p>
    <w:p>
      <w:pPr>
        <w:pStyle w:val="Heading6"/>
        <w:numPr>
          <w:ilvl w:val="5"/>
          <w:numId w:val="1"/>
        </w:numPr>
        <w:rPr/>
      </w:pPr>
      <w:bookmarkStart w:id="222" w:name="__RefHeading___Toc5446607_3224264995"/>
      <w:bookmarkStart w:id="223" w:name="_Toc85"/>
      <w:bookmarkEnd w:id="221"/>
      <w:bookmarkEnd w:id="222"/>
      <w:r>
        <w:rPr>
          <w:rtl w:val="true"/>
        </w:rPr>
        <w:t>المقام الأوّل</w:t>
      </w:r>
      <w:bookmarkEnd w:id="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تحرم المخالفة القطعیّة للعلم الإجمالی؟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w:t>
      </w:r>
      <w:r>
        <w:rPr>
          <w:rStyle w:val="FootnoteAnchor"/>
          <w:rtl w:val="true"/>
        </w:rPr>
        <w:footnoteReference w:id="203"/>
      </w:r>
      <w:r>
        <w:rPr>
          <w:rFonts w:ascii="IRNazanin" w:hAnsi="IRNazanin" w:eastAsia="IRNazanin"/>
          <w:color w:val="111111"/>
          <w:sz w:val="28"/>
          <w:sz w:val="28"/>
          <w:szCs w:val="28"/>
          <w:rtl w:val="true"/>
          <w:lang w:bidi="fa-IR"/>
        </w:rPr>
        <w:t xml:space="preserve">المقام الأوّل و هو کفایة العلم الإجمالی فی تنجّز التکلیف، و اعتباره کالتفصیلی،فقد عرفت </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الکلام فی اعتباره بمعنی وجوب الموافقة القطعیّة و عدم کفایة الموافقة الاحتمالیّة راجع إلی مسألة البراءة و الاحتیاط،و المقصود هنا بیان اعتباره فی الجملة الذی أقلّ مرتبته </w:t>
      </w:r>
      <w:r>
        <w:rPr>
          <w:rStyle w:val="FootnoteAnchor"/>
          <w:rtl w:val="true"/>
        </w:rPr>
        <w:footnoteReference w:id="205"/>
      </w:r>
      <w:r>
        <w:rPr>
          <w:rFonts w:ascii="Amiri" w:hAnsi="Amiri" w:eastAsia="Amiri" w:cs="Amiri"/>
          <w:color w:val="111111"/>
          <w:sz w:val="28"/>
          <w:sz w:val="28"/>
          <w:szCs w:val="28"/>
          <w:rtl w:val="true"/>
          <w:lang w:bidi="ar-SA"/>
        </w:rPr>
        <w:t xml:space="preserve">حرمة المخالفة </w:t>
      </w:r>
      <w:r>
        <w:rPr>
          <w:rStyle w:val="FootnoteAnchor"/>
          <w:rtl w:val="true"/>
        </w:rPr>
        <w:footnoteReference w:id="206"/>
      </w:r>
      <w:r>
        <w:rPr>
          <w:rFonts w:ascii="IRNazanin" w:hAnsi="IRNazanin" w:eastAsia="IRNazanin"/>
          <w:color w:val="111111"/>
          <w:sz w:val="28"/>
          <w:sz w:val="28"/>
          <w:szCs w:val="28"/>
          <w:rtl w:val="true"/>
          <w:lang w:bidi="fa-IR"/>
        </w:rPr>
        <w:t>القطعیّة،فنقول</w:t>
      </w:r>
      <w:r>
        <w:rPr>
          <w:rFonts w:eastAsia="IRNazanin" w:cs="IRNazanin"/>
          <w:color w:val="111111"/>
          <w:sz w:val="28"/>
          <w:szCs w:val="28"/>
          <w:rtl w:val="true"/>
          <w:lang w:bidi="fa-IR"/>
        </w:rPr>
        <w:t>:</w:t>
      </w:r>
    </w:p>
    <w:p>
      <w:pPr>
        <w:pStyle w:val="Heading6"/>
        <w:numPr>
          <w:ilvl w:val="5"/>
          <w:numId w:val="1"/>
        </w:numPr>
        <w:rPr/>
      </w:pPr>
      <w:bookmarkStart w:id="224" w:name="__RefHeading___Toc5446609_3224264995"/>
      <w:bookmarkStart w:id="225" w:name="_Toc86"/>
      <w:bookmarkEnd w:id="224"/>
      <w:r>
        <w:rPr>
          <w:rtl w:val="true"/>
        </w:rPr>
        <w:t>صور العلم الإجمالی</w:t>
      </w:r>
      <w:r>
        <w:rPr>
          <w:rtl w:val="true"/>
        </w:rPr>
        <w:t>:</w:t>
      </w:r>
      <w:bookmarkEnd w:id="225"/>
    </w:p>
    <w:p>
      <w:pPr>
        <w:pStyle w:val="BookText"/>
        <w:rPr/>
      </w:pPr>
      <w:r>
        <w:rPr>
          <w:rFonts w:ascii="IRNazanin" w:hAnsi="IRNazanin" w:eastAsia="IRNazanin"/>
          <w:color w:val="111111"/>
          <w:sz w:val="28"/>
          <w:sz w:val="28"/>
          <w:szCs w:val="28"/>
          <w:rtl w:val="true"/>
          <w:lang w:bidi="fa-IR"/>
        </w:rPr>
        <w:t>إنّ للعلم الإجمالی صورا کثیرة؛لأنّ الإجمال الطارئ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من جهة متعلّق الحکم مع تبیّن نفس الحکم تفصیلا،کما لو شککنا أنّ حکم الوجوب فی یوم الجمعة یتعلّق </w:t>
      </w:r>
      <w:r>
        <w:rPr>
          <w:rStyle w:val="FootnoteAnchor"/>
          <w:rtl w:val="true"/>
        </w:rPr>
        <w:footnoteReference w:id="207"/>
      </w:r>
      <w:r>
        <w:rPr>
          <w:rFonts w:ascii="IRNazanin" w:hAnsi="IRNazanin" w:eastAsia="IRNazanin"/>
          <w:color w:val="111111"/>
          <w:sz w:val="28"/>
          <w:sz w:val="28"/>
          <w:szCs w:val="28"/>
          <w:rtl w:val="true"/>
          <w:lang w:bidi="fa-IR"/>
        </w:rPr>
        <w:t>بالظهر أو الجمعة، و حکم الحرمة یتعلّق بهذا الموضوع الخارجی من المشتبهین أو بذاک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من جهة نفس الحکم مع تبیّن موضوعه،کما لو شکّ فی أنّ هذا الموضوع المعلوم الکلّی أو الجزئی یتعلّق به الوجوب أو الحرمة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إمّا من جهة الحکم و المتعلّق جمیعا،مثل أن نعلم أنّ حکما من </w:t>
      </w:r>
      <w:bookmarkStart w:id="226" w:name="pg12977_114119"/>
    </w:p>
    <w:p>
      <w:pPr>
        <w:pStyle w:val="BookText"/>
        <w:rPr/>
      </w:pPr>
      <w:bookmarkEnd w:id="226"/>
      <w:r>
        <w:rPr>
          <w:rFonts w:ascii="IRNazanin" w:hAnsi="IRNazanin" w:eastAsia="IRNazanin"/>
          <w:color w:val="111111"/>
          <w:sz w:val="28"/>
          <w:sz w:val="28"/>
          <w:szCs w:val="28"/>
          <w:rtl w:val="true"/>
          <w:lang w:bidi="fa-IR"/>
        </w:rPr>
        <w:t>الوجوب و التحریم تعلّق بأحد هذین الموضوعین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w:t>
      </w:r>
      <w:r>
        <w:rPr>
          <w:rStyle w:val="FootnoteAnchor"/>
          <w:rtl w:val="true"/>
        </w:rPr>
        <w:footnoteReference w:id="208"/>
      </w:r>
      <w:r>
        <w:rPr>
          <w:rFonts w:ascii="IRNazanin" w:hAnsi="IRNazanin" w:eastAsia="IRNazanin"/>
          <w:color w:val="111111"/>
          <w:sz w:val="28"/>
          <w:sz w:val="28"/>
          <w:szCs w:val="28"/>
          <w:rtl w:val="true"/>
          <w:lang w:bidi="fa-IR"/>
        </w:rPr>
        <w:t>الاشتباه فی کلّ من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من جهة الاشتباه فی الخطاب الصادر عن الشارع،کما فی مثال الظهر و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من جهة اشتباه مصادیق متعلّق ذلک الخطاب،کما فی المثال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الاشتباه فی هذا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فی المکلّف به کما فی الشبهة المحصورة،و إمّا فی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طرفا الشبهة فی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یکونا احتمالین فی مخاطب واحد کما فی الخنثی،و إمّا أن یکونا احتمالین فی مخاطبین،کما فی واجدی المنی فی الثوب المشترک</w:t>
      </w:r>
      <w:r>
        <w:rPr>
          <w:rFonts w:eastAsia="IRNazanin" w:cs="IRNazanin"/>
          <w:color w:val="111111"/>
          <w:sz w:val="28"/>
          <w:szCs w:val="28"/>
          <w:rtl w:val="true"/>
          <w:lang w:bidi="fa-IR"/>
        </w:rPr>
        <w:t>.</w:t>
      </w:r>
    </w:p>
    <w:p>
      <w:pPr>
        <w:pStyle w:val="Heading6"/>
        <w:numPr>
          <w:ilvl w:val="5"/>
          <w:numId w:val="1"/>
        </w:numPr>
        <w:rPr/>
      </w:pPr>
      <w:bookmarkStart w:id="227" w:name="__RefHeading___Toc5446611_3224264995"/>
      <w:bookmarkStart w:id="228" w:name="_Toc87"/>
      <w:bookmarkEnd w:id="227"/>
      <w:r>
        <w:rPr>
          <w:rtl w:val="true"/>
        </w:rPr>
        <w:t>العلم الإجمالی الطریقی و الموضوعی</w:t>
      </w:r>
      <w:bookmarkEnd w:id="228"/>
    </w:p>
    <w:p>
      <w:pPr>
        <w:pStyle w:val="BookText"/>
        <w:rPr/>
      </w:pPr>
      <w:r>
        <w:rPr>
          <w:rFonts w:ascii="IRNazanin" w:hAnsi="IRNazanin" w:eastAsia="IRNazanin"/>
          <w:color w:val="111111"/>
          <w:sz w:val="28"/>
          <w:sz w:val="28"/>
          <w:szCs w:val="28"/>
          <w:rtl w:val="true"/>
          <w:lang w:bidi="fa-IR"/>
        </w:rPr>
        <w:t>و لا بدّ قبل التعرّض لبیان حکم الأقسام من التعرّض لأمرین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أنّک قد عرفت فی أوّل مسألة اعتبار العلم </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اعتباره قد یکون من باب محض الکشف و الطریقیّة،و قد یکون من باب الموضوعیة بجعل الشارع</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الکلام هنا فی الأوّل؛إذ اعتبار العلم الإجمالی و عدمه فی الثانی تابع لدلالة ما دلّ علی جعله موضوعا،فإن دلّ علی کون العلم التفصیلی داخلا فی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لو فرضنا أنّ الشارع لم یحکم بوجوب </w:t>
      </w:r>
      <w:bookmarkStart w:id="229" w:name="pg12977_114120"/>
    </w:p>
    <w:p>
      <w:pPr>
        <w:pStyle w:val="BookText"/>
        <w:rPr/>
      </w:pPr>
      <w:bookmarkEnd w:id="229"/>
      <w:r>
        <w:rPr>
          <w:rFonts w:ascii="IRNazanin" w:hAnsi="IRNazanin" w:eastAsia="IRNazanin"/>
          <w:color w:val="111111"/>
          <w:sz w:val="28"/>
          <w:sz w:val="28"/>
          <w:szCs w:val="28"/>
          <w:rtl w:val="true"/>
          <w:lang w:bidi="fa-IR"/>
        </w:rPr>
        <w:t>الاجتناب إلاّ عمّا علم تفصیلا نجاسته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 فی عدم اعتبار العلم الإجمالی بالنجاسة</w:t>
      </w:r>
      <w:r>
        <w:rPr>
          <w:rFonts w:eastAsia="IRNazanin" w:cs="IRNazanin"/>
          <w:color w:val="111111"/>
          <w:sz w:val="28"/>
          <w:szCs w:val="28"/>
          <w:rtl w:val="true"/>
          <w:lang w:bidi="fa-IR"/>
        </w:rPr>
        <w:t>.</w:t>
      </w:r>
    </w:p>
    <w:p>
      <w:pPr>
        <w:pStyle w:val="Heading6"/>
        <w:numPr>
          <w:ilvl w:val="5"/>
          <w:numId w:val="1"/>
        </w:numPr>
        <w:rPr/>
      </w:pPr>
      <w:bookmarkStart w:id="230" w:name="__RefHeading___Toc5446613_3224264995"/>
      <w:bookmarkStart w:id="231" w:name="_Toc88"/>
      <w:bookmarkEnd w:id="230"/>
      <w:r>
        <w:rPr>
          <w:rtl w:val="true"/>
        </w:rPr>
        <w:t>إذا تولّد من العلم الإجمالی علم تفصیلی بالحکم الشرعی</w:t>
      </w:r>
      <w:r>
        <w:rPr>
          <w:rtl w:val="true"/>
        </w:rPr>
        <w:t>:</w:t>
      </w:r>
      <w:bookmarkEnd w:id="231"/>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تولد من العلم الإجمالی العلم التفصیلی بالحکم الشرعی فی مورد،وجب اتّباعه و حرمت مخالفته؛لما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اعتبار العلم التفصیلی من غیر تقیید بحصوله من منشأ خاصّ،فلا فرق بین من علم تفصیلا ببطلان صلاته بالحدث،أو بواحد مردّد بین الحدث و الاستدبار،أو بین ترک رکن و فعل مبطل،أو بین فقد شرط من شرائط صلاة نفسه و فقد شرط من شرائط صلاة إمامه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اعتبار وجود شرائط الإمام فی علم المأموم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Heading6"/>
        <w:numPr>
          <w:ilvl w:val="5"/>
          <w:numId w:val="1"/>
        </w:numPr>
        <w:rPr/>
      </w:pPr>
      <w:bookmarkStart w:id="232" w:name="__RefHeading___Toc5446615_3224264995"/>
      <w:bookmarkStart w:id="233" w:name="_Toc89"/>
      <w:bookmarkEnd w:id="232"/>
      <w:r>
        <w:rPr>
          <w:rtl w:val="true"/>
        </w:rPr>
        <w:t>عدم الفرق بین هذا العلم التفصیلی و غیره من العلوم التفصیلیّة</w:t>
      </w:r>
      <w:r>
        <w:rPr>
          <w:rtl w:val="true"/>
        </w:rPr>
        <w:t>:</w:t>
      </w:r>
      <w:bookmarkEnd w:id="233"/>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فرق بین هذا العلم التفصیلی و بین غیره من العلوم التفصیلیّة</w:t>
      </w:r>
      <w:r>
        <w:rPr>
          <w:rFonts w:eastAsia="IRNazanin" w:cs="IRNazanin"/>
          <w:color w:val="111111"/>
          <w:sz w:val="28"/>
          <w:szCs w:val="28"/>
          <w:rtl w:val="true"/>
          <w:lang w:bidi="fa-IR"/>
        </w:rPr>
        <w:t>.</w:t>
      </w:r>
    </w:p>
    <w:p>
      <w:pPr>
        <w:pStyle w:val="Heading6"/>
        <w:numPr>
          <w:ilvl w:val="5"/>
          <w:numId w:val="1"/>
        </w:numPr>
        <w:rPr/>
      </w:pPr>
      <w:bookmarkStart w:id="234" w:name="__RefHeading___Toc5446617_3224264995"/>
      <w:bookmarkStart w:id="235" w:name="_Toc90"/>
      <w:bookmarkEnd w:id="234"/>
      <w:r>
        <w:rPr>
          <w:rtl w:val="true"/>
        </w:rPr>
        <w:t>الموارد التی توهم خلاف ذلک</w:t>
      </w:r>
      <w:bookmarkEnd w:id="235"/>
    </w:p>
    <w:p>
      <w:pPr>
        <w:pStyle w:val="BookText"/>
        <w:rPr/>
      </w:pPr>
      <w:r>
        <w:rPr>
          <w:rFonts w:ascii="Amiri" w:hAnsi="Amiri" w:eastAsia="Amiri" w:cs="Amiri"/>
          <w:color w:val="111111"/>
          <w:sz w:val="28"/>
          <w:sz w:val="28"/>
          <w:szCs w:val="28"/>
          <w:rtl w:val="true"/>
          <w:lang w:bidi="ar-SA"/>
        </w:rPr>
        <w:t xml:space="preserve">إلاّ أنّه قد وقع </w:t>
      </w:r>
      <w:r>
        <w:rPr>
          <w:rStyle w:val="FootnoteAnchor"/>
          <w:rtl w:val="true"/>
        </w:rPr>
        <w:footnoteReference w:id="211"/>
      </w:r>
      <w:r>
        <w:rPr>
          <w:rFonts w:ascii="IRNazanin" w:hAnsi="IRNazanin" w:eastAsia="IRNazanin"/>
          <w:color w:val="111111"/>
          <w:sz w:val="28"/>
          <w:sz w:val="28"/>
          <w:szCs w:val="28"/>
          <w:rtl w:val="true"/>
          <w:lang w:bidi="fa-IR"/>
        </w:rPr>
        <w:t>فی الشرع موارد توهم خلاف ذلک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حکم به بعض </w:t>
      </w:r>
      <w:r>
        <w:rPr>
          <w:rStyle w:val="FootnoteAnchor"/>
          <w:rtl w:val="true"/>
        </w:rPr>
        <w:footnoteReference w:id="212"/>
      </w:r>
      <w:r>
        <w:rPr>
          <w:rFonts w:ascii="IRNazanin" w:hAnsi="IRNazanin" w:eastAsia="IRNazanin"/>
          <w:color w:val="111111"/>
          <w:sz w:val="28"/>
          <w:sz w:val="28"/>
          <w:szCs w:val="28"/>
          <w:rtl w:val="true"/>
          <w:lang w:bidi="fa-IR"/>
        </w:rPr>
        <w:t>فیما إذا اختلفت الامّة علی قولین و لم یکن مع أحدهما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أنّه یطرح القولان و یرجع إلی مقتضی الأصل؛فإنّ إطلاقه یشمل ما لو علمنا بمخالفة مقتضی الأصل للحکم الواقعی المعلوم وجوده بین القولین،بل ظاهر کلام الشیخ رحمه اللّه القائل </w:t>
      </w:r>
    </w:p>
    <w:p>
      <w:pPr>
        <w:pStyle w:val="BookText"/>
        <w:rPr/>
      </w:pPr>
      <w:r>
        <w:rPr>
          <w:rFonts w:ascii="IRNazanin" w:hAnsi="IRNazanin" w:eastAsia="IRNazanin"/>
          <w:color w:val="111111"/>
          <w:sz w:val="28"/>
          <w:sz w:val="28"/>
          <w:szCs w:val="28"/>
          <w:rtl w:val="true"/>
          <w:lang w:bidi="fa-IR"/>
        </w:rPr>
        <w:t xml:space="preserve">بالتخییر </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التخییر الواقعی المعلوم تفصیلا مخالفته لحکم اللّه الواقعی فی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بعض </w:t>
      </w:r>
      <w:r>
        <w:rPr>
          <w:rStyle w:val="FootnoteAnchor"/>
          <w:rtl w:val="true"/>
        </w:rPr>
        <w:footnoteReference w:id="214"/>
      </w:r>
      <w:r>
        <w:rPr>
          <w:rFonts w:ascii="IRNazanin" w:hAnsi="IRNazanin" w:eastAsia="IRNazanin"/>
          <w:color w:val="111111"/>
          <w:sz w:val="28"/>
          <w:sz w:val="28"/>
          <w:szCs w:val="28"/>
          <w:rtl w:val="true"/>
          <w:lang w:bidi="fa-IR"/>
        </w:rPr>
        <w:t>بجواز ارتکاب کلا المشتبهین فی الشبهة المحصورة دفعة أو تدریجا؛فإنّه قد یؤدّی إلی العلم التفصیلی بالحرمة أو النجاسة،کما لو اشتری بالمشتبهین بالمیتة جاریة؛فإنّا نعلم تفصیلا بطلان البیع فی تمام الجاریة؛لکون بعض ثمنها میتة،فنعلم تفصیلا بحرمة وطئها،مع أنّ القائل بجواز الارتکاب لم یظهر من کلامه إخراج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بعض </w:t>
      </w:r>
      <w:r>
        <w:rPr>
          <w:rStyle w:val="FootnoteAnchor"/>
          <w:rtl w:val="true"/>
        </w:rPr>
        <w:footnoteReference w:id="215"/>
      </w:r>
      <w:r>
        <w:rPr>
          <w:rFonts w:ascii="IRNazanin" w:hAnsi="IRNazanin" w:eastAsia="IRNazanin"/>
          <w:color w:val="111111"/>
          <w:sz w:val="28"/>
          <w:sz w:val="28"/>
          <w:szCs w:val="28"/>
          <w:rtl w:val="true"/>
          <w:lang w:bidi="fa-IR"/>
        </w:rPr>
        <w:t>بصحّة ائتمام أحد واجدی المنی فی الثوب المشترک بینهما بالآخر،مع أنّ المأموم یعلم تفصیلا ببطلان صلاته من جهة حدثه أو حدث إمامه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الحاکم بتنصیف العین التی تداعاها رجلان،بحیث یعلم صدق أحدهما و کذب الآخر؛فإنّ لازم ذلک جواز شراء ثالث للنصفین من کلّ منهما،مع أنّه یعلم تفصیلا عدم انتقال تمام المال إلیه من مالکه الواقعی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حکمهم فیما </w:t>
      </w:r>
      <w:r>
        <w:rPr>
          <w:rStyle w:val="FootnoteAnchor"/>
          <w:rtl w:val="true"/>
        </w:rPr>
        <w:footnoteReference w:id="216"/>
      </w:r>
      <w:r>
        <w:rPr>
          <w:rFonts w:ascii="IRNazanin" w:hAnsi="IRNazanin" w:eastAsia="IRNazanin"/>
          <w:color w:val="111111"/>
          <w:sz w:val="28"/>
          <w:sz w:val="28"/>
          <w:szCs w:val="28"/>
          <w:rtl w:val="true"/>
          <w:lang w:bidi="fa-IR"/>
        </w:rPr>
        <w:t xml:space="preserve">لو کان لأحد درهم و لآخر </w:t>
      </w:r>
      <w:r>
        <w:rPr>
          <w:rStyle w:val="FootnoteAnchor"/>
          <w:rtl w:val="true"/>
        </w:rPr>
        <w:footnoteReference w:id="217"/>
      </w:r>
      <w:r>
        <w:rPr>
          <w:rFonts w:ascii="IRNazanin" w:hAnsi="IRNazanin" w:eastAsia="IRNazanin"/>
          <w:color w:val="111111"/>
          <w:sz w:val="28"/>
          <w:sz w:val="28"/>
          <w:szCs w:val="28"/>
          <w:rtl w:val="true"/>
          <w:lang w:bidi="fa-IR"/>
        </w:rPr>
        <w:t>درهمان،فتلف أحد الدراهم من عند الودعی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Style w:val="FootnoteAnchor"/>
          <w:rtl w:val="true"/>
        </w:rPr>
        <w:footnoteReference w:id="218"/>
      </w:r>
      <w:r>
        <w:rPr>
          <w:rFonts w:ascii="IRNazanin" w:hAnsi="IRNazanin" w:eastAsia="IRNazanin"/>
          <w:color w:val="111111"/>
          <w:sz w:val="28"/>
          <w:sz w:val="28"/>
          <w:szCs w:val="28"/>
          <w:rtl w:val="true"/>
          <w:lang w:bidi="fa-IR"/>
        </w:rPr>
        <w:t xml:space="preserve">لصاحب الاثنین واحدا و نصفا و للآخر نصفا </w:t>
      </w:r>
      <w:r>
        <w:rPr>
          <w:rStyle w:val="FootnoteAnchor"/>
          <w:rtl w:val="true"/>
        </w:rPr>
        <w:footnoteReference w:id="219"/>
      </w:r>
      <w:r>
        <w:rPr>
          <w:rFonts w:ascii="IRNazanin" w:hAnsi="IRNazanin" w:eastAsia="IRNazanin"/>
          <w:color w:val="111111"/>
          <w:sz w:val="28"/>
          <w:sz w:val="28"/>
          <w:szCs w:val="28"/>
          <w:rtl w:val="true"/>
          <w:lang w:bidi="fa-IR"/>
        </w:rPr>
        <w:t>فإنّه قد یتّفق إفضاء ذلک إلی مخالفة تفصیلیة،کما لو أخذ الدرهم المشترک بینهما ثالث،فإنّه یعلم تفصیلا بعدم انتقاله من مالکه الواقعی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لو أقرّ بعین لشخص ثمّ أقرّ بها لآخر </w:t>
      </w:r>
      <w:r>
        <w:rPr>
          <w:rStyle w:val="FootnoteAnchor"/>
          <w:rtl w:val="true"/>
        </w:rPr>
        <w:footnoteReference w:id="220"/>
      </w:r>
      <w:r>
        <w:rPr>
          <w:rFonts w:ascii="IRNazanin" w:hAnsi="IRNazanin" w:eastAsia="IRNazanin"/>
          <w:color w:val="111111"/>
          <w:sz w:val="28"/>
          <w:sz w:val="28"/>
          <w:szCs w:val="28"/>
          <w:rtl w:val="true"/>
          <w:lang w:bidi="fa-IR"/>
        </w:rPr>
        <w:t xml:space="preserve">،فإنّه یغرم للثانی قیمة العین بعد دفعها إلی الأوّل؛فإنّه قد یؤدّی ذلک إلی اجتماع العین و القیمة عند واحد و یبیعهما </w:t>
      </w:r>
      <w:r>
        <w:rPr>
          <w:rStyle w:val="FootnoteAnchor"/>
          <w:rtl w:val="true"/>
        </w:rPr>
        <w:footnoteReference w:id="221"/>
      </w:r>
      <w:r>
        <w:rPr>
          <w:rFonts w:ascii="IRNazanin" w:hAnsi="IRNazanin" w:eastAsia="IRNazanin"/>
          <w:color w:val="111111"/>
          <w:sz w:val="28"/>
          <w:sz w:val="28"/>
          <w:szCs w:val="28"/>
          <w:rtl w:val="true"/>
          <w:lang w:bidi="fa-IR"/>
        </w:rPr>
        <w:t>بثمن واحد،فیعلم عدم انتقال تمام الثمن إلیه؛لکون بعض مثمنه مال المقرّ فی الواقع</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بانفساخ العقد المتنازع فی تعیین ثمنه أو مثمنه علی وجه یقضی فیه بالتحالف،کما لو اختلفا فی کون المبیع بالثمن المعیّن عبدا أو جاریة؛فإنّ ردّ الثمن إلی المشتری بعد التحالف مخالف للعلم التفصیلی بصیرورته ملک البائع ثمنا للعبد أو الجاریة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لو اختلفا فی کون ثمن الجاریة المعیّنة عشرة دنانیر أو مائة درهم؛فإنّ الحکم بردّ </w:t>
      </w:r>
      <w:bookmarkStart w:id="236" w:name="pg12977_114123"/>
    </w:p>
    <w:p>
      <w:pPr>
        <w:pStyle w:val="BookText"/>
        <w:rPr/>
      </w:pPr>
      <w:bookmarkEnd w:id="236"/>
      <w:r>
        <w:rPr>
          <w:rFonts w:ascii="IRNazanin" w:hAnsi="IRNazanin" w:eastAsia="IRNazanin"/>
          <w:color w:val="111111"/>
          <w:sz w:val="28"/>
          <w:sz w:val="28"/>
          <w:szCs w:val="28"/>
          <w:rtl w:val="true"/>
          <w:lang w:bidi="fa-IR"/>
        </w:rPr>
        <w:t>الجاریة مخالف للعلم التفصیلی بدخولها فی ملک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بعضهم </w:t>
      </w:r>
      <w:r>
        <w:rPr>
          <w:rStyle w:val="FootnoteAnchor"/>
          <w:rtl w:val="true"/>
        </w:rPr>
        <w:footnoteReference w:id="222"/>
      </w:r>
      <w:r>
        <w:rPr>
          <w:rFonts w:ascii="Amiri" w:hAnsi="Amiri" w:eastAsia="Amiri" w:cs="Amiri"/>
          <w:color w:val="111111"/>
          <w:sz w:val="28"/>
          <w:sz w:val="28"/>
          <w:szCs w:val="28"/>
          <w:rtl w:val="true"/>
          <w:lang w:bidi="ar-SA"/>
        </w:rPr>
        <w:t xml:space="preserve">بأنّه </w:t>
      </w:r>
      <w:r>
        <w:rPr>
          <w:rStyle w:val="FootnoteAnchor"/>
          <w:rtl w:val="true"/>
        </w:rPr>
        <w:footnoteReference w:id="223"/>
      </w:r>
      <w:r>
        <w:rPr>
          <w:rFonts w:ascii="IRNazanin" w:hAnsi="IRNazanin" w:eastAsia="IRNazanin"/>
          <w:color w:val="111111"/>
          <w:sz w:val="28"/>
          <w:sz w:val="28"/>
          <w:szCs w:val="28"/>
          <w:rtl w:val="true"/>
          <w:lang w:bidi="fa-IR"/>
        </w:rPr>
        <w:t>لو قال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الجاریة بمائة، و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وهبتنی إیّاها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أنّهما </w:t>
      </w:r>
      <w:r>
        <w:rPr>
          <w:rStyle w:val="FootnoteAnchor"/>
          <w:rtl w:val="true"/>
        </w:rPr>
        <w:footnoteReference w:id="224"/>
      </w:r>
      <w:r>
        <w:rPr>
          <w:rFonts w:ascii="IRNazanin" w:hAnsi="IRNazanin" w:eastAsia="IRNazanin"/>
          <w:color w:val="111111"/>
          <w:sz w:val="28"/>
          <w:sz w:val="28"/>
          <w:szCs w:val="28"/>
          <w:rtl w:val="true"/>
          <w:lang w:bidi="fa-IR"/>
        </w:rPr>
        <w:t>یتحالفان و تردّ الجاریة إلی صاحبها، مع أنّا نعلم تفصیلا بانتقالها عن ملک صاحبها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الموارد التی یقف علیها المتتبّع</w:t>
      </w:r>
      <w:r>
        <w:rPr>
          <w:rFonts w:eastAsia="IRNazanin" w:cs="IRNazanin"/>
          <w:color w:val="111111"/>
          <w:sz w:val="28"/>
          <w:szCs w:val="28"/>
          <w:rtl w:val="true"/>
          <w:lang w:bidi="fa-IR"/>
        </w:rPr>
        <w:t>.</w:t>
      </w:r>
    </w:p>
    <w:p>
      <w:pPr>
        <w:pStyle w:val="Heading6"/>
        <w:numPr>
          <w:ilvl w:val="5"/>
          <w:numId w:val="1"/>
        </w:numPr>
        <w:rPr/>
      </w:pPr>
      <w:bookmarkStart w:id="237" w:name="__RefHeading___Toc5446619_3224264995"/>
      <w:bookmarkStart w:id="238" w:name="_Toc91"/>
      <w:bookmarkEnd w:id="237"/>
      <w:r>
        <w:rPr>
          <w:rtl w:val="true"/>
        </w:rPr>
        <w:t>الجواب عن الموارد المذکورة</w:t>
      </w:r>
      <w:r>
        <w:rPr>
          <w:rtl w:val="true"/>
        </w:rPr>
        <w:t>:</w:t>
      </w:r>
      <w:bookmarkEnd w:id="238"/>
    </w:p>
    <w:p>
      <w:pPr>
        <w:pStyle w:val="BookText"/>
        <w:rPr/>
      </w:pPr>
      <w:r>
        <w:rPr>
          <w:rFonts w:ascii="IRNazanin" w:hAnsi="IRNazanin" w:eastAsia="IRNazanin"/>
          <w:color w:val="111111"/>
          <w:sz w:val="28"/>
          <w:sz w:val="28"/>
          <w:szCs w:val="28"/>
          <w:rtl w:val="true"/>
          <w:lang w:bidi="fa-IR"/>
        </w:rPr>
        <w:t>فلا بدّ فی هذه الموارد من التزام أحد امور علی سبیل منع الخلوّ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العلم التفصیلی فی کلّ من أطراف الشبهة موضوعا للحکم،بأن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الواجب الاجتناب عمّا علم کونه بالخصوص بولا،فالمشتبهان طاهران 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المانع للصلاة الحدث المعلوم صدوره تفصیلا من مکلّف خاصّ،فالمأموم و الإمام متطهّران فی الواقع</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الظاهری فی حقّ کلّ أحد نافذ واقعا فی حقّ الآخر،بأن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 کانت صلاته بحسب الظاهر صحیحة عند نفسه،فللآخر أن یرتّب علیها آثار الصحّة الواقعیّة،فیجوز له الائتمام به </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من حلّ له أخذ الدار ممّن وصل إلیه نصفه،إذا لم یعلم </w:t>
      </w:r>
      <w:bookmarkStart w:id="239" w:name="pg12977_114124"/>
    </w:p>
    <w:p>
      <w:pPr>
        <w:pStyle w:val="BookText"/>
        <w:rPr/>
      </w:pPr>
      <w:bookmarkEnd w:id="239"/>
      <w:r>
        <w:rPr>
          <w:rFonts w:ascii="IRNazanin" w:hAnsi="IRNazanin" w:eastAsia="IRNazanin"/>
          <w:color w:val="111111"/>
          <w:sz w:val="28"/>
          <w:sz w:val="28"/>
          <w:szCs w:val="28"/>
          <w:rtl w:val="true"/>
          <w:lang w:bidi="fa-IR"/>
        </w:rPr>
        <w:t>کذبه فی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استند إلی بیّنة،أو إقرار،أو اعتقاد من القرائن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یملک هذا النصف فی الواقع،و کذلک إذا اشتری النصف الآخر، فیثبت ملکه للنصفین 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الأخذ ممّن وصل إلیه نصف الدرهم فی مسألة الصلح،و </w:t>
      </w:r>
      <w:r>
        <w:rPr>
          <w:rStyle w:val="FootnoteAnchor"/>
          <w:rtl w:val="true"/>
        </w:rPr>
        <w:footnoteReference w:id="227"/>
      </w:r>
      <w:r>
        <w:rPr>
          <w:rFonts w:ascii="IRNazanin" w:hAnsi="IRNazanin" w:eastAsia="IRNazanin"/>
          <w:color w:val="111111"/>
          <w:sz w:val="28"/>
          <w:sz w:val="28"/>
          <w:szCs w:val="28"/>
          <w:rtl w:val="true"/>
          <w:lang w:bidi="fa-IR"/>
        </w:rPr>
        <w:t>مسألتی التحالف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یلتزم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بتقیید الأحکام المذکورة بما إذا لم یفض إلی العلم التفصیلی بالمخالفة،و المنع ممّا یستلزم المخالفة المعلومة تفصیلا،کمسألة اختلاف الامّة 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أخذ المبیع فی مسألتی التحالف علی کونه تقاصّا شرعیا قهریّا عمّا یدّعیه من الثمن،أو انفساخ البیع بالتحالف من أصله،أو من حینه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أخذ نصف الدرهم مصالحة قهریّة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علیک بالتأمّل فی دفع الإشکال عن کلّ مورد بأحد الامور المذکورة؛فإنّ اعتبار العلم التفصیلی بالحکم الواقعی و حرمة مخالفته ممّا لا یقبل التخصیص بإجماع أو نحوه</w:t>
      </w:r>
      <w:r>
        <w:rPr>
          <w:rFonts w:eastAsia="IRNazanin" w:cs="IRNazanin"/>
          <w:color w:val="111111"/>
          <w:sz w:val="28"/>
          <w:szCs w:val="28"/>
          <w:rtl w:val="true"/>
          <w:lang w:bidi="fa-IR"/>
        </w:rPr>
        <w:t>.</w:t>
      </w:r>
    </w:p>
    <w:p>
      <w:pPr>
        <w:pStyle w:val="Heading6"/>
        <w:numPr>
          <w:ilvl w:val="5"/>
          <w:numId w:val="1"/>
        </w:numPr>
        <w:rPr/>
      </w:pPr>
      <w:bookmarkStart w:id="240" w:name="__RefHeading___Toc5446621_3224264995"/>
      <w:bookmarkStart w:id="241" w:name="_Toc92"/>
      <w:bookmarkEnd w:id="240"/>
      <w:r>
        <w:rPr>
          <w:rtl w:val="true"/>
        </w:rPr>
        <w:t>أقسام مخالفة العلم الإجمالی</w:t>
      </w:r>
      <w:r>
        <w:rPr>
          <w:rtl w:val="true"/>
        </w:rPr>
        <w:t>:</w:t>
      </w:r>
      <w:bookmarkEnd w:id="241"/>
    </w:p>
    <w:p>
      <w:pPr>
        <w:pStyle w:val="BookText"/>
        <w:rPr/>
      </w:pPr>
      <w:r>
        <w:rPr>
          <w:rFonts w:ascii="IRNazanin" w:hAnsi="IRNazanin" w:eastAsia="IRNazanin"/>
          <w:color w:val="111111"/>
          <w:sz w:val="28"/>
          <w:sz w:val="28"/>
          <w:szCs w:val="28"/>
          <w:rtl w:val="true"/>
          <w:lang w:bidi="fa-IR"/>
        </w:rPr>
        <w:t>إذا عرفت هذا،فلنعد إلی حکم مخالفة العلم الإجمالی،فنقول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مخالفة الحکم المعلوم بالإجمال یتصوّر علی وجهین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مخالفته من حیث الالتزام،کالالتزام بإباحة وطء المرأة المردّدة بین من حرم وطؤها بالحلف و من وجب وطؤها به مع اتّحاد </w:t>
      </w:r>
      <w:bookmarkStart w:id="242" w:name="pg12977_114125"/>
    </w:p>
    <w:p>
      <w:pPr>
        <w:pStyle w:val="BookText"/>
        <w:rPr/>
      </w:pPr>
      <w:bookmarkEnd w:id="242"/>
      <w:r>
        <w:rPr>
          <w:rFonts w:ascii="IRNazanin" w:hAnsi="IRNazanin" w:eastAsia="IRNazanin"/>
          <w:color w:val="111111"/>
          <w:sz w:val="28"/>
          <w:sz w:val="28"/>
          <w:szCs w:val="28"/>
          <w:rtl w:val="true"/>
          <w:lang w:bidi="fa-IR"/>
        </w:rPr>
        <w:t xml:space="preserve">زمانی الوجوب و الحرمة،و کالالتزام بإباحة موضوع کلیّ مردّد أمره بین الوجوب و التحریم مع عدم کون أحدهما المعیّن تعبّدیا یعتبر فیه قصد الامتثال؛فإنّ المخالفة فی المثالین لیست </w:t>
      </w:r>
      <w:r>
        <w:rPr>
          <w:rStyle w:val="FootnoteAnchor"/>
          <w:rtl w:val="true"/>
        </w:rPr>
        <w:footnoteReference w:id="229"/>
      </w:r>
      <w:r>
        <w:rPr>
          <w:rFonts w:ascii="IRNazanin" w:hAnsi="IRNazanin" w:eastAsia="IRNazanin"/>
          <w:color w:val="111111"/>
          <w:sz w:val="28"/>
          <w:sz w:val="28"/>
          <w:szCs w:val="28"/>
          <w:rtl w:val="true"/>
          <w:lang w:bidi="fa-IR"/>
        </w:rPr>
        <w:t>من حیث العمل؛لأنّه لا یخلو من الفعل الموافق للوجوب و الترک الموافق للحرمة،فلا قطع بالمخالفة إلاّ من حیث الالتزام بإباحة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مخالفته من حیث العمل،کترک الأمرین اللذین یعلم بوجوب أحدهما،و ارتکاب فعلین یعلم بحرمة أحدهما،فإنّ المخالفة هنا من حیث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ذلک،نقول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3" w:name="__RefHeading___Toc5446623_3224264995"/>
      <w:bookmarkStart w:id="244" w:name="_Toc93"/>
      <w:bookmarkEnd w:id="243"/>
      <w:r>
        <w:rPr>
          <w:rtl w:val="true"/>
        </w:rPr>
        <w:t>جواز المخالفة الالتزامیّة للعلم الإجمالی</w:t>
      </w:r>
      <w:r>
        <w:rPr>
          <w:rtl w:val="true"/>
        </w:rPr>
        <w:t>:</w:t>
      </w:r>
      <w:bookmarkEnd w:id="244"/>
    </w:p>
    <w:p>
      <w:pPr>
        <w:pStyle w:val="BookText"/>
        <w:rPr/>
      </w:pPr>
      <w:r>
        <w:rPr>
          <w:rFonts w:ascii="IRNazanin" w:hAnsi="IRNazanin" w:eastAsia="IRNazanin"/>
          <w:color w:val="111111"/>
          <w:sz w:val="28"/>
          <w:sz w:val="28"/>
          <w:szCs w:val="28"/>
          <w:rtl w:val="true"/>
          <w:lang w:bidi="fa-IR"/>
        </w:rPr>
        <w:t>أمّا المخالفة الغیر العملیّة،فالظاهر جوازها فی الشبهة الموضوعیّة و الحکمیة معا،سواء کان الاشتباه و التردید بین حکمین لموضوع واحد کالمثالین المتقدّمین،أو بین حکمین لموضوعین،کطهارة البدن و بقاء الحدث لمن توضّأ غفلة بمائع مردّد بین الماء و البول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الشبهة الموضوعیّة؛فلأنّ الأصل فی الشبهة الموضوعیّة إنّما یخرج مجراه عن موضوع التکلیفین،فیقال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الأصل عدم تعلّق الحلف بوطء هذه و عدم تعلّق الحلف بترک وطئها،فتخرج المرأة بذلک عن موضوع حکمی التحریم و الوجوب،فیحکم </w:t>
      </w:r>
      <w:r>
        <w:rPr>
          <w:rStyle w:val="FootnoteAnchor"/>
          <w:rtl w:val="true"/>
        </w:rPr>
        <w:footnoteReference w:id="231"/>
      </w:r>
      <w:r>
        <w:rPr>
          <w:rFonts w:ascii="IRNazanin" w:hAnsi="IRNazanin" w:eastAsia="IRNazanin"/>
          <w:color w:val="111111"/>
          <w:sz w:val="28"/>
          <w:sz w:val="28"/>
          <w:szCs w:val="28"/>
          <w:rtl w:val="true"/>
          <w:lang w:bidi="fa-IR"/>
        </w:rPr>
        <w:t>بالإباحة؛لأجل الخروج عن موضوع الوجوب و الحرمة،لا لأجل طرحهما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الکلام فی </w:t>
      </w:r>
    </w:p>
    <w:p>
      <w:pPr>
        <w:pStyle w:val="BookText"/>
        <w:rPr/>
      </w:pPr>
      <w:r>
        <w:rPr>
          <w:rFonts w:ascii="IRNazanin" w:hAnsi="IRNazanin" w:eastAsia="IRNazanin"/>
          <w:color w:val="111111"/>
          <w:sz w:val="28"/>
          <w:sz w:val="28"/>
          <w:szCs w:val="28"/>
          <w:rtl w:val="true"/>
          <w:lang w:bidi="fa-IR"/>
        </w:rPr>
        <w:t>الحکم بطهارة البدن و بقاء الحدث فی الوضوء بالمائع المردّد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الشبهة الحکمیّة؛فلأنّ الاصول الجاریة فیها و إن لم تخرج مجراها عن موضوع الحکم الواقعی،بل کانت منافیة لنفس الحکم </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کأصالة الإباحة مع العلم بالوجوب أو الحرمة؛فإنّ الاصول فی هذه منافیة لنفس الحکم الواقعی المعلوم إجمالا،لا مخرجة عن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الحکم الواقعی المعلوم إجمالا لا یترتّب علیه أثر إلاّ وجوب الإطاعة و حرمة المعصیة </w:t>
      </w:r>
      <w:r>
        <w:rPr>
          <w:rStyle w:val="FootnoteAnchor"/>
          <w:rtl w:val="true"/>
        </w:rPr>
        <w:footnoteReference w:id="233"/>
      </w:r>
      <w:r>
        <w:rPr>
          <w:rFonts w:ascii="IRNazanin" w:hAnsi="IRNazanin" w:eastAsia="IRNazanin"/>
          <w:color w:val="111111"/>
          <w:sz w:val="28"/>
          <w:sz w:val="28"/>
          <w:szCs w:val="28"/>
          <w:rtl w:val="true"/>
          <w:lang w:bidi="fa-IR"/>
        </w:rPr>
        <w:t>،و المفروض أنّه لا یلزم من إعمال الاصول مخالفة عملیّة له لیتحقّق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وجوب الالتزام بالحکم الواقعی مع قطع النظر عن العمل غیر ثابت؛لأنّ الالتزام بالأحکام الفرعیّة إنّما یجب مقدّمة للعمل، و لیست کالاصول الاعتقادیة یطلب فیها الالتزام و الاعتقاد من حیث الذات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فرض ثبوت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 أو نقلا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وجوب الالتزام بحکم اللّه الواقعی،لم ینفع؛لأنّ </w:t>
      </w:r>
      <w:r>
        <w:rPr>
          <w:rStyle w:val="FootnoteAnchor"/>
          <w:rtl w:val="true"/>
        </w:rPr>
        <w:footnoteReference w:id="234"/>
      </w:r>
      <w:r>
        <w:rPr>
          <w:rFonts w:ascii="IRNazanin" w:hAnsi="IRNazanin" w:eastAsia="IRNazanin"/>
          <w:color w:val="111111"/>
          <w:sz w:val="28"/>
          <w:sz w:val="28"/>
          <w:szCs w:val="28"/>
          <w:rtl w:val="true"/>
          <w:lang w:bidi="fa-IR"/>
        </w:rPr>
        <w:t>الاصول تحکم فی مجاریها بانتفاء الحکم الواقعی،فهی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کالاصول فی الشبهة الموضوعیّة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مخرجة لمجاریها عن موضوع ذلک الحکم،أعنی وجوب الأخذ </w:t>
      </w:r>
      <w:r>
        <w:rPr>
          <w:rStyle w:val="FootnoteAnchor"/>
          <w:rtl w:val="true"/>
        </w:rPr>
        <w:footnoteReference w:id="235"/>
      </w:r>
      <w:r>
        <w:rPr>
          <w:rFonts w:ascii="Amiri" w:hAnsi="Amiri" w:eastAsia="Amiri" w:cs="Amiri"/>
          <w:color w:val="111111"/>
          <w:sz w:val="28"/>
          <w:sz w:val="28"/>
          <w:szCs w:val="28"/>
          <w:rtl w:val="true"/>
          <w:lang w:bidi="ar-SA"/>
        </w:rPr>
        <w:t>بحکم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هذا،و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ثبت هذا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أعنی وجوب الأخذ بحکم اللّه و الالتزام به </w:t>
      </w:r>
      <w:r>
        <w:rPr>
          <w:rStyle w:val="FootnoteAnchor"/>
          <w:rtl w:val="true"/>
        </w:rPr>
        <w:footnoteReference w:id="236"/>
      </w:r>
      <w:r>
        <w:rPr>
          <w:rFonts w:ascii="IRNazanin" w:hAnsi="IRNazanin" w:eastAsia="IRNazanin"/>
          <w:color w:val="111111"/>
          <w:sz w:val="28"/>
          <w:sz w:val="28"/>
          <w:szCs w:val="28"/>
          <w:rtl w:val="true"/>
          <w:lang w:bidi="fa-IR"/>
        </w:rPr>
        <w:t>مع قطع النظر عن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تجر الاصول؛لکونها موجبة للمخالفة العملیّة للخطاب التفصیلی أعنی وجوب الالتزام بحکم اللّه،و هو </w:t>
      </w:r>
      <w:r>
        <w:rPr>
          <w:rStyle w:val="FootnoteAnchor"/>
          <w:rtl w:val="true"/>
        </w:rPr>
        <w:footnoteReference w:id="237"/>
      </w:r>
      <w:r>
        <w:rPr>
          <w:rFonts w:ascii="IRNazanin" w:hAnsi="IRNazanin" w:eastAsia="IRNazanin"/>
          <w:color w:val="111111"/>
          <w:sz w:val="28"/>
          <w:sz w:val="28"/>
          <w:szCs w:val="28"/>
          <w:rtl w:val="true"/>
          <w:lang w:bidi="fa-IR"/>
        </w:rPr>
        <w:t>غیر جائز حتّی فی الشبهة الموضوعیّة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سیجیء </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فیخرج عن المخالفة الغیر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فرض قیام الدلیل علی وجوب الالتزام بما جاء به الشارع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فالتحقیق </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طرح </w:t>
      </w:r>
      <w:r>
        <w:rPr>
          <w:rStyle w:val="FootnoteAnchor"/>
          <w:rtl w:val="true"/>
        </w:rPr>
        <w:footnoteReference w:id="241"/>
      </w:r>
      <w:r>
        <w:rPr>
          <w:rFonts w:ascii="IRNazanin" w:hAnsi="IRNazanin" w:eastAsia="IRNazanin"/>
          <w:color w:val="111111"/>
          <w:sz w:val="28"/>
          <w:sz w:val="28"/>
          <w:szCs w:val="28"/>
          <w:rtl w:val="true"/>
          <w:lang w:bidi="fa-IR"/>
        </w:rPr>
        <w:t xml:space="preserve">الحکم الواقعی و لو کان معلوما تفصیلا لیس محرّما إلاّ من حیث کونها معصیة دلّ العقل علی قبحها و استحقاق العقاب بها </w:t>
      </w:r>
      <w:r>
        <w:rPr>
          <w:rStyle w:val="FootnoteAnchor"/>
          <w:rtl w:val="true"/>
        </w:rPr>
        <w:footnoteReference w:id="242"/>
      </w:r>
      <w:r>
        <w:rPr>
          <w:rFonts w:ascii="IRNazanin" w:hAnsi="IRNazanin" w:eastAsia="IRNazanin"/>
          <w:color w:val="111111"/>
          <w:sz w:val="28"/>
          <w:sz w:val="28"/>
          <w:szCs w:val="28"/>
          <w:rtl w:val="true"/>
          <w:lang w:bidi="fa-IR"/>
        </w:rPr>
        <w:t xml:space="preserve">،فإذا فرض العلم تفصیلا بوجوب شیء </w:t>
      </w:r>
      <w:r>
        <w:rPr>
          <w:rStyle w:val="FootnoteAnchor"/>
          <w:rtl w:val="true"/>
        </w:rPr>
        <w:footnoteReference w:id="243"/>
      </w:r>
      <w:r>
        <w:rPr>
          <w:rFonts w:ascii="Amiri" w:hAnsi="Amiri" w:eastAsia="Amiri" w:cs="Amiri"/>
          <w:color w:val="111111"/>
          <w:sz w:val="28"/>
          <w:sz w:val="28"/>
          <w:szCs w:val="28"/>
          <w:rtl w:val="true"/>
          <w:lang w:bidi="ar-SA"/>
        </w:rPr>
        <w:t xml:space="preserve">فلم یلتزم به المکلّف إلاّ أنّه </w:t>
      </w:r>
      <w:r>
        <w:rPr>
          <w:rStyle w:val="FootnoteAnchor"/>
          <w:rtl w:val="true"/>
        </w:rPr>
        <w:footnoteReference w:id="244"/>
      </w:r>
      <w:r>
        <w:rPr>
          <w:rFonts w:ascii="IRNazanin" w:hAnsi="IRNazanin" w:eastAsia="IRNazanin"/>
          <w:color w:val="111111"/>
          <w:sz w:val="28"/>
          <w:sz w:val="28"/>
          <w:szCs w:val="28"/>
          <w:rtl w:val="true"/>
          <w:lang w:bidi="fa-IR"/>
        </w:rPr>
        <w:t>فعله لا لداعی الوجوب،لم یکن علیه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نعم،لو </w:t>
      </w:r>
      <w:bookmarkStart w:id="245" w:name="pg12977_114128"/>
    </w:p>
    <w:p>
      <w:pPr>
        <w:pStyle w:val="BookText"/>
        <w:rPr/>
      </w:pPr>
      <w:bookmarkEnd w:id="245"/>
      <w:r>
        <w:rPr>
          <w:rFonts w:ascii="IRNazanin" w:hAnsi="IRNazanin" w:eastAsia="IRNazanin"/>
          <w:color w:val="111111"/>
          <w:sz w:val="28"/>
          <w:sz w:val="28"/>
          <w:szCs w:val="28"/>
          <w:rtl w:val="true"/>
          <w:lang w:bidi="fa-IR"/>
        </w:rPr>
        <w:t xml:space="preserve">اخذ فی ذلک الفعل نیّة </w:t>
      </w:r>
      <w:r>
        <w:rPr>
          <w:rStyle w:val="FootnoteAnchor"/>
          <w:rtl w:val="true"/>
        </w:rPr>
        <w:footnoteReference w:id="245"/>
      </w:r>
      <w:r>
        <w:rPr>
          <w:rFonts w:ascii="IRNazanin" w:hAnsi="IRNazanin" w:eastAsia="IRNazanin"/>
          <w:color w:val="111111"/>
          <w:sz w:val="28"/>
          <w:sz w:val="28"/>
          <w:szCs w:val="28"/>
          <w:rtl w:val="true"/>
          <w:lang w:bidi="fa-IR"/>
        </w:rPr>
        <w:t xml:space="preserve">القربة،فالإتیان به لا للوجوب مخالفة عملیّة و معصیة؛لترک المأمور به؛و لذا قیّدنا الوجوب و التحریم فی صدر المسألة </w:t>
      </w:r>
      <w:r>
        <w:rPr>
          <w:rStyle w:val="FootnoteAnchor"/>
          <w:rtl w:val="true"/>
        </w:rPr>
        <w:footnoteReference w:id="246"/>
      </w:r>
      <w:r>
        <w:rPr>
          <w:rFonts w:ascii="IRNazanin" w:hAnsi="IRNazanin" w:eastAsia="IRNazanin"/>
          <w:color w:val="111111"/>
          <w:sz w:val="28"/>
          <w:sz w:val="28"/>
          <w:szCs w:val="28"/>
          <w:rtl w:val="true"/>
          <w:lang w:bidi="fa-IR"/>
        </w:rPr>
        <w:t xml:space="preserve">بغیر ما علم کون أحدهما المعیّن تعبّدیّا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کان هذا حال العلم التفصیلی،فإذا علم إجمالا بحکم مردّد بین الحکمین،و فرضنا إجراء الأصل فی نفی الحکمین اللذین علم بکون أحدهما حکم الشارع،و المفروض أیضا عدم مخالفتهما </w:t>
      </w:r>
      <w:r>
        <w:rPr>
          <w:rStyle w:val="FootnoteAnchor"/>
          <w:rtl w:val="true"/>
        </w:rPr>
        <w:footnoteReference w:id="248"/>
      </w:r>
      <w:r>
        <w:rPr>
          <w:rFonts w:ascii="IRNazanin" w:hAnsi="IRNazanin" w:eastAsia="IRNazanin"/>
          <w:color w:val="111111"/>
          <w:sz w:val="28"/>
          <w:sz w:val="28"/>
          <w:szCs w:val="28"/>
          <w:rtl w:val="true"/>
          <w:lang w:bidi="fa-IR"/>
        </w:rPr>
        <w:t xml:space="preserve">فی العمل، فلا معصیة و لا قبح،بل و کذلک لو فرضنا عدم جریان الأصل؛لما عرفت من ثبوت ذلک فی العلم التفصیلی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6" w:name="__RefHeading___Toc5446625_3224264995"/>
      <w:bookmarkStart w:id="247" w:name="_Toc94"/>
      <w:bookmarkEnd w:id="246"/>
      <w:r>
        <w:rPr>
          <w:rtl w:val="true"/>
        </w:rPr>
        <w:t>المخالفة الالتزامیّة لیست مخالفة</w:t>
      </w:r>
      <w:r>
        <w:rPr>
          <w:rtl w:val="true"/>
        </w:rPr>
        <w:t>:</w:t>
      </w:r>
      <w:bookmarkEnd w:id="247"/>
    </w:p>
    <w:p>
      <w:pPr>
        <w:pStyle w:val="BookText"/>
        <w:rPr/>
      </w:pPr>
      <w:r>
        <w:rPr>
          <w:rFonts w:ascii="IRNazanin" w:hAnsi="IRNazanin" w:eastAsia="IRNazanin"/>
          <w:color w:val="111111"/>
          <w:sz w:val="28"/>
          <w:sz w:val="28"/>
          <w:szCs w:val="28"/>
          <w:rtl w:val="true"/>
          <w:lang w:bidi="fa-IR"/>
        </w:rPr>
        <w:t>فملخّص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المخالفة من حیث الالتزام لیست مخالفة، و مخالفة الأحکام الفرعیّة إنّما هی فی العمل،و لا عبرة بالالتزام و عدمه</w:t>
      </w:r>
      <w:r>
        <w:rPr>
          <w:rFonts w:eastAsia="IRNazanin" w:cs="IRNazanin"/>
          <w:color w:val="111111"/>
          <w:sz w:val="28"/>
          <w:szCs w:val="28"/>
          <w:rtl w:val="true"/>
          <w:lang w:bidi="fa-IR"/>
        </w:rPr>
        <w:t>.</w:t>
      </w:r>
    </w:p>
    <w:p>
      <w:pPr>
        <w:pStyle w:val="Heading6"/>
        <w:numPr>
          <w:ilvl w:val="5"/>
          <w:numId w:val="1"/>
        </w:numPr>
        <w:rPr/>
      </w:pPr>
      <w:bookmarkStart w:id="248" w:name="__RefHeading___Toc5446627_3224264995"/>
      <w:bookmarkStart w:id="249" w:name="_Toc95"/>
      <w:bookmarkEnd w:id="248"/>
      <w:r>
        <w:rPr>
          <w:rtl w:val="true"/>
        </w:rPr>
        <w:t>دلیل الجواز بوجه أخصر</w:t>
      </w:r>
      <w:r>
        <w:rPr>
          <w:rtl w:val="true"/>
        </w:rPr>
        <w:t>:</w:t>
      </w:r>
      <w:bookmarkEnd w:id="249"/>
    </w:p>
    <w:p>
      <w:pPr>
        <w:pStyle w:val="BookText"/>
        <w:rPr/>
      </w:pPr>
      <w:r>
        <w:rPr>
          <w:rFonts w:ascii="IRNazanin" w:hAnsi="IRNazanin" w:eastAsia="IRNazanin"/>
          <w:color w:val="111111"/>
          <w:sz w:val="28"/>
          <w:sz w:val="28"/>
          <w:szCs w:val="28"/>
          <w:rtl w:val="true"/>
          <w:lang w:bidi="fa-IR"/>
        </w:rPr>
        <w:t>و یمکن أن یقرّر دلیل الجواز بوجه أخصر،و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وجب الالتزام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بأحدهما المعیّن واقعا فهو تکلیف من غیر بیان، و لا یلتزمه أحد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إن کان بأحدهما المخیّر فیه </w:t>
      </w:r>
      <w:r>
        <w:rPr>
          <w:rStyle w:val="FootnoteAnchor"/>
          <w:rtl w:val="true"/>
        </w:rPr>
        <w:footnoteReference w:id="251"/>
      </w:r>
      <w:r>
        <w:rPr>
          <w:rFonts w:ascii="IRNazanin" w:hAnsi="IRNazanin" w:eastAsia="IRNazanin"/>
          <w:color w:val="111111"/>
          <w:sz w:val="28"/>
          <w:sz w:val="28"/>
          <w:szCs w:val="28"/>
          <w:rtl w:val="true"/>
          <w:lang w:bidi="fa-IR"/>
        </w:rPr>
        <w:t xml:space="preserve">فهذا لا یمکن أن یثبت بذلک الخطاب الواقعی المجمل،فلا بدّ له من خطاب آخر عقلی أو نقلی </w:t>
      </w:r>
      <w:r>
        <w:rPr>
          <w:rStyle w:val="FootnoteAnchor"/>
          <w:rtl w:val="true"/>
        </w:rPr>
        <w:footnoteReference w:id="252"/>
      </w:r>
      <w:r>
        <w:rPr>
          <w:rFonts w:ascii="IRNazanin" w:hAnsi="IRNazanin" w:eastAsia="IRNazanin"/>
          <w:color w:val="111111"/>
          <w:sz w:val="28"/>
          <w:sz w:val="28"/>
          <w:szCs w:val="28"/>
          <w:rtl w:val="true"/>
          <w:lang w:bidi="fa-IR"/>
        </w:rPr>
        <w:t>،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لا 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معقول؛لأنّ الغرض من هذا الخطاب المفروض کونه توصّلیا،حصول مضمونه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إیقاع الفعل أو الترک تخییرا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حاصل من دون الخطاب التخییری،فیکون الخطاب طلبا للحاصل،و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المدّعی للخطاب التخییری إنّما یدّعی ثبوته بأن یقصد منه التعبّد بأحد الحکمین،لا مجرّد حصول مضمون أحد الخطابین الذی هو حاصل،فینحصر دفعه حینئذ بعدم </w:t>
      </w:r>
      <w:r>
        <w:rPr>
          <w:rStyle w:val="FootnoteAnchor"/>
          <w:rtl w:val="true"/>
        </w:rPr>
        <w:footnoteReference w:id="253"/>
      </w:r>
      <w:r>
        <w:rPr>
          <w:rFonts w:ascii="IRNazanin" w:hAnsi="IRNazanin" w:eastAsia="IRNazanin"/>
          <w:color w:val="111111"/>
          <w:sz w:val="28"/>
          <w:sz w:val="28"/>
          <w:szCs w:val="28"/>
          <w:rtl w:val="true"/>
          <w:lang w:bidi="fa-IR"/>
        </w:rPr>
        <w:t xml:space="preserve">الدلیل،فافهم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دلیل </w:t>
      </w:r>
      <w:r>
        <w:rPr>
          <w:rStyle w:val="FootnoteAnchor"/>
          <w:rtl w:val="true"/>
        </w:rPr>
        <w:footnoteReference w:id="255"/>
      </w:r>
      <w:r>
        <w:rPr>
          <w:rFonts w:ascii="IRNazanin" w:hAnsi="IRNazanin" w:eastAsia="IRNazanin"/>
          <w:color w:val="111111"/>
          <w:sz w:val="28"/>
          <w:sz w:val="28"/>
          <w:szCs w:val="28"/>
          <w:rtl w:val="true"/>
          <w:lang w:bidi="fa-IR"/>
        </w:rPr>
        <w:t xml:space="preserve">وجوب الالتزام بما جاء به النبیّ صلّی اللّه علیه و آله فلا یثبت إلاّ الالتزام بالحکم الواقعی علی ما هو علیه،لا الالتزام بأحدهما تخییرا عند الشکّ </w:t>
      </w:r>
      <w:r>
        <w:rPr>
          <w:rStyle w:val="FootnoteAnchor"/>
          <w:rtl w:val="true"/>
        </w:rPr>
        <w:footnoteReference w:id="256"/>
      </w:r>
      <w:r>
        <w:rPr>
          <w:rFonts w:ascii="IRNazanin" w:hAnsi="IRNazanin" w:eastAsia="IRNazanin"/>
          <w:color w:val="111111"/>
          <w:sz w:val="28"/>
          <w:sz w:val="28"/>
          <w:szCs w:val="28"/>
          <w:rtl w:val="true"/>
          <w:lang w:bidi="fa-IR"/>
        </w:rPr>
        <w:t xml:space="preserve">،فافهم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لکن الظاهر من جماعة من الأصحاب </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مسألة الإجماع المرکّب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القول بالمنع عن الرجوع إلی حکم علم عدم کونه حکم الإمام علیه السّلام فی الواقع؛و علیه بنوا عدم جواز الفصل فیما علم کون الفصل فیه طرحا لقول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نعم،صرّح غیر واحد من المعاصرین </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تلک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اقتضی الأصلان حکمین یعلم بمخالفة أحدهما للواقع،بجواز العمل بکلیهما،و قاسه بعضهم </w:t>
      </w:r>
      <w:r>
        <w:rPr>
          <w:rStyle w:val="FootnoteAnchor"/>
          <w:rtl w:val="true"/>
        </w:rPr>
        <w:footnoteReference w:id="260"/>
      </w:r>
      <w:r>
        <w:rPr>
          <w:rFonts w:ascii="IRNazanin" w:hAnsi="IRNazanin" w:eastAsia="IRNazanin"/>
          <w:color w:val="111111"/>
          <w:sz w:val="28"/>
          <w:sz w:val="28"/>
          <w:szCs w:val="28"/>
          <w:rtl w:val="true"/>
          <w:lang w:bidi="fa-IR"/>
        </w:rPr>
        <w:t>علی العمل بالأصلین المتنافیین فی الموضوعات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القیاس فی غیر محلّه؛لما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الاصول فی الموضوعات حاکمة علی أدلّة التکلیف؛فإنّ البناء علی عدم تحریم المرأة لأجل البناء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عدم تعلّق الحلف بترک وطئها،فهی </w:t>
      </w:r>
    </w:p>
    <w:p>
      <w:pPr>
        <w:pStyle w:val="BookText"/>
        <w:rPr/>
      </w:pPr>
      <w:r>
        <w:rPr>
          <w:rFonts w:ascii="IRNazanin" w:hAnsi="IRNazanin" w:eastAsia="IRNazanin"/>
          <w:color w:val="111111"/>
          <w:sz w:val="28"/>
          <w:sz w:val="28"/>
          <w:szCs w:val="28"/>
          <w:rtl w:val="true"/>
          <w:lang w:bidi="fa-IR"/>
        </w:rPr>
        <w:t>خارجة عن موضوع الحکم بتحریم وطء من حلف علی ترک وطئها و کذا الحکم بعدم وجوب وطئها لأجل البناء علی عدم الحلف علی وطئها،فهی خارجة عن موضوع الحکم بوجوب وطء من حلف علی وطئها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بخلاف الشبهة الحکمیّة؛فإنّ الأصل فیها معارض لنفس الحکم المعلوم بالإجمال،و لیس مخرجا لمجراه عن موضوعه حتّی لا ینافیه جعل </w:t>
      </w:r>
      <w:r>
        <w:rPr>
          <w:rStyle w:val="FootnoteAnchor"/>
          <w:rtl w:val="true"/>
        </w:rPr>
        <w:footnoteReference w:id="261"/>
      </w:r>
      <w:r>
        <w:rPr>
          <w:rFonts w:ascii="IRNazanin" w:hAnsi="IRNazanin" w:eastAsia="IRNazanin"/>
          <w:color w:val="111111"/>
          <w:sz w:val="28"/>
          <w:sz w:val="28"/>
          <w:szCs w:val="28"/>
          <w:rtl w:val="true"/>
          <w:lang w:bidi="fa-IR"/>
        </w:rPr>
        <w:t>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المقدار من الفرق غیر مجد؛إذ اللازم من منافاة الاصول لنفس الحکم الواقعی،حتّی مع العلم التفصیلی و معارضتها له، هو کون العمل بالاصول موجبا لطرح الحکم الواقعی من حیث الالتزام، فإذا فرض جواز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العقل و النقل </w:t>
      </w:r>
      <w:r>
        <w:rPr>
          <w:rStyle w:val="FootnoteAnchor"/>
          <w:rtl w:val="true"/>
        </w:rPr>
        <w:footnoteReference w:id="262"/>
      </w:r>
      <w:r>
        <w:rPr>
          <w:rFonts w:ascii="Amiri" w:hAnsi="Amiri" w:eastAsia="Amiri" w:cs="Amiri"/>
          <w:color w:val="111111"/>
          <w:sz w:val="28"/>
          <w:sz w:val="28"/>
          <w:szCs w:val="28"/>
          <w:rtl w:val="true"/>
          <w:lang w:bidi="ar-SA"/>
        </w:rPr>
        <w:t xml:space="preserve">لم یدلاّ </w:t>
      </w:r>
      <w:r>
        <w:rPr>
          <w:rStyle w:val="FootnoteAnchor"/>
          <w:rtl w:val="true"/>
        </w:rPr>
        <w:footnoteReference w:id="263"/>
      </w:r>
      <w:r>
        <w:rPr>
          <w:rFonts w:ascii="IRNazanin" w:hAnsi="IRNazanin" w:eastAsia="IRNazanin"/>
          <w:color w:val="111111"/>
          <w:sz w:val="28"/>
          <w:sz w:val="28"/>
          <w:szCs w:val="28"/>
          <w:rtl w:val="true"/>
          <w:lang w:bidi="fa-IR"/>
        </w:rPr>
        <w:t>إلاّ علی حرمة المخالفة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الطرح من حیث الالتزام مانعا عن إجراء الاصول المتنافیة فی الواقع</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یبعد حمل إطلاق کلمات العلماء فی عدم جواز طرح قول الإمام علیه السّلام فی مسألة الإجماع،علی طرحه من حیث العمل؛إذ هو المسلّم المعروف من طرح قول الحجّة،فراجع کلماتهم فیما إذا اختلفت الامّة علی قولین و لم یکن مع أحدهما دلیل؛فإنّ ظاهر الشیخ رحمه اللّه </w:t>
      </w:r>
      <w:r>
        <w:rPr>
          <w:rStyle w:val="FootnoteAnchor"/>
          <w:rtl w:val="true"/>
        </w:rPr>
        <w:footnoteReference w:id="264"/>
      </w:r>
      <w:r>
        <w:rPr>
          <w:rFonts w:ascii="IRNazanin" w:hAnsi="IRNazanin" w:eastAsia="IRNazanin"/>
          <w:color w:val="111111"/>
          <w:sz w:val="28"/>
          <w:sz w:val="28"/>
          <w:szCs w:val="28"/>
          <w:rtl w:val="true"/>
          <w:lang w:bidi="fa-IR"/>
        </w:rPr>
        <w:t xml:space="preserve">الحکم بالتخییر الواقعی،و ظاهر المنقول عن بعض طرحهما و الرجوع إلی </w:t>
      </w:r>
    </w:p>
    <w:p>
      <w:pPr>
        <w:pStyle w:val="BookText"/>
        <w:rPr/>
      </w:pPr>
      <w:r>
        <w:rPr>
          <w:rFonts w:ascii="IRNazanin" w:hAnsi="IRNazanin" w:eastAsia="IRNazanin"/>
          <w:color w:val="111111"/>
          <w:sz w:val="28"/>
          <w:sz w:val="28"/>
          <w:szCs w:val="28"/>
          <w:rtl w:val="true"/>
          <w:lang w:bidi="fa-IR"/>
        </w:rPr>
        <w:t xml:space="preserve">الأصل </w:t>
      </w:r>
      <w:r>
        <w:rPr>
          <w:rStyle w:val="FootnoteAnchor"/>
          <w:rtl w:val="true"/>
        </w:rPr>
        <w:footnoteReference w:id="265"/>
      </w:r>
      <w:r>
        <w:rPr>
          <w:rFonts w:ascii="IRNazanin" w:hAnsi="IRNazanin" w:eastAsia="IRNazanin"/>
          <w:color w:val="111111"/>
          <w:sz w:val="28"/>
          <w:sz w:val="28"/>
          <w:szCs w:val="28"/>
          <w:rtl w:val="true"/>
          <w:lang w:bidi="fa-IR"/>
        </w:rPr>
        <w:t>،و لا ریب أنّ فی کلیهما طرحا للحکم الواقعی؛لأنّ التخییر الواقعی کالأصل حکم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نعم،ظاهرهم فی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الأمر بین الوجوب و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الاتّفاق علی عدم الرجوع إلی الإباحة،و إن اختلفوا بین قائل بالتخییر </w:t>
      </w:r>
      <w:r>
        <w:rPr>
          <w:rStyle w:val="FootnoteAnchor"/>
          <w:rtl w:val="true"/>
        </w:rPr>
        <w:footnoteReference w:id="266"/>
      </w:r>
      <w:r>
        <w:rPr>
          <w:rFonts w:ascii="IRNazanin" w:hAnsi="IRNazanin" w:eastAsia="IRNazanin"/>
          <w:color w:val="111111"/>
          <w:sz w:val="28"/>
          <w:sz w:val="28"/>
          <w:szCs w:val="28"/>
          <w:rtl w:val="true"/>
          <w:lang w:bidi="fa-IR"/>
        </w:rPr>
        <w:t xml:space="preserve">،و قائل بتعیین الأخذ بالحرمة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یخلو عن قوّة؛لأنّ المخالفة العملیّة التی لا تلزم فی المقام هی المخالفة دفعة و </w:t>
      </w:r>
      <w:r>
        <w:rPr>
          <w:rStyle w:val="FootnoteAnchor"/>
          <w:rtl w:val="true"/>
        </w:rPr>
        <w:footnoteReference w:id="268"/>
      </w:r>
      <w:r>
        <w:rPr>
          <w:rFonts w:ascii="IRNazanin" w:hAnsi="IRNazanin" w:eastAsia="IRNazanin"/>
          <w:color w:val="111111"/>
          <w:sz w:val="28"/>
          <w:sz w:val="28"/>
          <w:szCs w:val="28"/>
          <w:rtl w:val="true"/>
          <w:lang w:bidi="fa-IR"/>
        </w:rPr>
        <w:t xml:space="preserve">فی واقعة </w:t>
      </w:r>
      <w:r>
        <w:rPr>
          <w:rStyle w:val="FootnoteAnchor"/>
          <w:rtl w:val="true"/>
        </w:rPr>
        <w:footnoteReference w:id="269"/>
      </w:r>
      <w:r>
        <w:rPr>
          <w:rFonts w:ascii="IRNazanin" w:hAnsi="IRNazanin" w:eastAsia="IRNazanin"/>
          <w:color w:val="111111"/>
          <w:sz w:val="28"/>
          <w:sz w:val="28"/>
          <w:szCs w:val="28"/>
          <w:rtl w:val="true"/>
          <w:lang w:bidi="fa-IR"/>
        </w:rPr>
        <w:t xml:space="preserve">،و أمّا المخالفة تدریجا و </w:t>
      </w:r>
      <w:r>
        <w:rPr>
          <w:rStyle w:val="FootnoteAnchor"/>
          <w:rtl w:val="true"/>
        </w:rPr>
        <w:footnoteReference w:id="270"/>
      </w:r>
      <w:r>
        <w:rPr>
          <w:rFonts w:ascii="IRNazanin" w:hAnsi="IRNazanin" w:eastAsia="IRNazanin"/>
          <w:color w:val="111111"/>
          <w:sz w:val="28"/>
          <w:sz w:val="28"/>
          <w:szCs w:val="28"/>
          <w:rtl w:val="true"/>
          <w:lang w:bidi="fa-IR"/>
        </w:rPr>
        <w:t xml:space="preserve">فی واقعتین فهی لازمة البتة،و العقل کما یحکم بقبح المخالفة دفعة عن قصد و عمد </w:t>
      </w:r>
      <w:r>
        <w:rPr>
          <w:rStyle w:val="FootnoteAnchor"/>
          <w:rtl w:val="true"/>
        </w:rPr>
        <w:footnoteReference w:id="271"/>
      </w:r>
      <w:r>
        <w:rPr>
          <w:rFonts w:ascii="IRNazanin" w:hAnsi="IRNazanin" w:eastAsia="IRNazanin"/>
          <w:color w:val="111111"/>
          <w:sz w:val="28"/>
          <w:sz w:val="28"/>
          <w:szCs w:val="28"/>
          <w:rtl w:val="true"/>
          <w:lang w:bidi="fa-IR"/>
        </w:rPr>
        <w:t xml:space="preserve">،کذلک یحکم بحرمة المخالفة فی واقعتین تدریجا عن قصد إلیها من غیر تعبّد </w:t>
      </w:r>
      <w:r>
        <w:rPr>
          <w:rStyle w:val="FootnoteAnchor"/>
          <w:rtl w:val="true"/>
        </w:rPr>
        <w:footnoteReference w:id="272"/>
      </w:r>
      <w:r>
        <w:rPr>
          <w:rFonts w:ascii="IRNazanin" w:hAnsi="IRNazanin" w:eastAsia="IRNazanin"/>
          <w:color w:val="111111"/>
          <w:sz w:val="28"/>
          <w:sz w:val="28"/>
          <w:szCs w:val="28"/>
          <w:rtl w:val="true"/>
          <w:lang w:bidi="fa-IR"/>
        </w:rPr>
        <w:t>بحکم ظاهری عند کلّ واقعة،و حینئذ فیجب بحکم العقل الالتزام بالفعل أو الترک؛إذ فی عدمه ارتکاب لما هو مبغوض للشارع یقینا عن قصد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تعدّد الواقعة إنّما یجدی مع الإذن من الشارع عند کلّ واقعة، </w:t>
      </w:r>
    </w:p>
    <w:p>
      <w:pPr>
        <w:pStyle w:val="BookText"/>
        <w:rPr/>
      </w:pPr>
      <w:r>
        <w:rPr>
          <w:rFonts w:ascii="IRNazanin" w:hAnsi="IRNazanin" w:eastAsia="IRNazanin"/>
          <w:color w:val="111111"/>
          <w:sz w:val="28"/>
          <w:sz w:val="28"/>
          <w:szCs w:val="28"/>
          <w:rtl w:val="true"/>
          <w:lang w:bidi="fa-IR"/>
        </w:rPr>
        <w:t>کما فی تخییر الشارع للمقلّد بین قولی المجتهدین تخییرا مستمرّا یجوز معه الرجوع عن أحدهما إلی الآخر،و أمّا مع عدمه فالقادم علی ما هو مبغوض للشارع یستحقّ عقلا العقاب علی ارتکاب ذلک المبغوض،أمّا لو التزم بأحد الاحتمالین قبح عقابه علی مخالفة الواقع لو اتّفقت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استفادة الحکم أیضا من فحوی أخبار التخییر عند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هذا الکلام لا یجری فی الشبهة الواحدة التی لم تتعدّد فیها الواقعة حتّی تحصل المخالفة العملیّة تدریجا،فالمانع فی الحقیقة هی المخالفة العملیة القطعیة و لو تدریجا مع عدم التعبّد بدلیل ظاهریّ،فتأمّل جدّا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فی المخالفة القطعیّة للحکم المعلوم إجمالا من حیث الالتزام،بأن لا یلتزم به أو یلتزم بعدمه فی مرحلة الظاهر إذا اقتضت الاصول ذلک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bookmarkStart w:id="250" w:name="pg12977_114134"/>
    </w:p>
    <w:p>
      <w:pPr>
        <w:pStyle w:val="Heading6"/>
        <w:numPr>
          <w:ilvl w:val="5"/>
          <w:numId w:val="1"/>
        </w:numPr>
        <w:rPr/>
      </w:pPr>
      <w:bookmarkStart w:id="251" w:name="__RefHeading___Toc5446629_3224264995"/>
      <w:bookmarkStart w:id="252" w:name="_Toc96"/>
      <w:bookmarkEnd w:id="250"/>
      <w:bookmarkEnd w:id="251"/>
      <w:r>
        <w:rPr>
          <w:rtl w:val="true"/>
        </w:rPr>
        <w:t>المخالفة العملیّة للعلم الإجمالی</w:t>
      </w:r>
      <w:r>
        <w:rPr>
          <w:rtl w:val="true"/>
        </w:rPr>
        <w:t>:</w:t>
      </w:r>
      <w:bookmarkEnd w:id="252"/>
    </w:p>
    <w:p>
      <w:pPr>
        <w:pStyle w:val="BookText"/>
        <w:rPr/>
      </w:pPr>
      <w:r>
        <w:rPr>
          <w:rFonts w:ascii="IRNazanin" w:hAnsi="IRNazanin" w:eastAsia="IRNazanin"/>
          <w:color w:val="111111"/>
          <w:sz w:val="28"/>
          <w:sz w:val="28"/>
          <w:szCs w:val="28"/>
          <w:rtl w:val="true"/>
          <w:lang w:bidi="fa-IR"/>
        </w:rPr>
        <w:t>و أمّا المخالفة العملیّة</w:t>
      </w:r>
      <w:r>
        <w:rPr>
          <w:rFonts w:eastAsia="IRNazanin" w:cs="IRNazanin"/>
          <w:color w:val="111111"/>
          <w:sz w:val="28"/>
          <w:szCs w:val="28"/>
          <w:rtl w:val="true"/>
          <w:lang w:bidi="fa-IR"/>
        </w:rPr>
        <w:t>:</w:t>
      </w:r>
    </w:p>
    <w:p>
      <w:pPr>
        <w:pStyle w:val="Heading6"/>
        <w:numPr>
          <w:ilvl w:val="5"/>
          <w:numId w:val="1"/>
        </w:numPr>
        <w:rPr/>
      </w:pPr>
      <w:bookmarkStart w:id="253" w:name="__RefHeading___Toc5446631_3224264995"/>
      <w:bookmarkStart w:id="254" w:name="_Toc97"/>
      <w:bookmarkEnd w:id="253"/>
      <w:r>
        <w:rPr>
          <w:rtl w:val="true"/>
        </w:rPr>
        <w:t>لو کانت المخالفة لخطاب تفصیلی</w:t>
      </w:r>
      <w:r>
        <w:rPr>
          <w:rtl w:val="true"/>
        </w:rPr>
        <w:t>:</w:t>
      </w:r>
      <w:bookmarkEnd w:id="254"/>
    </w:p>
    <w:p>
      <w:pPr>
        <w:pStyle w:val="BookText"/>
        <w:rPr/>
      </w:pPr>
      <w:r>
        <w:rPr>
          <w:rFonts w:ascii="IRNazanin" w:hAnsi="IRNazanin" w:eastAsia="IRNazanin"/>
          <w:color w:val="111111"/>
          <w:sz w:val="28"/>
          <w:sz w:val="28"/>
          <w:szCs w:val="28"/>
          <w:rtl w:val="true"/>
          <w:lang w:bidi="fa-IR"/>
        </w:rPr>
        <w:t>فإن کانت لخطاب تفصیلیّ،فالظاهر عدم جوازها،سواء کانت فی الشبهة الموضوعیّة،کارتکاب الإناءین المشتبهین المخالف لقول الشارع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275"/>
      </w:r>
      <w:r>
        <w:rPr>
          <w:rFonts w:ascii="IRNazanin" w:hAnsi="IRNazanin" w:eastAsia="IRNazanin"/>
          <w:color w:val="111111"/>
          <w:sz w:val="28"/>
          <w:sz w:val="28"/>
          <w:szCs w:val="28"/>
          <w:rtl w:val="true"/>
          <w:lang w:bidi="fa-IR"/>
        </w:rPr>
        <w:t>کترک القصر و الإتمام فی موارد اشتباه الحکم؛ لأنّ ذلک معصیة لذلک الخطاب؛لأنّ المفروض وجوب الاجتناب عن النجس الموجود بین الإناءین،و وجوب صلاة الظهر و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قصرا أو إتماما </w:t>
      </w:r>
      <w:r>
        <w:rPr>
          <w:rStyle w:val="FootnoteAnchor"/>
          <w:rtl w:val="true"/>
        </w:rPr>
        <w:footnoteReference w:id="276"/>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زیدا،و اشتبه بین شخصین؛فإنّ ترک إکرامهما 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أجرینا أصالة الطهارة فی کلّ من الإناءین و أخرجناهما عن موضوع النجس بحکم الشارع،فلیس فی ارتکابهما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طهارة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لقول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النجس</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أصالة الطهارة فی کلّ منهما بالخصوص إنّما یوجب جواز ارتکابه من حیث هو،و أمّا الإناء النجس الموجود بینهما فلا أصل یدلّ علی طهارته؛لأنّه نجس یقینا،فلا بدّ إمّا من اجتنابهما؛تحصیلا للموافقة القطعیّة،و إمّا أن یجتنب أحدهما؛فرارا عن المخالفة القطعیّة، علی الاختلاف المذکور فی محلّه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bookmarkStart w:id="255" w:name="pg12977_114135"/>
    </w:p>
    <w:p>
      <w:pPr>
        <w:pStyle w:val="BookText"/>
        <w:rPr/>
      </w:pPr>
      <w:bookmarkEnd w:id="255"/>
      <w:r>
        <w:rPr>
          <w:rFonts w:ascii="IRNazanin" w:hAnsi="IRNazanin" w:eastAsia="IRNazanin"/>
          <w:color w:val="111111"/>
          <w:sz w:val="28"/>
          <w:sz w:val="28"/>
          <w:szCs w:val="28"/>
          <w:rtl w:val="true"/>
          <w:lang w:bidi="fa-IR"/>
        </w:rPr>
        <w:t>هذا،مع أنّ حکم الشارع بخروج مجری الأصل عن موضوع التکلیف الثابت بالأدلّة الاجتهادیّة لا معنی له إلاّ رفع حکم ذلک الموضوع،فمرجع أصالة الطهارة إلی عدم وجوب الاجتناب المخالف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،فافهم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6" w:name="__RefHeading___Toc5446633_3224264995"/>
      <w:bookmarkStart w:id="257" w:name="_Toc98"/>
      <w:bookmarkEnd w:id="256"/>
      <w:r>
        <w:rPr>
          <w:rtl w:val="true"/>
        </w:rPr>
        <w:t>لو کانت المخالفة لخطاب مردّد،ففیها وجوه</w:t>
      </w:r>
      <w:r>
        <w:rPr>
          <w:rtl w:val="true"/>
        </w:rPr>
        <w:t>:</w:t>
      </w:r>
      <w:bookmarkEnd w:id="257"/>
    </w:p>
    <w:p>
      <w:pPr>
        <w:pStyle w:val="BookText"/>
        <w:rPr/>
      </w:pPr>
      <w:r>
        <w:rPr>
          <w:rFonts w:ascii="IRNazanin" w:hAnsi="IRNazanin" w:eastAsia="IRNazanin"/>
          <w:color w:val="111111"/>
          <w:sz w:val="28"/>
          <w:sz w:val="28"/>
          <w:szCs w:val="28"/>
          <w:rtl w:val="true"/>
          <w:lang w:bidi="fa-IR"/>
        </w:rPr>
        <w:t>و إن کانت المخالفة مخالفة لخطاب مردّد بین خطابین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إذا علمنا بنجاسة هذا المائع أو بحرمة هذه المرأة،أو علمنا بوجوب الدعاء عند رؤیة هلال شهر </w:t>
      </w:r>
      <w:r>
        <w:rPr>
          <w:rStyle w:val="FootnoteAnchor"/>
          <w:rtl w:val="true"/>
        </w:rPr>
        <w:footnoteReference w:id="279"/>
      </w:r>
      <w:r>
        <w:rPr>
          <w:rFonts w:ascii="IRNazanin" w:hAnsi="IRNazanin" w:eastAsia="IRNazanin"/>
          <w:color w:val="111111"/>
          <w:sz w:val="28"/>
          <w:sz w:val="28"/>
          <w:szCs w:val="28"/>
          <w:rtl w:val="true"/>
          <w:lang w:bidi="fa-IR"/>
        </w:rPr>
        <w:t>رمضان أو بوجوب الصلاة عند ذکر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المخالفة القطعیّة حینئذ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 مطلقا؛لأنّ المردّد بین الخمر و الأجنبیّة لم یقع النهی عنه فی خطاب من الخطابات الشرعیّة حتّی یحرم ارتکابه،و کذا المردّد بین الدعاء و الصلاة؛فإنّ الإطاعة و المعصیة عبارة عن موافقة الخطابات التفصیلیّة و مخالفتها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الجواز مطلقا؛لأنّ مخالفة الشارع قبیحة عقلا مستحقّة للذمّ علیها،و لا یعذر فیها إلاّ الجاهل بها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 بین الشبهة فی الموضوع و الشبهة فی الحکم،فیجوز فی الاولی دون الثانیة </w:t>
      </w:r>
      <w:r>
        <w:rPr>
          <w:rStyle w:val="FootnoteAnchor"/>
          <w:rtl w:val="true"/>
        </w:rPr>
        <w:footnoteReference w:id="280"/>
      </w:r>
      <w:r>
        <w:rPr>
          <w:rFonts w:ascii="IRNazanin" w:hAnsi="IRNazanin" w:eastAsia="IRNazanin"/>
          <w:color w:val="111111"/>
          <w:sz w:val="28"/>
          <w:sz w:val="28"/>
          <w:szCs w:val="28"/>
          <w:rtl w:val="true"/>
          <w:lang w:bidi="fa-IR"/>
        </w:rPr>
        <w:t>لأنّ المخالفة القطعیّة فی الشبهات الموضوعیّة فوق حدّ الإحصاء،بخلاف الشبهات الحکمیّة،کما یظهر من کلماتهم فی مسائل الإجماع المرکّب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کأنّ الوجه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الاصول فی الموضوعات تخرج مجاریها عن موضوعات أدلّة التکلیف،بخلاف الاصول فی الشبهات الحکمیّة؛فإنّها منافیة لنفس الحکم الواقعی المعلوم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عرفت ضعف ذلک،و أنّ مرجع الإخراج الموضوعی إلی رفع الحکم المترتّب </w:t>
      </w:r>
      <w:r>
        <w:rPr>
          <w:rStyle w:val="FootnoteAnchor"/>
          <w:rtl w:val="true"/>
        </w:rPr>
        <w:footnoteReference w:id="281"/>
      </w:r>
      <w:r>
        <w:rPr>
          <w:rFonts w:ascii="IRNazanin" w:hAnsi="IRNazanin" w:eastAsia="IRNazanin"/>
          <w:color w:val="111111"/>
          <w:sz w:val="28"/>
          <w:sz w:val="28"/>
          <w:szCs w:val="28"/>
          <w:rtl w:val="true"/>
          <w:lang w:bidi="fa-IR"/>
        </w:rPr>
        <w:t>علی ذلک،فیکون الأصل فی الموضوع فی الحقیقة منافیا لنفس الدلیل الواقعی،إلاّ أنّه حاکم علیه لا معارض له،فافهم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کون الحکم المشتبه فی موضوعین واحدا بالنوع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کوجوب أحد الشیئین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اختلافه،کوجوب الشیء و حرمة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الخطابات فی الواجبات الشرعیّة بأسرها فی حکم خطاب واحد بفعل الکلّ،فترک البعض معصیة عرفا،کما لو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کذا و کذا و کذا،فإنّه بمنزلة افعلها جمیعا،فلا فرق فی العصیان بین ترک واحد منها معیّنا أو واحد غیر معیّن عنده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نعم،فی وجوب الموافقة القطعیّة بالإتیان بکلّ واحد من المحتملین کلام آخر مبنیّ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مجرّد العلم بالحکم الواقعی یقتضی البراءة الیقینیة </w:t>
      </w:r>
      <w:r>
        <w:rPr>
          <w:rStyle w:val="FootnoteAnchor"/>
          <w:rtl w:val="true"/>
        </w:rPr>
        <w:footnoteReference w:id="282"/>
      </w:r>
      <w:r>
        <w:rPr>
          <w:rFonts w:ascii="IRNazanin" w:hAnsi="IRNazanin" w:eastAsia="IRNazanin"/>
          <w:color w:val="111111"/>
          <w:sz w:val="28"/>
          <w:sz w:val="28"/>
          <w:szCs w:val="28"/>
          <w:rtl w:val="true"/>
          <w:lang w:bidi="fa-IR"/>
        </w:rPr>
        <w:t xml:space="preserve">عنه،أو یکتفی بأحدهما؛حذرا عن المخالفة القطعیّة التی هی بنفسها مذمومة عند العقلاء و یعدّ </w:t>
      </w:r>
      <w:r>
        <w:rPr>
          <w:rStyle w:val="FootnoteAnchor"/>
          <w:rtl w:val="true"/>
        </w:rPr>
        <w:footnoteReference w:id="283"/>
      </w:r>
      <w:r>
        <w:rPr>
          <w:rFonts w:ascii="IRNazanin" w:hAnsi="IRNazanin" w:eastAsia="IRNazanin"/>
          <w:color w:val="111111"/>
          <w:sz w:val="28"/>
          <w:sz w:val="28"/>
          <w:szCs w:val="28"/>
          <w:rtl w:val="true"/>
          <w:lang w:bidi="fa-IR"/>
        </w:rPr>
        <w:t>معصیة عندهم و إن لم یلتزموا الامتثال الیقینی لخطاب مجمل</w:t>
      </w:r>
      <w:r>
        <w:rPr>
          <w:rFonts w:eastAsia="IRNazanin" w:cs="IRNazanin"/>
          <w:color w:val="111111"/>
          <w:sz w:val="28"/>
          <w:szCs w:val="28"/>
          <w:rtl w:val="true"/>
          <w:lang w:bidi="fa-IR"/>
        </w:rPr>
        <w:t xml:space="preserve">. </w:t>
      </w:r>
      <w:bookmarkStart w:id="258" w:name="pg12977_114137"/>
    </w:p>
    <w:p>
      <w:pPr>
        <w:pStyle w:val="Heading6"/>
        <w:numPr>
          <w:ilvl w:val="5"/>
          <w:numId w:val="1"/>
        </w:numPr>
        <w:rPr/>
      </w:pPr>
      <w:bookmarkStart w:id="259" w:name="__RefHeading___Toc5446635_3224264995"/>
      <w:bookmarkStart w:id="260" w:name="_Toc99"/>
      <w:bookmarkEnd w:id="258"/>
      <w:bookmarkEnd w:id="259"/>
      <w:r>
        <w:rPr>
          <w:rtl w:val="true"/>
        </w:rPr>
        <w:t>الأقوی عدم الجواز مطلقا</w:t>
      </w:r>
      <w:r>
        <w:rPr>
          <w:rtl w:val="true"/>
        </w:rPr>
        <w:t>:</w:t>
      </w:r>
      <w:bookmarkEnd w:id="260"/>
    </w:p>
    <w:p>
      <w:pPr>
        <w:pStyle w:val="BookText"/>
        <w:rPr/>
      </w:pPr>
      <w:r>
        <w:rPr>
          <w:rFonts w:ascii="IRNazanin" w:hAnsi="IRNazanin" w:eastAsia="IRNazanin"/>
          <w:color w:val="111111"/>
          <w:sz w:val="28"/>
          <w:sz w:val="28"/>
          <w:szCs w:val="28"/>
          <w:rtl w:val="true"/>
          <w:lang w:bidi="fa-IR"/>
        </w:rPr>
        <w:t>و الأقوی من هذه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الوجه الثانی،ثمّ الأوّل،ثمّ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اشتباه الحکم من حیث الفعل المکلّف به</w:t>
      </w:r>
      <w:r>
        <w:rPr>
          <w:rFonts w:eastAsia="IRNazanin" w:cs="IRNazanin"/>
          <w:color w:val="111111"/>
          <w:sz w:val="28"/>
          <w:szCs w:val="28"/>
          <w:rtl w:val="true"/>
          <w:lang w:bidi="fa-IR"/>
        </w:rPr>
        <w:t>.</w:t>
      </w:r>
    </w:p>
    <w:p>
      <w:pPr>
        <w:pStyle w:val="Heading6"/>
        <w:numPr>
          <w:ilvl w:val="5"/>
          <w:numId w:val="1"/>
        </w:numPr>
        <w:rPr/>
      </w:pPr>
      <w:bookmarkStart w:id="261" w:name="__RefHeading___Toc5446637_3224264995"/>
      <w:bookmarkStart w:id="262" w:name="_Toc100"/>
      <w:bookmarkEnd w:id="261"/>
      <w:r>
        <w:rPr>
          <w:rtl w:val="true"/>
        </w:rPr>
        <w:t>الاشتباه من حیث شخص المکلّف</w:t>
      </w:r>
      <w:bookmarkEnd w:id="262"/>
    </w:p>
    <w:p>
      <w:pPr>
        <w:pStyle w:val="BookText"/>
        <w:rPr/>
      </w:pPr>
      <w:r>
        <w:rPr>
          <w:rFonts w:ascii="IRNazanin" w:hAnsi="IRNazanin" w:eastAsia="IRNazanin"/>
          <w:color w:val="111111"/>
          <w:sz w:val="28"/>
          <w:sz w:val="28"/>
          <w:szCs w:val="28"/>
          <w:rtl w:val="true"/>
          <w:lang w:bidi="fa-IR"/>
        </w:rPr>
        <w:t>و أمّا الکلام فی اشتباهه من حیث الشخص المکلّف بذلک الحکم، فقد عرفت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یقع تارة فی الحکم الثابت لموضوع واقعیّ مردّد بین شخصین، کأحکام الجنابة المتعلّقة بالجنب المردّد بین واجدی المنی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یقع فی الحکم الثابت لشخص من جهة تردّده بین موضوعین، کحکم الخنثی المردّد بین الذکر و الانثی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الکلام فی الأوّل،فمحصّله</w:t>
      </w:r>
      <w:r>
        <w:rPr>
          <w:rFonts w:eastAsia="Amiri" w:cs="Amiri" w:ascii="Amiri" w:hAnsi="Amiri"/>
          <w:color w:val="111111"/>
          <w:sz w:val="28"/>
          <w:szCs w:val="28"/>
          <w:rtl w:val="true"/>
          <w:lang w:bidi="ar-SA"/>
        </w:rPr>
        <w:t>:</w:t>
      </w:r>
    </w:p>
    <w:p>
      <w:pPr>
        <w:pStyle w:val="Heading6"/>
        <w:numPr>
          <w:ilvl w:val="5"/>
          <w:numId w:val="1"/>
        </w:numPr>
        <w:rPr/>
      </w:pPr>
      <w:bookmarkStart w:id="263" w:name="__RefHeading___Toc5446639_3224264995"/>
      <w:bookmarkStart w:id="264" w:name="_Toc101"/>
      <w:bookmarkEnd w:id="263"/>
      <w:r>
        <w:rPr>
          <w:rtl w:val="true"/>
        </w:rPr>
        <w:t>لو تردّد التکلیف بین شخصین</w:t>
      </w:r>
      <w:bookmarkEnd w:id="264"/>
    </w:p>
    <w:p>
      <w:pPr>
        <w:pStyle w:val="BookText"/>
        <w:rPr/>
      </w:pPr>
      <w:r>
        <w:rPr>
          <w:rFonts w:ascii="IRNazanin" w:hAnsi="IRNazanin" w:eastAsia="IRNazanin"/>
          <w:color w:val="111111"/>
          <w:sz w:val="28"/>
          <w:sz w:val="28"/>
          <w:szCs w:val="28"/>
          <w:rtl w:val="true"/>
          <w:lang w:bidi="fa-IR"/>
        </w:rPr>
        <w:t xml:space="preserve">أنّ مجرّد تردّد التکلیف بین شخصین لا یوجب علی أحدهما شیئا؛ إذ العبرة فی الإطاعة و المعصیة بتعلّق الخطاب بالمکلّف الخاصّ، فالجنب </w:t>
      </w:r>
      <w:r>
        <w:rPr>
          <w:rStyle w:val="FootnoteAnchor"/>
          <w:rtl w:val="true"/>
        </w:rPr>
        <w:footnoteReference w:id="284"/>
      </w:r>
      <w:r>
        <w:rPr>
          <w:rFonts w:ascii="IRNazanin" w:hAnsi="IRNazanin" w:eastAsia="IRNazanin"/>
          <w:color w:val="111111"/>
          <w:sz w:val="28"/>
          <w:sz w:val="28"/>
          <w:szCs w:val="28"/>
          <w:rtl w:val="true"/>
          <w:lang w:bidi="fa-IR"/>
        </w:rPr>
        <w:t>المردّد بین شخصین غیر مکلّف بالغسل و إن ورد من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یجب الغسل علی کلّ جنب؛فإنّ کلا منهما شاکّ فی توجّه هذا الخطاب إلیه،فیقبح عقاب واحد من الشخصین یکون جنبا بمجرّد هذا الخطاب الغیر المتوجّه </w:t>
      </w:r>
      <w:r>
        <w:rPr>
          <w:rStyle w:val="FootnoteAnchor"/>
          <w:rtl w:val="true"/>
        </w:rPr>
        <w:footnoteReference w:id="285"/>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pStyle w:val="Heading6"/>
        <w:numPr>
          <w:ilvl w:val="5"/>
          <w:numId w:val="1"/>
        </w:numPr>
        <w:rPr/>
      </w:pPr>
      <w:bookmarkStart w:id="265" w:name="__RefHeading___Toc5446641_3224264995"/>
      <w:bookmarkStart w:id="266" w:name="_Toc102"/>
      <w:bookmarkEnd w:id="265"/>
      <w:r>
        <w:rPr>
          <w:rtl w:val="true"/>
        </w:rPr>
        <w:t>لو اتّفق لأحدهما أو لثالث علم بتوجّه خطاب إلیه</w:t>
      </w:r>
      <w:r>
        <w:rPr>
          <w:rtl w:val="true"/>
        </w:rPr>
        <w:t>:</w:t>
      </w:r>
      <w:bookmarkEnd w:id="26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نعم،لو اتّفق لأحدهما أو لثالث علم بتوجّه خطاب </w:t>
      </w:r>
      <w:r>
        <w:rPr>
          <w:rStyle w:val="FootnoteAnchor"/>
          <w:rtl w:val="true"/>
        </w:rPr>
        <w:footnoteReference w:id="286"/>
      </w:r>
      <w:r>
        <w:rPr>
          <w:rFonts w:ascii="IRNazanin" w:hAnsi="IRNazanin" w:eastAsia="IRNazanin"/>
          <w:color w:val="111111"/>
          <w:sz w:val="28"/>
          <w:sz w:val="28"/>
          <w:szCs w:val="28"/>
          <w:rtl w:val="true"/>
          <w:lang w:bidi="fa-IR"/>
        </w:rPr>
        <w:t>إلیه دخل فی اشتباه متعلّق التکلیف الذی تقدّم حکمه بأقسامه</w:t>
      </w:r>
      <w:r>
        <w:rPr>
          <w:rFonts w:eastAsia="IRNazanin" w:cs="IRNazanin"/>
          <w:color w:val="111111"/>
          <w:sz w:val="28"/>
          <w:szCs w:val="28"/>
          <w:rtl w:val="true"/>
          <w:lang w:bidi="fa-IR"/>
        </w:rPr>
        <w:t xml:space="preserve">. </w:t>
      </w:r>
      <w:bookmarkStart w:id="267" w:name="pg12977_114138"/>
    </w:p>
    <w:p>
      <w:pPr>
        <w:pStyle w:val="Heading6"/>
        <w:numPr>
          <w:ilvl w:val="5"/>
          <w:numId w:val="1"/>
        </w:numPr>
        <w:rPr/>
      </w:pPr>
      <w:bookmarkStart w:id="268" w:name="__RefHeading___Toc5446643_3224264995"/>
      <w:bookmarkStart w:id="269" w:name="_Toc103"/>
      <w:bookmarkEnd w:id="267"/>
      <w:bookmarkEnd w:id="268"/>
      <w:r>
        <w:rPr>
          <w:rtl w:val="true"/>
        </w:rPr>
        <w:t>بعض فروع المسألة</w:t>
      </w:r>
      <w:r>
        <w:rPr>
          <w:rtl w:val="true"/>
        </w:rPr>
        <w:t>:</w:t>
      </w:r>
      <w:bookmarkEnd w:id="269"/>
    </w:p>
    <w:p>
      <w:pPr>
        <w:pStyle w:val="BookText"/>
        <w:rPr/>
      </w:pPr>
      <w:r>
        <w:rPr>
          <w:rFonts w:ascii="IRNazanin" w:hAnsi="IRNazanin" w:eastAsia="IRNazanin"/>
          <w:color w:val="111111"/>
          <w:sz w:val="28"/>
          <w:sz w:val="28"/>
          <w:szCs w:val="28"/>
          <w:rtl w:val="true"/>
          <w:lang w:bidi="fa-IR"/>
        </w:rPr>
        <w:t>و لا بأس بالإشارة إلی بعض فروع المسألة؛لیتّضح انطباقها علی ما تقدّم فی العلم الإجمالی بالتکلیف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أحدهما الآخر و إدخاله فی المسجد للطواف أو لغیره، بناء علی تحریم إدخال الجنب أو إدخال النجاسة الغیر المتعدّیة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الدخول و الإدخال متحقّقان بحرکة واحدة،دخل فی المخالفة </w:t>
      </w:r>
      <w:r>
        <w:rPr>
          <w:rStyle w:val="FootnoteAnchor"/>
          <w:rtl w:val="true"/>
        </w:rPr>
        <w:footnoteReference w:id="287"/>
      </w:r>
      <w:r>
        <w:rPr>
          <w:rFonts w:ascii="IRNazanin" w:hAnsi="IRNazanin" w:eastAsia="IRNazanin"/>
          <w:color w:val="111111"/>
          <w:sz w:val="28"/>
          <w:sz w:val="28"/>
          <w:szCs w:val="28"/>
          <w:rtl w:val="true"/>
          <w:lang w:bidi="fa-IR"/>
        </w:rPr>
        <w:t>المعلومة تفصیلا و إن تردّد بین کونه من جهة الدخول أو الإدخال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جعلناهما متغایرین فی الخارج کما فی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جعلنا الدخول و الإدخال راجعین إلی عنوان محرّم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القدر المشترک بین إدخال النفس و إدخال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المخالفة المعلومة للخطاب التفصیلی،نظیر ارتکاب المشتبهین بالنجس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جعلنا کلا منهما عنوانا مستقلا،دخل فی المخالفة للخطاب المعلوم بالإجمال الذی عرفت فیه الوجوه المتقدّمة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من جهة دخول المحمول و استئجاره الحامل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قطع النظر عن حرمة الدخول و الإدخال علیه أو فرض عدمها </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إنّه علم </w:t>
      </w:r>
      <w:r>
        <w:rPr>
          <w:rStyle w:val="FootnoteAnchor"/>
          <w:rtl w:val="true"/>
        </w:rPr>
        <w:footnoteReference w:id="289"/>
      </w:r>
      <w:r>
        <w:rPr>
          <w:rFonts w:ascii="IRNazanin" w:hAnsi="IRNazanin" w:eastAsia="IRNazanin"/>
          <w:color w:val="111111"/>
          <w:sz w:val="28"/>
          <w:sz w:val="28"/>
          <w:szCs w:val="28"/>
          <w:rtl w:val="true"/>
          <w:lang w:bidi="fa-IR"/>
        </w:rPr>
        <w:t>إجمالا بصدور أحد المحرّمین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دخول المسجد جنبا </w:t>
      </w:r>
      <w:r>
        <w:rPr>
          <w:rStyle w:val="FootnoteAnchor"/>
          <w:rtl w:val="true"/>
        </w:rPr>
        <w:footnoteReference w:id="290"/>
      </w:r>
      <w:r>
        <w:rPr>
          <w:rFonts w:ascii="IRNazanin" w:hAnsi="IRNazanin" w:eastAsia="IRNazanin"/>
          <w:color w:val="111111"/>
          <w:sz w:val="28"/>
          <w:sz w:val="28"/>
          <w:szCs w:val="28"/>
          <w:rtl w:val="true"/>
          <w:lang w:bidi="fa-IR"/>
        </w:rPr>
        <w:t>،أو استئجار جنب للدخول فی المسجد</w:t>
      </w:r>
      <w:r>
        <w:rPr>
          <w:rFonts w:eastAsia="IRNazanin" w:cs="IRNazanin"/>
          <w:color w:val="111111"/>
          <w:sz w:val="28"/>
          <w:szCs w:val="28"/>
          <w:rtl w:val="true"/>
          <w:lang w:bidi="fa-IR"/>
        </w:rPr>
        <w:t xml:space="preserve">. </w:t>
      </w:r>
      <w:bookmarkStart w:id="270" w:name="pg12977_114139"/>
    </w:p>
    <w:p>
      <w:pPr>
        <w:pStyle w:val="BookText"/>
        <w:rPr/>
      </w:pPr>
      <w:bookmarkEnd w:id="270"/>
      <w:r>
        <w:rPr>
          <w:rFonts w:ascii="IRNazanin" w:hAnsi="IRNazanin" w:eastAsia="IRNazanin"/>
          <w:color w:val="111111"/>
          <w:sz w:val="28"/>
          <w:sz w:val="28"/>
          <w:szCs w:val="28"/>
          <w:rtl w:val="true"/>
          <w:lang w:bidi="fa-IR"/>
        </w:rPr>
        <w:t xml:space="preserve">إلاّ أن یقال بأنّ الاستئجار تابع لحکم الأجیر،فإذا لم یکن </w:t>
      </w:r>
      <w:r>
        <w:rPr>
          <w:rStyle w:val="FootnoteAnchor"/>
          <w:rtl w:val="true"/>
        </w:rPr>
        <w:footnoteReference w:id="291"/>
      </w:r>
      <w:r>
        <w:rPr>
          <w:rFonts w:ascii="IRNazanin" w:hAnsi="IRNazanin" w:eastAsia="IRNazanin"/>
          <w:color w:val="111111"/>
          <w:sz w:val="28"/>
          <w:sz w:val="28"/>
          <w:szCs w:val="28"/>
          <w:rtl w:val="true"/>
          <w:lang w:bidi="fa-IR"/>
        </w:rPr>
        <w:t>فی تکلیفه محکوما بالجنابة و ابیح له الدخول فی المسجد،صحّ استئجار الغیر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اقتداء الغیر بهما فی صلاة أو صلاتین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 بأنّ عدم جواز الاقتداء من أحکام الجنابة الواقعیّة،کان الاقتداء بهما فی صلاة واحدة موجبا للعلم التفصیلی ببطلان الصلاة، و الاقتداء بهما فی صلاتین من قبیل ارتکاب الإناءین،و الاقتداء بأحدهما فی صلاة واحدة کارتکاب أحد الإناءین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یکفی فی جواز الاقتداء عدم جنابة الشخص فی حکم نفسه،صحّ الاقتداء فی صلاة فضلا عن صلاتین؛لأنّهما طاهران بالنسبة إلی حکم الاقتداء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الأوّل؛لأنّ الحدث مانع واقعی لا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إشکال فی استئجارهما لکنس المسجد فضلا عن استئجار أحدهما؛لأنّ صحّة الاستئجار تابعة لإباحة الدخول لهما لا للطهارة الواقعیّة،و المفروض إباحته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 علی ما ذکرنا جمیع ما یرد علیک،ممیّزا بین الأحکام المتعلّقة بالجنب من حیث الحدث الواقعی،و بین الأحکام المتعلّقة بالجنب من حیث إنّه مانع ظاهریّ للشخص المتّصف به</w:t>
      </w:r>
      <w:r>
        <w:rPr>
          <w:rFonts w:eastAsia="IRNazanin" w:cs="IRNazanin"/>
          <w:color w:val="111111"/>
          <w:sz w:val="28"/>
          <w:szCs w:val="28"/>
          <w:rtl w:val="true"/>
          <w:lang w:bidi="fa-IR"/>
        </w:rPr>
        <w:t>.</w:t>
      </w:r>
    </w:p>
    <w:p>
      <w:pPr>
        <w:pStyle w:val="Heading6"/>
        <w:numPr>
          <w:ilvl w:val="5"/>
          <w:numId w:val="1"/>
        </w:numPr>
        <w:rPr/>
      </w:pPr>
      <w:bookmarkStart w:id="271" w:name="__RefHeading___Toc5446645_3224264995"/>
      <w:bookmarkStart w:id="272" w:name="_Toc104"/>
      <w:bookmarkEnd w:id="271"/>
      <w:r>
        <w:rPr>
          <w:rtl w:val="true"/>
        </w:rPr>
        <w:t>أحکام الخنثی</w:t>
      </w:r>
      <w:r>
        <w:rPr>
          <w:rtl w:val="true"/>
        </w:rPr>
        <w:t>:</w:t>
      </w:r>
      <w:bookmarkEnd w:id="272"/>
    </w:p>
    <w:p>
      <w:pPr>
        <w:pStyle w:val="BookText"/>
        <w:rPr/>
      </w:pPr>
      <w:r>
        <w:rPr>
          <w:rFonts w:ascii="IRNazanin" w:hAnsi="IRNazanin" w:eastAsia="IRNazanin"/>
          <w:color w:val="111111"/>
          <w:sz w:val="28"/>
          <w:sz w:val="28"/>
          <w:szCs w:val="28"/>
          <w:rtl w:val="true"/>
          <w:lang w:bidi="fa-IR"/>
        </w:rPr>
        <w:t>و أمّا الکلام فی الخنثی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فیقع تارة فی معاملتها مع غیرها من معلوم الذکوریّة و الانوثیّة أو </w:t>
      </w:r>
      <w:bookmarkStart w:id="273" w:name="pg12977_114140"/>
    </w:p>
    <w:p>
      <w:pPr>
        <w:pStyle w:val="BookText"/>
        <w:rPr/>
      </w:pPr>
      <w:bookmarkEnd w:id="273"/>
      <w:r>
        <w:rPr>
          <w:rFonts w:ascii="IRNazanin" w:hAnsi="IRNazanin" w:eastAsia="IRNazanin"/>
          <w:color w:val="111111"/>
          <w:sz w:val="28"/>
          <w:sz w:val="28"/>
          <w:szCs w:val="28"/>
          <w:rtl w:val="true"/>
          <w:lang w:bidi="fa-IR"/>
        </w:rPr>
        <w:t>مجهولهما،و حکمها بالنسبة إلی التکالیف المختصّة بکلّ من الفریقین،و تارة فی معاملة الغیر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حکم الکلّ یرجع إلی ما ذکرنا فی الاشتباه المتعلّق بالمکلّف به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4" w:name="__RefHeading___Toc5446647_3224264995"/>
      <w:bookmarkStart w:id="275" w:name="_Toc105"/>
      <w:bookmarkEnd w:id="274"/>
      <w:r>
        <w:rPr>
          <w:rtl w:val="true"/>
        </w:rPr>
        <w:t>معاملتها مع الغیر</w:t>
      </w:r>
      <w:r>
        <w:rPr>
          <w:rtl w:val="true"/>
        </w:rPr>
        <w:t>:</w:t>
      </w:r>
      <w:bookmarkEnd w:id="275"/>
    </w:p>
    <w:p>
      <w:pPr>
        <w:pStyle w:val="BookText"/>
        <w:rPr/>
      </w:pPr>
      <w:r>
        <w:rPr>
          <w:rFonts w:ascii="IRNazanin" w:hAnsi="IRNazanin" w:eastAsia="IRNazanin"/>
          <w:color w:val="111111"/>
          <w:sz w:val="28"/>
          <w:sz w:val="28"/>
          <w:szCs w:val="28"/>
          <w:rtl w:val="true"/>
          <w:lang w:bidi="fa-IR"/>
        </w:rPr>
        <w:t>أمّا معاملتها مع الغیر،فمقتضی القاعدة احترازها عن غیرها مطلقا؛للعلم الإجمالی بحرمة نظرها إلی إحدی الطائفتین،فتجتنب عنهما 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من باب الخطاب الإجمالی؛لأنّ الذکور مخاطبون بالغضّ عن الإناث و بالعکس،و الخنثی شاکّ فی دخوله فی أحد الخطابین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الأوّل؛لأنّه علم تفصیلا بتکلیفه بالغضّ عن إحدی الطائفتین،و مع العلم التفصیلی لا عبرة بإجمال الخطاب،کما تقدّم فی الدخول و الإدخال فی المسجد لواجدی المنی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یمکن إرجاع الخطابین إلی خطاب واحد،و هو تحریم نظر کلّ إنسان إلی کلّ بالغ لا یماثله فی الذکوریة و الانوثیّة عدا من یحرم نکاحه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الکفّ عن النظر إلی ما عدا المحارم مشقّة عظیمة،فلا یجب الاحتیاط فیه،بل العسر فیه أولی من الشبهة الغیر المحصورة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رجوع الخطابین إلی خطاب واحد فی حرمة المخالفة القطعیّة،لا فی وجوب الموافقة القطعیة،فافهم</w:t>
      </w:r>
      <w:r>
        <w:rPr>
          <w:rFonts w:eastAsia="IRNazanin" w:cs="IRNazanin"/>
          <w:color w:val="111111"/>
          <w:sz w:val="28"/>
          <w:szCs w:val="28"/>
          <w:rtl w:val="true"/>
          <w:lang w:bidi="fa-IR"/>
        </w:rPr>
        <w:t xml:space="preserve">. </w:t>
      </w:r>
      <w:bookmarkStart w:id="276" w:name="pg12977_114141"/>
    </w:p>
    <w:p>
      <w:pPr>
        <w:pStyle w:val="Heading6"/>
        <w:numPr>
          <w:ilvl w:val="5"/>
          <w:numId w:val="1"/>
        </w:numPr>
        <w:rPr/>
      </w:pPr>
      <w:bookmarkStart w:id="277" w:name="__RefHeading___Toc5446649_3224264995"/>
      <w:bookmarkStart w:id="278" w:name="_Toc106"/>
      <w:bookmarkEnd w:id="276"/>
      <w:bookmarkEnd w:id="277"/>
      <w:r>
        <w:rPr>
          <w:rtl w:val="true"/>
        </w:rPr>
        <w:t>حکمها بالنسبة إلی التکالیف المختصّة بکل من الفریقین</w:t>
      </w:r>
      <w:bookmarkEnd w:id="278"/>
    </w:p>
    <w:p>
      <w:pPr>
        <w:pStyle w:val="BookText"/>
        <w:rPr/>
      </w:pPr>
      <w:r>
        <w:rPr>
          <w:rFonts w:ascii="IRNazanin" w:hAnsi="IRNazanin" w:eastAsia="IRNazanin"/>
          <w:color w:val="111111"/>
          <w:sz w:val="28"/>
          <w:sz w:val="28"/>
          <w:szCs w:val="28"/>
          <w:rtl w:val="true"/>
          <w:lang w:bidi="fa-IR"/>
        </w:rPr>
        <w:t>و هکذا حکم لباس الخنثی؛حیث إنّه یعلم إجمالا بحرمة واحد من مختصّات الرجال کالمنطقة و العمامة أو مختصّات النساء علیه،فیجتنب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حکم ستارته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فیجتنب الحریر و یستر جمیع 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حکم الجهر و الإخفات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قلنا بکون الإخفات فی العشاءین و الصبح رخصة للمرأة جهر الخنثی بهما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عزیمة لها فالتخییر إن قام الإجماع علی عدم وجوب تکرار الصلاة فی 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یقال بالتخییر مطلقا </w:t>
      </w:r>
      <w:r>
        <w:rPr>
          <w:rStyle w:val="FootnoteAnchor"/>
          <w:rtl w:val="true"/>
        </w:rPr>
        <w:footnoteReference w:id="294"/>
      </w:r>
      <w:r>
        <w:rPr>
          <w:rFonts w:ascii="IRNazanin" w:hAnsi="IRNazanin" w:eastAsia="IRNazanin"/>
          <w:color w:val="111111"/>
          <w:sz w:val="28"/>
          <w:sz w:val="28"/>
          <w:szCs w:val="28"/>
          <w:rtl w:val="true"/>
          <w:lang w:bidi="fa-IR"/>
        </w:rPr>
        <w:t>من جهة ما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الجاهل فی </w:t>
      </w:r>
      <w:r>
        <w:rPr>
          <w:rStyle w:val="FootnoteAnchor"/>
          <w:rtl w:val="true"/>
        </w:rPr>
        <w:footnoteReference w:id="295"/>
      </w:r>
      <w:r>
        <w:rPr>
          <w:rFonts w:ascii="IRNazanin" w:hAnsi="IRNazanin" w:eastAsia="IRNazanin"/>
          <w:color w:val="111111"/>
          <w:sz w:val="28"/>
          <w:sz w:val="28"/>
          <w:szCs w:val="28"/>
          <w:rtl w:val="true"/>
          <w:lang w:bidi="fa-IR"/>
        </w:rPr>
        <w:t xml:space="preserve">الجهر </w:t>
      </w:r>
      <w:r>
        <w:rPr>
          <w:rStyle w:val="FootnoteAnchor"/>
          <w:rtl w:val="true"/>
        </w:rPr>
        <w:footnoteReference w:id="296"/>
      </w:r>
      <w:r>
        <w:rPr>
          <w:rFonts w:ascii="IRNazanin" w:hAnsi="IRNazanin" w:eastAsia="IRNazanin"/>
          <w:color w:val="111111"/>
          <w:sz w:val="28"/>
          <w:sz w:val="28"/>
          <w:szCs w:val="28"/>
          <w:rtl w:val="true"/>
          <w:lang w:bidi="fa-IR"/>
        </w:rPr>
        <w:t xml:space="preserve">و الإخفات معذور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النصّ إنّما دلّ علی معذوریّة الجاهل بالنسبة إلی لزوم الإعادة لو خالف الواقع،و أین هذا من تخییر الجاهل من أوّل الأمر بینهما؟بل الجاهل لو جهر أو أخفت متردّدا بطلت صلاته؛ إذ یجب علیه الرجوع إلی العلم أو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الجهل فی الأخبار غیر هذا الجهل</w:t>
      </w:r>
      <w:r>
        <w:rPr>
          <w:rFonts w:eastAsia="IRNazanin" w:cs="IRNazanin"/>
          <w:color w:val="111111"/>
          <w:sz w:val="28"/>
          <w:szCs w:val="28"/>
          <w:rtl w:val="true"/>
          <w:lang w:bidi="fa-IR"/>
        </w:rPr>
        <w:t xml:space="preserve">. </w:t>
      </w:r>
      <w:bookmarkStart w:id="279" w:name="pg12977_114142"/>
    </w:p>
    <w:p>
      <w:pPr>
        <w:pStyle w:val="BookText"/>
        <w:rPr/>
      </w:pPr>
      <w:bookmarkEnd w:id="279"/>
      <w:r>
        <w:rPr>
          <w:rFonts w:ascii="IRNazanin" w:hAnsi="IRNazanin" w:eastAsia="IRNazanin"/>
          <w:color w:val="111111"/>
          <w:sz w:val="28"/>
          <w:sz w:val="28"/>
          <w:szCs w:val="28"/>
          <w:rtl w:val="true"/>
          <w:lang w:bidi="fa-IR"/>
        </w:rPr>
        <w:t xml:space="preserve">و أمّا تخییر قاضی الفریضة المنسیّة من </w:t>
      </w:r>
      <w:r>
        <w:rPr>
          <w:rStyle w:val="FootnoteAnchor"/>
          <w:rtl w:val="true"/>
        </w:rPr>
        <w:footnoteReference w:id="298"/>
      </w:r>
      <w:r>
        <w:rPr>
          <w:rFonts w:ascii="IRNazanin" w:hAnsi="IRNazanin" w:eastAsia="IRNazanin"/>
          <w:color w:val="111111"/>
          <w:sz w:val="28"/>
          <w:sz w:val="28"/>
          <w:szCs w:val="28"/>
          <w:rtl w:val="true"/>
          <w:lang w:bidi="fa-IR"/>
        </w:rPr>
        <w:t xml:space="preserve">الخمس فی ثلاثیّة و رباعیّة و ثنائیّة؛فإنّما هو بعد ورود النصّ بالاکتفاء </w:t>
      </w:r>
      <w:r>
        <w:rPr>
          <w:rStyle w:val="FootnoteAnchor"/>
          <w:rtl w:val="true"/>
        </w:rPr>
        <w:footnoteReference w:id="299"/>
      </w:r>
      <w:r>
        <w:rPr>
          <w:rFonts w:ascii="IRNazanin" w:hAnsi="IRNazanin" w:eastAsia="IRNazanin"/>
          <w:color w:val="111111"/>
          <w:sz w:val="28"/>
          <w:sz w:val="28"/>
          <w:szCs w:val="28"/>
          <w:rtl w:val="true"/>
          <w:lang w:bidi="fa-IR"/>
        </w:rPr>
        <w:t xml:space="preserve">بالثلاث </w:t>
      </w:r>
      <w:r>
        <w:rPr>
          <w:rStyle w:val="FootnoteAnchor"/>
          <w:rtl w:val="true"/>
        </w:rPr>
        <w:footnoteReference w:id="300"/>
      </w:r>
      <w:r>
        <w:rPr>
          <w:rFonts w:ascii="IRNazanin" w:hAnsi="IRNazanin" w:eastAsia="IRNazanin"/>
          <w:color w:val="111111"/>
          <w:sz w:val="28"/>
          <w:sz w:val="28"/>
          <w:szCs w:val="28"/>
          <w:rtl w:val="true"/>
          <w:lang w:bidi="fa-IR"/>
        </w:rPr>
        <w:t>، المستلزم لإلغاء الجهر و الإخفات بالنسبة إلیه،فلا دلالة فیه علی تخییر الجاهل بالموضوع مطلقا</w:t>
      </w:r>
      <w:r>
        <w:rPr>
          <w:rFonts w:eastAsia="IRNazanin" w:cs="IRNazanin"/>
          <w:color w:val="111111"/>
          <w:sz w:val="28"/>
          <w:szCs w:val="28"/>
          <w:rtl w:val="true"/>
          <w:lang w:bidi="fa-IR"/>
        </w:rPr>
        <w:t>.</w:t>
      </w:r>
    </w:p>
    <w:p>
      <w:pPr>
        <w:pStyle w:val="Heading6"/>
        <w:numPr>
          <w:ilvl w:val="5"/>
          <w:numId w:val="1"/>
        </w:numPr>
        <w:rPr/>
      </w:pPr>
      <w:bookmarkStart w:id="280" w:name="__RefHeading___Toc5446651_3224264995"/>
      <w:bookmarkStart w:id="281" w:name="_Toc107"/>
      <w:bookmarkEnd w:id="280"/>
      <w:r>
        <w:rPr>
          <w:rtl w:val="true"/>
        </w:rPr>
        <w:t>معاملة الغیر معها</w:t>
      </w:r>
      <w:r>
        <w:rPr>
          <w:rtl w:val="true"/>
        </w:rPr>
        <w:t>:</w:t>
      </w:r>
      <w:bookmarkEnd w:id="281"/>
    </w:p>
    <w:p>
      <w:pPr>
        <w:pStyle w:val="BookText"/>
        <w:rPr/>
      </w:pPr>
      <w:r>
        <w:rPr>
          <w:rFonts w:ascii="IRNazanin" w:hAnsi="IRNazanin" w:eastAsia="IRNazanin"/>
          <w:color w:val="111111"/>
          <w:sz w:val="28"/>
          <w:sz w:val="28"/>
          <w:szCs w:val="28"/>
          <w:rtl w:val="true"/>
          <w:lang w:bidi="fa-IR"/>
        </w:rPr>
        <w:t xml:space="preserve">و أمّا معاملة الغیر معها،فقد یقال بجواز نظر کلّ من الرجل و المرأة إلیها؛لکونها شبهة فی الموضوع،و الأصل الإباحة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عموم وجوب الغضّ علی المؤمنات إلاّ عن نسائهنّ أو الرجال المذکورین فی الآیة </w:t>
      </w:r>
      <w:r>
        <w:rPr>
          <w:rStyle w:val="FootnoteAnchor"/>
          <w:rtl w:val="true"/>
        </w:rPr>
        <w:footnoteReference w:id="302"/>
      </w:r>
      <w:r>
        <w:rPr>
          <w:rFonts w:ascii="IRNazanin" w:hAnsi="IRNazanin" w:eastAsia="IRNazanin"/>
          <w:color w:val="111111"/>
          <w:sz w:val="28"/>
          <w:sz w:val="28"/>
          <w:szCs w:val="28"/>
          <w:rtl w:val="true"/>
          <w:lang w:bidi="fa-IR"/>
        </w:rPr>
        <w:t xml:space="preserve">،یدلّ علی وجوب الغضّ عن الخنثی؛و لذا حکم فی جامع المقاصد بتحریم نظر الطائفتین إلیها،کتحریم نظرها إلیهما </w:t>
      </w:r>
      <w:r>
        <w:rPr>
          <w:rStyle w:val="FootnoteAnchor"/>
          <w:rtl w:val="true"/>
        </w:rPr>
        <w:footnoteReference w:id="303"/>
      </w:r>
      <w:r>
        <w:rPr>
          <w:rFonts w:ascii="IRNazanin" w:hAnsi="IRNazanin" w:eastAsia="IRNazanin"/>
          <w:color w:val="111111"/>
          <w:sz w:val="28"/>
          <w:sz w:val="28"/>
          <w:szCs w:val="28"/>
          <w:rtl w:val="true"/>
          <w:lang w:bidi="fa-IR"/>
        </w:rPr>
        <w:t xml:space="preserve">،بل ادّعی سبطه الاتّفاق علی ذلک </w:t>
      </w:r>
      <w:r>
        <w:rPr>
          <w:rStyle w:val="FootnoteAnchor"/>
          <w:rtl w:val="true"/>
        </w:rPr>
        <w:footnoteReference w:id="304"/>
      </w:r>
      <w:r>
        <w:rPr>
          <w:rFonts w:ascii="Amiri" w:hAnsi="Amiri" w:eastAsia="Amiri" w:cs="Amiri"/>
          <w:color w:val="111111"/>
          <w:sz w:val="28"/>
          <w:sz w:val="28"/>
          <w:szCs w:val="28"/>
          <w:rtl w:val="true"/>
          <w:lang w:bidi="ar-SA"/>
        </w:rPr>
        <w:t xml:space="preserve">،فتأمّل جدّا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جمیع ما ذکرنا إنّما هو فی غیر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التناکح، فیحرم بینه و بین غیره قطعا،فلا یجوز له تزویج امرأة؛لأصالة عدم ذکوریّته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عدم ترتّب أثر الذکوریّة من جهة النکاح و وجوب </w:t>
      </w:r>
    </w:p>
    <w:p>
      <w:pPr>
        <w:pStyle w:val="BookText"/>
        <w:rPr/>
      </w:pPr>
      <w:r>
        <w:rPr>
          <w:rFonts w:ascii="IRNazanin" w:hAnsi="IRNazanin" w:eastAsia="IRNazanin"/>
          <w:color w:val="111111"/>
          <w:sz w:val="28"/>
          <w:sz w:val="28"/>
          <w:szCs w:val="28"/>
          <w:rtl w:val="true"/>
          <w:lang w:bidi="fa-IR"/>
        </w:rPr>
        <w:t xml:space="preserve">حفظ الفرج إلاّ عن الزوجة و ملک الیمین </w:t>
      </w:r>
      <w:r>
        <w:rPr>
          <w:rStyle w:val="FootnoteAnchor"/>
          <w:rtl w:val="true"/>
        </w:rPr>
        <w:footnoteReference w:id="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التزوّج </w:t>
      </w:r>
      <w:r>
        <w:rPr>
          <w:rStyle w:val="FootnoteAnchor"/>
          <w:rtl w:val="true"/>
        </w:rPr>
        <w:footnoteReference w:id="307"/>
      </w:r>
      <w:r>
        <w:rPr>
          <w:rFonts w:ascii="IRNazanin" w:hAnsi="IRNazanin" w:eastAsia="IRNazanin"/>
          <w:color w:val="111111"/>
          <w:sz w:val="28"/>
          <w:sz w:val="28"/>
          <w:szCs w:val="28"/>
          <w:rtl w:val="true"/>
          <w:lang w:bidi="fa-IR"/>
        </w:rPr>
        <w:t xml:space="preserve">برجل؛ لأصالة عدم کونه امرأة،کما صرّح به الشهید </w:t>
      </w:r>
      <w:r>
        <w:rPr>
          <w:rStyle w:val="FootnoteAnchor"/>
          <w:rtl w:val="true"/>
        </w:rPr>
        <w:footnoteReference w:id="308"/>
      </w:r>
      <w:r>
        <w:rPr>
          <w:rFonts w:ascii="IRNazanin" w:hAnsi="IRNazanin" w:eastAsia="IRNazanin"/>
          <w:color w:val="111111"/>
          <w:sz w:val="28"/>
          <w:sz w:val="28"/>
          <w:szCs w:val="28"/>
          <w:rtl w:val="true"/>
          <w:lang w:bidi="fa-IR"/>
        </w:rPr>
        <w:t xml:space="preserve">،لکن ذکر الشیخ مسألة فرض الوارث الخنثی المشکل زوجا أو زوجة </w:t>
      </w:r>
      <w:r>
        <w:rPr>
          <w:rStyle w:val="FootnoteAnchor"/>
          <w:rtl w:val="true"/>
        </w:rPr>
        <w:footnoteReference w:id="309"/>
      </w:r>
      <w:r>
        <w:rPr>
          <w:rFonts w:ascii="IRNazanin" w:hAnsi="IRNazanin" w:eastAsia="IRNazanin"/>
          <w:color w:val="111111"/>
          <w:sz w:val="28"/>
          <w:sz w:val="28"/>
          <w:szCs w:val="28"/>
          <w:rtl w:val="true"/>
          <w:lang w:bidi="fa-IR"/>
        </w:rPr>
        <w:t xml:space="preserve">،فافهم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اعتبار العلم</w:t>
      </w:r>
      <w:r>
        <w:rPr>
          <w:rFonts w:eastAsia="IRNazanin" w:cs="IRNazanin"/>
          <w:color w:val="111111"/>
          <w:sz w:val="28"/>
          <w:szCs w:val="28"/>
          <w:rtl w:val="true"/>
          <w:lang w:bidi="fa-IR"/>
        </w:rPr>
        <w:t xml:space="preserve">. </w:t>
      </w:r>
      <w:bookmarkStart w:id="282" w:name="pg12977_114144"/>
    </w:p>
    <w:p>
      <w:pPr>
        <w:pStyle w:val="Heading2"/>
        <w:numPr>
          <w:ilvl w:val="1"/>
          <w:numId w:val="1"/>
        </w:numPr>
        <w:rPr/>
      </w:pPr>
      <w:bookmarkStart w:id="283" w:name="__RefHeading___Toc5446653_3224264995"/>
      <w:bookmarkStart w:id="284" w:name="_Toc108"/>
      <w:bookmarkEnd w:id="282"/>
      <w:bookmarkEnd w:id="283"/>
      <w:r>
        <w:rPr>
          <w:rtl w:val="true"/>
        </w:rPr>
        <w:t>المقصد الثّانی</w:t>
      </w:r>
      <w:r>
        <w:rPr>
          <w:rtl w:val="true"/>
        </w:rPr>
        <w:t xml:space="preserve">: </w:t>
      </w:r>
      <w:r>
        <w:rPr>
          <w:rtl w:val="true"/>
        </w:rPr>
        <w:t>فی الظّنّ</w:t>
      </w:r>
      <w:bookmarkEnd w:id="28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5" w:name="__RefHeading___Toc5446655_3224264995"/>
      <w:bookmarkStart w:id="286" w:name="_Toc109"/>
      <w:bookmarkEnd w:id="285"/>
      <w:r>
        <w:rPr>
          <w:rtl w:val="true"/>
        </w:rPr>
        <w:t>اشارة</w:t>
      </w:r>
      <w:bookmarkEnd w:id="28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7" w:name="pg12977_114146"/>
      <w:bookmarkStart w:id="288" w:name="pg12977_114146"/>
      <w:bookmarkEnd w:id="288"/>
    </w:p>
    <w:p>
      <w:pPr>
        <w:pStyle w:val="BookText"/>
        <w:rPr/>
      </w:pPr>
      <w:bookmarkStart w:id="289" w:name="pg12977_114146"/>
      <w:bookmarkEnd w:id="289"/>
      <w:r>
        <w:rPr>
          <w:rFonts w:ascii="IRNazanin" w:hAnsi="IRNazanin" w:eastAsia="IRNazanin"/>
          <w:color w:val="111111"/>
          <w:sz w:val="28"/>
          <w:sz w:val="28"/>
          <w:szCs w:val="28"/>
          <w:rtl w:val="true"/>
          <w:lang w:bidi="fa-IR"/>
        </w:rPr>
        <w:t>المقصد الثانی فی الظنّ و الکلام فیه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إمکان التعبّد به عقلا،و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وقوعه عقلا أو شرعا</w:t>
      </w:r>
      <w:r>
        <w:rPr>
          <w:rFonts w:eastAsia="IRNazanin" w:cs="IRNazanin"/>
          <w:color w:val="111111"/>
          <w:sz w:val="28"/>
          <w:szCs w:val="28"/>
          <w:rtl w:val="true"/>
          <w:lang w:bidi="fa-IR"/>
        </w:rPr>
        <w:t>.</w:t>
      </w:r>
    </w:p>
    <w:p>
      <w:pPr>
        <w:pStyle w:val="Heading3"/>
        <w:numPr>
          <w:ilvl w:val="2"/>
          <w:numId w:val="1"/>
        </w:numPr>
        <w:rPr/>
      </w:pPr>
      <w:bookmarkStart w:id="290" w:name="__RefHeading___Toc5446657_3224264995"/>
      <w:bookmarkStart w:id="291" w:name="_Toc110"/>
      <w:bookmarkEnd w:id="290"/>
      <w:r>
        <w:rPr>
          <w:rtl w:val="true"/>
        </w:rPr>
        <w:t>أمّا المقام الأوّل</w:t>
      </w:r>
      <w:bookmarkEnd w:id="291"/>
    </w:p>
    <w:p>
      <w:pPr>
        <w:pStyle w:val="Heading4"/>
        <w:numPr>
          <w:ilvl w:val="3"/>
          <w:numId w:val="1"/>
        </w:numPr>
        <w:rPr/>
      </w:pPr>
      <w:bookmarkStart w:id="292" w:name="__RefHeading___Toc5446659_3224264995"/>
      <w:bookmarkStart w:id="293" w:name="_Toc111"/>
      <w:bookmarkEnd w:id="292"/>
      <w:r>
        <w:rPr>
          <w:rtl w:val="true"/>
        </w:rPr>
        <w:t>اشارة</w:t>
      </w:r>
      <w:bookmarkEnd w:id="293"/>
    </w:p>
    <w:p>
      <w:pPr>
        <w:pStyle w:val="BookText"/>
        <w:rPr/>
      </w:pPr>
      <w:r>
        <w:rPr>
          <w:rFonts w:ascii="Amiri" w:hAnsi="Amiri" w:eastAsia="Amiri" w:cs="Amiri"/>
          <w:color w:val="111111"/>
          <w:sz w:val="28"/>
          <w:sz w:val="28"/>
          <w:szCs w:val="28"/>
          <w:rtl w:val="true"/>
          <w:lang w:bidi="ar-SA"/>
        </w:rPr>
        <w:t xml:space="preserve">أمّا المقام الأوّل </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إمکان التعبّد بالظنّ و عدمه</w:t>
      </w:r>
      <w:r>
        <w:rPr>
          <w:rFonts w:eastAsia="IRNazanin" w:cs="IRNazanin"/>
          <w:color w:val="111111"/>
          <w:sz w:val="28"/>
          <w:szCs w:val="28"/>
          <w:rtl w:val="true"/>
          <w:lang w:bidi="fa-IR"/>
        </w:rPr>
        <w:t>:]</w:t>
      </w:r>
    </w:p>
    <w:p>
      <w:pPr>
        <w:pStyle w:val="Heading4"/>
        <w:numPr>
          <w:ilvl w:val="3"/>
          <w:numId w:val="1"/>
        </w:numPr>
        <w:rPr/>
      </w:pPr>
      <w:bookmarkStart w:id="294" w:name="__RefHeading___Toc5446661_3224264995"/>
      <w:bookmarkStart w:id="295" w:name="_Toc112"/>
      <w:bookmarkEnd w:id="294"/>
      <w:r>
        <w:rPr>
          <w:rtl w:val="true"/>
        </w:rPr>
        <w:t>اشارة</w:t>
      </w:r>
      <w:bookmarkEnd w:id="295"/>
    </w:p>
    <w:p>
      <w:pPr>
        <w:pStyle w:val="BookText"/>
        <w:rPr/>
      </w:pP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المعروف هو إمکانه،و یظهر من الدلیل المحکیّ </w:t>
      </w:r>
      <w:r>
        <w:rPr>
          <w:rStyle w:val="FootnoteAnchor"/>
          <w:rtl w:val="true"/>
        </w:rPr>
        <w:footnoteReference w:id="312"/>
      </w:r>
      <w:r>
        <w:rPr>
          <w:rFonts w:ascii="Amiri" w:hAnsi="Amiri" w:eastAsia="Amiri" w:cs="Amiri"/>
          <w:color w:val="111111"/>
          <w:sz w:val="28"/>
          <w:sz w:val="28"/>
          <w:szCs w:val="28"/>
          <w:rtl w:val="true"/>
          <w:lang w:bidi="ar-SA"/>
        </w:rPr>
        <w:t xml:space="preserve">عن ابن قبة </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استحالة العمل بخبر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المنع لمطلق الظنّ؛ فإنّه استدلّ علی مذهبه بوجهین</w:t>
      </w:r>
      <w:r>
        <w:rPr>
          <w:rFonts w:eastAsia="IRNazanin" w:cs="IRNazanin"/>
          <w:color w:val="111111"/>
          <w:sz w:val="28"/>
          <w:szCs w:val="28"/>
          <w:rtl w:val="true"/>
          <w:lang w:bidi="fa-IR"/>
        </w:rPr>
        <w:t>:</w:t>
      </w:r>
    </w:p>
    <w:p>
      <w:pPr>
        <w:pStyle w:val="Heading4"/>
        <w:numPr>
          <w:ilvl w:val="3"/>
          <w:numId w:val="1"/>
        </w:numPr>
        <w:rPr/>
      </w:pPr>
      <w:bookmarkStart w:id="296" w:name="__RefHeading___Toc5446663_3224264995"/>
      <w:bookmarkStart w:id="297" w:name="_Toc113"/>
      <w:bookmarkEnd w:id="296"/>
      <w:r>
        <w:rPr>
          <w:rtl w:val="true"/>
        </w:rPr>
        <w:t>أدلّة ابن قبة علی الامتناع</w:t>
      </w:r>
      <w:r>
        <w:rPr>
          <w:rtl w:val="true"/>
        </w:rPr>
        <w:t>:</w:t>
      </w:r>
      <w:bookmarkEnd w:id="29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جاز التعبّد بخبر الواحد فی الإخبار عن النبیّ صلّی اللّه علیه و آله لجاز التعبّد به فی الإخبار عن اللّه تعالی،و التالی باطل إجماعا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العمل به موجب لتحلیل الحرام و تحریم الحلال؛ </w:t>
      </w:r>
      <w:bookmarkStart w:id="298" w:name="pg12977_114147"/>
    </w:p>
    <w:p>
      <w:pPr>
        <w:pStyle w:val="BookText"/>
        <w:rPr/>
      </w:pPr>
      <w:bookmarkEnd w:id="298"/>
      <w:r>
        <w:rPr>
          <w:rFonts w:ascii="IRNazanin" w:hAnsi="IRNazanin" w:eastAsia="IRNazanin"/>
          <w:color w:val="111111"/>
          <w:sz w:val="28"/>
          <w:sz w:val="28"/>
          <w:szCs w:val="28"/>
          <w:rtl w:val="true"/>
          <w:lang w:bidi="fa-IR"/>
        </w:rPr>
        <w:t>إذ لا یؤمن أن یکون ما أخبر بحلّیته حراما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فی مطلق الظنّ،بل فی مطلق الأمارة الغیر العلمیّة و إن لم یفد الظنّ</w:t>
      </w:r>
      <w:r>
        <w:rPr>
          <w:rFonts w:eastAsia="IRNazanin" w:cs="IRNazanin"/>
          <w:color w:val="111111"/>
          <w:sz w:val="28"/>
          <w:szCs w:val="28"/>
          <w:rtl w:val="true"/>
          <w:lang w:bidi="fa-IR"/>
        </w:rPr>
        <w:t>.</w:t>
      </w:r>
    </w:p>
    <w:p>
      <w:pPr>
        <w:pStyle w:val="Heading4"/>
        <w:numPr>
          <w:ilvl w:val="3"/>
          <w:numId w:val="1"/>
        </w:numPr>
        <w:rPr/>
      </w:pPr>
      <w:bookmarkStart w:id="299" w:name="__RefHeading___Toc5446665_3224264995"/>
      <w:bookmarkStart w:id="300" w:name="_Toc114"/>
      <w:bookmarkEnd w:id="299"/>
      <w:r>
        <w:rPr>
          <w:rtl w:val="true"/>
        </w:rPr>
        <w:t>استدلال المشهور علی الإمکان</w:t>
      </w:r>
      <w:r>
        <w:rPr>
          <w:rtl w:val="true"/>
        </w:rPr>
        <w:t>:</w:t>
      </w:r>
      <w:bookmarkEnd w:id="300"/>
    </w:p>
    <w:p>
      <w:pPr>
        <w:pStyle w:val="Heading5"/>
        <w:numPr>
          <w:ilvl w:val="4"/>
          <w:numId w:val="1"/>
        </w:numPr>
        <w:rPr/>
      </w:pPr>
      <w:bookmarkStart w:id="301" w:name="__RefHeading___Toc5446667_3224264995"/>
      <w:bookmarkStart w:id="302" w:name="_Toc115"/>
      <w:bookmarkEnd w:id="301"/>
      <w:r>
        <w:rPr>
          <w:rtl w:val="true"/>
        </w:rPr>
        <w:t>اشارة</w:t>
      </w:r>
      <w:bookmarkEnd w:id="302"/>
    </w:p>
    <w:p>
      <w:pPr>
        <w:pStyle w:val="BookText"/>
        <w:rPr/>
      </w:pPr>
      <w:r>
        <w:rPr>
          <w:rFonts w:ascii="IRNazanin" w:hAnsi="IRNazanin" w:eastAsia="IRNazanin"/>
          <w:color w:val="111111"/>
          <w:sz w:val="28"/>
          <w:sz w:val="28"/>
          <w:szCs w:val="28"/>
          <w:rtl w:val="true"/>
          <w:lang w:bidi="fa-IR"/>
        </w:rPr>
        <w:t>و استدلّ المشهور علی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بأنّا نقطع بأنّه لا یلزم من التعبّد به محال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هذا التقریر نظر؛إذ القطع بعدم لزوم المحال فی الواقع موقوف علی إحاطة العقل </w:t>
      </w:r>
      <w:r>
        <w:rPr>
          <w:rStyle w:val="FootnoteAnchor"/>
          <w:rtl w:val="true"/>
        </w:rPr>
        <w:footnoteReference w:id="315"/>
      </w:r>
      <w:r>
        <w:rPr>
          <w:rFonts w:ascii="IRNazanin" w:hAnsi="IRNazanin" w:eastAsia="IRNazanin"/>
          <w:color w:val="111111"/>
          <w:sz w:val="28"/>
          <w:sz w:val="28"/>
          <w:szCs w:val="28"/>
          <w:rtl w:val="true"/>
          <w:lang w:bidi="fa-IR"/>
        </w:rPr>
        <w:t xml:space="preserve">بجمیع الجهات المحسّنة و المقبّحة و علمه </w:t>
      </w:r>
      <w:r>
        <w:rPr>
          <w:rStyle w:val="FootnoteAnchor"/>
          <w:rtl w:val="true"/>
        </w:rPr>
        <w:footnoteReference w:id="316"/>
      </w:r>
      <w:r>
        <w:rPr>
          <w:rFonts w:ascii="IRNazanin" w:hAnsi="IRNazanin" w:eastAsia="IRNazanin"/>
          <w:color w:val="111111"/>
          <w:sz w:val="28"/>
          <w:sz w:val="28"/>
          <w:szCs w:val="28"/>
          <w:rtl w:val="true"/>
          <w:lang w:bidi="fa-IR"/>
        </w:rPr>
        <w:t>بانتفائها، و هو غیر حاصل فیما نحن فیه</w:t>
      </w:r>
      <w:r>
        <w:rPr>
          <w:rFonts w:eastAsia="IRNazanin" w:cs="IRNazanin"/>
          <w:color w:val="111111"/>
          <w:sz w:val="28"/>
          <w:szCs w:val="28"/>
          <w:rtl w:val="true"/>
          <w:lang w:bidi="fa-IR"/>
        </w:rPr>
        <w:t>.</w:t>
      </w:r>
    </w:p>
    <w:p>
      <w:pPr>
        <w:pStyle w:val="Heading5"/>
        <w:numPr>
          <w:ilvl w:val="4"/>
          <w:numId w:val="1"/>
        </w:numPr>
        <w:rPr/>
      </w:pPr>
      <w:bookmarkStart w:id="303" w:name="__RefHeading___Toc5446669_3224264995"/>
      <w:bookmarkStart w:id="304" w:name="_Toc116"/>
      <w:bookmarkEnd w:id="303"/>
      <w:r>
        <w:rPr>
          <w:rtl w:val="true"/>
        </w:rPr>
        <w:t>الأولی فی وجه الاستدلال</w:t>
      </w:r>
      <w:r>
        <w:rPr>
          <w:rtl w:val="true"/>
        </w:rPr>
        <w:t>:</w:t>
      </w:r>
      <w:bookmarkEnd w:id="304"/>
    </w:p>
    <w:p>
      <w:pPr>
        <w:pStyle w:val="BookText"/>
        <w:rPr/>
      </w:pPr>
      <w:r>
        <w:rPr>
          <w:rFonts w:ascii="IRNazanin" w:hAnsi="IRNazanin" w:eastAsia="IRNazanin"/>
          <w:color w:val="111111"/>
          <w:sz w:val="28"/>
          <w:sz w:val="28"/>
          <w:szCs w:val="28"/>
          <w:rtl w:val="true"/>
          <w:lang w:bidi="fa-IR"/>
        </w:rPr>
        <w:t>فالأولی أن یقرّر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نجد فی عقولنا بعد التأمّل ما یوجب الاستحالة،و هذا طریق یسلکه العقلاء فی الحکم بالإمکان</w:t>
      </w:r>
      <w:r>
        <w:rPr>
          <w:rFonts w:eastAsia="IRNazanin" w:cs="IRNazanin"/>
          <w:color w:val="111111"/>
          <w:sz w:val="28"/>
          <w:szCs w:val="28"/>
          <w:rtl w:val="true"/>
          <w:lang w:bidi="fa-IR"/>
        </w:rPr>
        <w:t>.</w:t>
      </w:r>
    </w:p>
    <w:p>
      <w:pPr>
        <w:pStyle w:val="Heading4"/>
        <w:numPr>
          <w:ilvl w:val="3"/>
          <w:numId w:val="1"/>
        </w:numPr>
        <w:rPr/>
      </w:pPr>
      <w:bookmarkStart w:id="305" w:name="__RefHeading___Toc5446671_3224264995"/>
      <w:bookmarkStart w:id="306" w:name="_Toc117"/>
      <w:bookmarkEnd w:id="305"/>
      <w:r>
        <w:rPr>
          <w:rtl w:val="true"/>
        </w:rPr>
        <w:t>المناقشة فی أدلّة ابن قبة</w:t>
      </w:r>
      <w:r>
        <w:rPr>
          <w:rtl w:val="true"/>
        </w:rPr>
        <w:t>:</w:t>
      </w:r>
      <w:bookmarkEnd w:id="306"/>
    </w:p>
    <w:p>
      <w:pPr>
        <w:pStyle w:val="Heading5"/>
        <w:numPr>
          <w:ilvl w:val="4"/>
          <w:numId w:val="1"/>
        </w:numPr>
        <w:rPr/>
      </w:pPr>
      <w:bookmarkStart w:id="307" w:name="__RefHeading___Toc5446673_3224264995"/>
      <w:bookmarkStart w:id="308" w:name="_Toc118"/>
      <w:bookmarkEnd w:id="307"/>
      <w:r>
        <w:rPr>
          <w:rtl w:val="true"/>
        </w:rPr>
        <w:t>اشارة</w:t>
      </w:r>
      <w:bookmarkEnd w:id="308"/>
    </w:p>
    <w:p>
      <w:pPr>
        <w:pStyle w:val="BookText"/>
        <w:rPr/>
      </w:pPr>
      <w:r>
        <w:rPr>
          <w:rFonts w:ascii="IRNazanin" w:hAnsi="IRNazanin" w:eastAsia="IRNazanin"/>
          <w:color w:val="111111"/>
          <w:sz w:val="28"/>
          <w:sz w:val="28"/>
          <w:szCs w:val="28"/>
          <w:rtl w:val="true"/>
          <w:lang w:bidi="fa-IR"/>
        </w:rPr>
        <w:t>و الجواب عن دلیله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الإجماع إنّما قام علی عدم الوقوع، لا علی الامتناع</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عدم الجواز قیاسا علی الإخبار عن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تسلیمه </w:t>
      </w:r>
      <w:r>
        <w:rPr>
          <w:rStyle w:val="FootnoteAnchor"/>
          <w:rtl w:val="true"/>
        </w:rPr>
        <w:footnoteReference w:id="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w:t>
      </w:r>
      <w:r>
        <w:rPr>
          <w:rStyle w:val="FootnoteAnchor"/>
          <w:rtl w:val="true"/>
        </w:rPr>
        <w:footnoteReference w:id="318"/>
      </w:r>
      <w:r>
        <w:rPr>
          <w:rFonts w:ascii="IRNazanin" w:hAnsi="IRNazanin" w:eastAsia="IRNazanin"/>
          <w:color w:val="111111"/>
          <w:sz w:val="28"/>
          <w:sz w:val="28"/>
          <w:szCs w:val="28"/>
          <w:rtl w:val="true"/>
          <w:lang w:bidi="fa-IR"/>
        </w:rPr>
        <w:t xml:space="preserve">هو فیما إذا بنی تأسیس الشریعة اصولا و </w:t>
      </w:r>
      <w:r>
        <w:rPr>
          <w:rStyle w:val="FootnoteAnchor"/>
          <w:rtl w:val="true"/>
        </w:rPr>
        <w:footnoteReference w:id="319"/>
      </w:r>
      <w:r>
        <w:rPr>
          <w:rFonts w:ascii="IRNazanin" w:hAnsi="IRNazanin" w:eastAsia="IRNazanin"/>
          <w:color w:val="111111"/>
          <w:sz w:val="28"/>
          <w:sz w:val="28"/>
          <w:szCs w:val="28"/>
          <w:rtl w:val="true"/>
          <w:lang w:bidi="fa-IR"/>
        </w:rPr>
        <w:t xml:space="preserve">فروعا علی </w:t>
      </w:r>
      <w:bookmarkStart w:id="309" w:name="pg12977_114148"/>
    </w:p>
    <w:p>
      <w:pPr>
        <w:pStyle w:val="BookText"/>
        <w:rPr/>
      </w:pPr>
      <w:bookmarkEnd w:id="309"/>
      <w:r>
        <w:rPr>
          <w:rFonts w:ascii="IRNazanin" w:hAnsi="IRNazanin" w:eastAsia="IRNazanin"/>
          <w:color w:val="111111"/>
          <w:sz w:val="28"/>
          <w:sz w:val="28"/>
          <w:szCs w:val="28"/>
          <w:rtl w:val="true"/>
          <w:lang w:bidi="fa-IR"/>
        </w:rPr>
        <w:t xml:space="preserve">العمل بخبر الواحد </w:t>
      </w:r>
      <w:r>
        <w:rPr>
          <w:rStyle w:val="FootnoteAnchor"/>
          <w:rtl w:val="true"/>
        </w:rPr>
        <w:footnoteReference w:id="320"/>
      </w:r>
      <w:r>
        <w:rPr>
          <w:rFonts w:ascii="IRNazanin" w:hAnsi="IRNazanin" w:eastAsia="IRNazanin"/>
          <w:color w:val="111111"/>
          <w:sz w:val="28"/>
          <w:sz w:val="28"/>
          <w:szCs w:val="28"/>
          <w:rtl w:val="true"/>
          <w:lang w:bidi="fa-IR"/>
        </w:rPr>
        <w:t xml:space="preserve">،لا مثل </w:t>
      </w:r>
      <w:r>
        <w:rPr>
          <w:rStyle w:val="FootnoteAnchor"/>
          <w:rtl w:val="true"/>
        </w:rPr>
        <w:footnoteReference w:id="321"/>
      </w:r>
      <w:r>
        <w:rPr>
          <w:rFonts w:ascii="IRNazanin" w:hAnsi="IRNazanin" w:eastAsia="IRNazanin"/>
          <w:color w:val="111111"/>
          <w:sz w:val="28"/>
          <w:sz w:val="28"/>
          <w:szCs w:val="28"/>
          <w:rtl w:val="true"/>
          <w:lang w:bidi="fa-IR"/>
        </w:rPr>
        <w:t xml:space="preserve">ما نحن فیه ممّا ثبت أصل الدین و جمیع فروعه بالأدلّة القطعیّة،لکن عرض اختفاؤها </w:t>
      </w:r>
      <w:r>
        <w:rPr>
          <w:rStyle w:val="FootnoteAnchor"/>
          <w:rtl w:val="true"/>
        </w:rPr>
        <w:footnoteReference w:id="322"/>
      </w:r>
      <w:r>
        <w:rPr>
          <w:rFonts w:ascii="Amiri" w:hAnsi="Amiri" w:eastAsia="Amiri" w:cs="Amiri"/>
          <w:color w:val="111111"/>
          <w:sz w:val="28"/>
          <w:sz w:val="28"/>
          <w:szCs w:val="28"/>
          <w:rtl w:val="true"/>
          <w:lang w:bidi="ar-SA"/>
        </w:rPr>
        <w:t xml:space="preserve">من جهة العوارض و </w:t>
      </w:r>
      <w:r>
        <w:rPr>
          <w:rStyle w:val="FootnoteAnchor"/>
          <w:rtl w:val="true"/>
        </w:rPr>
        <w:footnoteReference w:id="323"/>
      </w:r>
      <w:r>
        <w:rPr>
          <w:rFonts w:ascii="IRNazanin" w:hAnsi="IRNazanin" w:eastAsia="IRNazanin"/>
          <w:color w:val="111111"/>
          <w:sz w:val="28"/>
          <w:sz w:val="28"/>
          <w:szCs w:val="28"/>
          <w:rtl w:val="true"/>
          <w:lang w:bidi="fa-IR"/>
        </w:rPr>
        <w:t>إخفاء الظالمین للحقّ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دلیله الثانی،فقد اجیب عنه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بالنقض بالامور الکثیرة الغیر المفیدة للعلم،کالفتوی و البیّنة و الید،بل القطع أیضا؛لأنّه قد یکون جهلا مرکّبا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بالحلّ،بأنّه إن ارید تحریم الحلال الظاهری أو عکسه فلا نسلّم لزومه،و إن ارید تحریم الحلال الواقعی ظاهرا فلا نسلّم امتناعه</w:t>
      </w:r>
      <w:r>
        <w:rPr>
          <w:rFonts w:eastAsia="IRNazanin" w:cs="IRNazanin"/>
          <w:color w:val="111111"/>
          <w:sz w:val="28"/>
          <w:szCs w:val="28"/>
          <w:rtl w:val="true"/>
          <w:lang w:bidi="fa-IR"/>
        </w:rPr>
        <w:t>.</w:t>
      </w:r>
    </w:p>
    <w:p>
      <w:pPr>
        <w:pStyle w:val="Heading5"/>
        <w:numPr>
          <w:ilvl w:val="4"/>
          <w:numId w:val="1"/>
        </w:numPr>
        <w:rPr/>
      </w:pPr>
      <w:bookmarkStart w:id="310" w:name="__RefHeading___Toc5446675_3224264995"/>
      <w:bookmarkStart w:id="311" w:name="_Toc119"/>
      <w:bookmarkEnd w:id="310"/>
      <w:r>
        <w:rPr>
          <w:rtl w:val="true"/>
        </w:rPr>
        <w:t>الأولی فی الجواب عن دلیله الثانی</w:t>
      </w:r>
      <w:r>
        <w:rPr>
          <w:rtl w:val="true"/>
        </w:rPr>
        <w:t>:</w:t>
      </w:r>
      <w:bookmarkEnd w:id="31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إن أراد امتناع التعبّد </w:t>
      </w:r>
      <w:r>
        <w:rPr>
          <w:rStyle w:val="FootnoteAnchor"/>
          <w:rtl w:val="true"/>
        </w:rPr>
        <w:footnoteReference w:id="325"/>
      </w:r>
      <w:r>
        <w:rPr>
          <w:rFonts w:ascii="IRNazanin" w:hAnsi="IRNazanin" w:eastAsia="IRNazanin"/>
          <w:color w:val="111111"/>
          <w:sz w:val="28"/>
          <w:sz w:val="28"/>
          <w:szCs w:val="28"/>
          <w:rtl w:val="true"/>
          <w:lang w:bidi="fa-IR"/>
        </w:rPr>
        <w:t>بالخبر فی المسألة التی انسدّ فیها باب العلم بالواقع،فلا یعقل المنع عن العمل به،فضلا عن امتناعه؛إذ مع فرض عدم التمکّن من العلم بالواقع إمّا أن یکون للمکلّف حکم فی تلک الواقعة،و إمّا أن لا یکون له فیها حکم، کالبهائم و المجانین</w:t>
      </w:r>
      <w:r>
        <w:rPr>
          <w:rFonts w:eastAsia="IRNazanin" w:cs="IRNazanin"/>
          <w:color w:val="111111"/>
          <w:sz w:val="28"/>
          <w:szCs w:val="28"/>
          <w:rtl w:val="true"/>
          <w:lang w:bidi="fa-IR"/>
        </w:rPr>
        <w:t xml:space="preserve">. </w:t>
      </w:r>
      <w:bookmarkStart w:id="312" w:name="pg12977_114149"/>
    </w:p>
    <w:p>
      <w:pPr>
        <w:pStyle w:val="BookText"/>
        <w:rPr/>
      </w:pPr>
      <w:bookmarkEnd w:id="312"/>
      <w:r>
        <w:rPr>
          <w:rFonts w:ascii="IRNazanin" w:hAnsi="IRNazanin" w:eastAsia="IRNazanin"/>
          <w:color w:val="111111"/>
          <w:sz w:val="28"/>
          <w:sz w:val="28"/>
          <w:szCs w:val="28"/>
          <w:rtl w:val="true"/>
          <w:lang w:bidi="fa-IR"/>
        </w:rPr>
        <w:t xml:space="preserve">فعلی الأوّل،فلا مناص عن إرجاعه إلی ما لا یفید العلم من الاصول أو الأمارات الظنیّة التی منها خبر </w:t>
      </w:r>
      <w:r>
        <w:rPr>
          <w:rStyle w:val="FootnoteAnchor"/>
          <w:rtl w:val="true"/>
        </w:rPr>
        <w:footnoteReference w:id="326"/>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الثانی،یلزم ترخیص فعل الحرام الواقعی و ترک الواجب الواقعی،و قد فرّ المستدلّ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التزم أنّ مع عدم التمکّن من العلم لا وجوب و لا تحریم؛ لأنّ الواجب و الحرام ما علم بطلب فعله أو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یلزم من التعبّد بالخبر تحلیل حرام أو عکسه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نظنّ بالمستدلّ إرادة الامتناع فی هذا الفرض،بل الظاهر أنّه یدّعی الانفتاح؛لأنّه أسبق من السیّد و أتباعه الذین ادّعوا انفتاح باب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مجال للنقض علیه بمثل الفتوی؛لأنّ المفروض انسداد باب العلم علی المستفتی،و لیس له شیء أبعد من تحریم الحلال و تحلیل الحرام من العمل بقول المفتی،حتّی أنّه لو تمکّن من الظنّ الاجتهادی فالأکثر علی عدم جواز العمل بفتوی الغیر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نقضه بالقطع مع احتمال کونه فی الواقع جهلا مرکّبا؛فإنّ باب هذا الاحتمال منسدّ علی القاطع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الامتناع مع انفتاح باب العلم و التمکّن منه فی مورد العمل بالخبر،فنقول</w:t>
      </w:r>
      <w:r>
        <w:rPr>
          <w:rFonts w:eastAsia="IRNazanin" w:cs="IRNazanin"/>
          <w:color w:val="111111"/>
          <w:sz w:val="28"/>
          <w:szCs w:val="28"/>
          <w:rtl w:val="true"/>
          <w:lang w:bidi="fa-IR"/>
        </w:rPr>
        <w:t>:</w:t>
      </w:r>
    </w:p>
    <w:p>
      <w:pPr>
        <w:pStyle w:val="Heading4"/>
        <w:numPr>
          <w:ilvl w:val="3"/>
          <w:numId w:val="1"/>
        </w:numPr>
        <w:rPr/>
      </w:pPr>
      <w:bookmarkStart w:id="313" w:name="__RefHeading___Toc5446677_3224264995"/>
      <w:bookmarkStart w:id="314" w:name="_Toc120"/>
      <w:bookmarkEnd w:id="313"/>
      <w:r>
        <w:rPr>
          <w:rtl w:val="true"/>
        </w:rPr>
        <w:t>التعبّد بالخبر علی وجهین</w:t>
      </w:r>
      <w:r>
        <w:rPr>
          <w:rtl w:val="true"/>
        </w:rPr>
        <w:t>:</w:t>
      </w:r>
      <w:r>
        <w:rPr>
          <w:rtl w:val="true"/>
        </w:rPr>
        <w:t>الطریقیّة و السببیّة</w:t>
      </w:r>
      <w:r>
        <w:rPr>
          <w:rtl w:val="true"/>
        </w:rPr>
        <w:t>:</w:t>
      </w:r>
      <w:bookmarkEnd w:id="31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التعبّد بالخبر حینئذ یتصوّر علی وجهین</w:t>
      </w:r>
      <w:r>
        <w:rPr>
          <w:rFonts w:eastAsia="IRNazanin" w:cs="IRNazanin"/>
          <w:color w:val="111111"/>
          <w:sz w:val="28"/>
          <w:szCs w:val="28"/>
          <w:rtl w:val="true"/>
          <w:lang w:bidi="fa-IR"/>
        </w:rPr>
        <w:t xml:space="preserve">: </w:t>
      </w:r>
      <w:bookmarkStart w:id="315" w:name="pg12977_114150"/>
    </w:p>
    <w:p>
      <w:pPr>
        <w:pStyle w:val="BookText"/>
        <w:rPr/>
      </w:pPr>
      <w:bookmarkEnd w:id="315"/>
      <w:r>
        <w:rPr>
          <w:rFonts w:ascii="IRNazanin" w:hAnsi="IRNazanin" w:eastAsia="IRNazanin"/>
          <w:color w:val="111111"/>
          <w:sz w:val="28"/>
          <w:sz w:val="28"/>
          <w:szCs w:val="28"/>
          <w:rtl w:val="true"/>
          <w:lang w:bidi="fa-IR"/>
        </w:rPr>
        <w:t xml:space="preserve">أحدهما </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یجب العمل به لمجرّد کونه طریقا إلی الواقع و کاشفا ظنیّا عنه،بحیث لم یلاحظ فیه مصلحة سوی الکشف عن الواقع، کما قد یتّفق ذلک حین انسداد باب العلم و تعلّق الغرض بإصابة الواقع؛ فإنّ الأمر بالعمل بالظنّ الخبری او غیره لا یحتاج إلی مصلحة سوی کونه کاشفا ظنیّا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یجب العمل به لأجل أنّه یحدث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قیام تلک الأمارة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مصلحة راجحة علی المصلحة الواقعیّة التی تفوت عند مخالفة تلک الأمارة للواقع،کأن یحدث فی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إخبار العادل بوجوبها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مصلحة راجحة علی المفسدة فی فعلها علی تقدیر حرمتها واقعا</w:t>
      </w:r>
      <w:r>
        <w:rPr>
          <w:rFonts w:eastAsia="IRNazanin" w:cs="IRNazanin"/>
          <w:color w:val="111111"/>
          <w:sz w:val="28"/>
          <w:szCs w:val="28"/>
          <w:rtl w:val="true"/>
          <w:lang w:bidi="fa-IR"/>
        </w:rPr>
        <w:t>.</w:t>
      </w:r>
    </w:p>
    <w:p>
      <w:pPr>
        <w:pStyle w:val="Heading4"/>
        <w:numPr>
          <w:ilvl w:val="3"/>
          <w:numId w:val="1"/>
        </w:numPr>
        <w:rPr/>
      </w:pPr>
      <w:bookmarkStart w:id="316" w:name="__RefHeading___Toc5446679_3224264995"/>
      <w:bookmarkStart w:id="317" w:name="_Toc121"/>
      <w:bookmarkEnd w:id="316"/>
      <w:r>
        <w:rPr>
          <w:rtl w:val="true"/>
        </w:rPr>
        <w:t>عدم الامتناع بناء علی الطریقیّة</w:t>
      </w:r>
      <w:r>
        <w:rPr>
          <w:rtl w:val="true"/>
        </w:rPr>
        <w:t>:</w:t>
      </w:r>
      <w:bookmarkEnd w:id="317"/>
    </w:p>
    <w:p>
      <w:pPr>
        <w:pStyle w:val="BookText"/>
        <w:rPr/>
      </w:pPr>
      <w:r>
        <w:rPr>
          <w:rFonts w:ascii="IRNazanin" w:hAnsi="IRNazanin" w:eastAsia="IRNazanin"/>
          <w:color w:val="111111"/>
          <w:sz w:val="28"/>
          <w:sz w:val="28"/>
          <w:szCs w:val="28"/>
          <w:rtl w:val="true"/>
          <w:lang w:bidi="fa-IR"/>
        </w:rPr>
        <w:t>أمّا إیجاب العمل بالخبر علی الوجه الأوّل،فهو و إن کان فی نفسه قبیحا مع فرض انفتاح باب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ذکره المستدلّ من تحریم الحلال و تحلیل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یمتنع أن یکون الخبر أغلب مطابقة للواقع فی نظر الشارع من الأدلّة القطعیّة التی یستعملها المکلّف للوصول إلی الحرام و الحلال الواقعیّین،أو یکونا متساویین فی نظره من حیث الإیصال إلی الواقع</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رجوع إلی فرض انسداد باب العلم و العجز عن الوصول إلی الواقع؛إذ لیس المراد انسداد باب الاعتقاد و لو کان جهلا مرکّبا،کما تقدّم سابقا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bookmarkStart w:id="318" w:name="pg12977_114151"/>
    </w:p>
    <w:p>
      <w:pPr>
        <w:pStyle w:val="BookText"/>
        <w:rPr/>
      </w:pPr>
      <w:bookmarkEnd w:id="318"/>
      <w:r>
        <w:rPr>
          <w:rFonts w:ascii="IRNazanin" w:hAnsi="IRNazanin" w:eastAsia="IRNazanin"/>
          <w:color w:val="111111"/>
          <w:sz w:val="28"/>
          <w:sz w:val="28"/>
          <w:szCs w:val="28"/>
          <w:rtl w:val="true"/>
          <w:lang w:bidi="fa-IR"/>
        </w:rPr>
        <w:t>فالأولی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الاعتراف بالقبح مع فرض التمکّن من الواقع</w:t>
      </w:r>
      <w:r>
        <w:rPr>
          <w:rFonts w:eastAsia="IRNazanin" w:cs="IRNazanin"/>
          <w:color w:val="111111"/>
          <w:sz w:val="28"/>
          <w:szCs w:val="28"/>
          <w:rtl w:val="true"/>
          <w:lang w:bidi="fa-IR"/>
        </w:rPr>
        <w:t>.</w:t>
      </w:r>
    </w:p>
    <w:p>
      <w:pPr>
        <w:pStyle w:val="Heading4"/>
        <w:numPr>
          <w:ilvl w:val="3"/>
          <w:numId w:val="1"/>
        </w:numPr>
        <w:rPr/>
      </w:pPr>
      <w:bookmarkStart w:id="319" w:name="__RefHeading___Toc5446681_3224264995"/>
      <w:bookmarkStart w:id="320" w:name="_Toc122"/>
      <w:bookmarkEnd w:id="319"/>
      <w:r>
        <w:rPr>
          <w:rtl w:val="true"/>
        </w:rPr>
        <w:t>عدم الامتناع بناء علی السببیّة</w:t>
      </w:r>
      <w:r>
        <w:rPr>
          <w:rtl w:val="true"/>
        </w:rPr>
        <w:t>:</w:t>
      </w:r>
      <w:bookmarkEnd w:id="320"/>
    </w:p>
    <w:p>
      <w:pPr>
        <w:pStyle w:val="BookText"/>
        <w:rPr/>
      </w:pPr>
      <w:r>
        <w:rPr>
          <w:rFonts w:ascii="IRNazanin" w:hAnsi="IRNazanin" w:eastAsia="IRNazanin"/>
          <w:color w:val="111111"/>
          <w:sz w:val="28"/>
          <w:sz w:val="28"/>
          <w:szCs w:val="28"/>
          <w:rtl w:val="true"/>
          <w:lang w:bidi="fa-IR"/>
        </w:rPr>
        <w:t>و أمّا وجوب العمل بالخبر علی الوجه الثانی،فلا قبح فیه أصلا،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النهایة فی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للشیخ قدّس سرّه فی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الفعل الشرعی إنّما یجب لکونه مصلحة،و لا یمتنع أن یکون مصلحة إذا فعلناه و نحن علی صفة مخصوصة،و کوننا ظانّین بصدق الراوی صفة من صفاتنا،فدخلت فی جملة أحوالنا التی یجوز کون الفعل عندها مصلحة </w:t>
      </w:r>
      <w:r>
        <w:rPr>
          <w:rStyle w:val="FootnoteAnchor"/>
          <w:rtl w:val="true"/>
        </w:rPr>
        <w:footnoteReference w:id="330"/>
      </w:r>
      <w:r>
        <w:rPr>
          <w:rFonts w:ascii="IRNazanin" w:hAnsi="IRNazanin" w:eastAsia="IRNazanin"/>
          <w:color w:val="111111"/>
          <w:sz w:val="28"/>
          <w:sz w:val="28"/>
          <w:szCs w:val="28"/>
          <w:rtl w:val="true"/>
          <w:lang w:bidi="fa-IR"/>
        </w:rPr>
        <w:t>، انتهی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إنّما یوجب التصویب؛لأنّ المفروض علی هذا أنّ فی صلاة الجمعة التی اخبر بوجوبها مصلحة راجحة علی المفسدة الواقعیّة،فالمفسدة الواقعیّة سلیمة عن المعارض الراجح بشرط عدم إخبار العادل بوجوبها،و بعد الإخبار یضمحلّ المفسدة؛لعروض المصلحة الراجحة،فلو ثبت مع هذا الوصف تحریم ثبت بغیر مفسدة توجبه؛لأنّ الشرط فی إیجاب المفسدة له خلوّها عن معارضة المصلحة الراجحة، فیکون إطلاق الحرام الواقعیّ حینئذ بمعنی أنّه حرام لو لا الإخبار،لا أنّه حرام بالفعل و مبغوض واقعا،فالموجود بالفعل فی هذه الواقعة عند الشارع لیس إلاّ المحبوبیّة و الوجوب،فلا یصحّ إطلاق الحرام علی ما فیه المفسدة المعارضة بالمصلحة الراجحة علیها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فرض صحّته فلا یوجب ثبوت حکم شرعیّ مغایر للحکم المسبّب عن المصلحة الراجحة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التصویب و إن لم ینحصر فی هذا المعنی،إلاّ أنّ الظاهر بطلانه أیضا؛کما اعترف به العلاّمة فی النهایة فی مسألة التصویب </w:t>
      </w:r>
      <w:r>
        <w:rPr>
          <w:rStyle w:val="FootnoteAnchor"/>
          <w:rtl w:val="true"/>
        </w:rPr>
        <w:footnoteReference w:id="331"/>
      </w:r>
      <w:r>
        <w:rPr>
          <w:rFonts w:ascii="IRNazanin" w:hAnsi="IRNazanin" w:eastAsia="IRNazanin"/>
          <w:color w:val="111111"/>
          <w:sz w:val="28"/>
          <w:sz w:val="28"/>
          <w:szCs w:val="28"/>
          <w:rtl w:val="true"/>
          <w:lang w:bidi="fa-IR"/>
        </w:rPr>
        <w:t>،و أجاب به صاحب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تعریف الفقه </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ظنّیة الطریق لا تنافی قطعیّة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سلّم کون هذا تصویبا مجمعا علی بطلانه و أغمضنا النظر </w:t>
      </w:r>
      <w:r>
        <w:rPr>
          <w:rStyle w:val="FootnoteAnchor"/>
          <w:rtl w:val="true"/>
        </w:rPr>
        <w:footnoteReference w:id="333"/>
      </w:r>
      <w:r>
        <w:rPr>
          <w:rFonts w:ascii="IRNazanin" w:hAnsi="IRNazanin" w:eastAsia="IRNazanin"/>
          <w:color w:val="111111"/>
          <w:sz w:val="28"/>
          <w:sz w:val="28"/>
          <w:szCs w:val="28"/>
          <w:rtl w:val="true"/>
          <w:lang w:bidi="fa-IR"/>
        </w:rPr>
        <w:t xml:space="preserve">عمّا سیجیء من عدم کون ذلک تصویبا </w:t>
      </w:r>
      <w:r>
        <w:rPr>
          <w:rStyle w:val="FootnoteAnchor"/>
          <w:rtl w:val="true"/>
        </w:rPr>
        <w:footnoteReference w:id="334"/>
      </w:r>
      <w:r>
        <w:rPr>
          <w:rFonts w:ascii="IRNazanin" w:hAnsi="IRNazanin" w:eastAsia="IRNazanin"/>
          <w:color w:val="111111"/>
          <w:sz w:val="28"/>
          <w:sz w:val="28"/>
          <w:szCs w:val="28"/>
          <w:rtl w:val="true"/>
          <w:lang w:bidi="fa-IR"/>
        </w:rPr>
        <w:t>،کان الجواب به عن ابن قبة من جهة أنّه أمر ممکن غیر مستحیل،و إن لم یکن واقعا لإجماع أو غیره،و هذا المقدار یکفی فی ردّه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کلامه قدّس سرّه بعد الفراغ عن بطلان التصویب،کما هو ظاهر استدلاله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تحلیل الحرام الواقعی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bookmarkStart w:id="321" w:name="pg12977_114153"/>
    </w:p>
    <w:p>
      <w:pPr>
        <w:pStyle w:val="Heading4"/>
        <w:numPr>
          <w:ilvl w:val="3"/>
          <w:numId w:val="1"/>
        </w:numPr>
        <w:rPr/>
      </w:pPr>
      <w:bookmarkStart w:id="322" w:name="__RefHeading___Toc5446683_3224264995"/>
      <w:bookmarkStart w:id="323" w:name="_Toc123"/>
      <w:bookmarkEnd w:id="321"/>
      <w:bookmarkEnd w:id="322"/>
      <w:r>
        <w:rPr>
          <w:rtl w:val="true"/>
        </w:rPr>
        <w:t>التعبّد بالأمارات غیر العلمیّة</w:t>
      </w:r>
      <w:bookmarkEnd w:id="323"/>
    </w:p>
    <w:p>
      <w:pPr>
        <w:pStyle w:val="Heading5"/>
        <w:numPr>
          <w:ilvl w:val="4"/>
          <w:numId w:val="1"/>
        </w:numPr>
        <w:rPr/>
      </w:pPr>
      <w:bookmarkStart w:id="324" w:name="__RefHeading___Toc5446685_3224264995"/>
      <w:bookmarkStart w:id="325" w:name="_Toc124"/>
      <w:bookmarkEnd w:id="324"/>
      <w:r>
        <w:rPr>
          <w:rtl w:val="true"/>
        </w:rPr>
        <w:t>اشارة</w:t>
      </w:r>
      <w:bookmarkEnd w:id="3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التعبّد بالأمارات غیر العلمیّة</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انجرّ الکلام إلی التعبّد بالأمارات الغیر العلمیّة،فنقول فی توضیح هذا المرام و إن کان خارجا عن محلّ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یتصوّر علی وجهین</w:t>
      </w:r>
      <w:r>
        <w:rPr>
          <w:rFonts w:eastAsia="IRNazanin" w:cs="IRNazanin"/>
          <w:color w:val="111111"/>
          <w:sz w:val="28"/>
          <w:szCs w:val="28"/>
          <w:rtl w:val="true"/>
          <w:lang w:bidi="fa-IR"/>
        </w:rPr>
        <w:t>:</w:t>
      </w:r>
    </w:p>
    <w:p>
      <w:pPr>
        <w:pStyle w:val="Heading5"/>
        <w:numPr>
          <w:ilvl w:val="4"/>
          <w:numId w:val="1"/>
        </w:numPr>
        <w:rPr/>
      </w:pPr>
      <w:bookmarkStart w:id="326" w:name="__RefHeading___Toc5446687_3224264995"/>
      <w:bookmarkStart w:id="327" w:name="_Toc125"/>
      <w:bookmarkEnd w:id="326"/>
      <w:r>
        <w:rPr/>
        <w:t>1</w:t>
      </w:r>
      <w:r>
        <w:rPr>
          <w:rtl w:val="true"/>
        </w:rPr>
        <w:t>-</w:t>
      </w:r>
      <w:r>
        <w:rPr>
          <w:rtl w:val="true"/>
        </w:rPr>
        <w:t>مسلک الطریقیّة</w:t>
      </w:r>
      <w:r>
        <w:rPr>
          <w:rtl w:val="true"/>
        </w:rPr>
        <w:t>:</w:t>
      </w:r>
      <w:bookmarkEnd w:id="32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ذلک من باب مجرّد الکشف عن الواقع،فلا یلاحظ فی التعبّد بها إلاّ الإیصال إلی الواقع،فلا مصلحة فی سلوک هذا الطریق وراء مصلحة الواقع،کما لو أمر المولی عبده عند تحیّره فی طریق بغداد بسؤال الأعراب عن الطریق،غیر ملاحظ فی ذلک إلاّ کون قول الأعراب موصلا إلی الواقع دائما أو غالبا،و الأمر بالعمل </w:t>
      </w:r>
      <w:r>
        <w:rPr>
          <w:rStyle w:val="FootnoteAnchor"/>
          <w:rtl w:val="true"/>
        </w:rPr>
        <w:footnoteReference w:id="337"/>
      </w:r>
      <w:r>
        <w:rPr>
          <w:rFonts w:ascii="IRNazanin" w:hAnsi="IRNazanin" w:eastAsia="IRNazanin"/>
          <w:color w:val="111111"/>
          <w:sz w:val="28"/>
          <w:sz w:val="28"/>
          <w:szCs w:val="28"/>
          <w:rtl w:val="true"/>
          <w:lang w:bidi="fa-IR"/>
        </w:rPr>
        <w:t>فی هذا القسم لیس إلاّ للإرشاد</w:t>
      </w:r>
      <w:r>
        <w:rPr>
          <w:rFonts w:eastAsia="IRNazanin" w:cs="IRNazanin"/>
          <w:color w:val="111111"/>
          <w:sz w:val="28"/>
          <w:szCs w:val="28"/>
          <w:rtl w:val="true"/>
          <w:lang w:bidi="fa-IR"/>
        </w:rPr>
        <w:t>.</w:t>
      </w:r>
    </w:p>
    <w:p>
      <w:pPr>
        <w:pStyle w:val="Heading5"/>
        <w:numPr>
          <w:ilvl w:val="4"/>
          <w:numId w:val="1"/>
        </w:numPr>
        <w:rPr/>
      </w:pPr>
      <w:bookmarkStart w:id="328" w:name="__RefHeading___Toc5446689_3224264995"/>
      <w:bookmarkStart w:id="329" w:name="_Toc126"/>
      <w:bookmarkEnd w:id="328"/>
      <w:r>
        <w:rPr/>
        <w:t>2</w:t>
      </w:r>
      <w:r>
        <w:rPr>
          <w:rtl w:val="true"/>
        </w:rPr>
        <w:t>-</w:t>
      </w:r>
      <w:r>
        <w:rPr>
          <w:rtl w:val="true"/>
        </w:rPr>
        <w:t>مسلک السببیّة</w:t>
      </w:r>
      <w:r>
        <w:rPr>
          <w:rtl w:val="true"/>
        </w:rPr>
        <w:t>:</w:t>
      </w:r>
      <w:bookmarkEnd w:id="329"/>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ذلک لمدخلیّة سلوک الأمارة فی مصلحة العمل </w:t>
      </w:r>
      <w:r>
        <w:rPr>
          <w:rStyle w:val="FootnoteAnchor"/>
          <w:rtl w:val="true"/>
        </w:rPr>
        <w:footnoteReference w:id="338"/>
      </w:r>
      <w:r>
        <w:rPr>
          <w:rFonts w:ascii="IRNazanin" w:hAnsi="IRNazanin" w:eastAsia="IRNazanin"/>
          <w:color w:val="111111"/>
          <w:sz w:val="28"/>
          <w:sz w:val="28"/>
          <w:szCs w:val="28"/>
          <w:rtl w:val="true"/>
          <w:lang w:bidi="fa-IR"/>
        </w:rPr>
        <w:t>و إن خالف الواقع،فالغرض إدراک مصلحة سلوک هذا الطریق التی هی مساویة لمصلحة الواقع أو أرجح منها</w:t>
      </w:r>
      <w:r>
        <w:rPr>
          <w:rFonts w:eastAsia="IRNazanin" w:cs="IRNazanin"/>
          <w:color w:val="111111"/>
          <w:sz w:val="28"/>
          <w:szCs w:val="28"/>
          <w:rtl w:val="true"/>
          <w:lang w:bidi="fa-IR"/>
        </w:rPr>
        <w:t>.</w:t>
      </w:r>
    </w:p>
    <w:p>
      <w:pPr>
        <w:pStyle w:val="Heading4"/>
        <w:numPr>
          <w:ilvl w:val="3"/>
          <w:numId w:val="1"/>
        </w:numPr>
        <w:rPr/>
      </w:pPr>
      <w:bookmarkStart w:id="330" w:name="__RefHeading___Toc5446691_3224264995"/>
      <w:bookmarkStart w:id="331" w:name="_Toc127"/>
      <w:bookmarkEnd w:id="330"/>
      <w:r>
        <w:rPr>
          <w:rtl w:val="true"/>
        </w:rPr>
        <w:t>وجوه الطریقیّة</w:t>
      </w:r>
      <w:r>
        <w:rPr>
          <w:rtl w:val="true"/>
        </w:rPr>
        <w:t>:</w:t>
      </w:r>
      <w:bookmarkEnd w:id="331"/>
    </w:p>
    <w:p>
      <w:pPr>
        <w:pStyle w:val="BookText"/>
        <w:rPr/>
      </w:pPr>
      <w:r>
        <w:rPr>
          <w:rFonts w:ascii="IRNazanin" w:hAnsi="IRNazanin" w:eastAsia="IRNazanin"/>
          <w:color w:val="111111"/>
          <w:sz w:val="28"/>
          <w:sz w:val="28"/>
          <w:szCs w:val="28"/>
          <w:rtl w:val="true"/>
          <w:lang w:bidi="fa-IR"/>
        </w:rPr>
        <w:t>أمّا القسم الأوّل،فالوجه فیه لا یخلو من امور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الشارع العالم بالغیب عالما بدوام موافقة هذه الأمارة </w:t>
      </w:r>
      <w:r>
        <w:rPr>
          <w:rStyle w:val="FootnoteAnchor"/>
          <w:rtl w:val="true"/>
        </w:rPr>
        <w:footnoteReference w:id="339"/>
      </w:r>
      <w:r>
        <w:rPr>
          <w:rFonts w:ascii="IRNazanin" w:hAnsi="IRNazanin" w:eastAsia="IRNazanin"/>
          <w:color w:val="111111"/>
          <w:sz w:val="28"/>
          <w:sz w:val="28"/>
          <w:szCs w:val="28"/>
          <w:rtl w:val="true"/>
          <w:lang w:bidi="fa-IR"/>
        </w:rPr>
        <w:t>للواقع و إن لم یعلم بذلک المکلّف</w:t>
      </w:r>
      <w:r>
        <w:rPr>
          <w:rFonts w:eastAsia="IRNazanin" w:cs="IRNazanin"/>
          <w:color w:val="111111"/>
          <w:sz w:val="28"/>
          <w:szCs w:val="28"/>
          <w:rtl w:val="true"/>
          <w:lang w:bidi="fa-IR"/>
        </w:rPr>
        <w:t xml:space="preserve">. </w:t>
      </w:r>
      <w:bookmarkStart w:id="332" w:name="pg12977_114154"/>
    </w:p>
    <w:p>
      <w:pPr>
        <w:pStyle w:val="BookText"/>
        <w:rPr/>
      </w:pPr>
      <w:bookmarkEnd w:id="332"/>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فی نظر الشارع غالب المطابقة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فی نظره أغلب مطابقة من العلوم الحاصلة للمکلّف بالواقع؛لکون أکثرها فی نظر الشارع جهلا مرکّبا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الأوّل و الثالث یوجبان الأمر بسلوک الأمارة و لو مع تمکّن المکلّف من الأسباب المفیدة للقطع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لا یصحّ إلاّ مع تعذّر باب العلم؛لأنّ تفویت الواقع علی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فی النادر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تدارکه بشیء،قبیح</w:t>
      </w:r>
      <w:r>
        <w:rPr>
          <w:rFonts w:eastAsia="IRNazanin" w:cs="IRNazanin"/>
          <w:color w:val="111111"/>
          <w:sz w:val="28"/>
          <w:szCs w:val="28"/>
          <w:rtl w:val="true"/>
          <w:lang w:bidi="fa-IR"/>
        </w:rPr>
        <w:t>.</w:t>
      </w:r>
    </w:p>
    <w:p>
      <w:pPr>
        <w:pStyle w:val="Heading4"/>
        <w:numPr>
          <w:ilvl w:val="3"/>
          <w:numId w:val="1"/>
        </w:numPr>
        <w:rPr/>
      </w:pPr>
      <w:bookmarkStart w:id="333" w:name="__RefHeading___Toc5446693_3224264995"/>
      <w:bookmarkStart w:id="334" w:name="_Toc128"/>
      <w:bookmarkEnd w:id="333"/>
      <w:r>
        <w:rPr>
          <w:rtl w:val="true"/>
        </w:rPr>
        <w:t>وجوه السببیّة</w:t>
      </w:r>
      <w:r>
        <w:rPr>
          <w:rtl w:val="true"/>
        </w:rPr>
        <w:t>:</w:t>
      </w:r>
      <w:bookmarkEnd w:id="334"/>
    </w:p>
    <w:p>
      <w:pPr>
        <w:pStyle w:val="Heading5"/>
        <w:numPr>
          <w:ilvl w:val="4"/>
          <w:numId w:val="1"/>
        </w:numPr>
        <w:rPr/>
      </w:pPr>
      <w:bookmarkStart w:id="335" w:name="__RefHeading___Toc5446695_3224264995"/>
      <w:bookmarkStart w:id="336" w:name="_Toc129"/>
      <w:bookmarkEnd w:id="335"/>
      <w:r>
        <w:rPr>
          <w:rtl w:val="true"/>
        </w:rPr>
        <w:t>اشارة</w:t>
      </w:r>
      <w:bookmarkEnd w:id="336"/>
    </w:p>
    <w:p>
      <w:pPr>
        <w:pStyle w:val="BookText"/>
        <w:rPr/>
      </w:pPr>
      <w:r>
        <w:rPr>
          <w:rFonts w:ascii="IRNazanin" w:hAnsi="IRNazanin" w:eastAsia="IRNazanin"/>
          <w:color w:val="111111"/>
          <w:sz w:val="28"/>
          <w:sz w:val="28"/>
          <w:szCs w:val="28"/>
          <w:rtl w:val="true"/>
          <w:lang w:bidi="fa-IR"/>
        </w:rPr>
        <w:t>و أمّا القسم الثانی،فهو علی وجوه</w:t>
      </w:r>
      <w:r>
        <w:rPr>
          <w:rFonts w:eastAsia="IRNazanin" w:cs="IRNazanin"/>
          <w:color w:val="111111"/>
          <w:sz w:val="28"/>
          <w:szCs w:val="28"/>
          <w:rtl w:val="true"/>
          <w:lang w:bidi="fa-IR"/>
        </w:rPr>
        <w:t>:</w:t>
      </w:r>
    </w:p>
    <w:p>
      <w:pPr>
        <w:pStyle w:val="Heading5"/>
        <w:numPr>
          <w:ilvl w:val="4"/>
          <w:numId w:val="1"/>
        </w:numPr>
        <w:rPr/>
      </w:pPr>
      <w:bookmarkStart w:id="337" w:name="__RefHeading___Toc5446697_3224264995"/>
      <w:bookmarkStart w:id="338" w:name="_Toc130"/>
      <w:bookmarkEnd w:id="337"/>
      <w:r>
        <w:rPr>
          <w:rtl w:val="true"/>
        </w:rPr>
        <w:t>أحدها</w:t>
      </w:r>
      <w:r>
        <w:rPr>
          <w:rtl w:val="true"/>
        </w:rPr>
        <w:t>:</w:t>
      </w:r>
      <w:r>
        <w:rPr>
          <w:rtl w:val="true"/>
        </w:rPr>
        <w:t>أن یکون الحکم</w:t>
      </w:r>
      <w:r>
        <w:rPr>
          <w:rtl w:val="true"/>
        </w:rPr>
        <w:t>-</w:t>
      </w:r>
      <w:r>
        <w:rPr>
          <w:rtl w:val="true"/>
        </w:rPr>
        <w:t>مطلقا</w:t>
      </w:r>
      <w:bookmarkEnd w:id="338"/>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مطلقا </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تابعا لتلک الأمارة</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،بحیث لا یکون فی حقّ الجاهل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وجود هذه الأمارة و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حکم،فتکون الأحکام الواقعیّة مختصّة فی الواقع بالعالمین بها، و الجاهل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قیام أمارة عنده علی حکم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حکم له أو محکوم بما یعلم اللّه أنّ الأمارة تؤدّی إلیه،و هذا تصویب باطل عند أهل الصواب من التخطئة </w:t>
      </w:r>
      <w:r>
        <w:rPr>
          <w:rStyle w:val="FootnoteAnchor"/>
          <w:rtl w:val="true"/>
        </w:rPr>
        <w:footnoteReference w:id="341"/>
      </w:r>
      <w:r>
        <w:rPr>
          <w:rFonts w:ascii="IRNazanin" w:hAnsi="IRNazanin" w:eastAsia="IRNazanin"/>
          <w:color w:val="111111"/>
          <w:sz w:val="28"/>
          <w:sz w:val="28"/>
          <w:szCs w:val="28"/>
          <w:rtl w:val="true"/>
          <w:lang w:bidi="fa-IR"/>
        </w:rPr>
        <w:t xml:space="preserve">،و قد تواتر بوجود الحکم المشترک بین العالم و الجاهل الأخبار و الآثار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bookmarkStart w:id="339" w:name="pg12977_114155"/>
    </w:p>
    <w:p>
      <w:pPr>
        <w:pStyle w:val="Heading5"/>
        <w:numPr>
          <w:ilvl w:val="4"/>
          <w:numId w:val="1"/>
        </w:numPr>
        <w:rPr/>
      </w:pPr>
      <w:bookmarkStart w:id="340" w:name="__RefHeading___Toc5446699_3224264995"/>
      <w:bookmarkStart w:id="341" w:name="_Toc131"/>
      <w:bookmarkEnd w:id="339"/>
      <w:bookmarkEnd w:id="340"/>
      <w:r>
        <w:rPr>
          <w:rtl w:val="true"/>
        </w:rPr>
        <w:t>الثانی</w:t>
      </w:r>
      <w:r>
        <w:rPr>
          <w:rtl w:val="true"/>
        </w:rPr>
        <w:t>:</w:t>
      </w:r>
      <w:r>
        <w:rPr>
          <w:rtl w:val="true"/>
        </w:rPr>
        <w:t>أن یکون الحکم الفعلی تابعا لهذه الأمارة</w:t>
      </w:r>
      <w:bookmarkEnd w:id="341"/>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للّه فی کلّ واقعة حکما یشترک فیه العالم و الجاهل لو لا قیام الأمارة علی خلافه،بحیث یکون قیام الأمارة المخالفة مانعا عن فعلیّة ذلک الحکم؛ لکون مصلحة سلوک هذه الأمارة غالبة علی مصلحة الواقع،فالحکم الواقعیّ فعلیّ فی حقّ غیر الظانّ بخلافه،و شأنیّ فی حقّه،بمعنی وجود المقتضی لذلک الحکم لو لا الظنّ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أیضا کالأوّل فی عدم ثبوت الحکم الواقعیّ للظانّ بخلافه؛ لأنّ الصفة المزاحمة بصفة اخری لا تصیر منشأ للحکم </w:t>
      </w:r>
      <w:r>
        <w:rPr>
          <w:rStyle w:val="FootnoteAnchor"/>
          <w:rtl w:val="true"/>
        </w:rPr>
        <w:footnoteReference w:id="343"/>
      </w:r>
      <w:r>
        <w:rPr>
          <w:rFonts w:ascii="IRNazanin" w:hAnsi="IRNazanin" w:eastAsia="IRNazanin"/>
          <w:color w:val="111111"/>
          <w:sz w:val="28"/>
          <w:sz w:val="28"/>
          <w:szCs w:val="28"/>
          <w:rtl w:val="true"/>
          <w:lang w:bidi="fa-IR"/>
        </w:rPr>
        <w:t>،فلا یقال للکذب 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قبیح واقعا</w:t>
      </w:r>
      <w:r>
        <w:rPr>
          <w:rFonts w:eastAsia="IRNazanin" w:cs="IRNazanin"/>
          <w:color w:val="111111"/>
          <w:sz w:val="28"/>
          <w:szCs w:val="28"/>
          <w:rtl w:val="true"/>
          <w:lang w:bidi="fa-IR"/>
        </w:rPr>
        <w:t>.</w:t>
      </w:r>
    </w:p>
    <w:p>
      <w:pPr>
        <w:pStyle w:val="Heading5"/>
        <w:numPr>
          <w:ilvl w:val="4"/>
          <w:numId w:val="1"/>
        </w:numPr>
        <w:rPr/>
      </w:pPr>
      <w:bookmarkStart w:id="342" w:name="__RefHeading___Toc5446701_3224264995"/>
      <w:bookmarkStart w:id="343" w:name="_Toc132"/>
      <w:bookmarkEnd w:id="342"/>
      <w:r>
        <w:rPr>
          <w:rtl w:val="true"/>
        </w:rPr>
        <w:t>الفرق بین هذین الوجهین</w:t>
      </w:r>
      <w:r>
        <w:rPr>
          <w:rtl w:val="true"/>
        </w:rPr>
        <w:t>:</w:t>
      </w:r>
      <w:bookmarkEnd w:id="343"/>
    </w:p>
    <w:p>
      <w:pPr>
        <w:pStyle w:val="BookText"/>
        <w:rPr/>
      </w:pPr>
      <w:r>
        <w:rPr>
          <w:rFonts w:ascii="IRNazanin" w:hAnsi="IRNazanin" w:eastAsia="IRNazanin"/>
          <w:color w:val="111111"/>
          <w:sz w:val="28"/>
          <w:sz w:val="28"/>
          <w:szCs w:val="28"/>
          <w:rtl w:val="true"/>
          <w:lang w:bidi="fa-IR"/>
        </w:rPr>
        <w:t>و الفرق بینه و بین 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اشتراکهما فی عدم ثبوت الحکم الواقعی </w:t>
      </w:r>
      <w:r>
        <w:rPr>
          <w:rStyle w:val="FootnoteAnchor"/>
          <w:rtl w:val="true"/>
        </w:rPr>
        <w:footnoteReference w:id="344"/>
      </w:r>
      <w:r>
        <w:rPr>
          <w:rFonts w:ascii="IRNazanin" w:hAnsi="IRNazanin" w:eastAsia="IRNazanin"/>
          <w:color w:val="111111"/>
          <w:sz w:val="28"/>
          <w:sz w:val="28"/>
          <w:szCs w:val="28"/>
          <w:rtl w:val="true"/>
          <w:lang w:bidi="fa-IR"/>
        </w:rPr>
        <w:t>للظانّ بخلافه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العامل بالأمارة المطابقة حکمه حکم العالم،و لم یحدث فی حقّه بسبب ظنّه حکم،نعم کان ظنّه مانعا عن المانع،و هو الظنّ بالخلاف</w:t>
      </w:r>
      <w:r>
        <w:rPr>
          <w:rFonts w:eastAsia="IRNazanin" w:cs="IRNazanin"/>
          <w:color w:val="111111"/>
          <w:sz w:val="28"/>
          <w:szCs w:val="28"/>
          <w:rtl w:val="true"/>
          <w:lang w:bidi="fa-IR"/>
        </w:rPr>
        <w:t>.</w:t>
      </w:r>
    </w:p>
    <w:p>
      <w:pPr>
        <w:pStyle w:val="Heading5"/>
        <w:numPr>
          <w:ilvl w:val="4"/>
          <w:numId w:val="1"/>
        </w:numPr>
        <w:rPr/>
      </w:pPr>
      <w:bookmarkStart w:id="344" w:name="__RefHeading___Toc5446703_3224264995"/>
      <w:bookmarkStart w:id="345" w:name="_Toc133"/>
      <w:bookmarkEnd w:id="344"/>
      <w:r>
        <w:rPr>
          <w:rtl w:val="true"/>
        </w:rPr>
        <w:t>الثالث</w:t>
      </w:r>
      <w:r>
        <w:rPr>
          <w:rtl w:val="true"/>
        </w:rPr>
        <w:t>:</w:t>
      </w:r>
      <w:r>
        <w:rPr>
          <w:rtl w:val="true"/>
        </w:rPr>
        <w:t>المصلحة السلوکیّة</w:t>
      </w:r>
      <w:bookmarkEnd w:id="34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یکون للأمارة القائمة علی الواقعة تأثیر فی الفعل الذی تضمّنت الأمارة حکمه و لا تحدث فیه مصلحة،إلاّ أنّ العمل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علی طبق تلک الأمارة و الالتزام به فی مقام العمل علی أنّه هو الواقع و ترتیب </w:t>
      </w:r>
      <w:r>
        <w:rPr>
          <w:rStyle w:val="FootnoteAnchor"/>
          <w:rtl w:val="true"/>
        </w:rPr>
        <w:footnoteReference w:id="346"/>
      </w:r>
      <w:r>
        <w:rPr>
          <w:rFonts w:ascii="IRNazanin" w:hAnsi="IRNazanin" w:eastAsia="IRNazanin"/>
          <w:color w:val="111111"/>
          <w:sz w:val="28"/>
          <w:sz w:val="28"/>
          <w:szCs w:val="28"/>
          <w:rtl w:val="true"/>
          <w:lang w:bidi="fa-IR"/>
        </w:rPr>
        <w:t>الآثار الشرعیّة المترتّبة علیه واقعا،یشتمل علی مصلحة، فأوجبه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إیجاب العمل علی الأمارة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تطبیق العمل علیها، لا وجوب إیجاد عمل علی طبقها؛إذ قد لا تتضمّن الأمارة إلزاما علی المکلّف،فإذا تضمّنت استحباب شیء أو وجوبه تخییرا أو إباحته </w:t>
      </w:r>
      <w:r>
        <w:rPr>
          <w:rStyle w:val="FootnoteAnchor"/>
          <w:rtl w:val="true"/>
        </w:rPr>
        <w:footnoteReference w:id="347"/>
      </w:r>
      <w:r>
        <w:rPr>
          <w:rFonts w:ascii="IRNazanin" w:hAnsi="IRNazanin" w:eastAsia="IRNazanin"/>
          <w:color w:val="111111"/>
          <w:sz w:val="28"/>
          <w:sz w:val="28"/>
          <w:szCs w:val="28"/>
          <w:rtl w:val="true"/>
          <w:lang w:bidi="fa-IR"/>
        </w:rPr>
        <w:t xml:space="preserve">، وجب علیه إذا أراد الفعل أن یوقعه علی وجه الاستحباب أو الإباحة، بمعنی حرمة قصد غیرهما،کما لو قطع بهما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تلک المصلحة لا بدّ أن تکون ممّا یتدارک بها ما یفوت من مصلحة الواقع لو کان الأمر بالعمل به مع التمکّن من العلم </w:t>
      </w:r>
      <w:r>
        <w:rPr>
          <w:rStyle w:val="FootnoteAnchor"/>
          <w:rtl w:val="true"/>
        </w:rPr>
        <w:footnoteReference w:id="349"/>
      </w:r>
      <w:r>
        <w:rPr>
          <w:rFonts w:ascii="IRNazanin" w:hAnsi="IRNazanin" w:eastAsia="IRNazanin"/>
          <w:color w:val="111111"/>
          <w:sz w:val="28"/>
          <w:sz w:val="28"/>
          <w:szCs w:val="28"/>
          <w:rtl w:val="true"/>
          <w:lang w:bidi="fa-IR"/>
        </w:rPr>
        <w:t xml:space="preserve">و إلاّ کان تفویتا لمصلحة الواقع،و هو قبیح،کما عرفت فی کلام ابن قبة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الفرق بین هذا الوجه الذی مرجعه إلی المصلحة فی </w:t>
      </w:r>
      <w:bookmarkStart w:id="346" w:name="pg12977_114157"/>
    </w:p>
    <w:p>
      <w:pPr>
        <w:pStyle w:val="BookText"/>
        <w:rPr/>
      </w:pPr>
      <w:bookmarkEnd w:id="346"/>
      <w:r>
        <w:rPr>
          <w:rFonts w:ascii="IRNazanin" w:hAnsi="IRNazanin" w:eastAsia="IRNazanin"/>
          <w:color w:val="111111"/>
          <w:sz w:val="28"/>
          <w:sz w:val="28"/>
          <w:szCs w:val="28"/>
          <w:rtl w:val="true"/>
          <w:lang w:bidi="fa-IR"/>
        </w:rPr>
        <w:t xml:space="preserve">العمل </w:t>
      </w:r>
      <w:r>
        <w:rPr>
          <w:rStyle w:val="FootnoteAnchor"/>
          <w:rtl w:val="true"/>
        </w:rPr>
        <w:footnoteReference w:id="351"/>
      </w:r>
      <w:r>
        <w:rPr>
          <w:rFonts w:ascii="Amiri" w:hAnsi="Amiri" w:eastAsia="Amiri" w:cs="Amiri"/>
          <w:color w:val="111111"/>
          <w:sz w:val="28"/>
          <w:sz w:val="28"/>
          <w:szCs w:val="28"/>
          <w:rtl w:val="true"/>
          <w:lang w:bidi="ar-SA"/>
        </w:rPr>
        <w:t xml:space="preserve">بالأمارة </w:t>
      </w:r>
      <w:r>
        <w:rPr>
          <w:rStyle w:val="FootnoteAnchor"/>
          <w:rtl w:val="true"/>
        </w:rPr>
        <w:footnoteReference w:id="352"/>
      </w:r>
      <w:r>
        <w:rPr>
          <w:rFonts w:ascii="IRNazanin" w:hAnsi="IRNazanin" w:eastAsia="IRNazanin"/>
          <w:color w:val="111111"/>
          <w:sz w:val="28"/>
          <w:sz w:val="28"/>
          <w:szCs w:val="28"/>
          <w:rtl w:val="true"/>
          <w:lang w:bidi="fa-IR"/>
        </w:rPr>
        <w:t xml:space="preserve">و ترتیب </w:t>
      </w:r>
      <w:r>
        <w:rPr>
          <w:rStyle w:val="FootnoteAnchor"/>
          <w:rtl w:val="true"/>
        </w:rPr>
        <w:footnoteReference w:id="353"/>
      </w:r>
      <w:r>
        <w:rPr>
          <w:rFonts w:ascii="IRNazanin" w:hAnsi="IRNazanin" w:eastAsia="IRNazanin"/>
          <w:color w:val="111111"/>
          <w:sz w:val="28"/>
          <w:sz w:val="28"/>
          <w:szCs w:val="28"/>
          <w:rtl w:val="true"/>
          <w:lang w:bidi="fa-IR"/>
        </w:rPr>
        <w:t xml:space="preserve">أحکام الواقع علی مؤدّاها،و بین الوجه السابق الراجع إلی کون قیام الأمارة سببا لجعل مؤدّاها </w:t>
      </w:r>
      <w:r>
        <w:rPr>
          <w:rStyle w:val="FootnoteAnchor"/>
          <w:rtl w:val="true"/>
        </w:rPr>
        <w:footnoteReference w:id="354"/>
      </w:r>
      <w:r>
        <w:rPr>
          <w:rFonts w:ascii="IRNazanin" w:hAnsi="IRNazanin" w:eastAsia="IRNazanin"/>
          <w:color w:val="111111"/>
          <w:sz w:val="28"/>
          <w:sz w:val="28"/>
          <w:szCs w:val="28"/>
          <w:rtl w:val="true"/>
          <w:lang w:bidi="fa-IR"/>
        </w:rPr>
        <w:t>علی المکلّف؟</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فرضنا قیام الأمارة علی وجوب صلاة الجمعة مع کون الواجب فی الواقع هی الظهر،فإن کان فی فعل الجمعة مصلحة یتدارک بها ما یفوت بترک صلاة الظهر،فصلاة الظهر فی حقّ هذا الشخص خالیة عن المصلحة الملزمة،فلا صفة تقتضی وجوبها الواقعی،فهنا وجوب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و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متعلّق </w:t>
      </w:r>
      <w:r>
        <w:rPr>
          <w:rStyle w:val="FootnoteAnchor"/>
          <w:rtl w:val="true"/>
        </w:rPr>
        <w:footnoteReference w:id="355"/>
      </w:r>
      <w:r>
        <w:rPr>
          <w:rFonts w:ascii="IRNazanin" w:hAnsi="IRNazanin" w:eastAsia="IRNazanin"/>
          <w:color w:val="111111"/>
          <w:sz w:val="28"/>
          <w:sz w:val="28"/>
          <w:szCs w:val="28"/>
          <w:rtl w:val="true"/>
          <w:lang w:bidi="fa-IR"/>
        </w:rPr>
        <w:t>بصلاة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تکن فی فعل الجمعة صفة کان الأمر بالعمل بتلک الأمارة قبیحا؛لکونه مفوّتا للواجب مع التمکّن من إدراکه بالعلم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فالوجهان مشترکان فی اختصاص الحکم الواقعیّ بغیر من قام عنده الأمارة علی وجوب صلاة الجمعة،فیرجع الوجه الثالث إلی الوجه الثانی،و هو کون الأمارة سببا لجعل مؤدّاها هو الحکم الواقعی لا غیر و انحصار الحکم فی المثال بوجوب </w:t>
      </w:r>
      <w:r>
        <w:rPr>
          <w:rStyle w:val="FootnoteAnchor"/>
          <w:rtl w:val="true"/>
        </w:rPr>
        <w:footnoteReference w:id="356"/>
      </w:r>
      <w:r>
        <w:rPr>
          <w:rFonts w:ascii="IRNazanin" w:hAnsi="IRNazanin" w:eastAsia="IRNazanin"/>
          <w:color w:val="111111"/>
          <w:sz w:val="28"/>
          <w:sz w:val="28"/>
          <w:szCs w:val="28"/>
          <w:rtl w:val="true"/>
          <w:lang w:bidi="fa-IR"/>
        </w:rPr>
        <w:t>صلاة الجمعة،و هو التصویب الباطل</w:t>
      </w:r>
      <w:r>
        <w:rPr>
          <w:rFonts w:eastAsia="IRNazanin" w:cs="IRNazanin"/>
          <w:color w:val="111111"/>
          <w:sz w:val="28"/>
          <w:szCs w:val="28"/>
          <w:rtl w:val="true"/>
          <w:lang w:bidi="fa-IR"/>
        </w:rPr>
        <w:t>.</w:t>
      </w:r>
    </w:p>
    <w:p>
      <w:pPr>
        <w:pStyle w:val="Heading5"/>
        <w:numPr>
          <w:ilvl w:val="4"/>
          <w:numId w:val="1"/>
        </w:numPr>
        <w:rPr/>
      </w:pPr>
      <w:bookmarkStart w:id="347" w:name="__RefHeading___Toc5446705_3224264995"/>
      <w:bookmarkStart w:id="348" w:name="_Toc134"/>
      <w:bookmarkEnd w:id="347"/>
      <w:r>
        <w:rPr>
          <w:rtl w:val="true"/>
        </w:rPr>
        <w:t>الفرق بین الوجهین الأخیرین</w:t>
      </w:r>
      <w:r>
        <w:rPr>
          <w:rtl w:val="true"/>
        </w:rPr>
        <w:t>:</w:t>
      </w:r>
      <w:bookmarkEnd w:id="34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رجوع الوجه الثالث إلی الوجه الثانی فهو باطل؛لأنّ </w:t>
      </w:r>
      <w:bookmarkStart w:id="349" w:name="pg12977_114158"/>
    </w:p>
    <w:p>
      <w:pPr>
        <w:pStyle w:val="BookText"/>
        <w:rPr/>
      </w:pPr>
      <w:bookmarkEnd w:id="349"/>
      <w:r>
        <w:rPr>
          <w:rFonts w:ascii="IRNazanin" w:hAnsi="IRNazanin" w:eastAsia="IRNazanin"/>
          <w:color w:val="111111"/>
          <w:sz w:val="28"/>
          <w:sz w:val="28"/>
          <w:szCs w:val="28"/>
          <w:rtl w:val="true"/>
          <w:lang w:bidi="fa-IR"/>
        </w:rPr>
        <w:t>مرجع جعل مدلول الأمارة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مرجع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صلاة الجمعة واجبة </w:t>
      </w:r>
      <w:r>
        <w:rPr>
          <w:rStyle w:val="FootnoteAnchor"/>
          <w:rtl w:val="true"/>
        </w:rPr>
        <w:footnoteReference w:id="357"/>
      </w:r>
      <w:r>
        <w:rPr>
          <w:rFonts w:ascii="IRNazanin" w:hAnsi="IRNazanin" w:eastAsia="IRNazanin"/>
          <w:color w:val="111111"/>
          <w:sz w:val="28"/>
          <w:sz w:val="28"/>
          <w:szCs w:val="28"/>
          <w:rtl w:val="true"/>
          <w:lang w:bidi="fa-IR"/>
        </w:rPr>
        <w:t xml:space="preserve">علیه واقعا،کالعالم بوجوب صلاة الجمعة، فإذا صلاّها فقد فعل الواجب الواقعی،فإذا انکشف مخالفة الأمارة للواقع فقد انقلب موضوع الحکم واقعا إلی موضوع آخر،کما إذا صار المسافر بعد فعل </w:t>
      </w:r>
      <w:r>
        <w:rPr>
          <w:rStyle w:val="FootnoteAnchor"/>
          <w:rtl w:val="true"/>
        </w:rPr>
        <w:footnoteReference w:id="358"/>
      </w:r>
      <w:r>
        <w:rPr>
          <w:rFonts w:ascii="IRNazanin" w:hAnsi="IRNazanin" w:eastAsia="IRNazanin"/>
          <w:color w:val="111111"/>
          <w:sz w:val="28"/>
          <w:sz w:val="28"/>
          <w:szCs w:val="28"/>
          <w:rtl w:val="true"/>
          <w:lang w:bidi="fa-IR"/>
        </w:rPr>
        <w:t>صلاة القصر حاضرا إذا قلنا بکفایة السفر فی أوّل الوقت لصحّة القصر واقعا</w:t>
      </w:r>
      <w:r>
        <w:rPr>
          <w:rFonts w:eastAsia="IRNazanin" w:cs="IRNazanin"/>
          <w:color w:val="111111"/>
          <w:sz w:val="28"/>
          <w:szCs w:val="28"/>
          <w:rtl w:val="true"/>
          <w:lang w:bidi="fa-IR"/>
        </w:rPr>
        <w:t>.</w:t>
      </w:r>
    </w:p>
    <w:p>
      <w:pPr>
        <w:pStyle w:val="Heading4"/>
        <w:numPr>
          <w:ilvl w:val="3"/>
          <w:numId w:val="1"/>
        </w:numPr>
        <w:rPr/>
      </w:pPr>
      <w:bookmarkStart w:id="350" w:name="__RefHeading___Toc5446707_3224264995"/>
      <w:bookmarkStart w:id="351" w:name="_Toc135"/>
      <w:bookmarkEnd w:id="350"/>
      <w:r>
        <w:rPr>
          <w:rtl w:val="true"/>
        </w:rPr>
        <w:t>معنی وجوب العمل علی طبق الأمارة</w:t>
      </w:r>
      <w:r>
        <w:rPr>
          <w:rtl w:val="true"/>
        </w:rPr>
        <w:t>:</w:t>
      </w:r>
      <w:bookmarkEnd w:id="35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معنی وجوب العمل </w:t>
      </w:r>
      <w:r>
        <w:rPr>
          <w:rStyle w:val="FootnoteAnchor"/>
          <w:rtl w:val="true"/>
        </w:rPr>
        <w:footnoteReference w:id="359"/>
      </w:r>
      <w:r>
        <w:rPr>
          <w:rFonts w:ascii="IRNazanin" w:hAnsi="IRNazanin" w:eastAsia="IRNazanin"/>
          <w:color w:val="111111"/>
          <w:sz w:val="28"/>
          <w:sz w:val="28"/>
          <w:szCs w:val="28"/>
          <w:rtl w:val="true"/>
          <w:lang w:bidi="fa-IR"/>
        </w:rPr>
        <w:t xml:space="preserve">علی طبق الأمارة </w:t>
      </w: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ترتیب </w:t>
      </w:r>
      <w:r>
        <w:rPr>
          <w:rStyle w:val="FootnoteAnchor"/>
          <w:rtl w:val="true"/>
        </w:rPr>
        <w:footnoteReference w:id="361"/>
      </w:r>
      <w:r>
        <w:rPr>
          <w:rFonts w:ascii="IRNazanin" w:hAnsi="IRNazanin" w:eastAsia="IRNazanin"/>
          <w:color w:val="111111"/>
          <w:sz w:val="28"/>
          <w:sz w:val="28"/>
          <w:szCs w:val="28"/>
          <w:rtl w:val="true"/>
          <w:lang w:bidi="fa-IR"/>
        </w:rPr>
        <w:t xml:space="preserve">أحکام الواقع </w:t>
      </w:r>
      <w:r>
        <w:rPr>
          <w:rStyle w:val="FootnoteAnchor"/>
          <w:rtl w:val="true"/>
        </w:rPr>
        <w:footnoteReference w:id="362"/>
      </w:r>
      <w:r>
        <w:rPr>
          <w:rFonts w:ascii="IRNazanin" w:hAnsi="IRNazanin" w:eastAsia="IRNazanin"/>
          <w:color w:val="111111"/>
          <w:sz w:val="28"/>
          <w:sz w:val="28"/>
          <w:szCs w:val="28"/>
          <w:rtl w:val="true"/>
          <w:lang w:bidi="fa-IR"/>
        </w:rPr>
        <w:t xml:space="preserve">علی </w:t>
      </w:r>
      <w:r>
        <w:rPr>
          <w:rStyle w:val="FootnoteAnchor"/>
          <w:rtl w:val="true"/>
        </w:rPr>
        <w:footnoteReference w:id="363"/>
      </w:r>
      <w:r>
        <w:rPr>
          <w:rFonts w:ascii="IRNazanin" w:hAnsi="IRNazanin" w:eastAsia="IRNazanin"/>
          <w:color w:val="111111"/>
          <w:sz w:val="28"/>
          <w:sz w:val="28"/>
          <w:szCs w:val="28"/>
          <w:rtl w:val="true"/>
          <w:lang w:bidi="fa-IR"/>
        </w:rPr>
        <w:t>مؤدّاها من دون أن یحدث فی الفعل مصلحة علی تقدیر مخالفة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یوهمه ظاهر عبارتی العدّة و النهایة المتقدّمتین </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أدّت إلی وجوب صلاة الجمعة واقعا،وجب ترتیب أحکام الوجوب الواقعی و تطبیق العمل علی وجوبها الواقعی،فإن کان فی أوّل الوقت جاز الدخول فیها بقصد الوجوب و جاز تأخیرها،فإذا فعلها جاز له فعل النافلة و إن حرمت فی وقت الفریضة المفروض کونها فی الواقع هی </w:t>
      </w:r>
    </w:p>
    <w:p>
      <w:pPr>
        <w:pStyle w:val="BookText"/>
        <w:rPr/>
      </w:pPr>
      <w:r>
        <w:rPr>
          <w:rFonts w:ascii="IRNazanin" w:hAnsi="IRNazanin" w:eastAsia="IRNazanin"/>
          <w:color w:val="111111"/>
          <w:sz w:val="28"/>
          <w:sz w:val="28"/>
          <w:szCs w:val="28"/>
          <w:rtl w:val="true"/>
          <w:lang w:bidi="fa-IR"/>
        </w:rPr>
        <w:t>الظهر؛لعدم وجوب الظهر علیه فعلا و رخصته فی 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آخر وقتها حرم تأخیرها و الاشتغال بغیرها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استمرّ هذا الحکم الظاهریّ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الترخیص فی ترک الظهر إلی آخر وقتها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کون الحکم الظاهریّ بکون ما فعله فی أوّل الوقت هو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المستلزم لفوت </w:t>
      </w:r>
      <w:r>
        <w:rPr>
          <w:rStyle w:val="FootnoteAnchor"/>
          <w:rtl w:val="true"/>
        </w:rPr>
        <w:footnoteReference w:id="365"/>
      </w:r>
      <w:r>
        <w:rPr>
          <w:rFonts w:ascii="IRNazanin" w:hAnsi="IRNazanin" w:eastAsia="IRNazanin"/>
          <w:color w:val="111111"/>
          <w:sz w:val="28"/>
          <w:sz w:val="28"/>
          <w:szCs w:val="28"/>
          <w:rtl w:val="true"/>
          <w:lang w:bidi="fa-IR"/>
        </w:rPr>
        <w:t xml:space="preserve">الواقع علی المکلّف </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مشتملا علی مصلحة یتدارک بها ما فات لأجله من مصلحة الظهر؛لئلاّ یلزم تفویت الواجب الواقعی علی المکلّف مع التمکّن من إتیانه بتحصیل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یستمرّ،بل علم بوجوب الظهر فی المستقبل،بطل وجوب العمل علی طبق وجوب صلاة الجمعة واقعا،و وجب العمل علی طبق عدم وجوبه فی نفس الأمر من أوّل الأمر؛لأنّ المفروض عدم حدوث الوجوب النفس الأمری،و إنّما عمل علی طبقه ما دامت أمارة الوجوب قائمة،فإذا فقدت بانکشاف وجوب الظهر و عدم وجوب الجمعة،وجب حینئذ ترتیب ما هو کبری لهذا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وجوب الإتیان بالظهر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نقض آثار وجوب صلاة الجمعة إلاّ ما فات منها؛فقد تقدّم أنّ مفسدة فواته متدارکة بالحکم الظاهریّ المتحقّق فی زمان الفوت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فرضنا العلم بعد خروج وقت الظهر،فقد تقدّم أنّ حکم الشارع بالعمل بمؤدّی الأمارة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اللازم منه ترخیص ترک الظهر فی الجزء </w:t>
      </w:r>
    </w:p>
    <w:p>
      <w:pPr>
        <w:pStyle w:val="BookText"/>
        <w:rPr/>
      </w:pPr>
      <w:r>
        <w:rPr>
          <w:rFonts w:ascii="IRNazanin" w:hAnsi="IRNazanin" w:eastAsia="IRNazanin"/>
          <w:color w:val="111111"/>
          <w:sz w:val="28"/>
          <w:sz w:val="28"/>
          <w:szCs w:val="28"/>
          <w:rtl w:val="true"/>
          <w:lang w:bidi="fa-IR"/>
        </w:rPr>
        <w:t>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أن یکون لمصلحة یتدارک بها مفسدة ترک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القضاء فرع صدق الفوت المتوقّف علی فوات الواجب من حیث إنّ فیه مصلحة،لم یجب فیما نحن فیه؛لأنّ الواجب و إن ترک إلاّ أنّ مصلحته متدارکة،فلا یصدق علی هذا الترک الفوت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متفرّع علی مجرّد ترک الواجب،وجب هنا؛لفرض العلم بترک صلاة الظهر مع وجوبها علیه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غایة ما یلزم فی المقام،هی المصلحة فی معذوریّة هذا الجاهل مع تمکّنه من العلم و لو کانت لتسهیل الأمر علی المکلّفین،و لا ینافی ذلک صدق الفوت،فافهم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هذا کلّه علی ما اخترناه من عدم اقتضاء الأمر الظاهری للإجزاء،واضح</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علی القول باقتضائه له،فقد یشکل </w:t>
      </w:r>
      <w:r>
        <w:rPr>
          <w:rStyle w:val="FootnoteAnchor"/>
          <w:rtl w:val="true"/>
        </w:rPr>
        <w:footnoteReference w:id="368"/>
      </w:r>
      <w:r>
        <w:rPr>
          <w:rFonts w:ascii="IRNazanin" w:hAnsi="IRNazanin" w:eastAsia="IRNazanin"/>
          <w:color w:val="111111"/>
          <w:sz w:val="28"/>
          <w:sz w:val="28"/>
          <w:szCs w:val="28"/>
          <w:rtl w:val="true"/>
          <w:lang w:bidi="fa-IR"/>
        </w:rPr>
        <w:t xml:space="preserve">الفرق بینه و بین القول بالتصویب،و ظاهر شیخنا فی تمهید القواعد استلزام القول بالتخطئة لعدم الإجزاء،قال قدّس سرّه </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فروع مسألة التصویب و التخطئة،لزوم الإعادة للصلاة بظنّ القبلة و عدمه </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تمثیله لذلک بالموضوعات محلّ نظر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فعلم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ذکره من وجوب کون فعل الجمعة مشتملا علی مصلحة تتدارک مفسدة ترک الواجب و معه یسقط عن الوجوب،ممنوع؛ لأنّ فعل الجمعة قد لا یستلزم إلاّ ترک الظهر فی بعض أجزاء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فالعمل علی الأمارة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الإذن فی الدخول فیها علی قصد الوجوب،و الدخول فی التطوّع بعد فعلها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نعم،یجب فی الحکم بجواز فعل النافلة اشتماله علی مصلحة تتدارک مفسدة فعل التطوّع فی وقت الفریضة لو شمل دلیله الفریضة الواقعیّة المأذون فی ترکها ظاهرا؛و إلاّ کان جواز التطوّع فی تلک الحال حکما واقعیّا لا ظاهریّا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مع تدارک المفسدة بمصلحة الحکم الظاهری یسقط الوجوب،فممنوع أیضا؛إذ قد یترتّب علی وجوبه واقعا حکم شرعیّ و إن تدارک مفسدة ترکه مصلحة فعل آخر،کوجوب </w:t>
      </w:r>
      <w:r>
        <w:rPr>
          <w:rStyle w:val="FootnoteAnchor"/>
          <w:rtl w:val="true"/>
        </w:rPr>
        <w:footnoteReference w:id="371"/>
      </w:r>
      <w:r>
        <w:rPr>
          <w:rFonts w:ascii="IRNazanin" w:hAnsi="IRNazanin" w:eastAsia="IRNazanin"/>
          <w:color w:val="111111"/>
          <w:sz w:val="28"/>
          <w:sz w:val="28"/>
          <w:szCs w:val="28"/>
          <w:rtl w:val="true"/>
          <w:lang w:bidi="fa-IR"/>
        </w:rPr>
        <w:t xml:space="preserve">قضائه إذا علم بعد خروج الوقت بوجوبه واقعا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فحال الأمر بالعمل بالأمارة القائمة علی حکم شرعیّ حال الأمر بالعمل بالأمارة </w:t>
      </w:r>
      <w:r>
        <w:rPr>
          <w:rStyle w:val="FootnoteAnchor"/>
          <w:rtl w:val="true"/>
        </w:rPr>
        <w:footnoteReference w:id="373"/>
      </w:r>
      <w:r>
        <w:rPr>
          <w:rFonts w:ascii="IRNazanin" w:hAnsi="IRNazanin" w:eastAsia="IRNazanin"/>
          <w:color w:val="111111"/>
          <w:sz w:val="28"/>
          <w:sz w:val="28"/>
          <w:szCs w:val="28"/>
          <w:rtl w:val="true"/>
          <w:lang w:bidi="fa-IR"/>
        </w:rPr>
        <w:t xml:space="preserve">القائمة علی الموضوع الخارجی،کحیاة زید و موت عمرو،فکما أنّ الأمر بالعمل </w:t>
      </w:r>
      <w:r>
        <w:rPr>
          <w:rStyle w:val="FootnoteAnchor"/>
          <w:rtl w:val="true"/>
        </w:rPr>
        <w:footnoteReference w:id="374"/>
      </w:r>
      <w:r>
        <w:rPr>
          <w:rFonts w:ascii="IRNazanin" w:hAnsi="IRNazanin" w:eastAsia="IRNazanin"/>
          <w:color w:val="111111"/>
          <w:sz w:val="28"/>
          <w:sz w:val="28"/>
          <w:szCs w:val="28"/>
          <w:rtl w:val="true"/>
          <w:lang w:bidi="fa-IR"/>
        </w:rPr>
        <w:t xml:space="preserve">فی الموضوعات لا یوجب جعل </w:t>
      </w:r>
      <w:bookmarkStart w:id="352" w:name="pg12977_114162"/>
    </w:p>
    <w:p>
      <w:pPr>
        <w:pStyle w:val="BookText"/>
        <w:rPr/>
      </w:pPr>
      <w:bookmarkEnd w:id="352"/>
      <w:r>
        <w:rPr>
          <w:rFonts w:ascii="IRNazanin" w:hAnsi="IRNazanin" w:eastAsia="IRNazanin"/>
          <w:color w:val="111111"/>
          <w:sz w:val="28"/>
          <w:sz w:val="28"/>
          <w:szCs w:val="28"/>
          <w:rtl w:val="true"/>
          <w:lang w:bidi="fa-IR"/>
        </w:rPr>
        <w:t>نفس الموضوع،و إنّما یوجب جعل أحکامه،فیترتّب علیه الحکم ما دامت الأمارة قائمة علیه،فإذا فقدت الأمارة و حصل العلم بعدم ذلک الموضوع،ترتّب علیه فی المستقبل جمیع أحکام عدم ذلک الموضوع من أوّل الأمر،فکذلک حال الأمر بالعمل علی الأمارة القائمة علی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الکلام فی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الفرق الواضح بین جعل مدلول الأمارة حکما واقعیّا و الحکم بتحقّقه واقعا عند قیام الأمارة،و بین الحکم واقعا بتطبیق العمل علی الحکم الواقعی المدلول علیه بالأمارة،کالحکم واقعا بتطبیق العمل علی طبق الموضوع الخارجی الذی قامت علیه الأمارة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قولک </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مرجع تدارک مفسدة مخالفة الحکم الواقعی بالمصلحة الثابتة فی العمل علی طبق مؤدّی الأمارة إلی التصویب الباطل؛ نظرا إلی خلوّ الحکم الواقعی حینئذ عن المصلحة الملزمة التی تکون فی فوتها المفسدة،ففیه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 کون هذا تصویبا؛کیف و المصوّبة یمنعون حکم اللّه فی الواقع، فلا یعقل عندهم إیجاب العمل بما جعل طریقا إلیه و التعبّد بترتیب آثاره فی الظاهر،بل التحقیق عدّ مثل هذا من وجوه الردّ علی المصوّبة</w:t>
      </w:r>
      <w:r>
        <w:rPr>
          <w:rFonts w:eastAsia="IRNazanin" w:cs="IRNazanin"/>
          <w:color w:val="111111"/>
          <w:sz w:val="28"/>
          <w:szCs w:val="28"/>
          <w:rtl w:val="true"/>
          <w:lang w:bidi="fa-IR"/>
        </w:rPr>
        <w:t>.</w:t>
      </w:r>
    </w:p>
    <w:p>
      <w:pPr>
        <w:pStyle w:val="Heading4"/>
        <w:numPr>
          <w:ilvl w:val="3"/>
          <w:numId w:val="1"/>
        </w:numPr>
        <w:rPr/>
      </w:pPr>
      <w:bookmarkStart w:id="353" w:name="__RefHeading___Toc5446709_3224264995"/>
      <w:bookmarkStart w:id="354" w:name="_Toc136"/>
      <w:bookmarkEnd w:id="353"/>
      <w:r>
        <w:rPr>
          <w:rtl w:val="true"/>
        </w:rPr>
        <w:t>إشکال الجمع بین الحکم الواقعی و الظاهری</w:t>
      </w:r>
      <w:r>
        <w:rPr>
          <w:rtl w:val="true"/>
        </w:rPr>
        <w:t>:</w:t>
      </w:r>
      <w:bookmarkEnd w:id="354"/>
    </w:p>
    <w:p>
      <w:pPr>
        <w:pStyle w:val="Heading5"/>
        <w:numPr>
          <w:ilvl w:val="4"/>
          <w:numId w:val="1"/>
        </w:numPr>
        <w:rPr/>
      </w:pPr>
      <w:bookmarkStart w:id="355" w:name="__RefHeading___Toc5446711_3224264995"/>
      <w:bookmarkStart w:id="356" w:name="_Toc137"/>
      <w:bookmarkEnd w:id="355"/>
      <w:r>
        <w:rPr>
          <w:rtl w:val="true"/>
        </w:rPr>
        <w:t>اشارة</w:t>
      </w:r>
      <w:bookmarkEnd w:id="35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ذکر </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الحکم الواقعی إذا کان مفسدة مخالفته متدارکة بمصلحة العمل </w:t>
      </w:r>
      <w:r>
        <w:rPr>
          <w:rStyle w:val="FootnoteAnchor"/>
          <w:rtl w:val="true"/>
        </w:rPr>
        <w:footnoteReference w:id="377"/>
      </w:r>
      <w:r>
        <w:rPr>
          <w:rFonts w:ascii="IRNazanin" w:hAnsi="IRNazanin" w:eastAsia="IRNazanin"/>
          <w:color w:val="111111"/>
          <w:sz w:val="28"/>
          <w:sz w:val="28"/>
          <w:szCs w:val="28"/>
          <w:rtl w:val="true"/>
          <w:lang w:bidi="fa-IR"/>
        </w:rPr>
        <w:t>علی طبق الأمارة،فلو بقی فی الواقع کان حکما بلا صفة،و إلاّ ثبت انتفاء الحکم فی الواقع،و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w:t>
      </w:r>
      <w:bookmarkStart w:id="357" w:name="pg12977_114163"/>
    </w:p>
    <w:p>
      <w:pPr>
        <w:pStyle w:val="BookText"/>
        <w:rPr/>
      </w:pPr>
      <w:bookmarkEnd w:id="357"/>
      <w:r>
        <w:rPr>
          <w:rFonts w:ascii="IRNazanin" w:hAnsi="IRNazanin" w:eastAsia="IRNazanin"/>
          <w:color w:val="111111"/>
          <w:sz w:val="28"/>
          <w:sz w:val="28"/>
          <w:szCs w:val="28"/>
          <w:rtl w:val="true"/>
          <w:lang w:bidi="fa-IR"/>
        </w:rPr>
        <w:t>فرضنا الشیء فی الواقع واجبا و قامت أمارة علی تحریمه،فإن لم یحرم ذلک الفعل لم یجب العمل بالأمارة،و إن حرم،فإن بقی الوجوب لزم اجتماع الحکمین المتضادّین،و إن انتفی ثبت انتفاء الحکم الواقعیّ،ففیه</w:t>
      </w:r>
      <w:r>
        <w:rPr>
          <w:rFonts w:eastAsia="IRNazanin" w:cs="IRNazanin"/>
          <w:color w:val="111111"/>
          <w:sz w:val="28"/>
          <w:szCs w:val="28"/>
          <w:rtl w:val="true"/>
          <w:lang w:bidi="fa-IR"/>
        </w:rPr>
        <w:t>:</w:t>
      </w:r>
    </w:p>
    <w:p>
      <w:pPr>
        <w:pStyle w:val="Heading5"/>
        <w:numPr>
          <w:ilvl w:val="4"/>
          <w:numId w:val="1"/>
        </w:numPr>
        <w:rPr/>
      </w:pPr>
      <w:bookmarkStart w:id="358" w:name="__RefHeading___Toc5446713_3224264995"/>
      <w:bookmarkStart w:id="359" w:name="_Toc138"/>
      <w:bookmarkEnd w:id="358"/>
      <w:r>
        <w:rPr>
          <w:rtl w:val="true"/>
        </w:rPr>
        <w:t>جواب الإشکال</w:t>
      </w:r>
      <w:r>
        <w:rPr>
          <w:rtl w:val="true"/>
        </w:rPr>
        <w:t>:</w:t>
      </w:r>
      <w:bookmarkEnd w:id="359"/>
    </w:p>
    <w:p>
      <w:pPr>
        <w:pStyle w:val="BookText"/>
        <w:rPr/>
      </w:pPr>
      <w:r>
        <w:rPr>
          <w:rFonts w:ascii="IRNazanin" w:hAnsi="IRNazanin" w:eastAsia="IRNazanin"/>
          <w:color w:val="111111"/>
          <w:sz w:val="28"/>
          <w:sz w:val="28"/>
          <w:szCs w:val="28"/>
          <w:rtl w:val="true"/>
          <w:lang w:bidi="fa-IR"/>
        </w:rPr>
        <w:t xml:space="preserve">أنّ المراد بالحکم الواقعیّ الذی یلزم بقاؤه،هو الحکم المتعیّن </w:t>
      </w:r>
      <w:r>
        <w:rPr>
          <w:rStyle w:val="FootnoteAnchor"/>
          <w:rtl w:val="true"/>
        </w:rPr>
        <w:footnoteReference w:id="378"/>
      </w:r>
      <w:r>
        <w:rPr>
          <w:rFonts w:ascii="IRNazanin" w:hAnsi="IRNazanin" w:eastAsia="IRNazanin"/>
          <w:color w:val="111111"/>
          <w:sz w:val="28"/>
          <w:sz w:val="28"/>
          <w:szCs w:val="28"/>
          <w:rtl w:val="true"/>
          <w:lang w:bidi="fa-IR"/>
        </w:rPr>
        <w:t xml:space="preserve">المتعلّق بالعباد </w:t>
      </w:r>
      <w:r>
        <w:rPr>
          <w:rStyle w:val="FootnoteAnchor"/>
          <w:rtl w:val="true"/>
        </w:rPr>
        <w:footnoteReference w:id="379"/>
      </w:r>
      <w:r>
        <w:rPr>
          <w:rFonts w:ascii="IRNazanin" w:hAnsi="IRNazanin" w:eastAsia="IRNazanin"/>
          <w:color w:val="111111"/>
          <w:sz w:val="28"/>
          <w:sz w:val="28"/>
          <w:szCs w:val="28"/>
          <w:rtl w:val="true"/>
          <w:lang w:bidi="fa-IR"/>
        </w:rPr>
        <w:t xml:space="preserve">الذی یحکی عنه الأمارة و یتعلّق به العلم أو </w:t>
      </w:r>
      <w:r>
        <w:rPr>
          <w:rStyle w:val="FootnoteAnchor"/>
          <w:rtl w:val="true"/>
        </w:rPr>
        <w:footnoteReference w:id="380"/>
      </w:r>
      <w:r>
        <w:rPr>
          <w:rFonts w:ascii="IRNazanin" w:hAnsi="IRNazanin" w:eastAsia="IRNazanin"/>
          <w:color w:val="111111"/>
          <w:sz w:val="28"/>
          <w:sz w:val="28"/>
          <w:szCs w:val="28"/>
          <w:rtl w:val="true"/>
          <w:lang w:bidi="fa-IR"/>
        </w:rPr>
        <w:t xml:space="preserve">الظنّ و امر السفراء بتبلیغه،و إن لم یلزم امتثاله فعلا فی حقّ من قامت عنده أمارة علی خلافه،إلاّ أنّه یکفی فی کونه حکمه </w:t>
      </w:r>
      <w:r>
        <w:rPr>
          <w:rStyle w:val="FootnoteAnchor"/>
          <w:rtl w:val="true"/>
        </w:rPr>
        <w:footnoteReference w:id="381"/>
      </w:r>
      <w:r>
        <w:rPr>
          <w:rFonts w:ascii="IRNazanin" w:hAnsi="IRNazanin" w:eastAsia="IRNazanin"/>
          <w:color w:val="111111"/>
          <w:sz w:val="28"/>
          <w:sz w:val="28"/>
          <w:szCs w:val="28"/>
          <w:rtl w:val="true"/>
          <w:lang w:bidi="fa-IR"/>
        </w:rPr>
        <w:t>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یعذر فیه إذا کان عالما به أو جاهلا مقصّرا،و الرخصة فی ترکه عقلا کما فی الجاهل القاصر،أو شرعا کمن قامت عنده أمارة معتبرة علی خلافه</w:t>
      </w:r>
      <w:r>
        <w:rPr>
          <w:rFonts w:eastAsia="IRNazanin" w:cs="IRNazanin"/>
          <w:color w:val="111111"/>
          <w:sz w:val="28"/>
          <w:szCs w:val="28"/>
          <w:rtl w:val="true"/>
          <w:lang w:bidi="fa-IR"/>
        </w:rPr>
        <w:t>.</w:t>
      </w:r>
    </w:p>
    <w:p>
      <w:pPr>
        <w:pStyle w:val="Heading4"/>
        <w:numPr>
          <w:ilvl w:val="3"/>
          <w:numId w:val="1"/>
        </w:numPr>
        <w:rPr/>
      </w:pPr>
      <w:bookmarkStart w:id="360" w:name="__RefHeading___Toc5446715_3224264995"/>
      <w:bookmarkStart w:id="361" w:name="_Toc139"/>
      <w:bookmarkEnd w:id="360"/>
      <w:r>
        <w:rPr>
          <w:rtl w:val="true"/>
        </w:rPr>
        <w:t>حال الأمارة علی الموضوعات الخارجیّة</w:t>
      </w:r>
      <w:r>
        <w:rPr>
          <w:rtl w:val="true"/>
        </w:rPr>
        <w:t>:</w:t>
      </w:r>
      <w:bookmarkEnd w:id="361"/>
    </w:p>
    <w:p>
      <w:pPr>
        <w:pStyle w:val="BookText"/>
        <w:rPr/>
      </w:pPr>
      <w:r>
        <w:rPr>
          <w:rFonts w:ascii="IRNazanin" w:hAnsi="IRNazanin" w:eastAsia="IRNazanin"/>
          <w:color w:val="111111"/>
          <w:sz w:val="28"/>
          <w:sz w:val="28"/>
          <w:szCs w:val="28"/>
          <w:rtl w:val="true"/>
          <w:lang w:bidi="fa-IR"/>
        </w:rPr>
        <w:t xml:space="preserve">و ممّا ذکرنا یظهر حال الأمارة علی الموضوعات الخارجیّة؛فإنّها من هذا </w:t>
      </w:r>
      <w:r>
        <w:rPr>
          <w:rStyle w:val="FootnoteAnchor"/>
          <w:rtl w:val="true"/>
        </w:rPr>
        <w:footnoteReference w:id="382"/>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المراد بالحکم الواقعی،هی </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مدلولات الخطابات الواقعیّة الغیر المقیّدة بعلم المکلّفین و لا بعدم قیام الأمارة علی خلافها، و </w:t>
      </w:r>
      <w:r>
        <w:rPr>
          <w:rStyle w:val="FootnoteAnchor"/>
          <w:rtl w:val="true"/>
        </w:rPr>
        <w:footnoteReference w:id="384"/>
      </w:r>
      <w:r>
        <w:rPr>
          <w:rFonts w:ascii="IRNazanin" w:hAnsi="IRNazanin" w:eastAsia="IRNazanin"/>
          <w:color w:val="111111"/>
          <w:sz w:val="28"/>
          <w:sz w:val="28"/>
          <w:szCs w:val="28"/>
          <w:rtl w:val="true"/>
          <w:lang w:bidi="fa-IR"/>
        </w:rPr>
        <w:t xml:space="preserve">لها آثار عقلیّة و شرعیّة تترتّب علیها عند العلم بها أو قیام أمارة </w:t>
      </w:r>
      <w:bookmarkStart w:id="362" w:name="pg12977_114164"/>
    </w:p>
    <w:p>
      <w:pPr>
        <w:pStyle w:val="BookText"/>
        <w:rPr/>
      </w:pPr>
      <w:bookmarkEnd w:id="362"/>
      <w:r>
        <w:rPr>
          <w:rFonts w:ascii="IRNazanin" w:hAnsi="IRNazanin" w:eastAsia="IRNazanin"/>
          <w:color w:val="111111"/>
          <w:sz w:val="28"/>
          <w:sz w:val="28"/>
          <w:szCs w:val="28"/>
          <w:rtl w:val="true"/>
          <w:lang w:bidi="fa-IR"/>
        </w:rPr>
        <w:t>حکم الشارع بوجوب البناء علی کون مؤدّاها هو الواقع،نعم هذه لیست أحکاما فعلیّة بمجرّد وجودها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تلخّص من جمیع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ذکره ابن 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استحالة التعبّد بخبر الواحد أو بمطلق الأمارة الغیر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ممنوع علی إطلاقه، و إنّما یقبح </w:t>
      </w:r>
      <w:r>
        <w:rPr>
          <w:rStyle w:val="FootnoteAnchor"/>
          <w:rtl w:val="true"/>
        </w:rPr>
        <w:footnoteReference w:id="385"/>
      </w:r>
      <w:r>
        <w:rPr>
          <w:rFonts w:ascii="IRNazanin" w:hAnsi="IRNazanin" w:eastAsia="IRNazanin"/>
          <w:color w:val="111111"/>
          <w:sz w:val="28"/>
          <w:sz w:val="28"/>
          <w:szCs w:val="28"/>
          <w:rtl w:val="true"/>
          <w:lang w:bidi="fa-IR"/>
        </w:rPr>
        <w:t>إذا ورد التعبّد علی بعض الوجوه،کما تقدّم تفصیل ذلک</w:t>
      </w:r>
      <w:r>
        <w:rPr>
          <w:rFonts w:eastAsia="IRNazanin" w:cs="IRNazanin"/>
          <w:color w:val="111111"/>
          <w:sz w:val="28"/>
          <w:szCs w:val="28"/>
          <w:rtl w:val="true"/>
          <w:lang w:bidi="fa-IR"/>
        </w:rPr>
        <w:t>.</w:t>
      </w:r>
    </w:p>
    <w:p>
      <w:pPr>
        <w:pStyle w:val="Heading4"/>
        <w:numPr>
          <w:ilvl w:val="3"/>
          <w:numId w:val="1"/>
        </w:numPr>
        <w:rPr/>
      </w:pPr>
      <w:bookmarkStart w:id="363" w:name="__RefHeading___Toc5446717_3224264995"/>
      <w:bookmarkStart w:id="364" w:name="_Toc140"/>
      <w:bookmarkEnd w:id="363"/>
      <w:r>
        <w:rPr>
          <w:rtl w:val="true"/>
        </w:rPr>
        <w:t>القول بوجوب التعبّد بالأمارة و المناقشة فیه</w:t>
      </w:r>
      <w:r>
        <w:rPr>
          <w:rtl w:val="true"/>
        </w:rPr>
        <w:t>:</w:t>
      </w:r>
      <w:bookmarkEnd w:id="364"/>
    </w:p>
    <w:p>
      <w:pPr>
        <w:pStyle w:val="BookText"/>
        <w:rPr/>
      </w:pPr>
      <w:r>
        <w:rPr>
          <w:rFonts w:ascii="IRNazanin" w:hAnsi="IRNazanin" w:eastAsia="IRNazanin"/>
          <w:color w:val="111111"/>
          <w:sz w:val="28"/>
          <w:sz w:val="28"/>
          <w:szCs w:val="28"/>
          <w:rtl w:val="true"/>
          <w:lang w:bidi="fa-IR"/>
        </w:rPr>
        <w:t xml:space="preserve">ثمّ إنّه ربما ینسب إلی بعض </w:t>
      </w:r>
      <w:r>
        <w:rPr>
          <w:rStyle w:val="FootnoteAnchor"/>
          <w:rtl w:val="true"/>
        </w:rPr>
        <w:footnoteReference w:id="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إیجاب التعبّد بخبر الواحد أو مطلق الأمارة علی اللّه تعالی،بمعنی قبح ترکه منه،فی مقابل قول ابن 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أراد </w:t>
      </w:r>
      <w:r>
        <w:rPr>
          <w:rStyle w:val="FootnoteAnchor"/>
          <w:rtl w:val="true"/>
        </w:rPr>
        <w:footnoteReference w:id="387"/>
      </w:r>
      <w:r>
        <w:rPr>
          <w:rFonts w:ascii="IRNazanin" w:hAnsi="IRNazanin" w:eastAsia="IRNazanin"/>
          <w:color w:val="111111"/>
          <w:sz w:val="28"/>
          <w:sz w:val="28"/>
          <w:szCs w:val="28"/>
          <w:rtl w:val="true"/>
          <w:lang w:bidi="fa-IR"/>
        </w:rPr>
        <w:t>به وجوب إمضاء حکم العقل بالعمل به عند عدم التمکّن من العلم و بقاء التکلیف،فحسن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أراد </w:t>
      </w:r>
      <w:r>
        <w:rPr>
          <w:rStyle w:val="FootnoteAnchor"/>
          <w:rtl w:val="true"/>
        </w:rPr>
        <w:footnoteReference w:id="388"/>
      </w:r>
      <w:r>
        <w:rPr>
          <w:rFonts w:ascii="IRNazanin" w:hAnsi="IRNazanin" w:eastAsia="IRNazanin"/>
          <w:color w:val="111111"/>
          <w:sz w:val="28"/>
          <w:sz w:val="28"/>
          <w:szCs w:val="28"/>
          <w:rtl w:val="true"/>
          <w:lang w:bidi="fa-IR"/>
        </w:rPr>
        <w:t xml:space="preserve">وجوب الجعل بالخصوص فی حال الانسداد،فممنوع؛ إذ جعل الطریق بعد انسداد باب العلم إنّما یجب علیه إذا لم یکن هناک طریق عقلیّ و هو الظنّ،إلاّ أن یکون لبعض الظنون فی نظره خصوصیّة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 حکم صورة الانفتاح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أراد وجوب التعبّد العینیّ فهو غلط؛لجواز تحصیل العلم معه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وجوب التعبّد به تخییرا،فهو ممّا لا یدرکه العقل؛إذ لا یعلم العقل بوجود مصلحة فی الأمارة یتدارک بها مصلحة الواقع التی تفوت بالعمل بالأمارة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إلاّ أن یکون فی تحصیل العلم حرج یلزم فی العقل رفع إیجابه بنصب أمارة هی أقرب من غیرها إلی الواقع أو أصحّ فی نظر الشارع من غیره فی مقام البدلیّة عن الواقع،و إلاّ فیکفی إمضاؤه للعمل بمطلق الظنّ کصورة الانسداد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bookmarkStart w:id="365" w:name="pg12977_114166"/>
    </w:p>
    <w:p>
      <w:pPr>
        <w:pStyle w:val="Heading3"/>
        <w:numPr>
          <w:ilvl w:val="2"/>
          <w:numId w:val="1"/>
        </w:numPr>
        <w:rPr/>
      </w:pPr>
      <w:bookmarkStart w:id="366" w:name="__RefHeading___Toc5446719_3224264995"/>
      <w:bookmarkStart w:id="367" w:name="_Toc141"/>
      <w:bookmarkEnd w:id="365"/>
      <w:bookmarkEnd w:id="366"/>
      <w:r>
        <w:rPr>
          <w:rtl w:val="true"/>
        </w:rPr>
        <w:t>المقام الثانی</w:t>
      </w:r>
      <w:bookmarkEnd w:id="367"/>
    </w:p>
    <w:p>
      <w:pPr>
        <w:pStyle w:val="Heading4"/>
        <w:numPr>
          <w:ilvl w:val="3"/>
          <w:numId w:val="1"/>
        </w:numPr>
        <w:rPr/>
      </w:pPr>
      <w:bookmarkStart w:id="368" w:name="__RefHeading___Toc5446721_3224264995"/>
      <w:bookmarkStart w:id="369" w:name="_Toc142"/>
      <w:bookmarkEnd w:id="368"/>
      <w:r>
        <w:rPr>
          <w:rtl w:val="true"/>
        </w:rPr>
        <w:t>اشارة</w:t>
      </w:r>
      <w:bookmarkEnd w:id="3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Style w:val="FootnoteAnchor"/>
          <w:rtl w:val="true"/>
        </w:rPr>
        <w:footnoteReference w:id="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وقوع التعبّد بالظنّ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إذا تبیّن عدم استحالة تعبّد الشارع بغیر العلم،و عدم القبح فیه و لا فی ترکه،فیقع الکلام فی المقام الثانی </w:t>
      </w:r>
      <w:r>
        <w:rPr>
          <w:rStyle w:val="FootnoteAnchor"/>
          <w:rtl w:val="true"/>
        </w:rPr>
        <w:footnoteReference w:id="392"/>
      </w:r>
      <w:r>
        <w:rPr>
          <w:rFonts w:ascii="IRNazanin" w:hAnsi="IRNazanin" w:eastAsia="IRNazanin"/>
          <w:color w:val="111111"/>
          <w:sz w:val="28"/>
          <w:sz w:val="28"/>
          <w:szCs w:val="28"/>
          <w:rtl w:val="true"/>
          <w:lang w:bidi="fa-IR"/>
        </w:rPr>
        <w:t>فی وقوع التعبّد به فی الأحکام الشرعیّة مطلقا،أو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الخوض فی ذلک،لا بدّ من تأسیس الأصل الذی یکون علیه المعوّل عند عدم الدلیل علی وقوع التعبّد بغیر العلم مطلقا أو فی الجملة،فنقول</w:t>
      </w:r>
      <w:r>
        <w:rPr>
          <w:rFonts w:eastAsia="IRNazanin" w:cs="IRNazanin"/>
          <w:color w:val="111111"/>
          <w:sz w:val="28"/>
          <w:szCs w:val="28"/>
          <w:rtl w:val="true"/>
          <w:lang w:bidi="fa-IR"/>
        </w:rPr>
        <w:t>:</w:t>
      </w:r>
    </w:p>
    <w:p>
      <w:pPr>
        <w:pStyle w:val="Heading4"/>
        <w:numPr>
          <w:ilvl w:val="3"/>
          <w:numId w:val="1"/>
        </w:numPr>
        <w:rPr/>
      </w:pPr>
      <w:bookmarkStart w:id="370" w:name="__RefHeading___Toc5446723_3224264995"/>
      <w:bookmarkStart w:id="371" w:name="_Toc143"/>
      <w:bookmarkEnd w:id="370"/>
      <w:r>
        <w:rPr>
          <w:rtl w:val="true"/>
        </w:rPr>
        <w:t>أصالة حرمة العمل بالظنّ للأدلّة الأربعة</w:t>
      </w:r>
      <w:r>
        <w:rPr>
          <w:rtl w:val="true"/>
        </w:rPr>
        <w:t>:</w:t>
      </w:r>
      <w:bookmarkEnd w:id="371"/>
    </w:p>
    <w:p>
      <w:pPr>
        <w:pStyle w:val="BookText"/>
        <w:rPr/>
      </w:pPr>
      <w:r>
        <w:rPr>
          <w:rFonts w:ascii="Amiri" w:hAnsi="Amiri" w:eastAsia="Amiri" w:cs="Amiri"/>
          <w:color w:val="111111"/>
          <w:sz w:val="28"/>
          <w:sz w:val="28"/>
          <w:szCs w:val="28"/>
          <w:rtl w:val="true"/>
          <w:lang w:bidi="ar-SA"/>
        </w:rPr>
        <w:t>التعبّد بالظنّ الذی لم یدلّ علی التعبّد به دلیل،محرّم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یکفی من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آللّهُ أَذِنَ لَکُمْ أَمْ عَلَی اللّهِ تَفْتَرُونَ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علی أنّ ما لیس بإذن من اللّه من إسناد الحکم إلی الشارع، فهو افتراء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 فی عداد القضاة من أهل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 قضی بالحقّ و هو لا یعلم</w:t>
      </w:r>
      <w:r>
        <w:rPr>
          <w:rFonts w:eastAsia="IRNazanin" w:cs="IRNazanin"/>
          <w:color w:val="111111"/>
          <w:sz w:val="28"/>
          <w:szCs w:val="28"/>
          <w:rtl w:val="true"/>
          <w:lang w:bidi="fa-IR"/>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ادّعاه الفرید البهبهانی فی بعض رسائله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کون عدم الجواز بدیهیّا عند العوامّ فضلا عن العلماء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تقبیح العقلاء من یتکلّف من قبل مولاه بما لا یعلم بوروده عن المولی و لو کان جاهلا </w:t>
      </w:r>
      <w:r>
        <w:rPr>
          <w:rStyle w:val="FootnoteAnchor"/>
          <w:rtl w:val="true"/>
        </w:rPr>
        <w:footnoteReference w:id="396"/>
      </w:r>
      <w:r>
        <w:rPr>
          <w:rFonts w:ascii="IRNazanin" w:hAnsi="IRNazanin" w:eastAsia="IRNazanin"/>
          <w:color w:val="111111"/>
          <w:sz w:val="28"/>
          <w:sz w:val="28"/>
          <w:szCs w:val="28"/>
          <w:rtl w:val="true"/>
          <w:lang w:bidi="fa-IR"/>
        </w:rPr>
        <w:t>مع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نعم،قد یتوهّم متوهّم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الاحتیاط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غلط واضح؛إذ فرق بین الالتزام بشیء من قبل المولی علی أنّه منه مع عدم العلم بأنّه منه،و بین الالتزام بإتیانه لاحتمال کونه منه أو رجاء کونه منه،و شتّان ما بینهما؛لأنّ العقل یستقلّ بقبح الأوّل و حسن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المحرّم هو العمل بغیر العلم متعبّدا به و متدیّنا به، و أمّا العمل به من دون تعبّد بمقتضاه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لرجاء إدراک الواقع،فهو حسن ما لم یعارضه احتیاط آخر و لم یثبت من دلیل آخر وجوب العمل علی خلافه،کما لو ظنّ الوجوب و اقتضی الاستصحاب الحرمة؛فإنّ الإتیان بالفعل محرّم و إن لم یکن علی وجه التعبّد بوجوبه و التدیّن به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یکن لرجاء إدراک الواقع</w:t>
      </w:r>
      <w:r>
        <w:rPr>
          <w:rFonts w:eastAsia="IRNazanin" w:cs="IRNazanin"/>
          <w:color w:val="111111"/>
          <w:sz w:val="28"/>
          <w:szCs w:val="28"/>
          <w:rtl w:val="true"/>
          <w:lang w:bidi="fa-IR"/>
        </w:rPr>
        <w:t xml:space="preserve">: </w:t>
      </w:r>
      <w:bookmarkStart w:id="372" w:name="pg12977_114168"/>
    </w:p>
    <w:p>
      <w:pPr>
        <w:pStyle w:val="BookText"/>
        <w:rPr/>
      </w:pPr>
      <w:bookmarkEnd w:id="372"/>
      <w:r>
        <w:rPr>
          <w:rFonts w:ascii="IRNazanin" w:hAnsi="IRNazanin" w:eastAsia="IRNazanin"/>
          <w:color w:val="111111"/>
          <w:sz w:val="28"/>
          <w:sz w:val="28"/>
          <w:szCs w:val="28"/>
          <w:rtl w:val="true"/>
          <w:lang w:bidi="fa-IR"/>
        </w:rPr>
        <w:t>فإن لزم منه طرح أصل دلّ الدلیل علی وجوب الأخذ به حتّی یعلم خلافه،کان محرّما أیضا؛لأنّ فیه طرحا للأصل الواجب العمل، کما فیما ذکر من مثال کون الظنّ بالوجوب علی خلاف استصحاب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یلزم منه ذلک جاز العمل،کما لو ظنّ بوجوب ما تردّد بین الحرمة و الوجوب،فإنّ الالتزام بطرف الوجوب لا علی أنّه حکم اللّه المعیّن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 تسمیة هذا عملا بالظنّ مسامحة،و کذا فی تسمیة الأخذ به من باب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فالعمل بالظنّ إذا لم یصادف الاحتیاط محرّم إذا وقع علی وجه التعبّد به و التدیّن،سواء استلزم طرح الأصل أو الدلیل الموجود فی مقابله أم لا،و إذا وقع علی غیر وجه التعبّد به فهو محرّم إذا استلزم طرح ما یقابله من الاصول و الأدلّة المعلوم وجوب العمل بها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3" w:name="__RefHeading___Toc5446725_3224264995"/>
      <w:bookmarkStart w:id="374" w:name="_Toc144"/>
      <w:bookmarkEnd w:id="373"/>
      <w:r>
        <w:rPr>
          <w:rtl w:val="true"/>
        </w:rPr>
        <w:t>تقریر هذا الأصل بوجوه أخر و المناقشة فیها</w:t>
      </w:r>
      <w:r>
        <w:rPr>
          <w:rtl w:val="true"/>
        </w:rPr>
        <w:t>:</w:t>
      </w:r>
      <w:bookmarkEnd w:id="374"/>
    </w:p>
    <w:p>
      <w:pPr>
        <w:pStyle w:val="BookText"/>
        <w:rPr/>
      </w:pPr>
      <w:r>
        <w:rPr>
          <w:rFonts w:ascii="IRNazanin" w:hAnsi="IRNazanin" w:eastAsia="IRNazanin"/>
          <w:color w:val="111111"/>
          <w:sz w:val="28"/>
          <w:sz w:val="28"/>
          <w:szCs w:val="28"/>
          <w:rtl w:val="true"/>
          <w:lang w:bidi="fa-IR"/>
        </w:rPr>
        <w:t>هذا،و قد یقرّر الأصل هنا بوجوه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 عدم الحجّیة،و عدم وقوع التعبّد به و إیجاب العمل به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الأصل و إن کان ذلک،إلاّ أنّه لا یترتّب علی مقتضاه شیء؛فإنّ حرمة العمل </w:t>
      </w:r>
      <w:r>
        <w:rPr>
          <w:rStyle w:val="FootnoteAnchor"/>
          <w:rtl w:val="true"/>
        </w:rPr>
        <w:footnoteReference w:id="398"/>
      </w:r>
      <w:r>
        <w:rPr>
          <w:rFonts w:ascii="IRNazanin" w:hAnsi="IRNazanin" w:eastAsia="IRNazanin"/>
          <w:color w:val="111111"/>
          <w:sz w:val="28"/>
          <w:sz w:val="28"/>
          <w:szCs w:val="28"/>
          <w:rtl w:val="true"/>
          <w:lang w:bidi="fa-IR"/>
        </w:rPr>
        <w:t xml:space="preserve">یکفی فی موضوعها عدم العلم بورود التعبّد، </w:t>
      </w:r>
    </w:p>
    <w:p>
      <w:pPr>
        <w:pStyle w:val="BookText"/>
        <w:rPr/>
      </w:pPr>
      <w:r>
        <w:rPr>
          <w:rFonts w:ascii="IRNazanin" w:hAnsi="IRNazanin" w:eastAsia="IRNazanin"/>
          <w:color w:val="111111"/>
          <w:sz w:val="28"/>
          <w:sz w:val="28"/>
          <w:szCs w:val="28"/>
          <w:rtl w:val="true"/>
          <w:lang w:bidi="fa-IR"/>
        </w:rPr>
        <w:t>من غیر حاجة إلی إحراز عدم ورود التعبّد به لیحتاج فی ذلک إلی الأصل،ثمّ إثبات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أصالة عدم الحادث إنّما یحتاج إلیها فی الأحکام المترتّبة علی عدم ذلک الحادث،و أمّا الحکم المترتّب علی عدم العلم بذلک الحادث فیکفی فیه الشکّ فیه،و لا یحتاج إلی إحراز عدمه بحکم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نظیر قاعدة الاشتغال الحاکمة بوجوب الیقین بالفراغ؛فإنّه لا یحتاج فی إجرائها إلی إجراء أصالة عدم فراغ الذمّة،بل یکفی فیها عدم العلم بالفراغ،فافهم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الأصل هی إباحة العمل بالظنّ؛لأنّها الأصل فی الأشیاء،حکاه بعض عن السیّد المحقّق الکاظمی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صدق النسبة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إباحة التعبّد بالظنّ غیر معقول؛إذ لا معنی لجواز التعبّد و ترکه لا إلی بدل،غایة الأمر التخییر بین التعبّد بالظنّ و التعبّد بالأصل أو الدلیل الموجود هناک </w:t>
      </w:r>
      <w:r>
        <w:rPr>
          <w:rStyle w:val="FootnoteAnchor"/>
          <w:rtl w:val="true"/>
        </w:rPr>
        <w:footnoteReference w:id="400"/>
      </w:r>
      <w:r>
        <w:rPr>
          <w:rFonts w:ascii="IRNazanin" w:hAnsi="IRNazanin" w:eastAsia="IRNazanin"/>
          <w:color w:val="111111"/>
          <w:sz w:val="28"/>
          <w:sz w:val="28"/>
          <w:szCs w:val="28"/>
          <w:rtl w:val="true"/>
          <w:lang w:bidi="fa-IR"/>
        </w:rPr>
        <w:t xml:space="preserve">فی مقابله </w:t>
      </w:r>
      <w:r>
        <w:rPr>
          <w:rStyle w:val="FootnoteAnchor"/>
          <w:rtl w:val="true"/>
        </w:rPr>
        <w:footnoteReference w:id="401"/>
      </w:r>
      <w:r>
        <w:rPr>
          <w:rFonts w:ascii="IRNazanin" w:hAnsi="IRNazanin" w:eastAsia="IRNazanin"/>
          <w:color w:val="111111"/>
          <w:sz w:val="28"/>
          <w:sz w:val="28"/>
          <w:szCs w:val="28"/>
          <w:rtl w:val="true"/>
          <w:lang w:bidi="fa-IR"/>
        </w:rPr>
        <w:t>الذی یتعیّن الرجوع إلیه لو لا الظنّ،فغایة الأمر وجوب التعبّد به أو بالظنّ تخییرا،فلا معنی للإباحة التی هی الأصل فی الأشیاء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أصالة الإباحة إنّما هی فیما لا یستقلّ العقل بقبحه، و قد عرفت استقلال العقل بقبح التعبّد بالظنّ من دون العلم بوروده من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فی المقام دائر بین الوجوب و التحریم،و مقتضاه التخییر أو ترجیح جانب التحریم؛بناء علی أنّ دفع المفسدة أولی من جلب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الدوران؛لأنّ عدم العلم بالوجوب کاف فی ثبوت التحریم؛لما عرفت </w:t>
      </w:r>
      <w:r>
        <w:rPr>
          <w:rStyle w:val="FootnoteAnchor"/>
          <w:rtl w:val="true"/>
        </w:rPr>
        <w:footnoteReference w:id="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إطباق الأدلّة الأربعة علی عدم جواز التعبّد بما لم یعلم </w:t>
      </w:r>
      <w:r>
        <w:rPr>
          <w:rStyle w:val="FootnoteAnchor"/>
          <w:rtl w:val="true"/>
        </w:rPr>
        <w:footnoteReference w:id="403"/>
      </w:r>
      <w:r>
        <w:rPr>
          <w:rFonts w:ascii="IRNazanin" w:hAnsi="IRNazanin" w:eastAsia="IRNazanin"/>
          <w:color w:val="111111"/>
          <w:sz w:val="28"/>
          <w:sz w:val="28"/>
          <w:szCs w:val="28"/>
          <w:rtl w:val="true"/>
          <w:lang w:bidi="fa-IR"/>
        </w:rPr>
        <w:t xml:space="preserve">وجوب التعبّد </w:t>
      </w:r>
      <w:r>
        <w:rPr>
          <w:rStyle w:val="FootnoteAnchor"/>
          <w:rtl w:val="true"/>
        </w:rPr>
        <w:footnoteReference w:id="404"/>
      </w:r>
      <w:r>
        <w:rPr>
          <w:rFonts w:ascii="IRNazanin" w:hAnsi="IRNazanin" w:eastAsia="IRNazanin"/>
          <w:color w:val="111111"/>
          <w:sz w:val="28"/>
          <w:sz w:val="28"/>
          <w:szCs w:val="28"/>
          <w:rtl w:val="true"/>
          <w:lang w:bidi="fa-IR"/>
        </w:rPr>
        <w:t>به من الشارع؛أ لا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دار الأمر بین رجحان عبادة و حرمتها،کفی عدم ثبوت الرجحان فی ثبوت حرمتها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فی المقام دائر بین وجوب تحصیل مطلق الاعتقاد بالأحکام الشرعیّة المعلومة إجمالا،و بین وجوب تحصیل خصوص الاعتقاد القطعی،فیرجع إلی الشکّ فی المکلّف به و تردّده بین التخییر و التعیین،فیحکم بتعیین تحصیل خصوص الاعتقاد القطعی؛ تحصیلا للیقین بالبراءة،خلافا لمن لم یوجب ذلک فی مثل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وجوب تحصیل الاعتقاد بالأحکام مقدّمة عقلیّة للعمل </w:t>
      </w:r>
    </w:p>
    <w:p>
      <w:pPr>
        <w:pStyle w:val="BookText"/>
        <w:rPr/>
      </w:pPr>
      <w:r>
        <w:rPr>
          <w:rFonts w:ascii="IRNazanin" w:hAnsi="IRNazanin" w:eastAsia="IRNazanin"/>
          <w:color w:val="111111"/>
          <w:sz w:val="28"/>
          <w:sz w:val="28"/>
          <w:szCs w:val="28"/>
          <w:rtl w:val="true"/>
          <w:lang w:bidi="fa-IR"/>
        </w:rPr>
        <w:t>بها و امتثالها،فالحاکم بوجوبه هو العقل،و لا معنی لتردّد العقل فی موضوع حکمه،و أنّ الذی حکم هو بوجوبه تحصیل مطلق الاعتقاد أو خصوص العلم،بل إمّا أن یستقلّ بوجوب تحصیل خصوص الاعتقاد القطعی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یحکم بکفایة مطلق 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یتصوّر الإجمال فی موضوع الحکم العقلی؛لأنّ التردّد فی الموضوع یستلزم التردّد فی الحکم،و هو لا یتصوّر من نفس الحاکم،و سیجیء الإشارة إلی هذا فی ردّ من زعم أنّ نتیجة دلیل الانسداد مهملة مجملة،مع عدّه دلیل الانسداد دلیلا عقلیّا و حکما یستقلّ به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فلأنّ العمل بالظنّ فی مورد مخالفته للاصول و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محلّ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قطعیّة لحکم الشارع بوجوب الأخذ بتلک الاصول حتّی یعلم خلافها،فلا حاجة فی ردّه إلی مخالفته لقاعدة الاشتغال الراجعة إلی قدح المخالفة الاحتمالیّة للتکلیف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فرضنا أنّ الاستصحاب یقتضی الوجوب،و الظنّ حاصل بالحرمة،فحینئذ یکون العمل بالظنّ مخالفة قطعیّة لحکم الشارع بعدم نقض الیقین بغیر الیقین،فلا یحتاج إلی تکلّف أنّ التکلیف بالواجبات و المحرّمات یقینیّ،و لا نعلم کفایة تحصیل مطلق الاعتقاد الراجح فیها، أو وجوب تحصیل الاعتقاد القطعیّ و أنّ فی تحصیل الاعتقاد الراجح مخالفة احتمالیّة للتکلیف المتیقّن،فلا یجوز،فهذا أشبه شیء بالأکل من القفا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تبیّن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ذکرنا فی بیان الأصل هو الذی ینبغی أن یعتمد علیه،و حاصله</w:t>
      </w:r>
      <w:r>
        <w:rPr>
          <w:rFonts w:eastAsia="IRNazanin" w:cs="IRNazanin"/>
          <w:color w:val="111111"/>
          <w:sz w:val="28"/>
          <w:szCs w:val="28"/>
          <w:rtl w:val="true"/>
          <w:lang w:bidi="fa-IR"/>
        </w:rPr>
        <w:t xml:space="preserve">: </w:t>
      </w:r>
      <w:bookmarkStart w:id="375" w:name="pg12977_114172"/>
    </w:p>
    <w:p>
      <w:pPr>
        <w:pStyle w:val="BookText"/>
        <w:rPr/>
      </w:pPr>
      <w:bookmarkEnd w:id="375"/>
      <w:r>
        <w:rPr>
          <w:rFonts w:ascii="IRNazanin" w:hAnsi="IRNazanin" w:eastAsia="IRNazanin"/>
          <w:color w:val="111111"/>
          <w:sz w:val="28"/>
          <w:sz w:val="28"/>
          <w:szCs w:val="28"/>
          <w:rtl w:val="true"/>
          <w:lang w:bidi="fa-IR"/>
        </w:rPr>
        <w:t xml:space="preserve">أنّ التعبّد بالظنّ مع الشکّ فی رضا الشارع بالعمل به فی الشریعة تعبّد بالشکّ،و هو باطل عقلا و نقلا،و أمّا مجرّد العمل علی طبقه،فهو محرّم إذا خالف أصلا من الاصول اللفظیّة أو العملیّة الدالّة علی وجوب الأخذ بمضمونها حتّی یعلم الواقع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6" w:name="__RefHeading___Toc5446727_3224264995"/>
      <w:bookmarkStart w:id="377" w:name="_Toc145"/>
      <w:bookmarkEnd w:id="376"/>
      <w:r>
        <w:rPr>
          <w:rtl w:val="true"/>
        </w:rPr>
        <w:t>للحرمة فی العمل بالظنّ جهتان</w:t>
      </w:r>
      <w:r>
        <w:rPr>
          <w:rtl w:val="true"/>
        </w:rPr>
        <w:t>:</w:t>
      </w:r>
      <w:bookmarkEnd w:id="377"/>
    </w:p>
    <w:p>
      <w:pPr>
        <w:pStyle w:val="BookText"/>
        <w:rPr/>
      </w:pPr>
      <w:r>
        <w:rPr>
          <w:rFonts w:ascii="IRNazanin" w:hAnsi="IRNazanin" w:eastAsia="IRNazanin"/>
          <w:color w:val="111111"/>
          <w:sz w:val="28"/>
          <w:sz w:val="28"/>
          <w:szCs w:val="28"/>
          <w:rtl w:val="true"/>
          <w:lang w:bidi="fa-IR"/>
        </w:rPr>
        <w:t xml:space="preserve">فالعمل بالظنّ قد تجتمع فیه جهتان للحرمة،کما إذا عمل به ملتزما أنّه حکم اللّه و کان العمل </w:t>
      </w:r>
      <w:r>
        <w:rPr>
          <w:rStyle w:val="FootnoteAnchor"/>
          <w:rtl w:val="true"/>
        </w:rPr>
        <w:footnoteReference w:id="406"/>
      </w:r>
      <w:r>
        <w:rPr>
          <w:rFonts w:ascii="IRNazanin" w:hAnsi="IRNazanin" w:eastAsia="IRNazanin"/>
          <w:color w:val="111111"/>
          <w:sz w:val="28"/>
          <w:sz w:val="28"/>
          <w:szCs w:val="28"/>
          <w:rtl w:val="true"/>
          <w:lang w:bidi="fa-IR"/>
        </w:rPr>
        <w:t>مخالفا لمقتضی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تتحقّق فیه جهة واحدة،کما إذا خالف الأصل و لم یلتزم بکونه حکم اللّه،أو التزم و لم یخالف مقتضی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لا یکون فیه عقاب أصلا،کما إذا لم یلتزم بکونه حکم اللّه و لم یخالف أصلا،و حینئذ قد یستحقّ علیه </w:t>
      </w:r>
      <w:r>
        <w:rPr>
          <w:rStyle w:val="FootnoteAnchor"/>
          <w:rtl w:val="true"/>
        </w:rPr>
        <w:footnoteReference w:id="407"/>
      </w:r>
      <w:r>
        <w:rPr>
          <w:rFonts w:ascii="IRNazanin" w:hAnsi="IRNazanin" w:eastAsia="IRNazanin"/>
          <w:color w:val="111111"/>
          <w:sz w:val="28"/>
          <w:sz w:val="28"/>
          <w:szCs w:val="28"/>
          <w:rtl w:val="true"/>
          <w:lang w:bidi="fa-IR"/>
        </w:rPr>
        <w:t>الثواب،کما إذا عمل به علی وجه الاحتیاط</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لکن حقیقة العمل بالظنّ هو الاستناد إلیه فی العمل و الالتزام بکون مؤدّاه حکم اللّه فی حقّه،فالعمل علی ما یطابقه بلا استناد إلیه لیس عملا به،فصحّ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العمل بالظنّ و التعبّد به حرام مطلقا، وافق الاصول أو خالفها،غایة الأمر أنّه إذا خالف الاصول یستحقّ العقاب من جهتین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جهة الالتزام </w:t>
      </w:r>
      <w:r>
        <w:rPr>
          <w:rStyle w:val="FootnoteAnchor"/>
          <w:rtl w:val="true"/>
        </w:rPr>
        <w:footnoteReference w:id="408"/>
      </w:r>
      <w:r>
        <w:rPr>
          <w:rFonts w:ascii="IRNazanin" w:hAnsi="IRNazanin" w:eastAsia="IRNazanin"/>
          <w:color w:val="111111"/>
          <w:sz w:val="28"/>
          <w:sz w:val="28"/>
          <w:szCs w:val="28"/>
          <w:rtl w:val="true"/>
          <w:lang w:bidi="fa-IR"/>
        </w:rPr>
        <w:t>و التشریع،و من جهة طرح الأصل المأمور بالعمل به حتّی یعلم بخلافه</w:t>
      </w:r>
      <w:r>
        <w:rPr>
          <w:rFonts w:eastAsia="IRNazanin" w:cs="IRNazanin"/>
          <w:color w:val="111111"/>
          <w:sz w:val="28"/>
          <w:szCs w:val="28"/>
          <w:rtl w:val="true"/>
          <w:lang w:bidi="fa-IR"/>
        </w:rPr>
        <w:t xml:space="preserve">. </w:t>
      </w:r>
      <w:bookmarkStart w:id="378" w:name="pg12977_114173"/>
    </w:p>
    <w:p>
      <w:pPr>
        <w:pStyle w:val="BookText"/>
        <w:rPr/>
      </w:pPr>
      <w:bookmarkEnd w:id="378"/>
      <w:r>
        <w:rPr>
          <w:rFonts w:ascii="IRNazanin" w:hAnsi="IRNazanin" w:eastAsia="IRNazanin"/>
          <w:color w:val="111111"/>
          <w:sz w:val="28"/>
          <w:sz w:val="28"/>
          <w:szCs w:val="28"/>
          <w:rtl w:val="true"/>
          <w:lang w:bidi="fa-IR"/>
        </w:rPr>
        <w:t>و قد اشیر فی الکتاب و السنّة إلی الجهتین</w:t>
      </w:r>
      <w:r>
        <w:rPr>
          <w:rFonts w:eastAsia="IRNazanin" w:cs="IRNazanin"/>
          <w:color w:val="111111"/>
          <w:sz w:val="28"/>
          <w:szCs w:val="28"/>
          <w:rtl w:val="true"/>
          <w:lang w:bidi="fa-IR"/>
        </w:rPr>
        <w:t>:</w:t>
      </w:r>
    </w:p>
    <w:p>
      <w:pPr>
        <w:pStyle w:val="Heading4"/>
        <w:numPr>
          <w:ilvl w:val="3"/>
          <w:numId w:val="1"/>
        </w:numPr>
        <w:rPr/>
      </w:pPr>
      <w:bookmarkStart w:id="379" w:name="__RefHeading___Toc5446729_3224264995"/>
      <w:bookmarkStart w:id="380" w:name="_Toc146"/>
      <w:bookmarkEnd w:id="379"/>
      <w:r>
        <w:rPr>
          <w:rtl w:val="true"/>
        </w:rPr>
        <w:t>الإشارة إلی هاتین الجهتین فی الکتاب و السنّة</w:t>
      </w:r>
      <w:r>
        <w:rPr>
          <w:rtl w:val="true"/>
        </w:rPr>
        <w:t>:</w:t>
      </w:r>
      <w:bookmarkEnd w:id="380"/>
    </w:p>
    <w:p>
      <w:pPr>
        <w:pStyle w:val="BookText"/>
        <w:rPr/>
      </w:pPr>
      <w:r>
        <w:rPr>
          <w:rFonts w:ascii="Amiri" w:hAnsi="Amiri" w:eastAsia="Amiri" w:cs="Amiri"/>
          <w:color w:val="111111"/>
          <w:sz w:val="28"/>
          <w:sz w:val="28"/>
          <w:szCs w:val="28"/>
          <w:rtl w:val="true"/>
          <w:lang w:bidi="ar-SA"/>
        </w:rPr>
        <w:t>فممّا اشیر فیه إلی الاولی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آللّهُ أَذِنَ لَکُمْ أَمْ عَلَی اللّهِ تَفْتَرُونَ </w:t>
      </w:r>
      <w:r>
        <w:rPr>
          <w:rStyle w:val="FootnoteAnchor"/>
          <w:rtl w:val="true"/>
        </w:rPr>
        <w:footnoteReference w:id="409"/>
      </w:r>
      <w:r>
        <w:rPr>
          <w:rFonts w:ascii="IRNazanin" w:hAnsi="IRNazanin" w:eastAsia="IRNazanin"/>
          <w:color w:val="111111"/>
          <w:sz w:val="28"/>
          <w:sz w:val="28"/>
          <w:szCs w:val="28"/>
          <w:rtl w:val="true"/>
          <w:lang w:bidi="fa-IR"/>
        </w:rPr>
        <w:t>بالتقریب المتقدّم،و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قضی بالحقّ و هو لا یعلم</w:t>
      </w:r>
      <w:r>
        <w:rPr>
          <w:rFonts w:eastAsia="IRNazanin" w:cs="IRNazanin"/>
          <w:color w:val="111111"/>
          <w:sz w:val="28"/>
          <w:szCs w:val="28"/>
          <w:rtl w:val="true"/>
          <w:lang w:bidi="fa-IR"/>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اشیر فیه إلی الثانیة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لا یُغْنِی مِنَ الْحَقِّ شَیْئاً </w:t>
      </w:r>
      <w:r>
        <w:rPr>
          <w:rStyle w:val="FootnoteAnchor"/>
          <w:rtl w:val="true"/>
        </w:rPr>
        <w:footnoteReference w:id="411"/>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أفتی الناس بغیر علم کان ما یفسده أکثر ممّا یصلحه</w:t>
      </w:r>
      <w:r>
        <w:rPr>
          <w:rFonts w:eastAsia="IRNazanin" w:cs="IRNazanin"/>
          <w:color w:val="111111"/>
          <w:sz w:val="28"/>
          <w:szCs w:val="28"/>
          <w:rtl w:val="true"/>
          <w:lang w:bidi="fa-IR"/>
        </w:rPr>
        <w:t xml:space="preserve">» </w:t>
      </w:r>
      <w:r>
        <w:rPr>
          <w:rStyle w:val="FootnoteAnchor"/>
          <w:rtl w:val="true"/>
        </w:rPr>
        <w:footnoteReference w:id="412"/>
      </w:r>
      <w:r>
        <w:rPr>
          <w:rFonts w:ascii="Amiri" w:hAnsi="Amiri" w:eastAsia="Amiri" w:cs="Amiri"/>
          <w:color w:val="111111"/>
          <w:sz w:val="28"/>
          <w:sz w:val="28"/>
          <w:szCs w:val="28"/>
          <w:rtl w:val="true"/>
          <w:lang w:bidi="ar-SA"/>
        </w:rPr>
        <w:t>،و نفس أدلّة الاصول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ما ذکرنا من الحرمة من جهتین مبنیّ علی ما هو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اعتبار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لفظیّة کانت أو 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مقیّد بصورة عدم الظنّ علی خلافها،و أمّا إذا قلنا باشتراط عدم کون الظنّ علی خلافها، فلقائل أن یمنع أصالة حرمة العمل بالظنّ مطلقا،لا علی وجه الالتزام و لا علی غیره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مع عدم تیسّر العلم فی المسألة؛فلدوران الأمر فیها بین العمل بالظنّ و بین الرجوع إلی الأصل الموجود فی تلک المسألة علی خلاف الظنّ،و کما لا دلیل علی التعبّد بالظنّ کذلک لا دلیل علی التعبّد بذلک الأصل؛لأنّه المفروض،فغایة الأمر التخییر بینهما،أو تقدیم الظنّ؛ لکونه أقرب إلی الواقع،فیتعیّن بحکم العقل</w:t>
      </w:r>
      <w:r>
        <w:rPr>
          <w:rFonts w:eastAsia="IRNazanin" w:cs="IRNazanin"/>
          <w:color w:val="111111"/>
          <w:sz w:val="28"/>
          <w:szCs w:val="28"/>
          <w:rtl w:val="true"/>
          <w:lang w:bidi="fa-IR"/>
        </w:rPr>
        <w:t xml:space="preserve">. </w:t>
      </w:r>
      <w:bookmarkStart w:id="381" w:name="pg12977_114174"/>
    </w:p>
    <w:p>
      <w:pPr>
        <w:pStyle w:val="BookText"/>
        <w:rPr/>
      </w:pPr>
      <w:bookmarkEnd w:id="381"/>
      <w:r>
        <w:rPr>
          <w:rFonts w:ascii="IRNazanin" w:hAnsi="IRNazanin" w:eastAsia="IRNazanin"/>
          <w:color w:val="111111"/>
          <w:sz w:val="28"/>
          <w:sz w:val="28"/>
          <w:szCs w:val="28"/>
          <w:rtl w:val="true"/>
          <w:lang w:bidi="fa-IR"/>
        </w:rPr>
        <w:t xml:space="preserve">و أمّا مع التمکّن من العلم فی المسألة؛فعدم </w:t>
      </w:r>
      <w:r>
        <w:rPr>
          <w:rStyle w:val="FootnoteAnchor"/>
          <w:rtl w:val="true"/>
        </w:rPr>
        <w:footnoteReference w:id="413"/>
      </w:r>
      <w:r>
        <w:rPr>
          <w:rFonts w:ascii="IRNazanin" w:hAnsi="IRNazanin" w:eastAsia="IRNazanin"/>
          <w:color w:val="111111"/>
          <w:sz w:val="28"/>
          <w:sz w:val="28"/>
          <w:szCs w:val="28"/>
          <w:rtl w:val="true"/>
          <w:lang w:bidi="fa-IR"/>
        </w:rPr>
        <w:t>جواز الاکتفاء فیها بتحصیل الظنّ و وجوب تحصیل الیقین،مبنیّ علی القول بوجوب تحصیل الواقع علما،أمّا إذا ادّعی أنّ العقل لا یحکم بأزید من وجوب تحصیل الظنّ،و أنّ الضرر الموهوم لا یجب دفعه،فلا دلیل علی لزوم تحصیل العلم مع التمکّن</w:t>
      </w:r>
      <w:r>
        <w:rPr>
          <w:rFonts w:eastAsia="IRNazanin" w:cs="IRNazanin"/>
          <w:color w:val="111111"/>
          <w:sz w:val="28"/>
          <w:szCs w:val="28"/>
          <w:rtl w:val="true"/>
          <w:lang w:bidi="fa-IR"/>
        </w:rPr>
        <w:t>.</w:t>
      </w:r>
    </w:p>
    <w:p>
      <w:pPr>
        <w:pStyle w:val="Heading4"/>
        <w:numPr>
          <w:ilvl w:val="3"/>
          <w:numId w:val="1"/>
        </w:numPr>
        <w:rPr/>
      </w:pPr>
      <w:bookmarkStart w:id="382" w:name="__RefHeading___Toc5446731_3224264995"/>
      <w:bookmarkStart w:id="383" w:name="_Toc147"/>
      <w:bookmarkEnd w:id="382"/>
      <w:r>
        <w:rPr>
          <w:rtl w:val="true"/>
        </w:rPr>
        <w:t>الاستدلال علی أصالة الحرمة بالآیات الناهیة عن العمل بالظنّ</w:t>
      </w:r>
      <w:r>
        <w:rPr>
          <w:rtl w:val="true"/>
        </w:rPr>
        <w:t>:</w:t>
      </w:r>
      <w:bookmarkEnd w:id="383"/>
    </w:p>
    <w:p>
      <w:pPr>
        <w:pStyle w:val="BookText"/>
        <w:rPr/>
      </w:pPr>
      <w:r>
        <w:rPr>
          <w:rFonts w:ascii="IRNazanin" w:hAnsi="IRNazanin" w:eastAsia="IRNazanin"/>
          <w:color w:val="111111"/>
          <w:sz w:val="28"/>
          <w:sz w:val="28"/>
          <w:szCs w:val="28"/>
          <w:rtl w:val="true"/>
          <w:lang w:bidi="fa-IR"/>
        </w:rPr>
        <w:t xml:space="preserve">ثمّ إنّه ربما یستدلّ علی أصالة حرمة العمل بالظنّ بالآیات الناهیة عن العمل بالظنّ </w:t>
      </w:r>
      <w:r>
        <w:rPr>
          <w:rStyle w:val="FootnoteAnchor"/>
          <w:rtl w:val="true"/>
        </w:rPr>
        <w:footnoteReference w:id="414"/>
      </w:r>
      <w:r>
        <w:rPr>
          <w:rFonts w:ascii="IRNazanin" w:hAnsi="IRNazanin" w:eastAsia="IRNazanin"/>
          <w:color w:val="111111"/>
          <w:sz w:val="28"/>
          <w:sz w:val="28"/>
          <w:szCs w:val="28"/>
          <w:rtl w:val="true"/>
          <w:lang w:bidi="fa-IR"/>
        </w:rPr>
        <w:t xml:space="preserve">،و قد أطالوا الکلام فی النقض و الإبرام فی هذا المقام </w:t>
      </w:r>
      <w:r>
        <w:rPr>
          <w:rStyle w:val="FootnoteAnchor"/>
          <w:rtl w:val="true"/>
        </w:rPr>
        <w:footnoteReference w:id="415"/>
      </w:r>
      <w:r>
        <w:rPr>
          <w:rFonts w:ascii="IRNazanin" w:hAnsi="IRNazanin" w:eastAsia="IRNazanin"/>
          <w:color w:val="111111"/>
          <w:sz w:val="28"/>
          <w:sz w:val="28"/>
          <w:szCs w:val="28"/>
          <w:rtl w:val="true"/>
          <w:lang w:bidi="fa-IR"/>
        </w:rPr>
        <w:t>بما لا ثمرة مهمّة فی ذکره بعد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إن ارید الاستدلال بها علی حرمة التعبّد و الالتزام و التدیّن بمؤدّی الظنّ،فقد عرفت </w:t>
      </w:r>
      <w:r>
        <w:rPr>
          <w:rStyle w:val="FootnoteAnchor"/>
          <w:rtl w:val="true"/>
        </w:rPr>
        <w:footnoteReference w:id="416"/>
      </w:r>
      <w:r>
        <w:rPr>
          <w:rFonts w:ascii="IRNazanin" w:hAnsi="IRNazanin" w:eastAsia="IRNazanin"/>
          <w:color w:val="111111"/>
          <w:sz w:val="28"/>
          <w:sz w:val="28"/>
          <w:szCs w:val="28"/>
          <w:rtl w:val="true"/>
          <w:lang w:bidi="fa-IR"/>
        </w:rPr>
        <w:t>أنّه من ضروریّات العقل،فضلا عن تطابق الأدلّة الثلاثة النقلیّة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دلالتها علی حرمة العمل المطابق للظنّ و إن لم یکن عن استناد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ارید حرمته إذا خالف الواقع مع التمکّن من العلم به،فیکفی فی ذلک الأدلّة الواقعیة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ارید حرمته إذا خالف الاصول مع عدم التمکّن من العلم، فیکفی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الاصول؛بناء علی ما هو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w:t>
      </w:r>
      <w:bookmarkStart w:id="384" w:name="pg12977_114175"/>
    </w:p>
    <w:p>
      <w:pPr>
        <w:pStyle w:val="BookText"/>
        <w:rPr/>
      </w:pPr>
      <w:bookmarkEnd w:id="384"/>
      <w:r>
        <w:rPr>
          <w:rFonts w:ascii="IRNazanin" w:hAnsi="IRNazanin" w:eastAsia="IRNazanin"/>
          <w:color w:val="111111"/>
          <w:sz w:val="28"/>
          <w:sz w:val="28"/>
          <w:szCs w:val="28"/>
          <w:rtl w:val="true"/>
          <w:lang w:bidi="fa-IR"/>
        </w:rPr>
        <w:t>مجاریها صور عدم العلم الشامل للظنّ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حرمة العمل المطابق للظنّ من دون استناد إلیه و تدیّن به،و عدم مخالفة العمل للواقع مع التمکّن منه و لا لمقتضی الاصول مع العجز عن الواقع،فلا دلالة فیها و لا فی غیرها علی حرمة ذلک،و لا وجه لحرمته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مضمون الآیات هو التعبّد بالظنّ و التدیّن به،و قد عرفت أنّه ضروریّ التحریم،فلا مهمّ فی إطالة الکلام فی دلالة الآیات و عدمها</w:t>
      </w:r>
      <w:r>
        <w:rPr>
          <w:rFonts w:eastAsia="IRNazanin" w:cs="IRNazanin"/>
          <w:color w:val="111111"/>
          <w:sz w:val="28"/>
          <w:szCs w:val="28"/>
          <w:rtl w:val="true"/>
          <w:lang w:bidi="fa-IR"/>
        </w:rPr>
        <w:t>.</w:t>
      </w:r>
    </w:p>
    <w:p>
      <w:pPr>
        <w:pStyle w:val="Heading4"/>
        <w:numPr>
          <w:ilvl w:val="3"/>
          <w:numId w:val="1"/>
        </w:numPr>
        <w:rPr/>
      </w:pPr>
      <w:bookmarkStart w:id="385" w:name="__RefHeading___Toc5446733_3224264995"/>
      <w:bookmarkStart w:id="386" w:name="_Toc148"/>
      <w:bookmarkEnd w:id="385"/>
      <w:r>
        <w:rPr>
          <w:rtl w:val="true"/>
        </w:rPr>
        <w:t>موضوع هذه الرسالة هی الظنون المعتبرة الخارجة عن الأصل المتقدّم</w:t>
      </w:r>
      <w:bookmarkEnd w:id="38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الموضوع له هذه الرسالة </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ما خرج أو قیل بخروجه من هذا الأصل،من الامور الغیر العلمیّة الّتی اقیم الدلیل علی اعتبارها مع قطع النظر عن انسداد باب العلم الذی جعلوه موجبا للرجوع إلی الظنّ مطلقا أو فی الجملة،و هی امور</w:t>
      </w:r>
      <w:r>
        <w:rPr>
          <w:rFonts w:eastAsia="IRNazanin" w:cs="IRNazanin"/>
          <w:color w:val="111111"/>
          <w:sz w:val="28"/>
          <w:szCs w:val="28"/>
          <w:rtl w:val="true"/>
          <w:lang w:bidi="fa-IR"/>
        </w:rPr>
        <w:t xml:space="preserve">: </w:t>
      </w:r>
      <w:bookmarkStart w:id="387" w:name="pg12977_114176"/>
    </w:p>
    <w:p>
      <w:pPr>
        <w:pStyle w:val="Heading4"/>
        <w:numPr>
          <w:ilvl w:val="3"/>
          <w:numId w:val="1"/>
        </w:numPr>
        <w:rPr/>
      </w:pPr>
      <w:bookmarkStart w:id="388" w:name="__RefHeading___Toc5446735_3224264995"/>
      <w:bookmarkStart w:id="389" w:name="_Toc149"/>
      <w:bookmarkEnd w:id="387"/>
      <w:bookmarkEnd w:id="388"/>
      <w:r>
        <w:rPr>
          <w:rtl w:val="true"/>
        </w:rPr>
        <w:t>الأمارات المستعملة فی استنباط الأحکام من ألفاظ الکتاب و السنّة</w:t>
      </w:r>
      <w:bookmarkEnd w:id="389"/>
    </w:p>
    <w:p>
      <w:pPr>
        <w:pStyle w:val="Heading5"/>
        <w:numPr>
          <w:ilvl w:val="4"/>
          <w:numId w:val="1"/>
        </w:numPr>
        <w:rPr/>
      </w:pPr>
      <w:bookmarkStart w:id="390" w:name="__RefHeading___Toc5446737_3224264995"/>
      <w:bookmarkStart w:id="391" w:name="_Toc150"/>
      <w:bookmarkEnd w:id="390"/>
      <w:r>
        <w:rPr>
          <w:rtl w:val="true"/>
        </w:rPr>
        <w:t>اشارة</w:t>
      </w:r>
      <w:bookmarkEnd w:id="3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الأمارات المستعملة فی استنباط الأحکام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ألفاظ الکتاب و السنّة</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الأمارات المعمولة فی استنباط الأحکام الشرعیّة من ألفاظ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علی قسمین</w:t>
      </w:r>
      <w:r>
        <w:rPr>
          <w:rFonts w:eastAsia="IRNazanin" w:cs="IRNazanin"/>
          <w:color w:val="111111"/>
          <w:sz w:val="28"/>
          <w:szCs w:val="28"/>
          <w:rtl w:val="true"/>
          <w:lang w:bidi="fa-IR"/>
        </w:rPr>
        <w:t>:</w:t>
      </w:r>
    </w:p>
    <w:p>
      <w:pPr>
        <w:pStyle w:val="Heading5"/>
        <w:numPr>
          <w:ilvl w:val="4"/>
          <w:numId w:val="1"/>
        </w:numPr>
        <w:rPr/>
      </w:pPr>
      <w:bookmarkStart w:id="392" w:name="__RefHeading___Toc5446739_3224264995"/>
      <w:bookmarkStart w:id="393" w:name="_Toc151"/>
      <w:bookmarkEnd w:id="392"/>
      <w:r>
        <w:rPr>
          <w:rtl w:val="true"/>
        </w:rPr>
        <w:t>القسم الأوّل</w:t>
      </w:r>
      <w:r>
        <w:rPr>
          <w:rtl w:val="true"/>
        </w:rPr>
        <w:t>:</w:t>
      </w:r>
      <w:r>
        <w:rPr>
          <w:rtl w:val="true"/>
        </w:rPr>
        <w:t>ما یعمل لتشخیص مراد المتکلّم</w:t>
      </w:r>
      <w:bookmarkEnd w:id="393"/>
    </w:p>
    <w:p>
      <w:pPr>
        <w:pStyle w:val="Heading6"/>
        <w:numPr>
          <w:ilvl w:val="5"/>
          <w:numId w:val="1"/>
        </w:numPr>
        <w:rPr/>
      </w:pPr>
      <w:bookmarkStart w:id="394" w:name="__RefHeading___Toc5446741_3224264995"/>
      <w:bookmarkStart w:id="395" w:name="_Toc152"/>
      <w:bookmarkEnd w:id="394"/>
      <w:r>
        <w:rPr>
          <w:rtl w:val="true"/>
        </w:rPr>
        <w:t>اشارة</w:t>
      </w:r>
      <w:bookmarkEnd w:id="39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احتمال إرادته خلاف ذلک،کأصالة الحقیقة عند احتمال إرادة المجاز،و أصالة العموم و الإطلاق،و مرجع الکلّ إلی أصالة عدم القرینة الصارفة عن المعنی الذی یقطع بإرادة المتکلّم الحکیم له لو حصل القطع بعدم القرینة، و کغلبة استعمال المطلق فی الفرد الشائع بناء علی عدم وصوله إلی حدّ الوضع،و کالقرائن المقامیّة التی یعتمدها أهل اللسان </w:t>
      </w:r>
      <w:r>
        <w:rPr>
          <w:rStyle w:val="FootnoteAnchor"/>
          <w:rtl w:val="true"/>
        </w:rPr>
        <w:footnoteReference w:id="419"/>
      </w:r>
      <w:r>
        <w:rPr>
          <w:rFonts w:ascii="IRNazanin" w:hAnsi="IRNazanin" w:eastAsia="IRNazanin"/>
          <w:color w:val="111111"/>
          <w:sz w:val="28"/>
          <w:sz w:val="28"/>
          <w:szCs w:val="28"/>
          <w:rtl w:val="true"/>
          <w:lang w:bidi="fa-IR"/>
        </w:rPr>
        <w:t>فی محاوراتهم، کوقوع الأمر عقیب توهّم الحظر،و نحو ذلک،و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الامور المعتبرة عند أهل اللسان فی محاوراتهم بحیث لو أراد المتکلّم القاصد للتفهیم خلاف مقتضاها من دون نصب قرینة معتبرة،عدّ ذلک منه قبیحا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420"/>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یعمل لتشخیص أوضاع الألفاظ،و تمییز </w:t>
      </w:r>
      <w:r>
        <w:rPr>
          <w:rStyle w:val="FootnoteAnchor"/>
          <w:rtl w:val="true"/>
        </w:rPr>
        <w:footnoteReference w:id="421"/>
      </w:r>
      <w:r>
        <w:rPr>
          <w:rFonts w:ascii="IRNazanin" w:hAnsi="IRNazanin" w:eastAsia="IRNazanin"/>
          <w:color w:val="111111"/>
          <w:sz w:val="28"/>
          <w:sz w:val="28"/>
          <w:szCs w:val="28"/>
          <w:rtl w:val="true"/>
          <w:lang w:bidi="fa-IR"/>
        </w:rPr>
        <w:t xml:space="preserve">مجازاتها من حقائقها،و ظواهرها عن خلافها،کتشخیص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لمطلق وجه الأرض أو التراب الخالص؟و تعیین أنّ وقوع الأمر عقیب توهّم الحظر هل یوجب ظهوره فی الإباحة المطلقة؟ و أنّ الشهرة فی المجاز المشهور هل توجب احتیاج الحقیقة إلی القرینة الصارفة عن الظهور العرضی المسبّب من الشهرة،نظیر احتیاج المطلق المنصرف إلی بعض أفراده؟</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فالمطلوب فی هذا القسم أنّ اللفظ ظاهر فی هذا المعنی أو غیر ظاهر؟و فی القسم الأوّل أنّ الظاهر المفروغ عن کونه ظاهرا مراد أو لا؟</w:t>
      </w:r>
    </w:p>
    <w:p>
      <w:pPr>
        <w:pStyle w:val="BookText"/>
        <w:rPr/>
      </w:pPr>
      <w:r>
        <w:rPr>
          <w:rFonts w:ascii="IRNazanin" w:hAnsi="IRNazanin" w:eastAsia="IRNazanin"/>
          <w:color w:val="111111"/>
          <w:sz w:val="28"/>
          <w:sz w:val="28"/>
          <w:szCs w:val="28"/>
          <w:rtl w:val="true"/>
          <w:lang w:bidi="fa-IR"/>
        </w:rPr>
        <w:t>و الشکّ فی الأوّل مسبّب عن الأوضاع اللغویة و العرفیة،و فی الثانی عن اعتماد المتکلّم علی القرینة و عدمه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فالقسمان من قبیل الصغری و الکبری لتشخیص المراد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bookmarkStart w:id="396" w:name="pg12977_114178"/>
    </w:p>
    <w:p>
      <w:pPr>
        <w:pStyle w:val="BookText"/>
        <w:rPr/>
      </w:pPr>
      <w:bookmarkEnd w:id="396"/>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فاعتباره فی الجملة ممّا </w:t>
      </w:r>
      <w:r>
        <w:rPr>
          <w:rStyle w:val="FootnoteAnchor"/>
          <w:rtl w:val="true"/>
        </w:rPr>
        <w:footnoteReference w:id="423"/>
      </w:r>
      <w:r>
        <w:rPr>
          <w:rFonts w:ascii="IRNazanin" w:hAnsi="IRNazanin" w:eastAsia="IRNazanin"/>
          <w:color w:val="111111"/>
          <w:sz w:val="28"/>
          <w:sz w:val="28"/>
          <w:szCs w:val="28"/>
          <w:rtl w:val="true"/>
          <w:lang w:bidi="fa-IR"/>
        </w:rPr>
        <w:t>لا إشکال فیه و لا خلاف؛لأنّ المفروض کون تلک الامور معتبرة عند أهل اللسان فی محاوراتهم المقصود بها التفهیم،و من المعلوم بدیهة أنّ طریق محاورات الشارع فی تفهیم مقاصده للمخاطبین لم یکن طریقا مخترعا مغایرا لطریق محاورات أهل اللسان فی تفهیم مقاصدهم</w:t>
      </w:r>
      <w:r>
        <w:rPr>
          <w:rFonts w:eastAsia="IRNazanin" w:cs="IRNazanin"/>
          <w:color w:val="111111"/>
          <w:sz w:val="28"/>
          <w:szCs w:val="28"/>
          <w:rtl w:val="true"/>
          <w:lang w:bidi="fa-IR"/>
        </w:rPr>
        <w:t>.</w:t>
      </w:r>
    </w:p>
    <w:p>
      <w:pPr>
        <w:pStyle w:val="Heading6"/>
        <w:numPr>
          <w:ilvl w:val="5"/>
          <w:numId w:val="1"/>
        </w:numPr>
        <w:rPr/>
      </w:pPr>
      <w:bookmarkStart w:id="397" w:name="__RefHeading___Toc5446743_3224264995"/>
      <w:bookmarkStart w:id="398" w:name="_Toc153"/>
      <w:bookmarkEnd w:id="397"/>
      <w:r>
        <w:rPr>
          <w:rtl w:val="true"/>
        </w:rPr>
        <w:t>و إنّما الخلاف و الإشکال وقع فی موضعین</w:t>
      </w:r>
      <w:r>
        <w:rPr>
          <w:rtl w:val="true"/>
        </w:rPr>
        <w:t>:</w:t>
      </w:r>
      <w:bookmarkEnd w:id="398"/>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العمل بظواهر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العمل بالظواهر مطلقا فی حقّ غیر المخاطب بها قام الدلیل علیه بالخصوص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لا یحتاج إلی إثبات انسداد باب العلم فی الأحکام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w:t>
      </w:r>
    </w:p>
    <w:p>
      <w:pPr>
        <w:pStyle w:val="BookText"/>
        <w:rPr/>
      </w:pPr>
      <w:r>
        <w:rPr>
          <w:rFonts w:ascii="IRNazanin" w:hAnsi="IRNazanin" w:eastAsia="IRNazanin"/>
          <w:color w:val="111111"/>
          <w:sz w:val="28"/>
          <w:sz w:val="28"/>
          <w:szCs w:val="28"/>
          <w:rtl w:val="true"/>
          <w:lang w:bidi="fa-IR"/>
        </w:rPr>
        <w:t>و الخلاف الأوّل ناظر إلی عدم کون المقصود بالخطاب استفادة المطلب منه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الخلاف الثانی ناظر إلی منع کون المتعارف بین أهل اللسان اعتماد غیر من قصد إفهامه بالخطاب علی ما یستفیده من الخطاب بواسطة أصالة عدم القرینة عند التخاطب</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فمرجع کلا الخلافین إلی منع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کون الحکم عند الشارع فی استنباط مراداته من خطاباته المقصود بها التفهیم، ما هو المتعارف عند أهل اللسان فی الاستفادة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فممّا لا خلاف فیه و لا إشکال</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9" w:name="pg12977_114180"/>
      <w:bookmarkStart w:id="400" w:name="pg12977_114180"/>
      <w:bookmarkEnd w:id="400"/>
    </w:p>
    <w:p>
      <w:pPr>
        <w:pStyle w:val="Heading6"/>
        <w:numPr>
          <w:ilvl w:val="5"/>
          <w:numId w:val="1"/>
        </w:numPr>
        <w:rPr/>
      </w:pPr>
      <w:bookmarkStart w:id="401" w:name="pg12977_114180"/>
      <w:bookmarkStart w:id="402" w:name="__RefHeading___Toc5446745_3224264995"/>
      <w:bookmarkStart w:id="403" w:name="_Toc154"/>
      <w:bookmarkEnd w:id="401"/>
      <w:bookmarkEnd w:id="402"/>
      <w:r>
        <w:rPr/>
        <w:t>1</w:t>
      </w:r>
      <w:r>
        <w:rPr>
          <w:rtl w:val="true"/>
        </w:rPr>
        <w:t>-</w:t>
      </w:r>
      <w:r>
        <w:rPr>
          <w:rtl w:val="true"/>
        </w:rPr>
        <w:t>حجّیة ظواهر الکتاب</w:t>
      </w:r>
      <w:bookmarkEnd w:id="4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ظواهر الکتاب</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أمّا الکلام فی الخلاف الأوّل،فتفصیله</w:t>
      </w:r>
      <w:r>
        <w:rPr>
          <w:rFonts w:eastAsia="IRNazanin" w:cs="IRNazanin"/>
          <w:color w:val="111111"/>
          <w:sz w:val="28"/>
          <w:szCs w:val="28"/>
          <w:rtl w:val="true"/>
          <w:lang w:bidi="fa-IR"/>
        </w:rPr>
        <w:t>:</w:t>
      </w:r>
    </w:p>
    <w:p>
      <w:pPr>
        <w:pStyle w:val="Heading6"/>
        <w:numPr>
          <w:ilvl w:val="5"/>
          <w:numId w:val="1"/>
        </w:numPr>
        <w:rPr/>
      </w:pPr>
      <w:bookmarkStart w:id="404" w:name="__RefHeading___Toc5446747_3224264995"/>
      <w:bookmarkStart w:id="405" w:name="_Toc155"/>
      <w:bookmarkEnd w:id="404"/>
      <w:r>
        <w:rPr>
          <w:rtl w:val="true"/>
        </w:rPr>
        <w:t>عدم حجّیة ظواهر الکتاب عند جماعة من الأخباریین</w:t>
      </w:r>
      <w:r>
        <w:rPr>
          <w:rtl w:val="true"/>
        </w:rPr>
        <w:t>:</w:t>
      </w:r>
      <w:bookmarkEnd w:id="405"/>
    </w:p>
    <w:p>
      <w:pPr>
        <w:pStyle w:val="BookText"/>
        <w:rPr/>
      </w:pPr>
      <w:r>
        <w:rPr>
          <w:rFonts w:ascii="IRNazanin" w:hAnsi="IRNazanin" w:eastAsia="IRNazanin"/>
          <w:color w:val="111111"/>
          <w:sz w:val="28"/>
          <w:sz w:val="28"/>
          <w:szCs w:val="28"/>
          <w:rtl w:val="true"/>
          <w:lang w:bidi="fa-IR"/>
        </w:rPr>
        <w:t xml:space="preserve">أنّه ذهب جماعة من الأخباریّین </w:t>
      </w:r>
      <w:r>
        <w:rPr>
          <w:rStyle w:val="FootnoteAnchor"/>
          <w:rtl w:val="true"/>
        </w:rPr>
        <w:footnoteReference w:id="425"/>
      </w:r>
      <w:r>
        <w:rPr>
          <w:rFonts w:ascii="IRNazanin" w:hAnsi="IRNazanin" w:eastAsia="IRNazanin"/>
          <w:color w:val="111111"/>
          <w:sz w:val="28"/>
          <w:sz w:val="28"/>
          <w:szCs w:val="28"/>
          <w:rtl w:val="true"/>
          <w:lang w:bidi="fa-IR"/>
        </w:rPr>
        <w:t>إلی المنع عن العمل بظواهر الکتاب من دون ما یرد التفسیر و کشف المراد عن الحجج المعصومین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أقوی ما یتمسّک لهم علی ذلک وجهان</w:t>
      </w:r>
      <w:r>
        <w:rPr>
          <w:rFonts w:eastAsia="IRNazanin" w:cs="IRNazanin"/>
          <w:color w:val="111111"/>
          <w:sz w:val="28"/>
          <w:szCs w:val="28"/>
          <w:rtl w:val="true"/>
          <w:lang w:bidi="fa-IR"/>
        </w:rPr>
        <w:t>:</w:t>
      </w:r>
    </w:p>
    <w:p>
      <w:pPr>
        <w:pStyle w:val="Heading6"/>
        <w:numPr>
          <w:ilvl w:val="5"/>
          <w:numId w:val="1"/>
        </w:numPr>
        <w:rPr/>
      </w:pPr>
      <w:bookmarkStart w:id="406" w:name="__RefHeading___Toc5446749_3224264995"/>
      <w:bookmarkStart w:id="407" w:name="_Toc156"/>
      <w:bookmarkEnd w:id="406"/>
      <w:r>
        <w:rPr>
          <w:rtl w:val="true"/>
        </w:rPr>
        <w:t>الدلیل الاول</w:t>
      </w:r>
      <w:r>
        <w:rPr>
          <w:rtl w:val="true"/>
        </w:rPr>
        <w:t>:</w:t>
      </w:r>
      <w:r>
        <w:rPr>
          <w:rtl w:val="true"/>
        </w:rPr>
        <w:t>الاستدلال علی ذلک بالأخبار</w:t>
      </w:r>
      <w:r>
        <w:rPr>
          <w:rtl w:val="true"/>
        </w:rPr>
        <w:t>:</w:t>
      </w:r>
      <w:bookmarkEnd w:id="407"/>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المتواترة المدّعی ظهورها فی المنع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النبویّ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برأیه فلیتبوّأ مقعده من النار</w:t>
      </w:r>
      <w:r>
        <w:rPr>
          <w:rFonts w:eastAsia="IRNazanin" w:cs="IRNazanin"/>
          <w:color w:val="111111"/>
          <w:sz w:val="28"/>
          <w:szCs w:val="28"/>
          <w:rtl w:val="true"/>
          <w:lang w:bidi="fa-IR"/>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فی القرآن بغیر علم فلیتبوّأ</w:t>
      </w:r>
      <w:r>
        <w:rPr>
          <w:rFonts w:eastAsia="IRNazanin" w:cs="IRNazanin"/>
          <w:color w:val="111111"/>
          <w:sz w:val="28"/>
          <w:szCs w:val="28"/>
          <w:rtl w:val="true"/>
          <w:lang w:bidi="fa-IR"/>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نبویّ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برأیه فقد افتری علی اللّه الکذب</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فسّر القرآن برأیه إن أصاب لم یؤجر،و إن أخطأ سقط </w:t>
      </w:r>
      <w:r>
        <w:rPr>
          <w:rStyle w:val="FootnoteAnchor"/>
          <w:rtl w:val="true"/>
        </w:rPr>
        <w:footnoteReference w:id="429"/>
      </w:r>
      <w:r>
        <w:rPr>
          <w:rFonts w:ascii="IRNazanin" w:hAnsi="IRNazanin" w:eastAsia="IRNazanin"/>
          <w:color w:val="111111"/>
          <w:sz w:val="28"/>
          <w:sz w:val="28"/>
          <w:szCs w:val="28"/>
          <w:rtl w:val="true"/>
          <w:lang w:bidi="fa-IR"/>
        </w:rPr>
        <w:t>أبعد من السماء</w:t>
      </w:r>
      <w:r>
        <w:rPr>
          <w:rFonts w:eastAsia="IRNazanin" w:cs="IRNazanin"/>
          <w:color w:val="111111"/>
          <w:sz w:val="28"/>
          <w:szCs w:val="28"/>
          <w:rtl w:val="true"/>
          <w:lang w:bidi="fa-IR"/>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النبویّ العامّی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برأیه فأصاب فقد أخطأ</w:t>
      </w:r>
      <w:r>
        <w:rPr>
          <w:rFonts w:eastAsia="IRNazanin" w:cs="IRNazanin"/>
          <w:color w:val="111111"/>
          <w:sz w:val="28"/>
          <w:szCs w:val="28"/>
          <w:rtl w:val="true"/>
          <w:lang w:bidi="fa-IR"/>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مولانا الرضا علیه السّلام،عن أبیه،عن آبائه،عن أمیر المؤمنین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قال فی الحدیث القدسیّ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آمن بی من فسّر کلامی برأیه،و ما عرفنی من شبّهنی بخلقی، و ما علی دینی من استعمل القیاس فی دینی</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تفسیر العیاشی،عن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حکم برأیه بین اثنین فقد کفر،و من فسّر برأیه آیة من کتاب اللّه فقد کفر</w:t>
      </w:r>
      <w:r>
        <w:rPr>
          <w:rFonts w:eastAsia="IRNazanin" w:cs="IRNazanin"/>
          <w:color w:val="111111"/>
          <w:sz w:val="28"/>
          <w:szCs w:val="28"/>
          <w:rtl w:val="true"/>
          <w:lang w:bidi="fa-IR"/>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قد صحّ عن النبیّ صلّی اللّه علیه و آله و عن الأئمة القائمین </w:t>
      </w:r>
    </w:p>
    <w:p>
      <w:pPr>
        <w:pStyle w:val="BookText"/>
        <w:rPr/>
      </w:pPr>
      <w:r>
        <w:rPr>
          <w:rFonts w:ascii="IRNazanin" w:hAnsi="IRNazanin" w:eastAsia="IRNazanin"/>
          <w:color w:val="111111"/>
          <w:sz w:val="28"/>
          <w:sz w:val="28"/>
          <w:szCs w:val="28"/>
          <w:rtl w:val="true"/>
          <w:lang w:bidi="fa-IR"/>
        </w:rPr>
        <w:t>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تفسیر القرآن لا یجوز إلاّ بالأثر الصحیح و النصّ الصریح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شیء أبعد من عقول الرجال من تفسیر القرآن؛إنّ الآیة یکون أولها فی شیء و آخرها فی شیء،و هو کلام متّصل ینصرف إلی وجوه</w:t>
      </w:r>
      <w:r>
        <w:rPr>
          <w:rFonts w:eastAsia="IRNazanin" w:cs="IRNazanin"/>
          <w:color w:val="111111"/>
          <w:sz w:val="28"/>
          <w:szCs w:val="28"/>
          <w:rtl w:val="true"/>
          <w:lang w:bidi="fa-IR"/>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مرسلة شبیب </w:t>
      </w:r>
      <w:r>
        <w:rPr>
          <w:rStyle w:val="FootnoteAnchor"/>
          <w:rtl w:val="true"/>
        </w:rPr>
        <w:footnoteReference w:id="436"/>
      </w:r>
      <w:r>
        <w:rPr>
          <w:rFonts w:ascii="IRNazanin" w:hAnsi="IRNazanin" w:eastAsia="IRNazanin"/>
          <w:color w:val="111111"/>
          <w:sz w:val="28"/>
          <w:sz w:val="28"/>
          <w:szCs w:val="28"/>
          <w:rtl w:val="true"/>
          <w:lang w:bidi="fa-IR"/>
        </w:rPr>
        <w:t>بن أنس،عن أبی عبد اللّه علیه السّلام،أنّه قال لأبی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فقیه أهل العراق؟قال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شیء تفتیهم؟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بکتاب اللّه و سنّة نبیّه صلّی اللّه علیه و آله،قال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حنیفة،تعرف کتاب اللّه حقّ معرفته،و تعرف الناسخ من المنسوخ؟قال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حنیفة،لقد ادّعیت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ویلک،ما جعل اللّه ذلک إلاّ عند أهل الکتاب الذین انزل علیهم،ویلک،و لا هو إلاّ عند الخاصّ من ذرّیة نبیّنا محمّد صلّی اللّه علیه و آله،و ما ورّثک اللّه من کتابه حرفا</w:t>
      </w:r>
      <w:r>
        <w:rPr>
          <w:rFonts w:eastAsia="IRNazanin" w:cs="IRNazanin"/>
          <w:color w:val="111111"/>
          <w:sz w:val="28"/>
          <w:szCs w:val="28"/>
          <w:rtl w:val="true"/>
          <w:lang w:bidi="fa-IR"/>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زید الشحّام،قال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قتادة علی أبی جعفر علیه السّلام،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فقیه أهل البصرة؟فقال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یزعمون،فقال علیه السّلام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بلغنی أنّک تفسّر القرآن،قال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قتادة، </w:t>
      </w:r>
      <w:bookmarkStart w:id="408" w:name="pg12977_114183"/>
    </w:p>
    <w:p>
      <w:pPr>
        <w:pStyle w:val="BookText"/>
        <w:rPr/>
      </w:pPr>
      <w:bookmarkEnd w:id="408"/>
      <w:r>
        <w:rPr>
          <w:rFonts w:ascii="IRNazanin" w:hAnsi="IRNazanin" w:eastAsia="IRNazanin"/>
          <w:color w:val="111111"/>
          <w:sz w:val="28"/>
          <w:sz w:val="28"/>
          <w:szCs w:val="28"/>
          <w:rtl w:val="true"/>
          <w:lang w:bidi="fa-IR"/>
        </w:rPr>
        <w:t>إن کنت قد فسّرت القرآن من تلقاء نفسک فقد هلکت و أهلکت،و إن کنت قد فسّرته من الرجال فقد هلکت و أهلکت، ویحک یا قتادة،إنّما یعرف القرآن من خوطب به</w:t>
      </w:r>
      <w:r>
        <w:rPr>
          <w:rFonts w:eastAsia="IRNazanin" w:cs="IRNazanin"/>
          <w:color w:val="111111"/>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ممّا ادّعی 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تجاوزها عن حدّ التواتر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حاصل هذا الوجه 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منع الشارع عن ذلک یکشف عن أنّ مقصود المتکلّم لیس تفهیم مطالبه بنفس هذا الکلام،فلیس من قبیل المحاورات العرفیّة</w:t>
      </w:r>
      <w:r>
        <w:rPr>
          <w:rFonts w:eastAsia="IRNazanin" w:cs="IRNazanin"/>
          <w:color w:val="111111"/>
          <w:sz w:val="28"/>
          <w:szCs w:val="28"/>
          <w:rtl w:val="true"/>
          <w:lang w:bidi="fa-IR"/>
        </w:rPr>
        <w:t>.</w:t>
      </w:r>
    </w:p>
    <w:p>
      <w:pPr>
        <w:pStyle w:val="Heading6"/>
        <w:numPr>
          <w:ilvl w:val="5"/>
          <w:numId w:val="1"/>
        </w:numPr>
        <w:rPr/>
      </w:pPr>
      <w:bookmarkStart w:id="409" w:name="__RefHeading___Toc5446751_3224264995"/>
      <w:bookmarkStart w:id="410" w:name="_Toc157"/>
      <w:bookmarkEnd w:id="409"/>
      <w:r>
        <w:rPr>
          <w:rtl w:val="true"/>
        </w:rPr>
        <w:t>الجواب عن الاستدلال بالأخبار</w:t>
      </w:r>
      <w:r>
        <w:rPr>
          <w:rtl w:val="true"/>
        </w:rPr>
        <w:t>:</w:t>
      </w:r>
      <w:bookmarkEnd w:id="410"/>
    </w:p>
    <w:p>
      <w:pPr>
        <w:pStyle w:val="BookText"/>
        <w:rPr/>
      </w:pPr>
      <w:r>
        <w:rPr>
          <w:rFonts w:ascii="IRNazanin" w:hAnsi="IRNazanin" w:eastAsia="IRNazanin"/>
          <w:color w:val="111111"/>
          <w:sz w:val="28"/>
          <w:sz w:val="28"/>
          <w:szCs w:val="28"/>
          <w:rtl w:val="true"/>
          <w:lang w:bidi="fa-IR"/>
        </w:rPr>
        <w:t>و الجواب عن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أنّها لا تدلّ علی المنع عن العمل بالظواهر الواضحة المعنی بعد الفحص عن نسخها و تخصیصها و إرادة خلاف ظاهرها فی الأخبار؛إذ من المعلوم أنّ هذا لا یسمّی تفسیرا؛فإنّ أحدا من العقلاء إذا رأی فی کتاب مولاه أنّه أمره بشیء بلسانه المتعارف فی مخاطبته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عربیّا أو فارسیّا أو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 به و امتثله،لم یعدّ هذا تفسیرا؛إذ التفسیر کشف القناع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سلّم کون مطلق حمل اللفظ علی معناه تفسیرا،لکن الظاهر أنّ المراد بالرأی هو الاعتبار العقلیّ الظنّی الراجع إلی الاستحسان، فلا یشمل حمل ظواهر الکتاب علی معانیها اللغویّة و العرفیّة</w:t>
      </w:r>
      <w:r>
        <w:rPr>
          <w:rFonts w:eastAsia="IRNazanin" w:cs="IRNazanin"/>
          <w:color w:val="111111"/>
          <w:sz w:val="28"/>
          <w:szCs w:val="28"/>
          <w:rtl w:val="true"/>
          <w:lang w:bidi="fa-IR"/>
        </w:rPr>
        <w:t>.</w:t>
      </w:r>
    </w:p>
    <w:p>
      <w:pPr>
        <w:pStyle w:val="Heading6"/>
        <w:numPr>
          <w:ilvl w:val="5"/>
          <w:numId w:val="1"/>
        </w:numPr>
        <w:rPr/>
      </w:pPr>
      <w:bookmarkStart w:id="411" w:name="__RefHeading___Toc5446753_3224264995"/>
      <w:bookmarkStart w:id="412" w:name="_Toc158"/>
      <w:bookmarkEnd w:id="411"/>
      <w:r>
        <w:rPr>
          <w:rtl w:val="true"/>
        </w:rPr>
        <w:t>لمراد من التفسیر بالرأی</w:t>
      </w:r>
      <w:r>
        <w:rPr>
          <w:rtl w:val="true"/>
        </w:rPr>
        <w:t>:</w:t>
      </w:r>
      <w:bookmarkEnd w:id="41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بالتفسیر بالرأی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حمل اللفظ علی خلاف </w:t>
      </w:r>
    </w:p>
    <w:p>
      <w:pPr>
        <w:pStyle w:val="BookText"/>
        <w:rPr/>
      </w:pPr>
      <w:r>
        <w:rPr>
          <w:rFonts w:ascii="IRNazanin" w:hAnsi="IRNazanin" w:eastAsia="IRNazanin"/>
          <w:color w:val="111111"/>
          <w:sz w:val="28"/>
          <w:sz w:val="28"/>
          <w:szCs w:val="28"/>
          <w:rtl w:val="true"/>
          <w:lang w:bidi="fa-IR"/>
        </w:rPr>
        <w:t>ظاهره أو أحد احتمالیه؛لرجحان ذلک فی نظره القاصر و عقله الفاتر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یرشد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المرویّ عن مولانا الصادق علیه السّلام،قال فی حدیث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هلک الناس فی المتشابه؛لأنّهم لم یقفوا علی معناه و لم یعرفوا حقیقته،فوضعوا له تأویلا من عند أنفسهم بآرائهم، و استغنوا بذلک عن مسألة الأوصیاء علیهم السّلام فیعرّفونهم</w:t>
      </w:r>
      <w:r>
        <w:rPr>
          <w:rFonts w:eastAsia="IRNazanin" w:cs="IRNazanin"/>
          <w:color w:val="111111"/>
          <w:sz w:val="28"/>
          <w:szCs w:val="28"/>
          <w:rtl w:val="true"/>
          <w:lang w:bidi="fa-IR"/>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إمّا الحمل علی ما یظهر له فی بادئ الرأی من المعانی العرفیّة و اللغویّة،من دون تأمّل فی الأدلّة العقلیّة و من دون تتبّع فی القرائن النقلیّة،مثل الآیات الأخر الدالّة علی خلاف هذا المعنی،و الأخبار الواردة فی بیان المراد منها و تعیین ناسخها من منسوخها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یقرّب هذا المعنی الثانی و إن کان الأوّل أقرب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المنهیّ فی تلک الأخبار المخالفون الذین یستغنون بکتاب اللّه تعالی عن أهل البیت علیهم السّلام،بل یخطّئونهم به،و من المعلوم ضرورة من مذهبنا تقدیم نصّ الإمام علیه السّلام علی ظاهر القرآن،کما أنّ المعلوم ضرورة من مذهبهم العکس</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یرشدک إلی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تقدّم </w:t>
      </w:r>
      <w:r>
        <w:rPr>
          <w:rStyle w:val="FootnoteAnchor"/>
          <w:rtl w:val="true"/>
        </w:rPr>
        <w:footnoteReference w:id="441"/>
      </w:r>
      <w:r>
        <w:rPr>
          <w:rFonts w:ascii="IRNazanin" w:hAnsi="IRNazanin" w:eastAsia="IRNazanin"/>
          <w:color w:val="111111"/>
          <w:sz w:val="28"/>
          <w:sz w:val="28"/>
          <w:szCs w:val="28"/>
          <w:rtl w:val="true"/>
          <w:lang w:bidi="fa-IR"/>
        </w:rPr>
        <w:t>فی ردّ الإمام علیه السّلام علی أبی حنیفة حیث إنّه یعمل بکتاب اللّه،و من المعلوم أنّه إنّما کان یعمل بظواهره، لا أنّه کان یؤوّله بالرأی؛إذ لا عبرة بالرأی عندهم مع الکتاب و السنّة</w:t>
      </w:r>
      <w:r>
        <w:rPr>
          <w:rFonts w:eastAsia="IRNazanin" w:cs="IRNazanin"/>
          <w:color w:val="111111"/>
          <w:sz w:val="28"/>
          <w:szCs w:val="28"/>
          <w:rtl w:val="true"/>
          <w:lang w:bidi="fa-IR"/>
        </w:rPr>
        <w:t xml:space="preserve">. </w:t>
      </w:r>
      <w:bookmarkStart w:id="413" w:name="pg12977_114185"/>
    </w:p>
    <w:p>
      <w:pPr>
        <w:pStyle w:val="BookText"/>
        <w:rPr/>
      </w:pPr>
      <w:bookmarkEnd w:id="413"/>
      <w:r>
        <w:rPr>
          <w:rFonts w:ascii="IRNazanin" w:hAnsi="IRNazanin" w:eastAsia="IRNazanin"/>
          <w:color w:val="111111"/>
          <w:sz w:val="28"/>
          <w:sz w:val="28"/>
          <w:szCs w:val="28"/>
          <w:rtl w:val="true"/>
          <w:lang w:bidi="fa-IR"/>
        </w:rPr>
        <w:t>و یرشد إلی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أبی عبد اللّه علیه السّلام فی ذمّ المخالفین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ضربوا القرآن بعضه ببعض،و احتجّوا بالمنسوخ و هم یظنّون أنّه الناسخ، و احتجّوا بالخاصّ و هم یظنّون أنّه العامّ،و احتجّوا بأوّل الآیة و ترکوا السنّة فی تأویلها،و لم ینظروا إلی ما یفتح </w:t>
      </w:r>
      <w:r>
        <w:rPr>
          <w:rStyle w:val="FootnoteAnchor"/>
          <w:rtl w:val="true"/>
        </w:rPr>
        <w:footnoteReference w:id="442"/>
      </w:r>
      <w:r>
        <w:rPr>
          <w:rFonts w:ascii="IRNazanin" w:hAnsi="IRNazanin" w:eastAsia="IRNazanin"/>
          <w:color w:val="111111"/>
          <w:sz w:val="28"/>
          <w:sz w:val="28"/>
          <w:szCs w:val="28"/>
          <w:rtl w:val="true"/>
          <w:lang w:bidi="fa-IR"/>
        </w:rPr>
        <w:t>الکلام و إلی ما یختمه، و لم یعرفوا موارده و مصادره،إذ لم یأخذوه عن أهله فضلّوا و أضلّوا</w:t>
      </w:r>
      <w:r>
        <w:rPr>
          <w:rFonts w:eastAsia="IRNazanin" w:cs="IRNazanin"/>
          <w:color w:val="111111"/>
          <w:sz w:val="28"/>
          <w:szCs w:val="28"/>
          <w:rtl w:val="true"/>
          <w:lang w:bidi="fa-IR"/>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فالإنصاف یقتضی عدم الحکم بظهور الأخبار المذکورة فی النهی عن العمل بظاهر الکتاب بعد الفحص و التتبّع فی سائر الأدلّة، خصوصا الآثار الواردة عن المعصومین علیهم السّلام؛کیف و لو دلّت علی المنع من العمل علی هذا الوجه،دلّت علی عدم جواز العمل بأحادیث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روایة سلیم بن قیس الهلالی،عن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أمر النبیّ صلّی اللّه علیه و آله مثل القرآن،منه ناسخ و منسوخ،و خاصّ و عامّ،و محکم و متشابه،و قد کان یکون من رسول اللّه صلّی اللّه علیه و آله الکلام </w:t>
      </w:r>
      <w:r>
        <w:rPr>
          <w:rStyle w:val="FootnoteAnchor"/>
          <w:rtl w:val="true"/>
        </w:rPr>
        <w:footnoteReference w:id="444"/>
      </w:r>
      <w:r>
        <w:rPr>
          <w:rFonts w:ascii="IRNazanin" w:hAnsi="IRNazanin" w:eastAsia="IRNazanin"/>
          <w:color w:val="111111"/>
          <w:sz w:val="28"/>
          <w:sz w:val="28"/>
          <w:szCs w:val="28"/>
          <w:rtl w:val="true"/>
          <w:lang w:bidi="fa-IR"/>
        </w:rPr>
        <w:t>له وجهان، و کلام عامّ و کلام خاصّ،مثل القرآن</w:t>
      </w:r>
      <w:r>
        <w:rPr>
          <w:rFonts w:eastAsia="IRNazanin" w:cs="IRNazanin"/>
          <w:color w:val="111111"/>
          <w:sz w:val="28"/>
          <w:szCs w:val="28"/>
          <w:rtl w:val="true"/>
          <w:lang w:bidi="fa-IR"/>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الحدیث ینسخ کما ینسخ القرآن</w:t>
      </w:r>
      <w:r>
        <w:rPr>
          <w:rFonts w:eastAsia="IRNazanin" w:cs="IRNazanin"/>
          <w:color w:val="111111"/>
          <w:sz w:val="28"/>
          <w:szCs w:val="28"/>
          <w:rtl w:val="true"/>
          <w:lang w:bidi="fa-IR"/>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4" w:name="__RefHeading___Toc5446755_3224264995"/>
      <w:bookmarkStart w:id="415" w:name="_Toc159"/>
      <w:bookmarkEnd w:id="414"/>
      <w:r>
        <w:rPr>
          <w:rtl w:val="true"/>
        </w:rPr>
        <w:t>الأخبار الدالّة علی جواز التمسّک بظاهر القرآن</w:t>
      </w:r>
      <w:r>
        <w:rPr>
          <w:rtl w:val="true"/>
        </w:rPr>
        <w:t>:</w:t>
      </w:r>
      <w:bookmarkEnd w:id="41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کلّه،مع معارضة الأخبار المذکورة بأکثر منها ممّا یدلّ علی </w:t>
      </w:r>
    </w:p>
    <w:p>
      <w:pPr>
        <w:pStyle w:val="BookText"/>
        <w:rPr/>
      </w:pPr>
      <w:r>
        <w:rPr>
          <w:rFonts w:ascii="IRNazanin" w:hAnsi="IRNazanin" w:eastAsia="IRNazanin"/>
          <w:color w:val="111111"/>
          <w:sz w:val="28"/>
          <w:sz w:val="28"/>
          <w:szCs w:val="28"/>
          <w:rtl w:val="true"/>
          <w:lang w:bidi="fa-IR"/>
        </w:rPr>
        <w:t>جواز التمسّک بظاهر القرآن،مثل خبر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المشهور بین الفریقین </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ممّا دلّ علی الأمر بالتمسّک بالقرآن و العمل بما فیه </w:t>
      </w:r>
      <w:r>
        <w:rPr>
          <w:rStyle w:val="FootnoteAnchor"/>
          <w:rtl w:val="true"/>
        </w:rPr>
        <w:footnoteReference w:id="448"/>
      </w:r>
      <w:r>
        <w:rPr>
          <w:rFonts w:ascii="IRNazanin" w:hAnsi="IRNazanin" w:eastAsia="IRNazanin"/>
          <w:color w:val="111111"/>
          <w:sz w:val="28"/>
          <w:sz w:val="28"/>
          <w:szCs w:val="28"/>
          <w:rtl w:val="true"/>
          <w:lang w:bidi="fa-IR"/>
        </w:rPr>
        <w:t xml:space="preserve">،و عرض الأخبار المتعارضة بل و مطلق الأخبار علیه </w:t>
      </w:r>
      <w:r>
        <w:rPr>
          <w:rStyle w:val="FootnoteAnchor"/>
          <w:rtl w:val="true"/>
        </w:rPr>
        <w:footnoteReference w:id="449"/>
      </w:r>
      <w:r>
        <w:rPr>
          <w:rFonts w:ascii="IRNazanin" w:hAnsi="IRNazanin" w:eastAsia="IRNazanin"/>
          <w:color w:val="111111"/>
          <w:sz w:val="28"/>
          <w:sz w:val="28"/>
          <w:szCs w:val="28"/>
          <w:rtl w:val="true"/>
          <w:lang w:bidi="fa-IR"/>
        </w:rPr>
        <w:t xml:space="preserve">،و ردّ الشروط المخالفة للکتاب فی أبواب العقود </w:t>
      </w:r>
      <w:r>
        <w:rPr>
          <w:rStyle w:val="FootnoteAnchor"/>
          <w:rtl w:val="true"/>
        </w:rPr>
        <w:footnoteReference w:id="450"/>
      </w:r>
      <w:r>
        <w:rPr>
          <w:rFonts w:ascii="Amiri" w:hAnsi="Amiri" w:eastAsia="Amiri" w:cs="Amiri"/>
          <w:color w:val="111111"/>
          <w:sz w:val="28"/>
          <w:sz w:val="28"/>
          <w:szCs w:val="28"/>
          <w:rtl w:val="true"/>
          <w:lang w:bidi="ar-SA"/>
        </w:rPr>
        <w:t>،و الأخبار الدالّة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قولا و </w:t>
      </w:r>
      <w:r>
        <w:rPr>
          <w:rStyle w:val="FootnoteAnchor"/>
          <w:rtl w:val="true"/>
        </w:rPr>
        <w:footnoteReference w:id="451"/>
      </w:r>
      <w:r>
        <w:rPr>
          <w:rFonts w:ascii="IRNazanin" w:hAnsi="IRNazanin" w:eastAsia="IRNazanin"/>
          <w:color w:val="111111"/>
          <w:sz w:val="28"/>
          <w:sz w:val="28"/>
          <w:szCs w:val="28"/>
          <w:rtl w:val="true"/>
          <w:lang w:bidi="fa-IR"/>
        </w:rPr>
        <w:t xml:space="preserve">فعلا و </w:t>
      </w:r>
      <w:r>
        <w:rPr>
          <w:rStyle w:val="FootnoteAnchor"/>
          <w:rtl w:val="true"/>
        </w:rPr>
        <w:footnoteReference w:id="452"/>
      </w:r>
      <w:r>
        <w:rPr>
          <w:rFonts w:ascii="IRNazanin" w:hAnsi="IRNazanin" w:eastAsia="IRNazanin"/>
          <w:color w:val="111111"/>
          <w:sz w:val="28"/>
          <w:sz w:val="28"/>
          <w:szCs w:val="28"/>
          <w:rtl w:val="true"/>
          <w:lang w:bidi="fa-IR"/>
        </w:rPr>
        <w:t>تقریرا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جواز التمسّک بالکتاب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قوله علیه السّلام لمّا قال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علمت أنّ المسح ببعض الرأس؟فقال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لمکان الباء</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،فعرّفه علیه السّلام مورد استفادة الحکم من ظاهر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الصادق علیه السّلام فی مقام نهی الدوانیقیّ عن قبول خبر النّمام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فاسق؛و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جاءَکُمْ فاسِقٌ بِنَبَإٍ فَتَبَیَّنُوا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قوله علیه السّلام لابنه إسماعیل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یُؤْمِنُ بِاللّهِ وَ یُؤْمِنُ لِلْمُؤْمِنِینَ ،فإذا شهد عندک المؤمنون فصدّقهم</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 لمن أطال الجلوس فی بیت الخلاء لاستماع الغناء، اعتذارا بأنّه لم یکن شیئا أتاه برجله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سمعت قول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السَّمْعَ وَ الْبَصَرَ وَ الْفُؤادَ کُلُّ أُولئِکَ کانَ عَنْهُ مَسْؤُلاً </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علیه السّلام فی تحلیل العبد للمطلّقة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زوج؛قال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تَنْکِحَ زَوْجاً غَیْرَهُ </w:t>
      </w:r>
      <w:r>
        <w:rPr>
          <w:rFonts w:eastAsia="Amiri" w:cs="Amiri" w:ascii="Amiri" w:hAnsi="Amiri"/>
          <w:color w:val="111111"/>
          <w:sz w:val="28"/>
          <w:szCs w:val="28"/>
          <w:rtl w:val="true"/>
          <w:lang w:bidi="ar-SA"/>
        </w:rPr>
        <w:t xml:space="preserve">» </w:t>
      </w:r>
      <w:r>
        <w:rPr>
          <w:rStyle w:val="FootnoteAnchor"/>
          <w:rtl w:val="true"/>
        </w:rPr>
        <w:footnoteReference w:id="457"/>
      </w:r>
      <w:r>
        <w:rPr>
          <w:rFonts w:ascii="IRNazanin" w:hAnsi="IRNazanin" w:eastAsia="IRNazanin"/>
          <w:color w:val="111111"/>
          <w:sz w:val="28"/>
          <w:sz w:val="28"/>
          <w:szCs w:val="28"/>
          <w:rtl w:val="true"/>
          <w:lang w:bidi="fa-IR"/>
        </w:rPr>
        <w:t>،و فی عدم تحلیلها بالعقد المنقطع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فَلا جُناحَ عَلَیْهِما </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تقریره علیه السّلام التمسّک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الَّذِینَ أُوتُوا الْکِتابَ، و أنّه نسخ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تَنْکِحُوا الْمُشْرِکاتِ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 فی روایة عبد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من عثر،فوقع ظفره، فجعل علی إصبعه مرارة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و شبهه یعرف من کتاب اللّه </w:t>
      </w:r>
    </w:p>
    <w:p>
      <w:pPr>
        <w:pStyle w:val="BookText"/>
        <w:rPr/>
      </w:pPr>
      <w:r>
        <w:rPr>
          <w:rFonts w:ascii="Amiri" w:hAnsi="Amiri" w:eastAsia="Amiri" w:cs="Amiri"/>
          <w:color w:val="111111"/>
          <w:sz w:val="28"/>
          <w:sz w:val="28"/>
          <w:szCs w:val="28"/>
          <w:rtl w:val="true"/>
          <w:lang w:bidi="ar-SA"/>
        </w:rPr>
        <w:t>ما جَعَلَ عَلَیْکُمْ فِی الدِّینِ مِنْ حَرَجٍ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امسح علیه</w:t>
      </w:r>
      <w:r>
        <w:rPr>
          <w:rFonts w:eastAsia="Amiri" w:cs="Amiri" w:ascii="Amiri" w:hAnsi="Amiri"/>
          <w:color w:val="111111"/>
          <w:sz w:val="28"/>
          <w:szCs w:val="28"/>
          <w:rtl w:val="true"/>
          <w:lang w:bidi="ar-SA"/>
        </w:rPr>
        <w:t xml:space="preserve">» </w:t>
      </w:r>
      <w:r>
        <w:rPr>
          <w:rStyle w:val="FootnoteAnchor"/>
          <w:rtl w:val="true"/>
        </w:rPr>
        <w:footnoteReference w:id="460"/>
      </w:r>
      <w:r>
        <w:rPr>
          <w:rFonts w:ascii="IRNazanin" w:hAnsi="IRNazanin" w:eastAsia="IRNazanin"/>
          <w:color w:val="111111"/>
          <w:sz w:val="28"/>
          <w:sz w:val="28"/>
          <w:szCs w:val="28"/>
          <w:rtl w:val="true"/>
          <w:lang w:bidi="fa-IR"/>
        </w:rPr>
        <w:t>، فأحال علیه السّلام معرفة حکم المسح علی إصبعه المغطّی بالمرارة إلی الکتاب، مومیا إلی أنّ هذا لا یحتاج إلی السؤال؛لوجوده فی ظاهر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استفادة الحکم المذکور من ظاهر الآیة الشریفة ممّا لا یظهر إلاّ للمتأمّل المدقّق؛نظرا إلی أنّ الآیة الشریفة إنّما تدلّ علی نفی وجوب الحرج،أعنی المسح علی نفس الإصبع،فیدور الأمر فی بادئ النظر بین سقوط المسح رأسا،و بین بقائه مع سقوط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مباشرة الماسح للممسوح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بظاهره لا یدلّ علی ما حکم به الإمام علیه السّلام،لکن یعلم عند المتأمّل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الموجب للحرج هو اعتبار المباشرة فی المسح؛فهو الساقط دون أصل المسح،فیصیر نفی الحرج دلیلا علی سقوط اعتبار المباشرة فی المسح،فیمسح علی الإصبع المغطّی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أحال الإمام علیه السّلام استفادة مثل هذا الحکم إلی الکتاب، فکیف یحتاج نفی وجوب الغسل أو الوضوء عند الحرج الشدید المستفاد من ظاهر الآیة المذکورة،أو غیر ذلک من الأحکام التی یعرفها کلّ عارف باللسان من ظاهر القرآن،إلی ورود التفسیر بذلک من أهل البیت علیهم السّلام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من أنّ المصلّی أربعا فی السفر إن قرئت علیه آیة القصر وجب علیه الإعادة،و إلاّ فلا </w:t>
      </w:r>
      <w:r>
        <w:rPr>
          <w:rStyle w:val="FootnoteAnchor"/>
          <w:rtl w:val="true"/>
        </w:rPr>
        <w:footnoteReference w:id="461"/>
      </w:r>
      <w:r>
        <w:rPr>
          <w:rFonts w:ascii="IRNazanin" w:hAnsi="IRNazanin" w:eastAsia="IRNazanin"/>
          <w:color w:val="111111"/>
          <w:sz w:val="28"/>
          <w:sz w:val="28"/>
          <w:szCs w:val="28"/>
          <w:rtl w:val="true"/>
          <w:lang w:bidi="fa-IR"/>
        </w:rPr>
        <w:t>،و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قرئت علیه و فسّرت له</w:t>
      </w:r>
      <w:r>
        <w:rPr>
          <w:rFonts w:eastAsia="IRNazanin" w:cs="IRNazanin"/>
          <w:color w:val="111111"/>
          <w:sz w:val="28"/>
          <w:szCs w:val="28"/>
          <w:rtl w:val="true"/>
          <w:lang w:bidi="fa-IR"/>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بحکم أصالة الإطلاق فی باقی الروایات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من تفسیرها له بیان أنّ المراد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عَلَیْکُمْ جُناحٌ أَنْ تَقْصُرُوا </w:t>
      </w:r>
      <w:r>
        <w:rPr>
          <w:rStyle w:val="FootnoteAnchor"/>
          <w:rtl w:val="true"/>
        </w:rPr>
        <w:footnoteReference w:id="463"/>
      </w:r>
      <w:r>
        <w:rPr>
          <w:rFonts w:ascii="IRNazanin" w:hAnsi="IRNazanin" w:eastAsia="IRNazanin"/>
          <w:color w:val="111111"/>
          <w:sz w:val="28"/>
          <w:sz w:val="28"/>
          <w:szCs w:val="28"/>
          <w:rtl w:val="true"/>
          <w:lang w:bidi="fa-IR"/>
        </w:rPr>
        <w:t>بیان الترخیص فی أصل تشریع القصر و کونه مبنیّا علی التخفیف،فلا ینافی تعیّن القصر علی المسافر و عدم صحّة الإتمام منه، و مثل هذه المخالفة للظاهر یحتاج إلی التفسیر بلا شبهة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ذکر زرارة و محمّد بن مسلم للإمام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عَلَیْکُمْ جُناحٌ </w:t>
      </w:r>
      <w:r>
        <w:rPr>
          <w:rStyle w:val="FootnoteAnchor"/>
          <w:rtl w:val="true"/>
        </w:rPr>
        <w:footnoteReference w:id="464"/>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افعلوا،فأجاب علیه السّلام بأنّه من قبیل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حَجَّ الْبَیْتَ أَوِ اعْتَمَرَ فَلا جُناحَ عَلَیْهِ أَنْ یَطَّوَّفَ بِهِما </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تقریر الإمام علیه السّلام لهما فی التعرّض لاستفادة الأحکام من الکتاب و الدخل و التصرّف فی ظواهره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استشهاد الإمام علیه السّلام بآیات کثیرة،مثل الاستشهاد لحلّیة بعض النسوان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لَکُمْ ما وَراءَ ذلِکُمْ </w:t>
      </w:r>
      <w:r>
        <w:rPr>
          <w:rStyle w:val="FootnoteAnchor"/>
          <w:rtl w:val="true"/>
        </w:rPr>
        <w:footnoteReference w:id="466"/>
      </w:r>
      <w:r>
        <w:rPr>
          <w:rFonts w:ascii="IRNazanin" w:hAnsi="IRNazanin" w:eastAsia="IRNazanin"/>
          <w:color w:val="111111"/>
          <w:sz w:val="28"/>
          <w:sz w:val="28"/>
          <w:szCs w:val="28"/>
          <w:rtl w:val="true"/>
          <w:lang w:bidi="fa-IR"/>
        </w:rPr>
        <w:t xml:space="preserve">،و فی </w:t>
      </w:r>
      <w:bookmarkStart w:id="416" w:name="pg12977_114190"/>
    </w:p>
    <w:p>
      <w:pPr>
        <w:pStyle w:val="BookText"/>
        <w:rPr/>
      </w:pPr>
      <w:bookmarkEnd w:id="416"/>
      <w:r>
        <w:rPr>
          <w:rFonts w:ascii="Amiri" w:hAnsi="Amiri" w:eastAsia="Amiri" w:cs="Amiri"/>
          <w:color w:val="111111"/>
          <w:sz w:val="28"/>
          <w:sz w:val="28"/>
          <w:szCs w:val="28"/>
          <w:rtl w:val="true"/>
          <w:lang w:bidi="ar-SA"/>
        </w:rPr>
        <w:t>عدم جواز طلاق العبد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مَمْلُوکاً لا یَقْدِرُ عَلی شَیْءٍ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الاستشهاد لحلّیّة بعض الحیوانات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أَجِدُ فِی ما أُوحِیَ إِلَیَّ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468"/>
      </w:r>
      <w:r>
        <w:rPr>
          <w:rFonts w:ascii="IRNazanin" w:hAnsi="IRNazanin" w:eastAsia="IRNazanin"/>
          <w:color w:val="111111"/>
          <w:sz w:val="28"/>
          <w:sz w:val="28"/>
          <w:szCs w:val="28"/>
          <w:rtl w:val="true"/>
          <w:lang w:bidi="fa-IR"/>
        </w:rPr>
        <w:t>،إلی غیر ذلک ممّا لا یحصی</w:t>
      </w:r>
      <w:r>
        <w:rPr>
          <w:rFonts w:eastAsia="IRNazanin" w:cs="IRNazanin"/>
          <w:color w:val="111111"/>
          <w:sz w:val="28"/>
          <w:szCs w:val="28"/>
          <w:rtl w:val="true"/>
          <w:lang w:bidi="fa-IR"/>
        </w:rPr>
        <w:t>.</w:t>
      </w:r>
    </w:p>
    <w:p>
      <w:pPr>
        <w:pStyle w:val="Heading6"/>
        <w:numPr>
          <w:ilvl w:val="5"/>
          <w:numId w:val="1"/>
        </w:numPr>
        <w:rPr/>
      </w:pPr>
      <w:bookmarkStart w:id="417" w:name="__RefHeading___Toc5446757_3224264995"/>
      <w:bookmarkStart w:id="418" w:name="_Toc160"/>
      <w:bookmarkEnd w:id="417"/>
      <w:r>
        <w:rPr>
          <w:rtl w:val="true"/>
        </w:rPr>
        <w:t>الدلیل الثانی علی عدم حجّیة ظواهر الکتاب و الجواب عنه</w:t>
      </w:r>
      <w:r>
        <w:rPr>
          <w:rtl w:val="true"/>
        </w:rPr>
        <w:t>:</w:t>
      </w:r>
      <w:bookmarkEnd w:id="418"/>
    </w:p>
    <w:p>
      <w:pPr>
        <w:pStyle w:val="BookText"/>
        <w:rPr/>
      </w:pPr>
      <w:r>
        <w:rPr>
          <w:rFonts w:ascii="IRNazanin" w:hAnsi="IRNazanin" w:eastAsia="IRNazanin"/>
          <w:color w:val="111111"/>
          <w:sz w:val="28"/>
          <w:sz w:val="28"/>
          <w:szCs w:val="28"/>
          <w:rtl w:val="true"/>
          <w:lang w:bidi="fa-IR"/>
        </w:rPr>
        <w:t>الثانی من وجهی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نعلم بطروّ التقیید و التخصیص و التجوّز فی أکثر ظواهر الکتاب،و ذلک ممّا یسقطها عن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 بظواهر السنّة؛فإنّا نقطع بطروّ مخالفة الظاهر فی أکثرها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لا یوجب السقوط،و إنّما یوجب الفحص عمّا یوجب مخالفة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الإجمالیّ بوجود مخالفات الظواهر لا یرتفع أثره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وجوب التوقّف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بالفحص؛و لذا لو تردّد اللفظ بین معنیین،أو علم إجمالا بمخالفة أحد الظاهرین لظاهره </w:t>
      </w:r>
      <w:r>
        <w:rPr>
          <w:rStyle w:val="FootnoteAnchor"/>
          <w:rtl w:val="true"/>
        </w:rPr>
        <w:footnoteReference w:id="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العامّین من وجه و شبههما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التوقّف فیه و لو بعد الفحص</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شبهة ربما تورد علی من استدلّ علی وجوب الفحص </w:t>
      </w:r>
    </w:p>
    <w:p>
      <w:pPr>
        <w:pStyle w:val="BookText"/>
        <w:rPr/>
      </w:pPr>
      <w:r>
        <w:rPr>
          <w:rFonts w:ascii="IRNazanin" w:hAnsi="IRNazanin" w:eastAsia="IRNazanin"/>
          <w:color w:val="111111"/>
          <w:sz w:val="28"/>
          <w:sz w:val="28"/>
          <w:szCs w:val="28"/>
          <w:rtl w:val="true"/>
          <w:lang w:bidi="fa-IR"/>
        </w:rPr>
        <w:t>عن المخصّص فی العمومات بثبوت العلم الإجمالیّ بوجود المخصّصات؛ فإنّ العلم الإجمالیّ إمّا أن یبقی أثره و لو بعد العلم التفصیلیّ بوجود عدّة مخصّصات،و إمّا أن لا یبقی،فإن بقی فلا یرتفع بالفحص،و إلاّ فلا مقتضی للفحص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تندفع هذه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المعلوم إجمالا هو وجود مخالفات کثیرة فی الواقع فیما بأیدینا بحیث تظهر تفصیلا بعد الفحص،و أمّا وجود مخالفات فی الواقع زائدا علی ذلک فغیر معلوم،فحینئذ لا یجوز </w:t>
      </w:r>
      <w:r>
        <w:rPr>
          <w:rStyle w:val="FootnoteAnchor"/>
          <w:rtl w:val="true"/>
        </w:rPr>
        <w:footnoteReference w:id="470"/>
      </w:r>
      <w:r>
        <w:rPr>
          <w:rFonts w:ascii="IRNazanin" w:hAnsi="IRNazanin" w:eastAsia="IRNazanin"/>
          <w:color w:val="111111"/>
          <w:sz w:val="28"/>
          <w:sz w:val="28"/>
          <w:szCs w:val="28"/>
          <w:rtl w:val="true"/>
          <w:lang w:bidi="fa-IR"/>
        </w:rPr>
        <w:t xml:space="preserve">العمل قبل الفحص؛لاحتمال وجود مخصّص یظهر بالفحص </w:t>
      </w:r>
      <w:r>
        <w:rPr>
          <w:rStyle w:val="FootnoteAnchor"/>
          <w:rtl w:val="true"/>
        </w:rPr>
        <w:footnoteReference w:id="471"/>
      </w:r>
      <w:r>
        <w:rPr>
          <w:rFonts w:ascii="IRNazanin" w:hAnsi="IRNazanin" w:eastAsia="IRNazanin"/>
          <w:color w:val="111111"/>
          <w:sz w:val="28"/>
          <w:sz w:val="28"/>
          <w:szCs w:val="28"/>
          <w:rtl w:val="true"/>
          <w:lang w:bidi="fa-IR"/>
        </w:rPr>
        <w:t xml:space="preserve">،و لا یمکن </w:t>
      </w:r>
      <w:r>
        <w:rPr>
          <w:rStyle w:val="FootnoteAnchor"/>
          <w:rtl w:val="true"/>
        </w:rPr>
        <w:footnoteReference w:id="472"/>
      </w:r>
      <w:r>
        <w:rPr>
          <w:rFonts w:ascii="IRNazanin" w:hAnsi="IRNazanin" w:eastAsia="IRNazanin"/>
          <w:color w:val="111111"/>
          <w:sz w:val="28"/>
          <w:sz w:val="28"/>
          <w:szCs w:val="28"/>
          <w:rtl w:val="true"/>
          <w:lang w:bidi="fa-IR"/>
        </w:rPr>
        <w:t>نفیه بالأصل؛لأجل العلم الإجمالیّ،و أمّا بعد الفحص فاحتمال وجود المخصّص فی الواقع ینفی بالأصل السالم عن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المنصف لا یجد فرقا بین ظواهر </w:t>
      </w:r>
      <w:r>
        <w:rPr>
          <w:rStyle w:val="FootnoteAnchor"/>
          <w:rtl w:val="true"/>
        </w:rPr>
        <w:footnoteReference w:id="473"/>
      </w:r>
      <w:r>
        <w:rPr>
          <w:rFonts w:ascii="IRNazanin" w:hAnsi="IRNazanin" w:eastAsia="IRNazanin"/>
          <w:color w:val="111111"/>
          <w:sz w:val="28"/>
          <w:sz w:val="28"/>
          <w:szCs w:val="28"/>
          <w:rtl w:val="true"/>
          <w:lang w:bidi="fa-IR"/>
        </w:rPr>
        <w:t xml:space="preserve">الکتاب و السنّة، لا </w:t>
      </w:r>
      <w:r>
        <w:rPr>
          <w:rStyle w:val="FootnoteAnchor"/>
          <w:rtl w:val="true"/>
        </w:rPr>
        <w:footnoteReference w:id="474"/>
      </w:r>
      <w:r>
        <w:rPr>
          <w:rFonts w:ascii="IRNazanin" w:hAnsi="IRNazanin" w:eastAsia="IRNazanin"/>
          <w:color w:val="111111"/>
          <w:sz w:val="28"/>
          <w:sz w:val="28"/>
          <w:szCs w:val="28"/>
          <w:rtl w:val="true"/>
          <w:lang w:bidi="fa-IR"/>
        </w:rPr>
        <w:t xml:space="preserve">قبل الفحص و لا </w:t>
      </w:r>
      <w:r>
        <w:rPr>
          <w:rStyle w:val="FootnoteAnchor"/>
          <w:rtl w:val="true"/>
        </w:rPr>
        <w:footnoteReference w:id="475"/>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إنّک قد عرفت </w:t>
      </w:r>
      <w:r>
        <w:rPr>
          <w:rStyle w:val="FootnoteAnchor"/>
          <w:rtl w:val="true"/>
        </w:rPr>
        <w:footnoteReference w:id="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العمدة فی منع الأخباریّین من العمل بظواهر الکتاب هی الأخبار المانعة عن تفسیر القرآن،إلاّ أنّه یظهر من </w:t>
      </w:r>
    </w:p>
    <w:p>
      <w:pPr>
        <w:pStyle w:val="BookText"/>
        <w:rPr/>
      </w:pPr>
      <w:r>
        <w:rPr>
          <w:rFonts w:ascii="IRNazanin" w:hAnsi="IRNazanin" w:eastAsia="IRNazanin"/>
          <w:color w:val="111111"/>
          <w:sz w:val="28"/>
          <w:sz w:val="28"/>
          <w:szCs w:val="28"/>
          <w:rtl w:val="true"/>
          <w:lang w:bidi="fa-IR"/>
        </w:rPr>
        <w:t>کلام السیّد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الوافیة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المنع عن العمل بظواهر الکتاب هو مقتضی الأصل،و العمل بظواهر الأخبار خرج بالدلیل؛حیث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إثبات أنّ فی القرآن محکمات و ظواهر،و أنّه ممّا لا یصحّ إنکاره،و ینبغی النزاع فی جواز العمل بالظواهر،و أنّ الحقّ مع الأخباریّین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خلاصته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التوضیح یظهر بعد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بقاء التکلیف ممّا لا شکّ فیه،و لزوم العمل بمقتضاه موقوف علی الإفهام،و هو یکون فی الأکثر بالقول،و دلالته فی الأکثر تکون ظنّیّة؛إذ مدار الإفهام علی إلقاء الحقائق مجرّدة عن القرینة و علی ما یفهمون،و إن کان احتمال التجوّز و خفاء القرینة باقیا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المتشابه کما یکون فی أصل اللغة کذلک یکون بحسب الاصطلاح،مثل أن یقول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استعمل العمومات،و کثیرا ما ارید الخصوص من غیر قرینة،و ربما اخاطب أحدا و ارید غیره،و نحو ذلک، فحینئذ لا یجوز لنا القطع بمراده،و لا یحصل لنا الظنّ به،و القرآن من هذا القبیل؛لأنّه نزل علی اصطلاح خاصّ،لا أقول علی وضع جدید، بل أعمّ من أن یکون ذلک أو یکون فیه مجازات لا یعرفها العرب، و مع ذلک قد وجدت فیه کلمات لا یعلم المراد منها کالمقطّعات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آیاتٌ مُحْکَماتٌ هُنَّ أُمُّ الْکِتابِ وَ أُخَرُ 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478"/>
      </w:r>
      <w:r>
        <w:rPr>
          <w:rFonts w:ascii="IRNazanin" w:hAnsi="IRNazanin" w:eastAsia="IRNazanin"/>
          <w:color w:val="111111"/>
          <w:sz w:val="28"/>
          <w:sz w:val="28"/>
          <w:szCs w:val="28"/>
          <w:rtl w:val="true"/>
          <w:lang w:bidi="fa-IR"/>
        </w:rPr>
        <w:t xml:space="preserve">،ذمّ علی اتّباع المتشابه،و لم یبیّن لهم المتشابهات </w:t>
      </w:r>
    </w:p>
    <w:p>
      <w:pPr>
        <w:pStyle w:val="BookText"/>
        <w:rPr/>
      </w:pPr>
      <w:r>
        <w:rPr>
          <w:rFonts w:ascii="IRNazanin" w:hAnsi="IRNazanin" w:eastAsia="IRNazanin"/>
          <w:color w:val="111111"/>
          <w:sz w:val="28"/>
          <w:sz w:val="28"/>
          <w:szCs w:val="28"/>
          <w:rtl w:val="true"/>
          <w:lang w:bidi="fa-IR"/>
        </w:rPr>
        <w:t>ما هی؟و کم هی؟بل لم یبیّن لهم المراد من هذا اللفظ،و جعل البیان موکولا إلی خلفائه،و النبیّ صلّی اللّه علیه و آله نهی الناس عن التفسیر بالآراء، و جعلوا الأصل عدم العمل بالظنّ إلاّ ما أخرجه الدلیل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تمهّدت </w:t>
      </w:r>
      <w:r>
        <w:rPr>
          <w:rStyle w:val="FootnoteAnchor"/>
          <w:rtl w:val="true"/>
        </w:rPr>
        <w:footnoteReference w:id="479"/>
      </w:r>
      <w:r>
        <w:rPr>
          <w:rFonts w:ascii="IRNazanin" w:hAnsi="IRNazanin" w:eastAsia="IRNazanin"/>
          <w:color w:val="111111"/>
          <w:sz w:val="28"/>
          <w:sz w:val="28"/>
          <w:szCs w:val="28"/>
          <w:rtl w:val="true"/>
          <w:lang w:bidi="fa-IR"/>
        </w:rPr>
        <w:t>المقدّمتان،فنقول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الاولی العمل بالظواهر، و مقتضی الثانیة عدم العمل؛لأنّ ما صار متشابها لا یحصل الظنّ بالمراد منه،و ما بقی ظهوره مندرج فی الأصل المذکور،فنطالب بدلیل جواز العمل؛لأنّ الأصل الثابت عند الخاصّة هو عدم جواز العمل بالظنّ إلاّ ما أخرجه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الظاهر من المحکم،و وجوب العمل بالمحکم إجماعیّ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نمنع الصغری،إذ المعلوم عندنا مساواة المحکم للنصّ،و أمّا شموله للظاهر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ذکرتم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لدلّ علی عدم جواز العمل بظواهر الأخبار أیضا؛لما فیها من الناسخ و المنسوخ،و المحکم و المتشابه، و العامّ </w:t>
      </w:r>
      <w:r>
        <w:rPr>
          <w:rStyle w:val="FootnoteAnchor"/>
          <w:rtl w:val="true"/>
        </w:rPr>
        <w:footnoteReference w:id="480"/>
      </w:r>
      <w:r>
        <w:rPr>
          <w:rFonts w:ascii="IRNazanin" w:hAnsi="IRNazanin" w:eastAsia="IRNazanin"/>
          <w:color w:val="111111"/>
          <w:sz w:val="28"/>
          <w:sz w:val="28"/>
          <w:szCs w:val="28"/>
          <w:rtl w:val="true"/>
          <w:lang w:bidi="fa-IR"/>
        </w:rPr>
        <w:t xml:space="preserve">المخصّص،و المطلق </w:t>
      </w:r>
      <w:r>
        <w:rPr>
          <w:rStyle w:val="FootnoteAnchor"/>
          <w:rtl w:val="true"/>
        </w:rPr>
        <w:footnoteReference w:id="481"/>
      </w:r>
      <w:r>
        <w:rPr>
          <w:rFonts w:ascii="Amiri" w:hAnsi="Amiri" w:eastAsia="Amiri" w:cs="Amiri"/>
          <w:color w:val="111111"/>
          <w:sz w:val="28"/>
          <w:sz w:val="28"/>
          <w:szCs w:val="28"/>
          <w:rtl w:val="true"/>
          <w:lang w:bidi="ar-SA"/>
        </w:rPr>
        <w:t>المقیّد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لو خلّینا و أنفسنا،لعملنا بظواهر الکتاب و السنّة مع عدم نصب القرینة علی خلافها،و لکن منعنا من ذلک فی القرآن؛ للمنع من اتّباع المتشابه و عدم بیان حقیقته،و منعنا رسول اللّه صلّی اللّه علیه و آله عن تفسیر القرآن،و لا ریب فی أنّ غیر النصّ محتاج إلی التفسیر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 اللّه تعالی علی اتّباع الظنّ و کذا الرسول صلّی اللّه علیه و آله و أوصیاؤه علیهم السّلام،و لم یستثنوا ظواهر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الأخبار،فقد سبق أنّ أصحاب الأئمّة علیهم السّلام کانوا عاملین بأخبار الآحاد </w:t>
      </w:r>
      <w:r>
        <w:rPr>
          <w:rStyle w:val="FootnoteAnchor"/>
          <w:rtl w:val="true"/>
        </w:rPr>
        <w:footnoteReference w:id="482"/>
      </w:r>
      <w:r>
        <w:rPr>
          <w:rFonts w:ascii="IRNazanin" w:hAnsi="IRNazanin" w:eastAsia="IRNazanin"/>
          <w:color w:val="111111"/>
          <w:sz w:val="28"/>
          <w:sz w:val="28"/>
          <w:szCs w:val="28"/>
          <w:rtl w:val="true"/>
          <w:lang w:bidi="fa-IR"/>
        </w:rPr>
        <w:t xml:space="preserve">من غیر فحص عن مخصّص أو معارض ناسخ أو مقیّد،و لو لا هذا لکنّا فی العمل بظواهر الأخبار أیضا من المتوقّفین </w:t>
      </w:r>
      <w:r>
        <w:rPr>
          <w:rStyle w:val="FootnoteAnchor"/>
          <w:rtl w:val="true"/>
        </w:rPr>
        <w:footnoteReference w:id="48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مواقع للنظر،سیّما فی جعل العمل بظواهر الأخبار من جهة قیام الإجماع العملیّ،و لولاه لتوقّف فی العمل بها أیضا؛إذ لا یخفی أنّ عمل أصحاب الأئمّة علیهم السّلام بظواهر الأخبار لم یکن لدلیل شرعیّ خاصّ وصل إلیهم من أئمّتهم،و إنّما کان أمرا مرکوزا فی أذهانهم بالنسبة إلی مطلق الکلام الصادر من المتکلّم لأجل الإفادة و الاستفادة، سواء کان من الشارع أم غیره،و هذا المعنی جار فی القرآن أیضا علی تقدیر کونه ملقی للإفادة و الاستفادة،علی ما هو الأصل فی خطاب کلّ متکلّم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نعم،الأصل الأوّلی هی حرمة العمل بالظنّ،علی ما عرفت مفصّلا،لکنّ الخارج منه لیس خصوص ظواهر الأخبار حتّی یبقی الباقی،بل الخارج منه هو مطلق الظهور الناشئ عن کلام کلّ متکلّم القی إلی غیره للإفهام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العلم بکون الظواهر من المحکمات و احتمال کونها من المتشابهات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المتشابه لا یصدق علی الظواهر لا لغة و لا عرفا،بل یصحّ سلبه عنه،فالنهی الوارد عن اتّباع المتشابه لا یمنع؛کما اعترف به فی المقدّمة الاولی،من أنّ مقتضی القاعدة وجوب العمل بالظواهر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احتمال کونها من المتشابه لا ینفع فی الخروج عن الأصل الذی اعترف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اعتبار العلم بکونها من المحکم هدم لما اعترف به من أصالة حجّیة الظواهر؛لأنّ مقتضی ذلک الأصل جواز العمل إلاّ أن یعلم کونه </w:t>
      </w:r>
      <w:r>
        <w:rPr>
          <w:rStyle w:val="FootnoteAnchor"/>
          <w:rtl w:val="true"/>
        </w:rPr>
        <w:footnoteReference w:id="484"/>
      </w:r>
      <w:r>
        <w:rPr>
          <w:rFonts w:ascii="IRNazanin" w:hAnsi="IRNazanin" w:eastAsia="IRNazanin"/>
          <w:color w:val="111111"/>
          <w:sz w:val="28"/>
          <w:sz w:val="28"/>
          <w:szCs w:val="28"/>
          <w:rtl w:val="true"/>
          <w:lang w:bidi="fa-IR"/>
        </w:rPr>
        <w:t>ممّا نهی الشارع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 ما اعترف به قدّس سرّه،من أنّا لو خلّینا و أنفسنا لعملنا بظواهر الکتاب،و لا بدّ للمانع من إثبات المنع</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إنّک قد عرفت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خلاف الأخباریّین فی ظواهر الکتاب لیس فی الوجه الذی ذکرنا،من اعتبار الظواهر اللفظیّة فی الکلمات الصادرة لإفادة المطالب </w:t>
      </w:r>
      <w:r>
        <w:rPr>
          <w:rStyle w:val="FootnoteAnchor"/>
          <w:rtl w:val="true"/>
        </w:rPr>
        <w:footnoteReference w:id="485"/>
      </w:r>
      <w:r>
        <w:rPr>
          <w:rFonts w:ascii="IRNazanin" w:hAnsi="IRNazanin" w:eastAsia="IRNazanin"/>
          <w:color w:val="111111"/>
          <w:sz w:val="28"/>
          <w:sz w:val="28"/>
          <w:szCs w:val="28"/>
          <w:rtl w:val="true"/>
          <w:lang w:bidi="fa-IR"/>
        </w:rPr>
        <w:t xml:space="preserve">و استفادتها </w:t>
      </w:r>
      <w:r>
        <w:rPr>
          <w:rStyle w:val="FootnoteAnchor"/>
          <w:rtl w:val="true"/>
        </w:rPr>
        <w:footnoteReference w:id="486"/>
      </w:r>
      <w:r>
        <w:rPr>
          <w:rFonts w:ascii="IRNazanin" w:hAnsi="IRNazanin" w:eastAsia="IRNazanin"/>
          <w:color w:val="111111"/>
          <w:sz w:val="28"/>
          <w:sz w:val="28"/>
          <w:szCs w:val="28"/>
          <w:rtl w:val="true"/>
          <w:lang w:bidi="fa-IR"/>
        </w:rPr>
        <w:t xml:space="preserve">،و إنّما یکون خلافهم فی أنّ خطابات الکتاب لم یقصد بها استفادة المراد من أنفسها،بل بضمیمة تفسیر أهل الذکر،أو أنّها لیست بظواهر بعد احتمال کون محکمها من المتشابه،کما عرفت من کلام السیّد المتقدّم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bookmarkStart w:id="419" w:name="pg12977_114196"/>
    </w:p>
    <w:p>
      <w:pPr>
        <w:pStyle w:val="BookText"/>
        <w:rPr/>
      </w:pPr>
      <w:bookmarkEnd w:id="419"/>
      <w:r>
        <w:rPr>
          <w:rFonts w:ascii="IRNazanin" w:hAnsi="IRNazanin" w:eastAsia="IRNazanin"/>
          <w:color w:val="111111"/>
          <w:sz w:val="28"/>
          <w:sz w:val="28"/>
          <w:szCs w:val="28"/>
          <w:rtl w:val="true"/>
          <w:lang w:bidi="fa-IR"/>
        </w:rPr>
        <w:t>و ینبغی التنبیه علی امور</w:t>
      </w:r>
      <w:r>
        <w:rPr>
          <w:rFonts w:eastAsia="IRNazanin" w:cs="IRNazanin"/>
          <w:color w:val="111111"/>
          <w:sz w:val="28"/>
          <w:szCs w:val="28"/>
          <w:rtl w:val="true"/>
          <w:lang w:bidi="fa-IR"/>
        </w:rPr>
        <w:t>:</w:t>
      </w:r>
    </w:p>
    <w:p>
      <w:pPr>
        <w:pStyle w:val="Heading6"/>
        <w:numPr>
          <w:ilvl w:val="5"/>
          <w:numId w:val="1"/>
        </w:numPr>
        <w:rPr/>
      </w:pPr>
      <w:bookmarkStart w:id="420" w:name="__RefHeading___Toc5446759_3224264995"/>
      <w:bookmarkStart w:id="421" w:name="_Toc161"/>
      <w:bookmarkEnd w:id="420"/>
      <w:r>
        <w:rPr>
          <w:rtl w:val="true"/>
        </w:rPr>
        <w:t>الأمر الأوّل</w:t>
      </w:r>
      <w:r>
        <w:rPr>
          <w:rtl w:val="true"/>
        </w:rPr>
        <w:t xml:space="preserve">: </w:t>
      </w:r>
      <w:r>
        <w:rPr>
          <w:rtl w:val="true"/>
        </w:rPr>
        <w:t>توهّم عدم الثمرة فی الخلاف فی حجّیة ظواهر الکتاب</w:t>
      </w:r>
      <w:bookmarkEnd w:id="421"/>
    </w:p>
    <w:p>
      <w:pPr>
        <w:pStyle w:val="BookText"/>
        <w:rPr/>
      </w:pPr>
      <w:r>
        <w:rPr>
          <w:rFonts w:ascii="Amiri" w:hAnsi="Amiri" w:eastAsia="Amiri" w:cs="Amiri"/>
          <w:color w:val="111111"/>
          <w:sz w:val="28"/>
          <w:sz w:val="28"/>
          <w:szCs w:val="28"/>
          <w:rtl w:val="true"/>
          <w:lang w:bidi="ar-SA"/>
        </w:rPr>
        <w:t xml:space="preserve">أنّه ربما یتوهّم </w:t>
      </w:r>
      <w:r>
        <w:rPr>
          <w:rStyle w:val="FootnoteAnchor"/>
          <w:rtl w:val="true"/>
        </w:rPr>
        <w:footnoteReference w:id="488"/>
      </w:r>
      <w:r>
        <w:rPr>
          <w:rFonts w:ascii="IRNazanin" w:hAnsi="IRNazanin" w:eastAsia="IRNazanin"/>
          <w:color w:val="111111"/>
          <w:sz w:val="28"/>
          <w:sz w:val="28"/>
          <w:szCs w:val="28"/>
          <w:rtl w:val="true"/>
          <w:lang w:bidi="fa-IR"/>
        </w:rPr>
        <w:t xml:space="preserve">بعض </w:t>
      </w:r>
      <w:r>
        <w:rPr>
          <w:rStyle w:val="FootnoteAnchor"/>
          <w:rtl w:val="true"/>
        </w:rPr>
        <w:footnoteReference w:id="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الخلاف فی اعتبار ظواهر الکتاب قلیل الجدوی؛إذ لیست آیة متعلّقة بالفروع أو الاصول </w:t>
      </w:r>
      <w:r>
        <w:rPr>
          <w:rStyle w:val="FootnoteAnchor"/>
          <w:rtl w:val="true"/>
        </w:rPr>
        <w:footnoteReference w:id="490"/>
      </w:r>
      <w:r>
        <w:rPr>
          <w:rFonts w:ascii="Amiri" w:hAnsi="Amiri" w:eastAsia="Amiri" w:cs="Amiri"/>
          <w:color w:val="111111"/>
          <w:sz w:val="28"/>
          <w:sz w:val="28"/>
          <w:szCs w:val="28"/>
          <w:rtl w:val="true"/>
          <w:lang w:bidi="ar-SA"/>
        </w:rPr>
        <w:t xml:space="preserve">إلاّ و </w:t>
      </w:r>
      <w:r>
        <w:rPr>
          <w:rStyle w:val="FootnoteAnchor"/>
          <w:rtl w:val="true"/>
        </w:rPr>
        <w:footnoteReference w:id="491"/>
      </w:r>
      <w:r>
        <w:rPr>
          <w:rFonts w:ascii="IRNazanin" w:hAnsi="IRNazanin" w:eastAsia="IRNazanin"/>
          <w:color w:val="111111"/>
          <w:sz w:val="28"/>
          <w:sz w:val="28"/>
          <w:szCs w:val="28"/>
          <w:rtl w:val="true"/>
          <w:lang w:bidi="fa-IR"/>
        </w:rPr>
        <w:t>ورد فی بیانها أو فی الحکم الموافق لها خبر أو أخبار کثیرة،بل انعقد الإجماع علی أکثرها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جلّ آیات الاصول و الفروع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تعلّق الحکم فیها بامور مجملة لا یمکن العمل بها إلاّ بعد أخذ تفصیلها من الأخبار </w:t>
      </w:r>
      <w:r>
        <w:rPr>
          <w:rStyle w:val="FootnoteAnchor"/>
          <w:rtl w:val="true"/>
        </w:rPr>
        <w:footnoteReference w:id="49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422" w:name="__RefHeading___Toc5446761_3224264995"/>
      <w:bookmarkStart w:id="423" w:name="_Toc162"/>
      <w:bookmarkEnd w:id="422"/>
      <w:r>
        <w:rPr>
          <w:rtl w:val="true"/>
        </w:rPr>
        <w:t>الجواب عن التوهّم المذکور</w:t>
      </w:r>
      <w:r>
        <w:rPr>
          <w:rtl w:val="true"/>
        </w:rPr>
        <w:t>:</w:t>
      </w:r>
      <w:bookmarkEnd w:id="42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لعلّه قصّر نظره علی </w:t>
      </w:r>
      <w:r>
        <w:rPr>
          <w:rStyle w:val="FootnoteAnchor"/>
          <w:rtl w:val="true"/>
        </w:rPr>
        <w:footnoteReference w:id="493"/>
      </w:r>
      <w:r>
        <w:rPr>
          <w:rFonts w:ascii="IRNazanin" w:hAnsi="IRNazanin" w:eastAsia="IRNazanin"/>
          <w:color w:val="111111"/>
          <w:sz w:val="28"/>
          <w:sz w:val="28"/>
          <w:szCs w:val="28"/>
          <w:rtl w:val="true"/>
          <w:lang w:bidi="fa-IR"/>
        </w:rPr>
        <w:t>الآیات الواردة فی العبادات؛ فإنّ أغلبها من قبیل ما ذکره،و إلاّ فالإطلاقات الواردة فی المعاملات ممّا یتمسّک بها فی الفروع الغیر المنصوصة أو المنصوصة بالنصوص المتکافئة،کثیرة جدّا،مثل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Style w:val="FootnoteAnchor"/>
          <w:rtl w:val="true"/>
        </w:rPr>
        <w:footnoteReference w:id="494"/>
      </w:r>
      <w:r>
        <w:rPr>
          <w:rFonts w:ascii="Amiri" w:hAnsi="Amiri" w:eastAsia="Amiri" w:cs="Amiri"/>
          <w:color w:val="111111"/>
          <w:sz w:val="28"/>
          <w:sz w:val="28"/>
          <w:szCs w:val="28"/>
          <w:rtl w:val="true"/>
          <w:lang w:bidi="ar-SA"/>
        </w:rPr>
        <w:t xml:space="preserve">،و أَحَلَّ اللّهُ الْبَیْعَ </w:t>
      </w:r>
      <w:r>
        <w:rPr>
          <w:rStyle w:val="FootnoteAnchor"/>
          <w:rtl w:val="true"/>
        </w:rPr>
        <w:footnoteReference w:id="49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تِجارَةً عَنْ تَراضٍ </w:t>
      </w:r>
      <w:r>
        <w:rPr>
          <w:rStyle w:val="FootnoteAnchor"/>
          <w:rtl w:val="true"/>
        </w:rPr>
        <w:footnoteReference w:id="496"/>
      </w:r>
      <w:r>
        <w:rPr>
          <w:rFonts w:ascii="Amiri" w:hAnsi="Amiri" w:eastAsia="Amiri" w:cs="Amiri"/>
          <w:color w:val="111111"/>
          <w:sz w:val="28"/>
          <w:sz w:val="28"/>
          <w:szCs w:val="28"/>
          <w:rtl w:val="true"/>
          <w:lang w:bidi="ar-SA"/>
        </w:rPr>
        <w:t xml:space="preserve">،و فَرِهانٌ مَقْبُوضَةٌ </w:t>
      </w:r>
      <w:r>
        <w:rPr>
          <w:rStyle w:val="FootnoteAnchor"/>
          <w:rtl w:val="true"/>
        </w:rPr>
        <w:footnoteReference w:id="497"/>
      </w:r>
      <w:r>
        <w:rPr>
          <w:rFonts w:ascii="Amiri" w:hAnsi="Amiri" w:eastAsia="Amiri" w:cs="Amiri"/>
          <w:color w:val="111111"/>
          <w:sz w:val="28"/>
          <w:sz w:val="28"/>
          <w:szCs w:val="28"/>
          <w:rtl w:val="true"/>
          <w:lang w:bidi="ar-SA"/>
        </w:rPr>
        <w:t xml:space="preserve">،و لا تُؤْتُوا السُّفَهاءَ أَمْوالَکُمُ </w:t>
      </w:r>
      <w:r>
        <w:rPr>
          <w:rStyle w:val="FootnoteAnchor"/>
          <w:rtl w:val="true"/>
        </w:rPr>
        <w:footnoteReference w:id="498"/>
      </w:r>
      <w:r>
        <w:rPr>
          <w:rFonts w:ascii="Amiri" w:hAnsi="Amiri" w:eastAsia="Amiri" w:cs="Amiri"/>
          <w:color w:val="111111"/>
          <w:sz w:val="28"/>
          <w:sz w:val="28"/>
          <w:szCs w:val="28"/>
          <w:rtl w:val="true"/>
          <w:lang w:bidi="ar-SA"/>
        </w:rPr>
        <w:t xml:space="preserve">،و لا تَقْرَبُوا مالَ الْیَتِیمِ </w:t>
      </w:r>
      <w:r>
        <w:rPr>
          <w:rStyle w:val="FootnoteAnchor"/>
          <w:rtl w:val="true"/>
        </w:rPr>
        <w:footnoteReference w:id="499"/>
      </w:r>
      <w:r>
        <w:rPr>
          <w:rFonts w:ascii="Amiri" w:hAnsi="Amiri" w:eastAsia="Amiri" w:cs="Amiri"/>
          <w:color w:val="111111"/>
          <w:sz w:val="28"/>
          <w:sz w:val="28"/>
          <w:szCs w:val="28"/>
          <w:rtl w:val="true"/>
          <w:lang w:bidi="ar-SA"/>
        </w:rPr>
        <w:t xml:space="preserve">،و أُحِلَّ لَکُمْ ما وَراءَ ذلِکُمْ </w:t>
      </w:r>
      <w:r>
        <w:rPr>
          <w:rStyle w:val="FootnoteAnchor"/>
          <w:rtl w:val="true"/>
        </w:rPr>
        <w:footnoteReference w:id="500"/>
      </w:r>
      <w:r>
        <w:rPr>
          <w:rFonts w:ascii="Amiri" w:hAnsi="Amiri" w:eastAsia="Amiri" w:cs="Amiri"/>
          <w:color w:val="111111"/>
          <w:sz w:val="28"/>
          <w:sz w:val="28"/>
          <w:szCs w:val="28"/>
          <w:rtl w:val="true"/>
          <w:lang w:bidi="ar-SA"/>
        </w:rPr>
        <w:t xml:space="preserve">،و إِنْ جاءَکُمْ فاسِقٌ بِنَبَإٍ فَتَبَیَّنُوا </w:t>
      </w:r>
      <w:r>
        <w:rPr>
          <w:rStyle w:val="FootnoteAnchor"/>
          <w:rtl w:val="true"/>
        </w:rPr>
        <w:footnoteReference w:id="501"/>
      </w:r>
      <w:r>
        <w:rPr>
          <w:rFonts w:ascii="Amiri" w:hAnsi="Amiri" w:eastAsia="Amiri" w:cs="Amiri"/>
          <w:color w:val="111111"/>
          <w:sz w:val="28"/>
          <w:sz w:val="28"/>
          <w:szCs w:val="28"/>
          <w:rtl w:val="true"/>
          <w:lang w:bidi="ar-SA"/>
        </w:rPr>
        <w:t xml:space="preserve">،و فَلَوْ لا نَفَرَ مِنْ کُلِّ فِرْقَةٍ </w:t>
      </w:r>
      <w:r>
        <w:rPr>
          <w:rStyle w:val="FootnoteAnchor"/>
          <w:rtl w:val="true"/>
        </w:rPr>
        <w:footnoteReference w:id="502"/>
      </w:r>
      <w:r>
        <w:rPr>
          <w:rFonts w:ascii="Amiri" w:hAnsi="Amiri" w:eastAsia="Amiri" w:cs="Amiri"/>
          <w:color w:val="111111"/>
          <w:sz w:val="28"/>
          <w:sz w:val="28"/>
          <w:szCs w:val="28"/>
          <w:rtl w:val="true"/>
          <w:lang w:bidi="ar-SA"/>
        </w:rPr>
        <w:t xml:space="preserve">،و فَسْئَلُوا أَهْلَ الذِّکْرِ </w:t>
      </w:r>
      <w:r>
        <w:rPr>
          <w:rStyle w:val="FootnoteAnchor"/>
          <w:rtl w:val="true"/>
        </w:rPr>
        <w:footnoteReference w:id="503"/>
      </w:r>
      <w:r>
        <w:rPr>
          <w:rFonts w:ascii="Amiri" w:hAnsi="Amiri" w:eastAsia="Amiri" w:cs="Amiri"/>
          <w:color w:val="111111"/>
          <w:sz w:val="28"/>
          <w:sz w:val="28"/>
          <w:szCs w:val="28"/>
          <w:rtl w:val="true"/>
          <w:lang w:bidi="ar-SA"/>
        </w:rPr>
        <w:t xml:space="preserve">،و عَبْداً مَمْلُوکاً لا یَقْدِرُ عَلی شَیْءٍ </w:t>
      </w:r>
      <w:r>
        <w:rPr>
          <w:rStyle w:val="FootnoteAnchor"/>
          <w:rtl w:val="true"/>
        </w:rPr>
        <w:footnoteReference w:id="504"/>
      </w:r>
      <w:r>
        <w:rPr>
          <w:rFonts w:ascii="Amiri" w:hAnsi="Amiri" w:eastAsia="Amiri" w:cs="Amiri"/>
          <w:color w:val="111111"/>
          <w:sz w:val="28"/>
          <w:sz w:val="28"/>
          <w:szCs w:val="28"/>
          <w:rtl w:val="true"/>
          <w:lang w:bidi="ar-SA"/>
        </w:rPr>
        <w:t xml:space="preserve">،و ما عَلَی الْمُحْسِنِینَ مِنْ سَبِیلٍ </w:t>
      </w:r>
      <w:r>
        <w:rPr>
          <w:rStyle w:val="FootnoteAnchor"/>
          <w:rtl w:val="true"/>
        </w:rPr>
        <w:footnoteReference w:id="505"/>
      </w:r>
      <w:r>
        <w:rPr>
          <w:rFonts w:ascii="IRNazanin" w:hAnsi="IRNazanin" w:eastAsia="IRNazanin"/>
          <w:color w:val="111111"/>
          <w:sz w:val="28"/>
          <w:sz w:val="28"/>
          <w:szCs w:val="28"/>
          <w:rtl w:val="true"/>
          <w:lang w:bidi="fa-IR"/>
        </w:rPr>
        <w:t>،و غیر ذلک ممّا لا یحصی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 فی العبادات أیضا کثیرة،مثل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الْمُشْرِکُونَ نَجَسٌ فَلا یَقْرَبُوا الْمَسْجِدَ الْحَرامَ </w:t>
      </w:r>
      <w:r>
        <w:rPr>
          <w:rStyle w:val="FootnoteAnchor"/>
          <w:rtl w:val="true"/>
        </w:rPr>
        <w:footnoteReference w:id="506"/>
      </w:r>
      <w:r>
        <w:rPr>
          <w:rFonts w:ascii="IRNazanin" w:hAnsi="IRNazanin" w:eastAsia="IRNazanin"/>
          <w:color w:val="111111"/>
          <w:sz w:val="28"/>
          <w:sz w:val="28"/>
          <w:szCs w:val="28"/>
          <w:rtl w:val="true"/>
          <w:lang w:bidi="fa-IR"/>
        </w:rPr>
        <w:t xml:space="preserve">،و آیتی </w:t>
      </w:r>
      <w:r>
        <w:rPr>
          <w:rStyle w:val="FootnoteAnchor"/>
          <w:rtl w:val="true"/>
        </w:rPr>
        <w:footnoteReference w:id="507"/>
      </w:r>
      <w:r>
        <w:rPr>
          <w:rFonts w:ascii="IRNazanin" w:hAnsi="IRNazanin" w:eastAsia="IRNazanin"/>
          <w:color w:val="111111"/>
          <w:sz w:val="28"/>
          <w:sz w:val="28"/>
          <w:szCs w:val="28"/>
          <w:rtl w:val="true"/>
          <w:lang w:bidi="fa-IR"/>
        </w:rPr>
        <w:t xml:space="preserve">التیمّم و الوضوء و الغسل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bookmarkStart w:id="424" w:name="pg12977_114198"/>
    </w:p>
    <w:p>
      <w:pPr>
        <w:pStyle w:val="BookText"/>
        <w:rPr/>
      </w:pPr>
      <w:bookmarkEnd w:id="424"/>
      <w:r>
        <w:rPr>
          <w:rFonts w:ascii="IRNazanin" w:hAnsi="IRNazanin" w:eastAsia="IRNazanin"/>
          <w:color w:val="111111"/>
          <w:sz w:val="28"/>
          <w:sz w:val="28"/>
          <w:szCs w:val="28"/>
          <w:rtl w:val="true"/>
          <w:lang w:bidi="fa-IR"/>
        </w:rPr>
        <w:t>و هذه العمومات و إن ورد فیها أخبار فی الجملة،إلاّ أنّه لیس کلّ فرع ممّا یتمسّک فیه بالآیة ورد فیه خبر سلیم عن المکافئ،فلاحظ و تتبّع</w:t>
      </w:r>
      <w:r>
        <w:rPr>
          <w:rFonts w:eastAsia="IRNazanin" w:cs="IRNazanin"/>
          <w:color w:val="111111"/>
          <w:sz w:val="28"/>
          <w:szCs w:val="28"/>
          <w:rtl w:val="true"/>
          <w:lang w:bidi="fa-IR"/>
        </w:rPr>
        <w:t>.</w:t>
      </w:r>
    </w:p>
    <w:p>
      <w:pPr>
        <w:pStyle w:val="Heading6"/>
        <w:numPr>
          <w:ilvl w:val="5"/>
          <w:numId w:val="1"/>
        </w:numPr>
        <w:rPr/>
      </w:pPr>
      <w:bookmarkStart w:id="425" w:name="__RefHeading___Toc5446763_3224264995"/>
      <w:bookmarkStart w:id="426" w:name="_Toc163"/>
      <w:bookmarkEnd w:id="425"/>
      <w:r>
        <w:rPr>
          <w:rtl w:val="true"/>
        </w:rPr>
        <w:t>الامر الثانی</w:t>
      </w:r>
      <w:r>
        <w:rPr>
          <w:rtl w:val="true"/>
        </w:rPr>
        <w:t xml:space="preserve">: </w:t>
      </w:r>
      <w:r>
        <w:rPr>
          <w:rtl w:val="true"/>
        </w:rPr>
        <w:t>لو اختلفت القراءة فی الکتاب</w:t>
      </w:r>
      <w:bookmarkEnd w:id="426"/>
    </w:p>
    <w:p>
      <w:pPr>
        <w:pStyle w:val="BookText"/>
        <w:rPr/>
      </w:pPr>
      <w:r>
        <w:rPr>
          <w:rFonts w:ascii="IRNazanin" w:hAnsi="IRNazanin" w:eastAsia="IRNazanin"/>
          <w:color w:val="111111"/>
          <w:sz w:val="28"/>
          <w:sz w:val="28"/>
          <w:szCs w:val="28"/>
          <w:rtl w:val="true"/>
          <w:lang w:bidi="fa-IR"/>
        </w:rPr>
        <w:t xml:space="preserve">أنّه إذا اختلفت </w:t>
      </w:r>
      <w:r>
        <w:rPr>
          <w:rStyle w:val="FootnoteAnchor"/>
          <w:rtl w:val="true"/>
        </w:rPr>
        <w:footnoteReference w:id="509"/>
      </w:r>
      <w:r>
        <w:rPr>
          <w:rFonts w:ascii="Amiri" w:hAnsi="Amiri" w:eastAsia="Amiri" w:cs="Amiri"/>
          <w:color w:val="111111"/>
          <w:sz w:val="28"/>
          <w:sz w:val="28"/>
          <w:szCs w:val="28"/>
          <w:rtl w:val="true"/>
          <w:lang w:bidi="ar-SA"/>
        </w:rPr>
        <w:t>القراءة فی الکتاب علی وجهین مختلفین فی المؤدّی،کما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یَطْهُرْنَ </w:t>
      </w:r>
      <w:r>
        <w:rPr>
          <w:rStyle w:val="FootnoteAnchor"/>
          <w:rtl w:val="true"/>
        </w:rPr>
        <w:footnoteReference w:id="510"/>
      </w:r>
      <w:r>
        <w:rPr>
          <w:rFonts w:ascii="IRNazanin" w:hAnsi="IRNazanin" w:eastAsia="IRNazanin"/>
          <w:color w:val="111111"/>
          <w:sz w:val="28"/>
          <w:sz w:val="28"/>
          <w:szCs w:val="28"/>
          <w:rtl w:val="true"/>
          <w:lang w:bidi="fa-IR"/>
        </w:rPr>
        <w:t xml:space="preserve">،حیث قرئ بالتشدید من التطهّر الظاهر فی الاغتسال،و بالتخفیف </w:t>
      </w:r>
      <w:r>
        <w:rPr>
          <w:rStyle w:val="FootnoteAnchor"/>
          <w:rtl w:val="true"/>
        </w:rPr>
        <w:footnoteReference w:id="511"/>
      </w:r>
      <w:r>
        <w:rPr>
          <w:rFonts w:ascii="IRNazanin" w:hAnsi="IRNazanin" w:eastAsia="IRNazanin"/>
          <w:color w:val="111111"/>
          <w:sz w:val="28"/>
          <w:sz w:val="28"/>
          <w:szCs w:val="28"/>
          <w:rtl w:val="true"/>
          <w:lang w:bidi="fa-IR"/>
        </w:rPr>
        <w:t>من الطهارة الظاهرة فی النّقاء من الحیض،فلا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أن نقول بتواتر القراءات کلّها کما هو المشهور </w:t>
      </w:r>
      <w:r>
        <w:rPr>
          <w:rStyle w:val="FootnoteAnchor"/>
          <w:rtl w:val="true"/>
        </w:rPr>
        <w:footnoteReference w:id="512"/>
      </w:r>
      <w:r>
        <w:rPr>
          <w:rFonts w:ascii="IRNazanin" w:hAnsi="IRNazanin" w:eastAsia="IRNazanin"/>
          <w:color w:val="111111"/>
          <w:sz w:val="28"/>
          <w:sz w:val="28"/>
          <w:szCs w:val="28"/>
          <w:rtl w:val="true"/>
          <w:lang w:bidi="fa-IR"/>
        </w:rPr>
        <w:t xml:space="preserve">،خصوصا فی ما کان الاختلاف فی المادّة،و إمّا أن لا نقول کما هو مذهب جماعة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فهما بمنزلة آیتین تعارضتا،لا بدّ من الجمع بینهما بحمل الظاهر علی النصّ أو علی الأظهر،و مع التکافؤ لا بدّ من الحکم بالتوقّف و الرجوع إلی غیرهما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bookmarkStart w:id="427" w:name="pg12977_114199"/>
    </w:p>
    <w:p>
      <w:pPr>
        <w:pStyle w:val="BookText"/>
        <w:rPr/>
      </w:pPr>
      <w:bookmarkEnd w:id="427"/>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ثبت جواز الاستدلال بکلّ 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ثبت بالإجماع جواز القراءة بکلّ 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الحکم کما تقدّم،و إلاّ فلا بدّ من التوقّف فی محلّ التعارض و الرجوع إلی القواعد مع عدم المرجّح،أو مطلقا بناء علی عدم ثبوت الترجیح هنا </w:t>
      </w:r>
      <w:r>
        <w:rPr>
          <w:rStyle w:val="FootnoteAnchor"/>
          <w:rtl w:val="true"/>
        </w:rPr>
        <w:footnoteReference w:id="515"/>
      </w:r>
      <w:r>
        <w:rPr>
          <w:rFonts w:ascii="Amiri" w:hAnsi="Amiri" w:eastAsia="Amiri" w:cs="Amiri"/>
          <w:color w:val="111111"/>
          <w:sz w:val="28"/>
          <w:sz w:val="28"/>
          <w:szCs w:val="28"/>
          <w:rtl w:val="true"/>
          <w:lang w:bidi="ar-SA"/>
        </w:rPr>
        <w:t>،فیحکم باستصحاب الحرمة قبل الاغتسال؛إذ لم یثبت تواتر التخفیف،أو بالجواز بناء علی عموم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حَرْثَکُمْ أَنّی شِئْتُمْ </w:t>
      </w:r>
      <w:r>
        <w:rPr>
          <w:rStyle w:val="FootnoteAnchor"/>
          <w:rtl w:val="true"/>
        </w:rPr>
        <w:footnoteReference w:id="516"/>
      </w:r>
      <w:r>
        <w:rPr>
          <w:rFonts w:ascii="IRNazanin" w:hAnsi="IRNazanin" w:eastAsia="IRNazanin"/>
          <w:color w:val="111111"/>
          <w:sz w:val="28"/>
          <w:sz w:val="28"/>
          <w:szCs w:val="28"/>
          <w:rtl w:val="true"/>
          <w:lang w:bidi="fa-IR"/>
        </w:rPr>
        <w:t>من حیث الزمان خرج منه أیّام الحیض علی الوجهین فی کون المقام من استصحاب حکم المخصّص أو العمل بالعموم الزمانیّ</w:t>
      </w:r>
      <w:r>
        <w:rPr>
          <w:rFonts w:eastAsia="IRNazanin" w:cs="IRNazanin"/>
          <w:color w:val="111111"/>
          <w:sz w:val="28"/>
          <w:szCs w:val="28"/>
          <w:rtl w:val="true"/>
          <w:lang w:bidi="fa-IR"/>
        </w:rPr>
        <w:t>.</w:t>
      </w:r>
    </w:p>
    <w:p>
      <w:pPr>
        <w:pStyle w:val="Heading6"/>
        <w:numPr>
          <w:ilvl w:val="5"/>
          <w:numId w:val="1"/>
        </w:numPr>
        <w:rPr/>
      </w:pPr>
      <w:bookmarkStart w:id="428" w:name="__RefHeading___Toc5446765_3224264995"/>
      <w:bookmarkStart w:id="429" w:name="_Toc164"/>
      <w:bookmarkEnd w:id="428"/>
      <w:r>
        <w:rPr>
          <w:rtl w:val="true"/>
        </w:rPr>
        <w:t>الثالث</w:t>
      </w:r>
      <w:r>
        <w:rPr>
          <w:rtl w:val="true"/>
        </w:rPr>
        <w:t xml:space="preserve">: </w:t>
      </w:r>
      <w:r>
        <w:rPr>
          <w:rtl w:val="true"/>
        </w:rPr>
        <w:t>وقوع التحریف فی القرآن لا یمنع من التمسّک بالظواهر</w:t>
      </w:r>
      <w:bookmarkEnd w:id="429"/>
    </w:p>
    <w:p>
      <w:pPr>
        <w:pStyle w:val="BookText"/>
        <w:rPr/>
      </w:pPr>
      <w:r>
        <w:rPr>
          <w:rFonts w:ascii="IRNazanin" w:hAnsi="IRNazanin" w:eastAsia="IRNazanin"/>
          <w:color w:val="111111"/>
          <w:sz w:val="28"/>
          <w:sz w:val="28"/>
          <w:szCs w:val="28"/>
          <w:rtl w:val="true"/>
          <w:lang w:bidi="fa-IR"/>
        </w:rPr>
        <w:t>أنّ وقوع التحریف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یمنع من التمسّک بالظواهر؛لعدم العلم الإجمالیّ باختلال الظواهر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لو علم لکان من قبیل الشبهة الغیر المحصورة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لو کان من قبیل الشبهة المحصورة أمکن القول بعدم قدحه؛لاحتمال کون الظاهر المصروف عن ظاهره من الظواهر الغیر المتعلّقة بالأحکام الشرعیّة العملیّة التی امرنا بالرجوع فیها إلی ظاهر الکتاب،فافهم</w:t>
      </w:r>
      <w:r>
        <w:rPr>
          <w:rFonts w:eastAsia="IRNazanin" w:cs="IRNazanin"/>
          <w:color w:val="111111"/>
          <w:sz w:val="28"/>
          <w:szCs w:val="28"/>
          <w:rtl w:val="true"/>
          <w:lang w:bidi="fa-IR"/>
        </w:rPr>
        <w:t>.</w:t>
      </w:r>
    </w:p>
    <w:p>
      <w:pPr>
        <w:pStyle w:val="Heading6"/>
        <w:numPr>
          <w:ilvl w:val="5"/>
          <w:numId w:val="1"/>
        </w:numPr>
        <w:rPr/>
      </w:pPr>
      <w:bookmarkStart w:id="430" w:name="__RefHeading___Toc5446767_3224264995"/>
      <w:bookmarkStart w:id="431" w:name="_Toc165"/>
      <w:bookmarkEnd w:id="430"/>
      <w:r>
        <w:rPr>
          <w:rtl w:val="true"/>
        </w:rPr>
        <w:t>الامر الرابع</w:t>
      </w:r>
      <w:r>
        <w:rPr>
          <w:rtl w:val="true"/>
        </w:rPr>
        <w:t xml:space="preserve">: </w:t>
      </w:r>
      <w:r>
        <w:rPr>
          <w:rtl w:val="true"/>
        </w:rPr>
        <w:t>توهّم و دفع</w:t>
      </w:r>
      <w:bookmarkEnd w:id="43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یتوهّم </w:t>
      </w:r>
      <w:r>
        <w:rPr>
          <w:rStyle w:val="FootnoteAnchor"/>
          <w:rtl w:val="true"/>
        </w:rPr>
        <w:footnoteReference w:id="5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وجوب العمل بظواهر الکتاب بالإجماع مستلزم لعدم جواز العمل بظواهره </w:t>
      </w:r>
      <w:r>
        <w:rPr>
          <w:rStyle w:val="FootnoteAnchor"/>
          <w:rtl w:val="true"/>
        </w:rPr>
        <w:footnoteReference w:id="518"/>
      </w:r>
      <w:r>
        <w:rPr>
          <w:rFonts w:ascii="IRNazanin" w:hAnsi="IRNazanin" w:eastAsia="IRNazanin"/>
          <w:color w:val="111111"/>
          <w:sz w:val="28"/>
          <w:sz w:val="28"/>
          <w:szCs w:val="28"/>
          <w:rtl w:val="true"/>
          <w:lang w:bidi="fa-IR"/>
        </w:rPr>
        <w:t xml:space="preserve">لأنّ من تلک الظواهر ظاهر الآیات </w:t>
      </w:r>
    </w:p>
    <w:p>
      <w:pPr>
        <w:pStyle w:val="BookText"/>
        <w:rPr/>
      </w:pPr>
      <w:r>
        <w:rPr>
          <w:rFonts w:ascii="IRNazanin" w:hAnsi="IRNazanin" w:eastAsia="IRNazanin"/>
          <w:color w:val="111111"/>
          <w:sz w:val="28"/>
          <w:sz w:val="28"/>
          <w:szCs w:val="28"/>
          <w:rtl w:val="true"/>
          <w:lang w:bidi="fa-IR"/>
        </w:rPr>
        <w:t>الناهیة عن العمل بالظنّ مطلقا حتّی ظواهر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فرض وجود الدلیل علی حجّیة الظواهر موجب لعدم ظهور الآیات الناهیة فی حرمة العمل بالظواهر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ظواهر الآیات الناهیة لو نهضت للمنع عن ظواهر الکتاب لمنعت عن حجّیة أنفسها،إلاّ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لا تشمل أنفسها،فتأمّل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بإزاء هذا التوهّم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خروج ظواهر الکتاب عن الآیات الناهیة لیس من باب التخصیص،بل من باب التخصّص؛لأنّ وجود القاطع علی حجّیتها یخرجها عن غیر العلم إلی العلم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ما لا یخفی</w:t>
      </w:r>
      <w:r>
        <w:rPr>
          <w:rFonts w:eastAsia="IRNazanin" w:cs="IRNazanin"/>
          <w:color w:val="111111"/>
          <w:sz w:val="28"/>
          <w:szCs w:val="28"/>
          <w:rtl w:val="true"/>
          <w:lang w:bidi="fa-IR"/>
        </w:rPr>
        <w:t xml:space="preserve">. </w:t>
      </w:r>
      <w:bookmarkStart w:id="432" w:name="pg12977_114201"/>
    </w:p>
    <w:p>
      <w:pPr>
        <w:pStyle w:val="Heading6"/>
        <w:numPr>
          <w:ilvl w:val="5"/>
          <w:numId w:val="1"/>
        </w:numPr>
        <w:rPr/>
      </w:pPr>
      <w:bookmarkStart w:id="433" w:name="__RefHeading___Toc5446769_3224264995"/>
      <w:bookmarkStart w:id="434" w:name="_Toc166"/>
      <w:bookmarkEnd w:id="432"/>
      <w:bookmarkEnd w:id="433"/>
      <w:r>
        <w:rPr/>
        <w:t>2</w:t>
      </w:r>
      <w:r>
        <w:rPr>
          <w:rtl w:val="true"/>
        </w:rPr>
        <w:t>-</w:t>
      </w:r>
      <w:r>
        <w:rPr>
          <w:rtl w:val="true"/>
        </w:rPr>
        <w:t>حجّیة الظواهر بالنسبة إلی من لم یقصد إفهامه</w:t>
      </w:r>
      <w:bookmarkEnd w:id="4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الظواهر بالنسبة إلی من لم یقصد إفهامه</w:t>
      </w:r>
      <w:r>
        <w:rPr>
          <w:rFonts w:eastAsia="IRNazanin" w:cs="IRNazanin"/>
          <w:color w:val="111111"/>
          <w:sz w:val="28"/>
          <w:szCs w:val="28"/>
          <w:rtl w:val="true"/>
          <w:lang w:bidi="fa-IR"/>
        </w:rPr>
        <w:t xml:space="preserve">] </w:t>
      </w:r>
      <w:r>
        <w:rPr>
          <w:rStyle w:val="FootnoteAnchor"/>
          <w:rtl w:val="true"/>
        </w:rPr>
        <w:footnoteReference w:id="519"/>
      </w:r>
    </w:p>
    <w:p>
      <w:pPr>
        <w:pStyle w:val="Heading6"/>
        <w:numPr>
          <w:ilvl w:val="5"/>
          <w:numId w:val="1"/>
        </w:numPr>
        <w:rPr/>
      </w:pPr>
      <w:bookmarkStart w:id="435" w:name="__RefHeading___Toc5446771_3224264995"/>
      <w:bookmarkStart w:id="436" w:name="_Toc167"/>
      <w:bookmarkEnd w:id="435"/>
      <w:r>
        <w:rPr>
          <w:rtl w:val="true"/>
        </w:rPr>
        <w:t>تفصیل صاحب القوانین بین من قصد إفهامه و غیره</w:t>
      </w:r>
      <w:r>
        <w:rPr>
          <w:rtl w:val="true"/>
        </w:rPr>
        <w:t>:</w:t>
      </w:r>
      <w:bookmarkEnd w:id="436"/>
    </w:p>
    <w:p>
      <w:pPr>
        <w:pStyle w:val="BookText"/>
        <w:rPr/>
      </w:pPr>
      <w:r>
        <w:rPr>
          <w:rFonts w:ascii="IRNazanin" w:hAnsi="IRNazanin" w:eastAsia="IRNazanin"/>
          <w:color w:val="111111"/>
          <w:sz w:val="28"/>
          <w:sz w:val="28"/>
          <w:szCs w:val="28"/>
          <w:rtl w:val="true"/>
          <w:lang w:bidi="fa-IR"/>
        </w:rPr>
        <w:t>و أمّا التفصیل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الذی یظهر من صاحب القوانین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آخر مسألة حجّیة الکتاب </w:t>
      </w:r>
      <w:r>
        <w:rPr>
          <w:rStyle w:val="FootnoteAnchor"/>
          <w:rtl w:val="true"/>
        </w:rPr>
        <w:footnoteReference w:id="520"/>
      </w:r>
      <w:r>
        <w:rPr>
          <w:rFonts w:ascii="IRNazanin" w:hAnsi="IRNazanin" w:eastAsia="IRNazanin"/>
          <w:color w:val="111111"/>
          <w:sz w:val="28"/>
          <w:sz w:val="28"/>
          <w:szCs w:val="28"/>
          <w:rtl w:val="true"/>
          <w:lang w:bidi="fa-IR"/>
        </w:rPr>
        <w:t xml:space="preserve">،و فی أوّل مسألة الاجتهاد و التقلید </w:t>
      </w:r>
      <w:r>
        <w:rPr>
          <w:rStyle w:val="FootnoteAnchor"/>
          <w:rtl w:val="true"/>
        </w:rPr>
        <w:footnoteReference w:id="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 بین من قصد إفهامه بالکلام،فالظواهر حجّة بالنسبة إلیه من باب الظنّ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مخاطبا کما فی الخطابات الشفاهیّة،أم لا کما فی الناظر فی الکتب المصنّفة لرجوع کلّ من ینظر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من لم یقصد إفهامه بالخطاب،کأمثالنا بالنسبة إلی أخبار الأئمّة علیهم السّلام الصادرة عنهم فی مقام الجواب عن سؤال السائلین،و بالنسبة إلی الکتاب العزیز بناء علی عدم کون خطاباته موجّهة إلینا و عدم کونه من باب تألیف المصنّفین، فالظهور اللفظیّ لیس حجّة حینئذ لنا،إلاّ من باب الظنّ المطلق الثابت حجّیته عند انسداد باب العلم</w:t>
      </w:r>
      <w:r>
        <w:rPr>
          <w:rFonts w:eastAsia="IRNazanin" w:cs="IRNazanin"/>
          <w:color w:val="111111"/>
          <w:sz w:val="28"/>
          <w:szCs w:val="28"/>
          <w:rtl w:val="true"/>
          <w:lang w:bidi="fa-IR"/>
        </w:rPr>
        <w:t>.</w:t>
      </w:r>
    </w:p>
    <w:p>
      <w:pPr>
        <w:pStyle w:val="Heading6"/>
        <w:numPr>
          <w:ilvl w:val="5"/>
          <w:numId w:val="1"/>
        </w:numPr>
        <w:rPr/>
      </w:pPr>
      <w:bookmarkStart w:id="437" w:name="__RefHeading___Toc5446773_3224264995"/>
      <w:bookmarkStart w:id="438" w:name="_Toc168"/>
      <w:bookmarkEnd w:id="437"/>
      <w:r>
        <w:rPr>
          <w:rtl w:val="true"/>
        </w:rPr>
        <w:t>توجیه هذا التفصیل</w:t>
      </w:r>
      <w:r>
        <w:rPr>
          <w:rtl w:val="true"/>
        </w:rPr>
        <w:t>:</w:t>
      </w:r>
      <w:bookmarkEnd w:id="43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توجیه هذا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الظهور اللفظیّ لیس حجّة إلاّ من باب الظنّ النوعیّ،و هو کون اللفظ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خلّی و طبعه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مفیدا للظنّ بالمراد،فإذا </w:t>
      </w:r>
      <w:r>
        <w:rPr>
          <w:rStyle w:val="FootnoteAnchor"/>
          <w:rtl w:val="true"/>
        </w:rPr>
        <w:footnoteReference w:id="522"/>
      </w:r>
      <w:r>
        <w:rPr>
          <w:rFonts w:ascii="IRNazanin" w:hAnsi="IRNazanin" w:eastAsia="IRNazanin"/>
          <w:color w:val="111111"/>
          <w:sz w:val="28"/>
          <w:sz w:val="28"/>
          <w:szCs w:val="28"/>
          <w:rtl w:val="true"/>
          <w:lang w:bidi="fa-IR"/>
        </w:rPr>
        <w:t xml:space="preserve">کان مقصود المتکلّم من الکلام إفهام من یقصد إفهامه، </w:t>
      </w:r>
    </w:p>
    <w:p>
      <w:pPr>
        <w:pStyle w:val="BookText"/>
        <w:rPr/>
      </w:pPr>
      <w:r>
        <w:rPr>
          <w:rFonts w:ascii="IRNazanin" w:hAnsi="IRNazanin" w:eastAsia="IRNazanin"/>
          <w:color w:val="111111"/>
          <w:sz w:val="28"/>
          <w:sz w:val="28"/>
          <w:szCs w:val="28"/>
          <w:rtl w:val="true"/>
          <w:lang w:bidi="fa-IR"/>
        </w:rPr>
        <w:t xml:space="preserve">فیجب علیه إلقاء الکلام علی وجه لا یقع معه الملقی إلیه فی خلاف المراد </w:t>
      </w:r>
      <w:r>
        <w:rPr>
          <w:rStyle w:val="FootnoteAnchor"/>
          <w:rtl w:val="true"/>
        </w:rPr>
        <w:footnoteReference w:id="523"/>
      </w:r>
      <w:r>
        <w:rPr>
          <w:rFonts w:ascii="IRNazanin" w:hAnsi="IRNazanin" w:eastAsia="IRNazanin"/>
          <w:color w:val="111111"/>
          <w:sz w:val="28"/>
          <w:sz w:val="28"/>
          <w:szCs w:val="28"/>
          <w:rtl w:val="true"/>
          <w:lang w:bidi="fa-IR"/>
        </w:rPr>
        <w:t xml:space="preserve">،بحیث لو فرض وقوعه فی خلاف المقصود کان إمّا لغفلة منه فی الالتفات إلی ما اکتنف به الکلام الملقی إلیه </w:t>
      </w:r>
      <w:r>
        <w:rPr>
          <w:rStyle w:val="FootnoteAnchor"/>
          <w:rtl w:val="true"/>
        </w:rPr>
        <w:footnoteReference w:id="524"/>
      </w:r>
      <w:r>
        <w:rPr>
          <w:rFonts w:ascii="IRNazanin" w:hAnsi="IRNazanin" w:eastAsia="IRNazanin"/>
          <w:color w:val="111111"/>
          <w:sz w:val="28"/>
          <w:sz w:val="28"/>
          <w:szCs w:val="28"/>
          <w:rtl w:val="true"/>
          <w:lang w:bidi="fa-IR"/>
        </w:rPr>
        <w:t xml:space="preserve">،و إمّا لغفلة من المتکلّم فی إلقاء الکلام علی وجه یفی بالمراد،و معلوم أنّ احتمال الغفلة من المتکلّم أو </w:t>
      </w:r>
      <w:r>
        <w:rPr>
          <w:rStyle w:val="FootnoteAnchor"/>
          <w:rtl w:val="true"/>
        </w:rPr>
        <w:footnoteReference w:id="525"/>
      </w:r>
      <w:r>
        <w:rPr>
          <w:rFonts w:ascii="IRNazanin" w:hAnsi="IRNazanin" w:eastAsia="IRNazanin"/>
          <w:color w:val="111111"/>
          <w:sz w:val="28"/>
          <w:sz w:val="28"/>
          <w:szCs w:val="28"/>
          <w:rtl w:val="true"/>
          <w:lang w:bidi="fa-IR"/>
        </w:rPr>
        <w:t>السامع احتمال مرجوح فی نفسه،مع انعقاد الإجماع من العقلاء و العلماء علی عدم الاعتناء باحتمال الغفلة فی جمیع امور العقلاء، أقوالهم و أفعالهم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لم یکن الشخص مقصودا بالإفهام،فوقوعه فی خلاف المقصود لا ینحصر سببه فی الغفلة؛فإنّا إذا لم نجد فی آیة أو روایة ما یکون صارفا عن ظاهرها،و احتملنا أن یکون المخاطب قد فهم المراد بقرینة قد اختفت </w:t>
      </w:r>
      <w:r>
        <w:rPr>
          <w:rStyle w:val="FootnoteAnchor"/>
          <w:rtl w:val="true"/>
        </w:rPr>
        <w:footnoteReference w:id="526"/>
      </w:r>
      <w:r>
        <w:rPr>
          <w:rFonts w:ascii="IRNazanin" w:hAnsi="IRNazanin" w:eastAsia="IRNazanin"/>
          <w:color w:val="111111"/>
          <w:sz w:val="28"/>
          <w:sz w:val="28"/>
          <w:szCs w:val="28"/>
          <w:rtl w:val="true"/>
          <w:lang w:bidi="fa-IR"/>
        </w:rPr>
        <w:t>علینا،فلا یکون هذا الاحتمال لأجل غفلة من المتکلّم أو منّا؛إذ لا یجب علی المتکلّم إلاّ نصب القرینة لمن یقصد إفهامه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عدم تحقّق الغفلة من المتکلّم فی محلّ الکلام مفروض؛ لکونه معصوما،و لیس اختفاء القرینة علینا مسبّبا عن غفلتنا عنها،بل لدواعی الاختفاء الخارجة عن مدخلیّة المتکلّم و من القی إلیه الکلام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فلیس هنا شیء یوجب بنفسه الظنّ بالمراد حتّی لو فرضنا الفحص،فاحتمال وجود القرینة حین الخطاب و اختفائه علینا،لیس هنا ما یوجب مرجوحیّته حتّی لو تفحّصنا عنها و لم نجدها؛إذ لا یحکم 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بأنّها لو کانت لظفرنا بها؛إذ کثیر </w:t>
      </w:r>
      <w:r>
        <w:rPr>
          <w:rStyle w:val="FootnoteAnchor"/>
          <w:rtl w:val="true"/>
        </w:rPr>
        <w:footnoteReference w:id="527"/>
      </w:r>
      <w:r>
        <w:rPr>
          <w:rFonts w:ascii="IRNazanin" w:hAnsi="IRNazanin" w:eastAsia="IRNazanin"/>
          <w:color w:val="111111"/>
          <w:sz w:val="28"/>
          <w:sz w:val="28"/>
          <w:szCs w:val="28"/>
          <w:rtl w:val="true"/>
          <w:lang w:bidi="fa-IR"/>
        </w:rPr>
        <w:t>من الامور قد اختفت علینا،بل لا یبعد دعوی العلم بأنّ ما اختفی علینا من الأخبار و القرائن أکثر ممّا ظفرنا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أنّا لو سلّمنا حصول الظنّ بانتفاء القرائن المتّصلة،لکنّ القرائن الحالیّة و ما اعتمد علیه المتکلّم من الامور العقلیّة أو النقلیّة الکلیّة أو الجزئیّة المعلومة عند المخاطب الصارفة لظاهر الکلام،لیست ممّا یحصل الظنّ بانتفائها بعد البحث و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فرض حصول الظنّ من الخارج بإرادة الظاهر من الکلام لم یکن ذلک ظنّا مستندا إلی الکلام،کما نبّهنا علیه فی أوّل المبحث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فظواهر الألفاظ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عدم الاعتناء باحتمال إرادة خلافها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منشأ ذلک الاحتمال غفلة المتکلّم فی کیفیّة الإفادة أو المخاطب فی کیفیّة الاستفادة؛لأنّ احتمال الغفلة ممّا هو مرجوح فی نفسه و متّفق علی عدم الاعتناء به فی جمیع الامور،دون ما إذا </w:t>
      </w:r>
      <w:r>
        <w:rPr>
          <w:rStyle w:val="FootnoteAnchor"/>
          <w:rtl w:val="true"/>
        </w:rPr>
        <w:footnoteReference w:id="529"/>
      </w:r>
      <w:r>
        <w:rPr>
          <w:rFonts w:ascii="IRNazanin" w:hAnsi="IRNazanin" w:eastAsia="IRNazanin"/>
          <w:color w:val="111111"/>
          <w:sz w:val="28"/>
          <w:sz w:val="28"/>
          <w:szCs w:val="28"/>
          <w:rtl w:val="true"/>
          <w:lang w:bidi="fa-IR"/>
        </w:rPr>
        <w:t>کان الاحتمال مسبّبا عن اختفاء امور لم تجر العادة القطعیّة أو الظنّیة بأنّها لو کانت لوصلت إلینا</w:t>
      </w:r>
      <w:r>
        <w:rPr>
          <w:rFonts w:eastAsia="IRNazanin" w:cs="IRNazanin"/>
          <w:color w:val="111111"/>
          <w:sz w:val="28"/>
          <w:szCs w:val="28"/>
          <w:rtl w:val="true"/>
          <w:lang w:bidi="fa-IR"/>
        </w:rPr>
        <w:t xml:space="preserve">. </w:t>
      </w:r>
      <w:bookmarkStart w:id="439" w:name="pg12977_114204"/>
    </w:p>
    <w:p>
      <w:pPr>
        <w:pStyle w:val="BookText"/>
        <w:rPr/>
      </w:pPr>
      <w:bookmarkEnd w:id="439"/>
      <w:r>
        <w:rPr>
          <w:rFonts w:ascii="IRNazanin" w:hAnsi="IRNazanin" w:eastAsia="IRNazanin"/>
          <w:color w:val="111111"/>
          <w:sz w:val="28"/>
          <w:sz w:val="28"/>
          <w:szCs w:val="28"/>
          <w:rtl w:val="true"/>
          <w:lang w:bidi="fa-IR"/>
        </w:rPr>
        <w:t>و من هنا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 ذکرنا سابقا </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اتّفاق العقلاء و العلماء علی العمل بظواهر الکلام فی الدعاوی،و الأقاریر،و الشهادات، و الوصایا،و المکاتبات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ینفع فی ردّ هذا التفصیل،إلاّ أن یثبت کون أصالة عدم القرینة حجّة من باب التعبّد،و دون إثباتها خرط القتاد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الغالب اتّصال القرائن،فاحتمال اعتماد المتکلّم علی القرینة المنفصلة مرجوح لندرته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من المشاهد المحسوس تطرّق التقیید و التخصیص إلی أکثر العمومات و الإطلاقات مع عدم وجوده فی الکلام،و لیس إلاّ لکون الاعتماد فی ذلک کلّه علی القرائن المنفصلة،سواء کانت منفصلة عند الاعتماد کالقرائن العقلیّة و النقلیّة الخارجیّة،أم کانت مقالیّة متّصلة لکن عرض لها الانفصال بعد ذلک؛لعروض التقطیع للأخبار،أو </w:t>
      </w:r>
      <w:r>
        <w:rPr>
          <w:rStyle w:val="FootnoteAnchor"/>
          <w:rtl w:val="true"/>
        </w:rPr>
        <w:footnoteReference w:id="531"/>
      </w:r>
      <w:r>
        <w:rPr>
          <w:rFonts w:ascii="IRNazanin" w:hAnsi="IRNazanin" w:eastAsia="IRNazanin"/>
          <w:color w:val="111111"/>
          <w:sz w:val="28"/>
          <w:sz w:val="28"/>
          <w:szCs w:val="28"/>
          <w:rtl w:val="true"/>
          <w:lang w:bidi="fa-IR"/>
        </w:rPr>
        <w:t>حصول التفاوت من جهة النقل بالمعنی،أو غیر ذلک،فجمیع ذلک ممّا لا یحصل الظنّ بأنّها لو کانت لوصلت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إمکان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حصل الظنّ لم یکن علی اعتباره دلیل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نعم،الظنّ الحاصل فی مقابل احتمال الغفلة الحاصلة للمخاطب أو المتکلّم ممّا أطبق علیه العقلاء فی جمیع أقوالهم و أفعالهم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غایة ما یمکن من التوجیه لهذا التفصیل</w:t>
      </w:r>
      <w:r>
        <w:rPr>
          <w:rFonts w:eastAsia="IRNazanin" w:cs="IRNazanin"/>
          <w:color w:val="111111"/>
          <w:sz w:val="28"/>
          <w:szCs w:val="28"/>
          <w:rtl w:val="true"/>
          <w:lang w:bidi="fa-IR"/>
        </w:rPr>
        <w:t>.</w:t>
      </w:r>
    </w:p>
    <w:p>
      <w:pPr>
        <w:pStyle w:val="Heading6"/>
        <w:numPr>
          <w:ilvl w:val="5"/>
          <w:numId w:val="1"/>
        </w:numPr>
        <w:rPr/>
      </w:pPr>
      <w:bookmarkStart w:id="440" w:name="__RefHeading___Toc5446775_3224264995"/>
      <w:bookmarkStart w:id="441" w:name="_Toc169"/>
      <w:bookmarkEnd w:id="440"/>
      <w:r>
        <w:rPr>
          <w:rtl w:val="true"/>
        </w:rPr>
        <w:t>المناقشة فی التفصیل المذکور</w:t>
      </w:r>
      <w:r>
        <w:rPr>
          <w:rtl w:val="true"/>
        </w:rPr>
        <w:t>:</w:t>
      </w:r>
      <w:bookmarkEnd w:id="44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فرق فی العمل بالظهور اللفظیّ و أصالة عدم الصارف عن الظاهر بین من قصد إفهامه و من لم یقصد؛فإنّ جمیع </w:t>
      </w:r>
    </w:p>
    <w:p>
      <w:pPr>
        <w:pStyle w:val="BookText"/>
        <w:rPr/>
      </w:pPr>
      <w:r>
        <w:rPr>
          <w:rFonts w:ascii="IRNazanin" w:hAnsi="IRNazanin" w:eastAsia="IRNazanin"/>
          <w:color w:val="111111"/>
          <w:sz w:val="28"/>
          <w:sz w:val="28"/>
          <w:szCs w:val="28"/>
          <w:rtl w:val="true"/>
          <w:lang w:bidi="fa-IR"/>
        </w:rPr>
        <w:t xml:space="preserve">ما دلّ من إجماع العلماء و أهل اللسان علی حجّیة الظاهر بالنسبة إلی من قصد إفهامه جار فی من لم یقصد؛لأنّ أهل اللسان إذا نظروا إلی کلام صادر من متکلّم إلی مخاطب،یحکمون بإرادة ظاهره منه إذا لم یجدوا قرینة صارفة بعد الفحص فی مظانّ وجودها،و لا یفرّقون فی استخراج مرادات المتکلّمین بین کونهم مقصودین بالخطاب و عدمه،فإذا وقع المکتوب الموجّه من شخص إلی شخص بید ثالث،فلا یتأمّل فی استخراج مرادات المتکلّم من الخطاب الموجّه </w:t>
      </w:r>
      <w:r>
        <w:rPr>
          <w:rStyle w:val="FootnoteAnchor"/>
          <w:rtl w:val="true"/>
        </w:rPr>
        <w:footnoteReference w:id="532"/>
      </w:r>
      <w:r>
        <w:rPr>
          <w:rFonts w:ascii="IRNazanin" w:hAnsi="IRNazanin" w:eastAsia="IRNazanin"/>
          <w:color w:val="111111"/>
          <w:sz w:val="28"/>
          <w:sz w:val="28"/>
          <w:szCs w:val="28"/>
          <w:rtl w:val="true"/>
          <w:lang w:bidi="fa-IR"/>
        </w:rPr>
        <w:t xml:space="preserve">إلی المکتوب إلیه،فإذا فرضنا اشتراک هذا الثالث مع المکتوب إلیه فیما أراد المولی منه </w:t>
      </w:r>
      <w:r>
        <w:rPr>
          <w:rStyle w:val="FootnoteAnchor"/>
          <w:rtl w:val="true"/>
        </w:rPr>
        <w:footnoteReference w:id="533"/>
      </w:r>
      <w:r>
        <w:rPr>
          <w:rFonts w:ascii="IRNazanin" w:hAnsi="IRNazanin" w:eastAsia="IRNazanin"/>
          <w:color w:val="111111"/>
          <w:sz w:val="28"/>
          <w:sz w:val="28"/>
          <w:szCs w:val="28"/>
          <w:rtl w:val="true"/>
          <w:lang w:bidi="fa-IR"/>
        </w:rPr>
        <w:t>، فلا یجوز له الاعتذار فی ترک الامتثال بعدم الاطّلاع علی مراد المولی، و هذا واضح لمن راجع الأمثلة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حال أهل اللسان فی الکلمات الواردة إلیهم،و أمّا العلماء فلا خلاف بینهم فی الرجوع إلی أصالة الحقیقة فی الألفاظ المجرّدة عن القرائن الموجّهة من متکلّم إلی مخاطب،سواء کان ذلک فی الأحکام الجزئیّة،کالوصایا الصادرة عن الموصی المعیّن إلی شخص معیّن،ثمّ مسّت الحاجة إلی العمل بها مع فقد الموصی إلیه؛فإنّ العلماء لا یتأمّلون فی الإفتاء بوجوب العمل بظاهر ذلک الکلام الموجّه إلی الموصی إلیه المفقود </w:t>
      </w:r>
      <w:r>
        <w:rPr>
          <w:rStyle w:val="FootnoteAnchor"/>
          <w:rtl w:val="true"/>
        </w:rPr>
        <w:footnoteReference w:id="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الأقاریر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کان فی الأحکام الکلّیّة،کالأخبار الصادرة عن الأئمّة علیهم السّلام </w:t>
      </w:r>
    </w:p>
    <w:p>
      <w:pPr>
        <w:pStyle w:val="BookText"/>
        <w:rPr/>
      </w:pPr>
      <w:r>
        <w:rPr>
          <w:rFonts w:ascii="IRNazanin" w:hAnsi="IRNazanin" w:eastAsia="IRNazanin"/>
          <w:color w:val="111111"/>
          <w:sz w:val="28"/>
          <w:sz w:val="28"/>
          <w:szCs w:val="28"/>
          <w:rtl w:val="true"/>
          <w:lang w:bidi="fa-IR"/>
        </w:rPr>
        <w:t xml:space="preserve">مع کون المقصود منها تفهیم مخاطبیهم </w:t>
      </w:r>
      <w:r>
        <w:rPr>
          <w:rStyle w:val="FootnoteAnchor"/>
          <w:rtl w:val="true"/>
        </w:rPr>
        <w:footnoteReference w:id="535"/>
      </w:r>
      <w:r>
        <w:rPr>
          <w:rFonts w:ascii="IRNazanin" w:hAnsi="IRNazanin" w:eastAsia="IRNazanin"/>
          <w:color w:val="111111"/>
          <w:sz w:val="28"/>
          <w:sz w:val="28"/>
          <w:szCs w:val="28"/>
          <w:rtl w:val="true"/>
          <w:lang w:bidi="fa-IR"/>
        </w:rPr>
        <w:t xml:space="preserve">لا غیر؛فإنّه لم </w:t>
      </w:r>
      <w:r>
        <w:rPr>
          <w:rStyle w:val="FootnoteAnchor"/>
          <w:rtl w:val="true"/>
        </w:rPr>
        <w:footnoteReference w:id="536"/>
      </w:r>
      <w:r>
        <w:rPr>
          <w:rFonts w:ascii="IRNazanin" w:hAnsi="IRNazanin" w:eastAsia="IRNazanin"/>
          <w:color w:val="111111"/>
          <w:sz w:val="28"/>
          <w:sz w:val="28"/>
          <w:szCs w:val="28"/>
          <w:rtl w:val="true"/>
          <w:lang w:bidi="fa-IR"/>
        </w:rPr>
        <w:t>یتأمّل أحد من العلماء فی استفادة الأحکام من ظواهرها معتذرا بعدم الدلیل علی حجّیة أصالة عدم القرینة بالنسبة إلی غیر المخاطب و من قصد إفهامه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ذلک منهم للبناء علی کون الأخبار الصادرة عنهم علیهم السّلام من قبیل تألیف المصنّفین،واضحة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أنّها لو صحّت لجرت فی الکتاب العزیز؛فإنّه أولی بأن یکون من هذا القبیل،فترتفع ثمرة التفصیل المذکور؛لأنّ المفصّل معترف </w:t>
      </w:r>
      <w:r>
        <w:rPr>
          <w:rStyle w:val="FootnoteAnchor"/>
          <w:rtl w:val="true"/>
        </w:rPr>
        <w:footnoteReference w:id="537"/>
      </w:r>
      <w:r>
        <w:rPr>
          <w:rFonts w:ascii="IRNazanin" w:hAnsi="IRNazanin" w:eastAsia="IRNazanin"/>
          <w:color w:val="111111"/>
          <w:sz w:val="28"/>
          <w:sz w:val="28"/>
          <w:szCs w:val="28"/>
          <w:rtl w:val="true"/>
          <w:lang w:bidi="fa-IR"/>
        </w:rPr>
        <w:t>بأنّ ظاهر الکلام الذی هو من قبیل تألیف المؤلّفین حجّة بالخصوص،لا لدخوله فی مطلق الظنّ،و إنّما کلامه فی اعتبار ظهور الکلام الموجّه إلی مخاطب خاصّ بالنسبة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القطع حاصل لکلّ متتبّع فی طریقة فقهاء المسلمین، بأنّهم یعملون بظواهر الأخبار من دون ابتناء ذلک علی حجّیة الظنّ المطلق الثابتة بدلیل الانسداد،بل یعمل بها من یدّعی الانفتاح و ینکر العمل بأخبار الآحاد؛مدّعیا کون معظم الفقه معلوما بالإجماع و الأخبار المتواترة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سیرة أصحاب الأئمّة علیهم السّلام؛فإنّهم کانوا یعملون بظواهر الأخبار الواردة إلیهم من الأئمّة الماضین علیهم السّلام </w:t>
      </w:r>
      <w:r>
        <w:rPr>
          <w:rStyle w:val="FootnoteAnchor"/>
          <w:rtl w:val="true"/>
        </w:rPr>
        <w:footnoteReference w:id="538"/>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 </w:t>
      </w:r>
      <w:r>
        <w:rPr>
          <w:rStyle w:val="FootnoteAnchor"/>
          <w:rtl w:val="true"/>
        </w:rPr>
        <w:footnoteReference w:id="539"/>
      </w:r>
      <w:r>
        <w:rPr>
          <w:rFonts w:ascii="IRNazanin" w:hAnsi="IRNazanin" w:eastAsia="IRNazanin"/>
          <w:color w:val="111111"/>
          <w:sz w:val="28"/>
          <w:sz w:val="28"/>
          <w:szCs w:val="28"/>
          <w:rtl w:val="true"/>
          <w:lang w:bidi="fa-IR"/>
        </w:rPr>
        <w:t xml:space="preserve">یعملون بظواهر الأقوال التی یسمعونها </w:t>
      </w:r>
      <w:r>
        <w:rPr>
          <w:rStyle w:val="FootnoteAnchor"/>
          <w:rtl w:val="true"/>
        </w:rPr>
        <w:footnoteReference w:id="540"/>
      </w:r>
      <w:r>
        <w:rPr>
          <w:rFonts w:ascii="IRNazanin" w:hAnsi="IRNazanin" w:eastAsia="IRNazanin"/>
          <w:color w:val="111111"/>
          <w:sz w:val="28"/>
          <w:sz w:val="28"/>
          <w:szCs w:val="28"/>
          <w:rtl w:val="true"/>
          <w:lang w:bidi="fa-IR"/>
        </w:rPr>
        <w:t xml:space="preserve">من أئمّتهم علیهم السّلام،لا یفرّقون بینهما إلاّ بالفحص و عدمه،کما سیأتی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الفرق فی حجّیة أصالة الحقیقة و عدم القرینة بین المخاطب و غیره مخالف للسیرة القطعیّة من العلماء و أصحاب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کلّه،مع أنّ التوجیه المذکور لذلک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لابتنائه علی الفرق بین أصالة عدم الغفلة و الخطأ فی فهم المراد،و بین مطلق أصالة عدم القرینة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عدم کون ظواهر الکتاب من الظنون المخصوصة و إن قلنا بشمول الخطاب للغائبین؛لعدم جریان أصالة عدم الغفلة فی حقّهم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ابتناء کون ظواهر الکتاب ظنونا مخصوصة علی شمول الخطاب للغائبین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سدید؛لأنّ الظنّ المخصوص إن کان هو الحاصل من المشافهة الناشئ عن ظنّ عدم الغفلة و الخطأ،فلا یجری فی حقّ الغائبین و إن قلنا بشمول الخطاب لهم،و إن کان هو الحاصل من أصالة عدم القرینة فهو جار فی الغائبین و إن لم یشملهم الخطاب</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یمکن أن یستدلّ به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علی ما مرّ من اشتراک أدلّة حجّیة الظواهر،من إجماعی العلماء و أهل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فی الأخبار المتواترة معنی،من الأمر بالرجوع إلی الکتاب و عرض الأخبار </w:t>
      </w:r>
    </w:p>
    <w:p>
      <w:pPr>
        <w:pStyle w:val="BookText"/>
        <w:rPr/>
      </w:pPr>
      <w:r>
        <w:rPr>
          <w:rFonts w:ascii="IRNazanin" w:hAnsi="IRNazanin" w:eastAsia="IRNazanin"/>
          <w:color w:val="111111"/>
          <w:sz w:val="28"/>
          <w:sz w:val="28"/>
          <w:szCs w:val="28"/>
          <w:rtl w:val="true"/>
          <w:lang w:bidi="fa-IR"/>
        </w:rPr>
        <w:t xml:space="preserve">علیه </w:t>
      </w:r>
      <w:r>
        <w:rPr>
          <w:rStyle w:val="FootnoteAnchor"/>
          <w:rtl w:val="true"/>
        </w:rPr>
        <w:footnoteReference w:id="542"/>
      </w:r>
      <w:r>
        <w:rPr>
          <w:rFonts w:ascii="IRNazanin" w:hAnsi="IRNazanin" w:eastAsia="IRNazanin"/>
          <w:color w:val="111111"/>
          <w:sz w:val="28"/>
          <w:sz w:val="28"/>
          <w:szCs w:val="28"/>
          <w:rtl w:val="true"/>
          <w:lang w:bidi="fa-IR"/>
        </w:rPr>
        <w:t xml:space="preserve">فإنّ هذه الظواهر المتواترة حجّة للمشافهین بها،فیشترک غیر المشافهین و یتمّ </w:t>
      </w:r>
      <w:r>
        <w:rPr>
          <w:rStyle w:val="FootnoteAnchor"/>
          <w:rtl w:val="true"/>
        </w:rPr>
        <w:footnoteReference w:id="543"/>
      </w:r>
      <w:r>
        <w:rPr>
          <w:rFonts w:ascii="IRNazanin" w:hAnsi="IRNazanin" w:eastAsia="IRNazanin"/>
          <w:color w:val="111111"/>
          <w:sz w:val="28"/>
          <w:sz w:val="28"/>
          <w:szCs w:val="28"/>
          <w:rtl w:val="true"/>
          <w:lang w:bidi="fa-IR"/>
        </w:rPr>
        <w:t>المطلوب،کما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تعرف النظر فیما ذکره المحقّق القمّی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ذکر من عدم حجّیة ظواهر الکتاب بالنسبة إلینا بالخصوص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أخبار الثقلین تدلّ علی کون ظاهر الکتاب حجّة لغیر المشافهین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روایة الثقلین ظاهرة فی ذلک؛لاحتمال کون المراد التمسّک بالکتاب بعد ورود تفسیره عن الأئمّة علیهم السّلام کما یقوله الأخباریّون،و حجّیة ظاهر روایة الثقلین بالنسبة إلینا مصادرة؛إذ لا فرق بین ظواهر الکتاب و السنّة فی حقّ غیر المشافهین بها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العمدة فی حجّیة ظواهر الکتاب غیر خبر الثقلین من الأخبار المتواترة الآمرة باستنباط الأحکام من ظواهر الکتاب </w:t>
      </w:r>
      <w:r>
        <w:rPr>
          <w:rStyle w:val="FootnoteAnchor"/>
          <w:rtl w:val="true"/>
        </w:rPr>
        <w:footnoteReference w:id="545"/>
      </w:r>
      <w:r>
        <w:rPr>
          <w:rFonts w:ascii="IRNazanin" w:hAnsi="IRNazanin" w:eastAsia="IRNazanin"/>
          <w:color w:val="111111"/>
          <w:sz w:val="28"/>
          <w:sz w:val="28"/>
          <w:szCs w:val="28"/>
          <w:rtl w:val="true"/>
          <w:lang w:bidi="fa-IR"/>
        </w:rPr>
        <w:t>،و هذه الأخبار تفید القطع بعدم إرادة الاستدلال بظواهر الکتاب بعد ورود تفسیرها من الأئمّة صلوات اللّه علیهم،و لیست ظاهرة فی ذلک حتّی یکون التمسّک بظاهرها لغیر المشافهین بها مصادرة</w:t>
      </w:r>
      <w:r>
        <w:rPr>
          <w:rFonts w:eastAsia="IRNazanin" w:cs="IRNazanin"/>
          <w:color w:val="111111"/>
          <w:sz w:val="28"/>
          <w:szCs w:val="28"/>
          <w:rtl w:val="true"/>
          <w:lang w:bidi="fa-IR"/>
        </w:rPr>
        <w:t xml:space="preserve">. </w:t>
      </w:r>
      <w:bookmarkStart w:id="442" w:name="pg12977_114209"/>
    </w:p>
    <w:p>
      <w:pPr>
        <w:pStyle w:val="BookText"/>
        <w:rPr/>
      </w:pPr>
      <w:bookmarkEnd w:id="442"/>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خبر الثقلین لیس له ظهور </w:t>
      </w:r>
      <w:r>
        <w:rPr>
          <w:rStyle w:val="FootnoteAnchor"/>
          <w:rtl w:val="true"/>
        </w:rPr>
        <w:footnoteReference w:id="546"/>
      </w:r>
      <w:r>
        <w:rPr>
          <w:rFonts w:ascii="IRNazanin" w:hAnsi="IRNazanin" w:eastAsia="IRNazanin"/>
          <w:color w:val="111111"/>
          <w:sz w:val="28"/>
          <w:sz w:val="28"/>
          <w:szCs w:val="28"/>
          <w:rtl w:val="true"/>
          <w:lang w:bidi="fa-IR"/>
        </w:rPr>
        <w:t>إلاّ فی وجوب إطاعتهما و حرمة مخالفتهما،و لیس فی مقام اعتبار الظنّ الحاصل بهما فی تشخیص الإطاعة و المعصیة،فافهم</w:t>
      </w:r>
      <w:r>
        <w:rPr>
          <w:rFonts w:eastAsia="IRNazanin" w:cs="IRNazanin"/>
          <w:color w:val="111111"/>
          <w:sz w:val="28"/>
          <w:szCs w:val="28"/>
          <w:rtl w:val="true"/>
          <w:lang w:bidi="fa-IR"/>
        </w:rPr>
        <w:t>.</w:t>
      </w:r>
    </w:p>
    <w:p>
      <w:pPr>
        <w:pStyle w:val="Heading6"/>
        <w:numPr>
          <w:ilvl w:val="5"/>
          <w:numId w:val="1"/>
        </w:numPr>
        <w:rPr/>
      </w:pPr>
      <w:bookmarkStart w:id="443" w:name="__RefHeading___Toc5446777_3224264995"/>
      <w:bookmarkStart w:id="444" w:name="_Toc170"/>
      <w:bookmarkEnd w:id="443"/>
      <w:r>
        <w:rPr>
          <w:rtl w:val="true"/>
        </w:rPr>
        <w:t>احتمال التفصیل المتقدّم فی کلام صاحب المعالم</w:t>
      </w:r>
      <w:bookmarkEnd w:id="444"/>
    </w:p>
    <w:p>
      <w:pPr>
        <w:pStyle w:val="BookText"/>
        <w:rPr/>
      </w:pPr>
      <w:r>
        <w:rPr>
          <w:rFonts w:ascii="IRNazanin" w:hAnsi="IRNazanin" w:eastAsia="IRNazanin"/>
          <w:color w:val="111111"/>
          <w:sz w:val="28"/>
          <w:sz w:val="28"/>
          <w:szCs w:val="28"/>
          <w:rtl w:val="true"/>
          <w:lang w:bidi="fa-IR"/>
        </w:rPr>
        <w:t xml:space="preserve">ثمّ إنّ لصاحب المعالم رحمه اللّه فی هذا المقام کلاما یحتمل التفصیل المتقدّم </w:t>
      </w:r>
      <w:r>
        <w:rPr>
          <w:rStyle w:val="FootnoteAnchor"/>
          <w:rtl w:val="true"/>
        </w:rPr>
        <w:footnoteReference w:id="547"/>
      </w:r>
      <w:r>
        <w:rPr>
          <w:rFonts w:ascii="IRNazanin" w:hAnsi="IRNazanin" w:eastAsia="IRNazanin"/>
          <w:color w:val="111111"/>
          <w:sz w:val="28"/>
          <w:sz w:val="28"/>
          <w:szCs w:val="28"/>
          <w:rtl w:val="true"/>
          <w:lang w:bidi="fa-IR"/>
        </w:rPr>
        <w:t>،لا بأس بالإشارة إلیه،قال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الدلیل الرابع من أدلّة حجّیة خبر الواحد،بعد ذکر انسداد باب العلم فی غیر الضروریّ من الأحکام؛ لفقد الإجماع و السنّة المتواترة،و وضوح کون أصل البراءة لا یفید غیر الظنّ،و کون الکتاب ظنّی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المستفاد من ظاهر الکتاب مقطوع لا مظنون؛ و ذلک بضمیمة مقدّمة خارجیّة،و هی قبح خطاب الحکیم بما له ظاهر و هو یرید خلافه من غیر دلالة تصرف عن ذلک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سلّمنا،و لکن ذلک ظنّ مخصوص،فهو من قبیل الشهادة لا یعدل عنه إلی غیره إلاّ بدلیل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خطاب المشافهة، و قد مرّ أنّه مخصوص بالموجودین فی زمن الخطاب،و أنّ ثبوت حکمه فی حقّ من تأخّر إنّما هو بالإجماع و قضاء الضرورة باشتراک التکلیف بین الکلّ،و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الجائز أن یکون قد اقترن ببعض تلک الظواهر ما یدلّهم علی إرادة خلافها؛و قد وقع ذلک فی مواضع علمناها بالإجماع و نحوه، </w:t>
      </w:r>
      <w:bookmarkStart w:id="445" w:name="pg12977_114210"/>
    </w:p>
    <w:p>
      <w:pPr>
        <w:pStyle w:val="BookText"/>
        <w:rPr/>
      </w:pPr>
      <w:bookmarkEnd w:id="445"/>
      <w:r>
        <w:rPr>
          <w:rFonts w:ascii="IRNazanin" w:hAnsi="IRNazanin" w:eastAsia="IRNazanin"/>
          <w:color w:val="111111"/>
          <w:sz w:val="28"/>
          <w:sz w:val="28"/>
          <w:szCs w:val="28"/>
          <w:rtl w:val="true"/>
          <w:lang w:bidi="fa-IR"/>
        </w:rPr>
        <w:t>فیحتمل الاعتماد فی تعریفنا لسائرها علی الأمارات المفیدة للظنّ القویّ،و خبر الواحد من جملتها،و مع قیام هذا الاحتمال ینفی القطع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یستوی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المستفاد من ظاهر الکتاب و الحاصل من غیره بالنظر إلی إناطة التکلیف به؛لابتناء الفرق بینهما علی کون الخطاب متوجّها إلینا،و قد تبیّن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لظهور اختصاص الإجماع و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الدالّین علی المشارکة فی التکلیف المستفاد من ظاهر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بغیر صورة وجود الخبر الجامع للشرائط الآتیة المفیدة للظنّ </w:t>
      </w:r>
      <w:r>
        <w:rPr>
          <w:rStyle w:val="FootnoteAnchor"/>
          <w:rtl w:val="true"/>
        </w:rPr>
        <w:footnoteReference w:id="548"/>
      </w:r>
      <w:r>
        <w:rPr>
          <w:rStyle w:val="FootnoteAnchor"/>
          <w:rtl w:val="true"/>
        </w:rPr>
        <w:footnoteReference w:id="549"/>
      </w:r>
      <w:r>
        <w:rPr>
          <w:rFonts w:ascii="IRNazanin" w:hAnsi="IRNazanin" w:eastAsia="IRNazanin"/>
          <w:color w:val="111111"/>
          <w:sz w:val="28"/>
          <w:sz w:val="28"/>
          <w:szCs w:val="28"/>
          <w:rtl w:val="true"/>
          <w:lang w:bidi="fa-IR"/>
        </w:rPr>
        <w:t>، انتهی کلامه،رفع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کلامه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إجماله و اشتباه المراد منه؛کما یظهر من المحشّین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مواقع للنظر و التأمّل</w:t>
      </w:r>
      <w:r>
        <w:rPr>
          <w:rFonts w:eastAsia="IRNazanin" w:cs="IRNazanin"/>
          <w:color w:val="111111"/>
          <w:sz w:val="28"/>
          <w:szCs w:val="28"/>
          <w:rtl w:val="true"/>
          <w:lang w:bidi="fa-IR"/>
        </w:rPr>
        <w:t>.</w:t>
      </w:r>
    </w:p>
    <w:p>
      <w:pPr>
        <w:pStyle w:val="Heading6"/>
        <w:numPr>
          <w:ilvl w:val="5"/>
          <w:numId w:val="1"/>
        </w:numPr>
        <w:rPr/>
      </w:pPr>
      <w:bookmarkStart w:id="446" w:name="__RefHeading___Toc5446779_3224264995"/>
      <w:bookmarkStart w:id="447" w:name="_Toc171"/>
      <w:bookmarkEnd w:id="446"/>
      <w:r>
        <w:rPr>
          <w:rtl w:val="true"/>
        </w:rPr>
        <w:t>عدم الفرق فی حجّیة الظواهر بین ما یفید الظنّ بالمراد و غیره</w:t>
      </w:r>
      <w:r>
        <w:rPr>
          <w:rtl w:val="true"/>
        </w:rPr>
        <w:t>:</w:t>
      </w:r>
      <w:bookmarkEnd w:id="447"/>
    </w:p>
    <w:p>
      <w:pPr>
        <w:pStyle w:val="BookText"/>
        <w:rPr/>
      </w:pPr>
      <w:r>
        <w:rPr>
          <w:rFonts w:ascii="IRNazanin" w:hAnsi="IRNazanin" w:eastAsia="IRNazanin"/>
          <w:color w:val="111111"/>
          <w:sz w:val="28"/>
          <w:sz w:val="28"/>
          <w:szCs w:val="28"/>
          <w:rtl w:val="true"/>
          <w:lang w:bidi="fa-IR"/>
        </w:rPr>
        <w:t>ثمّ إنّک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مناط الحجّیة و الاعتبار فی دلالة الألفاظ هو الظهور العرفیّ،و هو کون الکلام بحیث یحمل عرفا علی ذلک المعنی و لو بواسطة القرائن المقامیّة المکتنفة بالکلام،فلا فرق بین إفادته الظنّ بالمراد و عدمها،و لا بین وجود الظنّ الغیر المعتبر علی خلافه و عدمه؛ لأنّ ما ذکرنا من الحجّة علی العمل بها جار فی جمیع الصور المذکورة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ربما یظهر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التوقّف فی العمل بالخبر الصحیح المخالف لفتوی المشهور أو طرحه،مع اعترافهم بعدم حجّیة الشهرة، فلیس من جهة مزاحمة الشهرة لدلالة الخبر الصحیح من عموم أو </w:t>
      </w:r>
      <w:bookmarkStart w:id="448" w:name="pg12977_114211"/>
    </w:p>
    <w:p>
      <w:pPr>
        <w:pStyle w:val="BookText"/>
        <w:rPr/>
      </w:pPr>
      <w:bookmarkEnd w:id="448"/>
      <w:r>
        <w:rPr>
          <w:rFonts w:ascii="IRNazanin" w:hAnsi="IRNazanin" w:eastAsia="IRNazanin"/>
          <w:color w:val="111111"/>
          <w:sz w:val="28"/>
          <w:sz w:val="28"/>
          <w:szCs w:val="28"/>
          <w:rtl w:val="true"/>
          <w:lang w:bidi="fa-IR"/>
        </w:rPr>
        <w:t xml:space="preserve">إطلاق،بل من جهة مزاحمتها للخبر من حیث الصدور؛بناء علی أنّ ما دلّ من الدلیل علی حجّیة الخبر </w:t>
      </w:r>
      <w:r>
        <w:rPr>
          <w:rStyle w:val="FootnoteAnchor"/>
          <w:rtl w:val="true"/>
        </w:rPr>
        <w:footnoteReference w:id="550"/>
      </w:r>
      <w:r>
        <w:rPr>
          <w:rFonts w:ascii="IRNazanin" w:hAnsi="IRNazanin" w:eastAsia="IRNazanin"/>
          <w:color w:val="111111"/>
          <w:sz w:val="28"/>
          <w:sz w:val="28"/>
          <w:szCs w:val="28"/>
          <w:rtl w:val="true"/>
          <w:lang w:bidi="fa-IR"/>
        </w:rPr>
        <w:t>من حیث السند لا یشمل المخالف للمشهور؛و لذا لا یتأمّلون فی العمل بظواهر الکتاب و السنّة المتواترة إذا عارضها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فالتأمّل فی الخبر المخالف للمشهور إنّما هو إذا خالفت الشهرة نفس الخبر،لا عمومه أو إطلاقه،فلا یتأمّلون فی عمومه إذا کانت الشهرة علی التخصیص</w:t>
      </w:r>
      <w:r>
        <w:rPr>
          <w:rFonts w:eastAsia="IRNazanin" w:cs="IRNazanin"/>
          <w:color w:val="111111"/>
          <w:sz w:val="28"/>
          <w:szCs w:val="28"/>
          <w:rtl w:val="true"/>
          <w:lang w:bidi="fa-IR"/>
        </w:rPr>
        <w:t>.</w:t>
      </w:r>
    </w:p>
    <w:p>
      <w:pPr>
        <w:pStyle w:val="Heading6"/>
        <w:numPr>
          <w:ilvl w:val="5"/>
          <w:numId w:val="1"/>
        </w:numPr>
        <w:rPr/>
      </w:pPr>
      <w:bookmarkStart w:id="449" w:name="__RefHeading___Toc5446781_3224264995"/>
      <w:bookmarkStart w:id="450" w:name="_Toc172"/>
      <w:bookmarkEnd w:id="449"/>
      <w:r>
        <w:rPr>
          <w:rtl w:val="true"/>
        </w:rPr>
        <w:t>نظریّة المحقّق الکلباسی و المناقشة فیها</w:t>
      </w:r>
      <w:r>
        <w:rPr>
          <w:rtl w:val="true"/>
        </w:rPr>
        <w:t>:</w:t>
      </w:r>
      <w:bookmarkEnd w:id="450"/>
    </w:p>
    <w:p>
      <w:pPr>
        <w:pStyle w:val="BookText"/>
        <w:rPr/>
      </w:pPr>
      <w:r>
        <w:rPr>
          <w:rFonts w:ascii="IRNazanin" w:hAnsi="IRNazanin" w:eastAsia="IRNazanin"/>
          <w:color w:val="111111"/>
          <w:sz w:val="28"/>
          <w:sz w:val="28"/>
          <w:szCs w:val="28"/>
          <w:rtl w:val="true"/>
          <w:lang w:bidi="fa-IR"/>
        </w:rPr>
        <w:t xml:space="preserve">نعم،ربما یجری علی لسان بعض متأخّری المتأخّرین من المعاصرین </w:t>
      </w:r>
      <w:r>
        <w:rPr>
          <w:rStyle w:val="FootnoteAnchor"/>
          <w:rtl w:val="true"/>
        </w:rPr>
        <w:footnoteReference w:id="551"/>
      </w:r>
      <w:r>
        <w:rPr>
          <w:rFonts w:ascii="IRNazanin" w:hAnsi="IRNazanin" w:eastAsia="IRNazanin"/>
          <w:color w:val="111111"/>
          <w:sz w:val="28"/>
          <w:sz w:val="28"/>
          <w:szCs w:val="28"/>
          <w:rtl w:val="true"/>
          <w:lang w:bidi="fa-IR"/>
        </w:rPr>
        <w:t>،عدم الدلیل علی حجّیة الظواهر إذا لم تفد الظنّ،أو إذا حصل الظنّ الغیر المعتبر علی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مخالف لطریقة أرباب اللسان و العلماء فی کلّ زمان؛و لذا عدّ بعض الأخباریّین </w:t>
      </w:r>
      <w:r>
        <w:rPr>
          <w:rStyle w:val="FootnoteAnchor"/>
          <w:rtl w:val="true"/>
        </w:rPr>
        <w:footnoteReference w:id="5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کالاصولیّین </w:t>
      </w:r>
      <w:r>
        <w:rPr>
          <w:rStyle w:val="FootnoteAnchor"/>
          <w:rtl w:val="true"/>
        </w:rPr>
        <w:footnoteReference w:id="5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حکم العامّ و المطلق حتّی یثبت المخصّص و المقیّد من الاستصحابات المجمع علیها،و هذا و إن لم یرجع إلی الاستصحاب المصطلح إلاّ بالتوجیه،إلاّ أنّ الغرض من الاستشهاد به بیان کون هذه القاعدة إجماعیّة</w:t>
      </w:r>
      <w:r>
        <w:rPr>
          <w:rFonts w:eastAsia="IRNazanin" w:cs="IRNazanin"/>
          <w:color w:val="111111"/>
          <w:sz w:val="28"/>
          <w:szCs w:val="28"/>
          <w:rtl w:val="true"/>
          <w:lang w:bidi="fa-IR"/>
        </w:rPr>
        <w:t>.</w:t>
      </w:r>
    </w:p>
    <w:p>
      <w:pPr>
        <w:pStyle w:val="Heading6"/>
        <w:numPr>
          <w:ilvl w:val="5"/>
          <w:numId w:val="1"/>
        </w:numPr>
        <w:rPr/>
      </w:pPr>
      <w:bookmarkStart w:id="451" w:name="__RefHeading___Toc5446783_3224264995"/>
      <w:bookmarkStart w:id="452" w:name="_Toc173"/>
      <w:bookmarkEnd w:id="451"/>
      <w:r>
        <w:rPr>
          <w:rtl w:val="true"/>
        </w:rPr>
        <w:t>تفصیل صاحب هدایة المسترشدین و المناقشة فیه</w:t>
      </w:r>
      <w:r>
        <w:rPr>
          <w:rtl w:val="true"/>
        </w:rPr>
        <w:t>:</w:t>
      </w:r>
      <w:bookmarkEnd w:id="45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فصّل بعض من المعاصرین </w:t>
      </w:r>
      <w:r>
        <w:rPr>
          <w:rStyle w:val="FootnoteAnchor"/>
          <w:rtl w:val="true"/>
        </w:rPr>
        <w:footnoteReference w:id="554"/>
      </w:r>
      <w:r>
        <w:rPr>
          <w:rFonts w:ascii="IRNazanin" w:hAnsi="IRNazanin" w:eastAsia="IRNazanin"/>
          <w:color w:val="111111"/>
          <w:sz w:val="28"/>
          <w:sz w:val="28"/>
          <w:szCs w:val="28"/>
          <w:rtl w:val="true"/>
          <w:lang w:bidi="fa-IR"/>
        </w:rPr>
        <w:t xml:space="preserve">تفصیلا یرجع حاصله إلی؛أنّ </w:t>
      </w:r>
      <w:bookmarkStart w:id="453" w:name="pg12977_114212"/>
    </w:p>
    <w:p>
      <w:pPr>
        <w:pStyle w:val="BookText"/>
        <w:rPr/>
      </w:pPr>
      <w:bookmarkEnd w:id="453"/>
      <w:r>
        <w:rPr>
          <w:rFonts w:ascii="IRNazanin" w:hAnsi="IRNazanin" w:eastAsia="IRNazanin"/>
          <w:color w:val="111111"/>
          <w:sz w:val="28"/>
          <w:sz w:val="28"/>
          <w:szCs w:val="28"/>
          <w:rtl w:val="true"/>
          <w:lang w:bidi="fa-IR"/>
        </w:rPr>
        <w:t>الکلام إن کان مقرونا بحال أو مقال یصلح أن یکون صارفا عن المعنی الحقیقیّ،فلا یتمسّک فیه بأصالة الحقیقة،و إن کان الشکّ فی أصل وجود الصارف أو کان هنا أمر منفصل یصلح لکونه صارفا،فیعمل علی أصالة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تفصیل حسن متین،لکنّه تفصیل فی العمل بأصالة الحقیقة عند الشکّ فی الصارف،لا فی حجّیة الظهور اللفظیّ،بل مرجعه </w:t>
      </w:r>
      <w:r>
        <w:rPr>
          <w:rStyle w:val="FootnoteAnchor"/>
          <w:rtl w:val="true"/>
        </w:rPr>
        <w:footnoteReference w:id="555"/>
      </w:r>
      <w:r>
        <w:rPr>
          <w:rFonts w:ascii="IRNazanin" w:hAnsi="IRNazanin" w:eastAsia="IRNazanin"/>
          <w:color w:val="111111"/>
          <w:sz w:val="28"/>
          <w:sz w:val="28"/>
          <w:szCs w:val="28"/>
          <w:rtl w:val="true"/>
          <w:lang w:bidi="fa-IR"/>
        </w:rPr>
        <w:t xml:space="preserve">إلی تعیین الظهور العرفیّ و تمییزه عن موارد الإجمال؛فإنّ اللفظ فی القسم الأوّل یخرج عن الظهور إلی الإجمال بشهادة العرف؛و لذا توقّف جماعة فی المجاز المشهور،و العامّ المتعقّب بضمیر یرجع إلی بعض أفراده، و الجمل المتعدّدة المتعقّبة للاستثناء،و الأمر و النهی الواردین فی مظانّ الحظر و الإیجاب </w:t>
      </w:r>
      <w:r>
        <w:rPr>
          <w:rStyle w:val="FootnoteAnchor"/>
          <w:rtl w:val="true"/>
        </w:rPr>
        <w:footnoteReference w:id="556"/>
      </w:r>
      <w:r>
        <w:rPr>
          <w:rFonts w:ascii="IRNazanin" w:hAnsi="IRNazanin" w:eastAsia="IRNazanin"/>
          <w:color w:val="111111"/>
          <w:sz w:val="28"/>
          <w:sz w:val="28"/>
          <w:szCs w:val="28"/>
          <w:rtl w:val="true"/>
          <w:lang w:bidi="fa-IR"/>
        </w:rPr>
        <w:t>،إلی غیر ذلک ممّا احتفّ اللفظ بحال أو مقال یصلح لکونه صارفا،و لم یتوقّف أحد فی عامّ بمجرّد احتمال دلیل منفصل یحتمل کونه مخصّصا له،بل ربما یعکسون الأمر فیحکمون بنفی ذلک الاحتمال و ارتفاع الإجمال لأجل ظهور العامّ؛و لذا لو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ثمّ ورد قول آخر من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تکرم زیدا،و اشترک زید بین عالم و جاهل،فلا یرفع الید عن العموم بمجرّد الاحتمال،بل یرفعون الإجمال بواسطة العموم،فیحکمون بإرادة زید الجاهل من النهی</w:t>
      </w:r>
      <w:r>
        <w:rPr>
          <w:rFonts w:eastAsia="IRNazanin" w:cs="IRNazanin"/>
          <w:color w:val="111111"/>
          <w:sz w:val="28"/>
          <w:szCs w:val="28"/>
          <w:rtl w:val="true"/>
          <w:lang w:bidi="fa-IR"/>
        </w:rPr>
        <w:t>.</w:t>
      </w:r>
    </w:p>
    <w:p>
      <w:pPr>
        <w:pStyle w:val="Heading6"/>
        <w:numPr>
          <w:ilvl w:val="5"/>
          <w:numId w:val="1"/>
        </w:numPr>
        <w:rPr/>
      </w:pPr>
      <w:bookmarkStart w:id="454" w:name="__RefHeading___Toc5446785_3224264995"/>
      <w:bookmarkStart w:id="455" w:name="_Toc174"/>
      <w:bookmarkEnd w:id="454"/>
      <w:r>
        <w:rPr>
          <w:rtl w:val="true"/>
        </w:rPr>
        <w:t>تفصیل السیّد المجاهد فی المسألة</w:t>
      </w:r>
      <w:r>
        <w:rPr>
          <w:rtl w:val="true"/>
        </w:rPr>
        <w:t>:</w:t>
      </w:r>
      <w:bookmarkEnd w:id="45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بإزاء التفصیل المذکور تفصیل آخر ضعیف،و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احتمال </w:t>
      </w:r>
      <w:bookmarkStart w:id="456" w:name="pg12977_114213"/>
    </w:p>
    <w:p>
      <w:pPr>
        <w:pStyle w:val="BookText"/>
        <w:rPr/>
      </w:pPr>
      <w:bookmarkEnd w:id="456"/>
      <w:r>
        <w:rPr>
          <w:rFonts w:ascii="IRNazanin" w:hAnsi="IRNazanin" w:eastAsia="IRNazanin"/>
          <w:color w:val="111111"/>
          <w:sz w:val="28"/>
          <w:sz w:val="28"/>
          <w:szCs w:val="28"/>
          <w:rtl w:val="true"/>
          <w:lang w:bidi="fa-IR"/>
        </w:rPr>
        <w:t>إرادة خلاف مقتضی اللفظ إن حصل من أمارة غیر معتبرة،فلا یصحّ رفع الید عن الحقیقة،و إن حصل من دلیل معتبر فلا یعمل بأصالة الحقیقة،و مثّل له بما إذا ورد فی السنّة المتواترة عامّ،و ورد فیها أیضا خطاب مجمل یوجب الإجمال فی ذلک العامّ و لا یوجب الظنّ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دلیل علی لزوم العمل بالأصل تعبّدا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یمکن دعوی الإجماع علی لزوم العمل بأصالة الحقیقة تعبّدا؛ فإنّ أکثر المحقّقین توقّفوا فی ما إذا تعارض الحقیقة المرجوحة مع المجاز الراجح </w:t>
      </w:r>
      <w:r>
        <w:rPr>
          <w:rStyle w:val="FootnoteAnchor"/>
          <w:rtl w:val="true"/>
        </w:rPr>
        <w:footnoteReference w:id="55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457" w:name="__RefHeading___Toc5446787_3224264995"/>
      <w:bookmarkStart w:id="458" w:name="_Toc175"/>
      <w:bookmarkEnd w:id="457"/>
      <w:r>
        <w:rPr>
          <w:rtl w:val="true"/>
        </w:rPr>
        <w:t>المناقشة فی هذا التفصیل</w:t>
      </w:r>
      <w:r>
        <w:rPr>
          <w:rtl w:val="true"/>
        </w:rPr>
        <w:t>:</w:t>
      </w:r>
      <w:bookmarkEnd w:id="458"/>
    </w:p>
    <w:p>
      <w:pPr>
        <w:pStyle w:val="BookText"/>
        <w:rPr/>
      </w:pPr>
      <w:r>
        <w:rPr>
          <w:rFonts w:ascii="IRNazanin" w:hAnsi="IRNazanin" w:eastAsia="IRNazanin"/>
          <w:color w:val="111111"/>
          <w:sz w:val="28"/>
          <w:sz w:val="28"/>
          <w:szCs w:val="28"/>
          <w:rtl w:val="true"/>
          <w:lang w:bidi="fa-IR"/>
        </w:rPr>
        <w:t xml:space="preserve">و وجه ضعفه یظهر ممّا ذکر؛فإنّ التوقّف فی ظاهر خطاب لأجل إجمال </w:t>
      </w:r>
      <w:r>
        <w:rPr>
          <w:rStyle w:val="FootnoteAnchor"/>
          <w:rtl w:val="true"/>
        </w:rPr>
        <w:footnoteReference w:id="558"/>
      </w:r>
      <w:r>
        <w:rPr>
          <w:rFonts w:ascii="IRNazanin" w:hAnsi="IRNazanin" w:eastAsia="IRNazanin"/>
          <w:color w:val="111111"/>
          <w:sz w:val="28"/>
          <w:sz w:val="28"/>
          <w:szCs w:val="28"/>
          <w:rtl w:val="true"/>
          <w:lang w:bidi="fa-IR"/>
        </w:rPr>
        <w:t>خطاب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معارضا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لم یعهد من أحد من العلماء، بل لا یبعد ما تقدّم </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حمل المجمل فی أحد الخطابین علی المبیّن فی الخطاب الآخر</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قیاس ذلک علی مسألة تعارض الحقیقة المرجوحة مع المجاز الراجح،فعلم فساده ممّا ذکرنا فی التفصیل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الکلام المکتنف بما یصلح أن یکون صارفا قد اعتمد علیه المتکلّم فی إرادة خلاف الحقیقة لا یعدّ من الظواهر،بل من المجملات،و کذلک المتعقّب بلفظ یصلح للصارفیّة،کالعامّ المتعقّب بالضمیر،و شبهه ممّا تقدّم</w:t>
      </w:r>
      <w:r>
        <w:rPr>
          <w:rFonts w:eastAsia="IRNazanin" w:cs="IRNazanin"/>
          <w:color w:val="111111"/>
          <w:sz w:val="28"/>
          <w:szCs w:val="28"/>
          <w:rtl w:val="true"/>
          <w:lang w:bidi="fa-IR"/>
        </w:rPr>
        <w:t xml:space="preserve">. </w:t>
      </w:r>
      <w:bookmarkStart w:id="459" w:name="pg12977_114214"/>
    </w:p>
    <w:p>
      <w:pPr>
        <w:pStyle w:val="Heading5"/>
        <w:numPr>
          <w:ilvl w:val="4"/>
          <w:numId w:val="1"/>
        </w:numPr>
        <w:rPr/>
      </w:pPr>
      <w:bookmarkStart w:id="460" w:name="__RefHeading___Toc5446789_3224264995"/>
      <w:bookmarkStart w:id="461" w:name="_Toc176"/>
      <w:bookmarkEnd w:id="459"/>
      <w:bookmarkEnd w:id="460"/>
      <w:r>
        <w:rPr>
          <w:rtl w:val="true"/>
        </w:rPr>
        <w:t>و أمّا القسم الثانی</w:t>
      </w:r>
      <w:bookmarkEnd w:id="461"/>
    </w:p>
    <w:p>
      <w:pPr>
        <w:pStyle w:val="Heading6"/>
        <w:numPr>
          <w:ilvl w:val="5"/>
          <w:numId w:val="1"/>
        </w:numPr>
        <w:rPr/>
      </w:pPr>
      <w:bookmarkStart w:id="462" w:name="__RefHeading___Toc5446791_3224264995"/>
      <w:bookmarkStart w:id="463" w:name="_Toc177"/>
      <w:bookmarkEnd w:id="462"/>
      <w:r>
        <w:rPr>
          <w:rtl w:val="true"/>
        </w:rPr>
        <w:t>اشارة</w:t>
      </w:r>
      <w:bookmarkEnd w:id="463"/>
    </w:p>
    <w:p>
      <w:pPr>
        <w:pStyle w:val="BookText"/>
        <w:rPr/>
      </w:pPr>
      <w:r>
        <w:rPr>
          <w:rFonts w:ascii="IRNazanin" w:hAnsi="IRNazanin" w:eastAsia="IRNazanin"/>
          <w:color w:val="111111"/>
          <w:sz w:val="28"/>
          <w:sz w:val="28"/>
          <w:szCs w:val="28"/>
          <w:rtl w:val="true"/>
          <w:lang w:bidi="fa-IR"/>
        </w:rPr>
        <w:t xml:space="preserve">و أمّا القسم الثانی </w:t>
      </w:r>
      <w:r>
        <w:rPr>
          <w:rStyle w:val="FootnoteAnchor"/>
          <w:rtl w:val="true"/>
        </w:rPr>
        <w:footnoteReference w:id="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یستعمل لتشخیص الظواهر</w:t>
      </w:r>
    </w:p>
    <w:p>
      <w:pPr>
        <w:pStyle w:val="Heading6"/>
        <w:numPr>
          <w:ilvl w:val="5"/>
          <w:numId w:val="1"/>
        </w:numPr>
        <w:rPr/>
      </w:pPr>
      <w:bookmarkStart w:id="464" w:name="__RefHeading___Toc5446793_3224264995"/>
      <w:bookmarkStart w:id="465" w:name="_Toc178"/>
      <w:bookmarkEnd w:id="464"/>
      <w:r>
        <w:rPr>
          <w:rtl w:val="true"/>
        </w:rPr>
        <w:t>اشارة</w:t>
      </w:r>
      <w:bookmarkEnd w:id="465"/>
    </w:p>
    <w:p>
      <w:pPr>
        <w:pStyle w:val="BookText"/>
        <w:rPr/>
      </w:pPr>
      <w:r>
        <w:rPr>
          <w:rFonts w:ascii="IRNazanin" w:hAnsi="IRNazanin" w:eastAsia="IRNazanin"/>
          <w:color w:val="111111"/>
          <w:sz w:val="28"/>
          <w:sz w:val="28"/>
          <w:szCs w:val="28"/>
          <w:rtl w:val="true"/>
          <w:lang w:bidi="fa-IR"/>
        </w:rPr>
        <w:t>و هو الظنّ الذی یعمل لتشخیص الظواهر،کتشخیص أنّ اللفظ المفرد الفلانیّ کلفظ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المرکّب الفلانیّ کالجملة الشرطیّة،ظاهر بحکم الوضع فی المعنی الفلانیّ،و أنّ الأمر الواقع عقیب الحظر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وقوعه فی مقام رفع الحظر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مجرّد رفع الحظر دون الإلزام</w:t>
      </w:r>
      <w:r>
        <w:rPr>
          <w:rFonts w:eastAsia="IRNazanin" w:cs="IRNazanin"/>
          <w:color w:val="111111"/>
          <w:sz w:val="28"/>
          <w:szCs w:val="28"/>
          <w:rtl w:val="true"/>
          <w:lang w:bidi="fa-IR"/>
        </w:rPr>
        <w:t>.</w:t>
      </w:r>
    </w:p>
    <w:p>
      <w:pPr>
        <w:pStyle w:val="Heading6"/>
        <w:numPr>
          <w:ilvl w:val="5"/>
          <w:numId w:val="1"/>
        </w:numPr>
        <w:rPr/>
      </w:pPr>
      <w:bookmarkStart w:id="466" w:name="__RefHeading___Toc5446795_3224264995"/>
      <w:bookmarkStart w:id="467" w:name="_Toc179"/>
      <w:bookmarkEnd w:id="466"/>
      <w:r>
        <w:rPr>
          <w:rtl w:val="true"/>
        </w:rPr>
        <w:t>حجیة قول اللغوی</w:t>
      </w:r>
      <w:bookmarkEnd w:id="467"/>
    </w:p>
    <w:p>
      <w:pPr>
        <w:pStyle w:val="Heading6"/>
        <w:numPr>
          <w:ilvl w:val="5"/>
          <w:numId w:val="1"/>
        </w:numPr>
        <w:rPr/>
      </w:pPr>
      <w:bookmarkStart w:id="468" w:name="__RefHeading___Toc5446797_3224264995"/>
      <w:bookmarkStart w:id="469" w:name="_Toc180"/>
      <w:bookmarkEnd w:id="468"/>
      <w:r>
        <w:rPr>
          <w:rtl w:val="true"/>
        </w:rPr>
        <w:t>هل قول اللغویین حجّة فی الأوضاع اللغویّة،أم لا؟</w:t>
      </w:r>
      <w:bookmarkEnd w:id="469"/>
    </w:p>
    <w:p>
      <w:pPr>
        <w:pStyle w:val="BookText"/>
        <w:rPr/>
      </w:pPr>
      <w:r>
        <w:rPr>
          <w:rFonts w:ascii="IRNazanin" w:hAnsi="IRNazanin" w:eastAsia="IRNazanin"/>
          <w:color w:val="111111"/>
          <w:sz w:val="28"/>
          <w:sz w:val="28"/>
          <w:szCs w:val="28"/>
          <w:rtl w:val="true"/>
          <w:lang w:bidi="fa-IR"/>
        </w:rPr>
        <w:t xml:space="preserve">و الظنّ الحاصل هنا یرجع إلی الظنّ بالوضع اللغویّ أو الانفهام العرفیّ،و الأوفق بالقواعد عدم حجّیة الظنّ هنا؛لأنّ الثابت المتیقّن هی حجّیة الظواهر،و أمّا حجّیة الظنّ فی أنّ هذا ظاهر فلا دلیل علیه،عدا وجوه ذکروها فی إثبات جزئیّ من جزئیّات </w:t>
      </w:r>
      <w:r>
        <w:rPr>
          <w:rStyle w:val="FootnoteAnchor"/>
          <w:rtl w:val="true"/>
        </w:rPr>
        <w:footnoteReference w:id="561"/>
      </w:r>
      <w:r>
        <w:rPr>
          <w:rFonts w:ascii="IRNazanin" w:hAnsi="IRNazanin" w:eastAsia="IRNazanin"/>
          <w:color w:val="111111"/>
          <w:sz w:val="28"/>
          <w:sz w:val="28"/>
          <w:szCs w:val="28"/>
          <w:rtl w:val="true"/>
          <w:lang w:bidi="fa-IR"/>
        </w:rPr>
        <w:t>هذه المسألة،و هی حجّیة قول اللغویّین فی الأوضاع</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المشهور کونه من الظنون الخاصّة التی ثبتت </w:t>
      </w:r>
      <w:r>
        <w:rPr>
          <w:rStyle w:val="FootnoteAnchor"/>
          <w:rtl w:val="true"/>
        </w:rPr>
        <w:footnoteReference w:id="562"/>
      </w:r>
      <w:r>
        <w:rPr>
          <w:rFonts w:ascii="IRNazanin" w:hAnsi="IRNazanin" w:eastAsia="IRNazanin"/>
          <w:color w:val="111111"/>
          <w:sz w:val="28"/>
          <w:sz w:val="28"/>
          <w:szCs w:val="28"/>
          <w:rtl w:val="true"/>
          <w:lang w:bidi="fa-IR"/>
        </w:rPr>
        <w:t>حجّیّتها مع قطع النظر عن انسداد باب العلم فی الأحکام الشرعیّة و إن کانت الحکمة فی اعتبارها انسداد باب العلم فی غالب مواردها؛فإنّ الظاهر أنّ حکمة اعتبار أکثر الظنون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کأصالة الحقیقة المتقدّم ذکرها </w:t>
      </w:r>
      <w:r>
        <w:rPr>
          <w:rStyle w:val="FootnoteAnchor"/>
          <w:rtl w:val="true"/>
        </w:rPr>
        <w:footnoteReference w:id="563"/>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انسداد باب العلم فی غالب مواردها من العرفیّات و الشرعیّات</w:t>
      </w:r>
      <w:r>
        <w:rPr>
          <w:rFonts w:eastAsia="IRNazanin" w:cs="IRNazanin"/>
          <w:color w:val="111111"/>
          <w:sz w:val="28"/>
          <w:szCs w:val="28"/>
          <w:rtl w:val="true"/>
          <w:lang w:bidi="fa-IR"/>
        </w:rPr>
        <w:t xml:space="preserve">. </w:t>
      </w:r>
      <w:bookmarkStart w:id="470" w:name="pg12977_114215"/>
    </w:p>
    <w:p>
      <w:pPr>
        <w:pStyle w:val="BookText"/>
        <w:rPr/>
      </w:pPr>
      <w:bookmarkEnd w:id="470"/>
      <w:r>
        <w:rPr>
          <w:rFonts w:ascii="IRNazanin" w:hAnsi="IRNazanin" w:eastAsia="IRNazanin"/>
          <w:color w:val="111111"/>
          <w:sz w:val="28"/>
          <w:sz w:val="28"/>
          <w:szCs w:val="28"/>
          <w:rtl w:val="true"/>
          <w:lang w:bidi="fa-IR"/>
        </w:rPr>
        <w:t>و المراد بالظنّ المطلق ما ثبت اعتباره من أجل انسداد باب العلم بخصوص الأحکام الشرعیّة،و بالظنّ الخاصّ ما ثبت اعتباره،لا لأجل الاضطرار إلی اعتبار مطلق الظنّ بعد تعذّر العلم</w:t>
      </w:r>
      <w:r>
        <w:rPr>
          <w:rFonts w:eastAsia="IRNazanin" w:cs="IRNazanin"/>
          <w:color w:val="111111"/>
          <w:sz w:val="28"/>
          <w:szCs w:val="28"/>
          <w:rtl w:val="true"/>
          <w:lang w:bidi="fa-IR"/>
        </w:rPr>
        <w:t>.</w:t>
      </w:r>
    </w:p>
    <w:p>
      <w:pPr>
        <w:pStyle w:val="Heading6"/>
        <w:numPr>
          <w:ilvl w:val="5"/>
          <w:numId w:val="1"/>
        </w:numPr>
        <w:rPr/>
      </w:pPr>
      <w:bookmarkStart w:id="471" w:name="__RefHeading___Toc5446799_3224264995"/>
      <w:bookmarkStart w:id="472" w:name="_Toc181"/>
      <w:bookmarkEnd w:id="471"/>
      <w:r>
        <w:rPr>
          <w:rtl w:val="true"/>
        </w:rPr>
        <w:t>الاستدلال علی الحجیّة بإجماع العلماء و العقلاء</w:t>
      </w:r>
      <w:r>
        <w:rPr>
          <w:rtl w:val="true"/>
        </w:rPr>
        <w:t>:</w:t>
      </w:r>
      <w:bookmarkEnd w:id="472"/>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فاستدلّوا علی اعتبار قول اللغویّین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باتّفاق العلماء بل جمیع العقلاء علی الرجوع إلیهم فی استعلام اللغات و الاستشهاد بأقوالهم فی مقام الاحتجاج،و لم ینکر ذلک أحد علی أحد،و قد حکی عن السیّد رحمه اللّه فی بعض کلماته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دعوی الإجماع علی ذلک </w:t>
      </w:r>
      <w:r>
        <w:rPr>
          <w:rStyle w:val="FootnoteAnchor"/>
          <w:rtl w:val="true"/>
        </w:rPr>
        <w:footnoteReference w:id="564"/>
      </w:r>
      <w:r>
        <w:rPr>
          <w:rFonts w:ascii="IRNazanin" w:hAnsi="IRNazanin" w:eastAsia="IRNazanin"/>
          <w:color w:val="111111"/>
          <w:sz w:val="28"/>
          <w:sz w:val="28"/>
          <w:szCs w:val="28"/>
          <w:rtl w:val="true"/>
          <w:lang w:bidi="fa-IR"/>
        </w:rPr>
        <w:t xml:space="preserve">،بل ظاهر کلامه </w:t>
      </w:r>
      <w:r>
        <w:rPr>
          <w:rStyle w:val="FootnoteAnchor"/>
          <w:rtl w:val="true"/>
        </w:rPr>
        <w:footnoteReference w:id="565"/>
      </w:r>
      <w:r>
        <w:rPr>
          <w:rFonts w:ascii="IRNazanin" w:hAnsi="IRNazanin" w:eastAsia="IRNazanin"/>
          <w:color w:val="111111"/>
          <w:sz w:val="28"/>
          <w:sz w:val="28"/>
          <w:szCs w:val="28"/>
          <w:rtl w:val="true"/>
          <w:lang w:bidi="fa-IR"/>
        </w:rPr>
        <w:t>المحکیّ اتّفاق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الفاضل السبزواریّ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حکی عنه فی هذا المقام </w:t>
      </w:r>
      <w:r>
        <w:rPr>
          <w:rStyle w:val="FootnoteAnchor"/>
          <w:rtl w:val="true"/>
        </w:rPr>
        <w:footnoteReference w:id="5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صحّة المراجعة إلی أصحاب الصناعات البارزین فی صنعتهم البارعین فی فنّهم فی ما اختصّ بصناعتهم،ممّا اتفق علیه العقلاء فی کلّ عصر و زمان </w:t>
      </w:r>
      <w:r>
        <w:rPr>
          <w:rStyle w:val="FootnoteAnchor"/>
          <w:rtl w:val="true"/>
        </w:rPr>
        <w:footnoteReference w:id="56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473" w:name="__RefHeading___Toc5446801_3224264995"/>
      <w:bookmarkStart w:id="474" w:name="_Toc182"/>
      <w:bookmarkEnd w:id="473"/>
      <w:r>
        <w:rPr>
          <w:rtl w:val="true"/>
        </w:rPr>
        <w:t>المناقشة فی الإجماع</w:t>
      </w:r>
      <w:r>
        <w:rPr>
          <w:rtl w:val="true"/>
        </w:rPr>
        <w:t>:</w:t>
      </w:r>
      <w:bookmarkEnd w:id="47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المتیقّن من هذا الاتّفاق هو الرجوع إلیهم مع اجتماع شرائط الشهادة من العدد و العدالة و نحو ذلک،لا مطلقا؛أ لا تری أنّ أکثر علمائنا علی اعتبار العدالة فیمن یرجع إلیه من أهل الرجال،بل </w:t>
      </w:r>
      <w:bookmarkStart w:id="475" w:name="pg12977_114216"/>
    </w:p>
    <w:p>
      <w:pPr>
        <w:pStyle w:val="BookText"/>
        <w:rPr/>
      </w:pPr>
      <w:bookmarkEnd w:id="475"/>
      <w:r>
        <w:rPr>
          <w:rFonts w:ascii="IRNazanin" w:hAnsi="IRNazanin" w:eastAsia="IRNazanin"/>
          <w:color w:val="111111"/>
          <w:sz w:val="28"/>
          <w:sz w:val="28"/>
          <w:szCs w:val="28"/>
          <w:rtl w:val="true"/>
          <w:lang w:bidi="fa-IR"/>
        </w:rPr>
        <w:t>و بعضهم علی اعتبار التعدّد،و الظاهر اتّفاقهم علی اشتراط التعدّد و العدالة فی أهل الخبرة فی مسألة التقویم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هذا،مع أنّه لا یعرف الحقیقة عن المجاز بمجرّد قول اللغویّ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اعترف به المستدلّ فی بعض کلماته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ینفع فی تشخیص الظواهر</w:t>
      </w:r>
      <w:r>
        <w:rPr>
          <w:rFonts w:eastAsia="IRNazanin" w:cs="IRNazanin"/>
          <w:color w:val="111111"/>
          <w:sz w:val="28"/>
          <w:szCs w:val="28"/>
          <w:rtl w:val="true"/>
          <w:lang w:bidi="fa-IR"/>
        </w:rPr>
        <w:t>.</w:t>
      </w:r>
    </w:p>
    <w:p>
      <w:pPr>
        <w:pStyle w:val="Heading6"/>
        <w:numPr>
          <w:ilvl w:val="5"/>
          <w:numId w:val="1"/>
        </w:numPr>
        <w:rPr/>
      </w:pPr>
      <w:bookmarkStart w:id="476" w:name="__RefHeading___Toc5446803_3224264995"/>
      <w:bookmarkStart w:id="477" w:name="_Toc183"/>
      <w:bookmarkEnd w:id="476"/>
      <w:r>
        <w:rPr>
          <w:rtl w:val="true"/>
        </w:rPr>
        <w:t>مختار المصنّف فی المسألة</w:t>
      </w:r>
      <w:r>
        <w:rPr>
          <w:rtl w:val="true"/>
        </w:rPr>
        <w:t>:</w:t>
      </w:r>
      <w:bookmarkEnd w:id="477"/>
    </w:p>
    <w:p>
      <w:pPr>
        <w:pStyle w:val="BookText"/>
        <w:rPr/>
      </w:pPr>
      <w:r>
        <w:rPr>
          <w:rFonts w:ascii="IRNazanin" w:hAnsi="IRNazanin" w:eastAsia="IRNazanin"/>
          <w:color w:val="111111"/>
          <w:sz w:val="28"/>
          <w:sz w:val="28"/>
          <w:szCs w:val="28"/>
          <w:rtl w:val="true"/>
          <w:lang w:bidi="fa-IR"/>
        </w:rPr>
        <w:t>فالإنصاف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الرجوع إلی أهل اللغة مع عدم اجتماع شروط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فی مقامات یحصل العلم بالمستعمل فیه من مجرّد ذکر لغویّ واحد أو أزید له علی وجه یعلم کونه من المسلّمات عند أهل اللغة،کما قد یحصل العلم بالمسألة الفقهیّة من إرسال جماعة </w:t>
      </w:r>
      <w:r>
        <w:rPr>
          <w:rStyle w:val="FootnoteAnchor"/>
          <w:rtl w:val="true"/>
        </w:rPr>
        <w:footnoteReference w:id="568"/>
      </w:r>
      <w:r>
        <w:rPr>
          <w:rFonts w:ascii="IRNazanin" w:hAnsi="IRNazanin" w:eastAsia="IRNazanin"/>
          <w:color w:val="111111"/>
          <w:sz w:val="28"/>
          <w:sz w:val="28"/>
          <w:szCs w:val="28"/>
          <w:rtl w:val="true"/>
          <w:lang w:bidi="fa-IR"/>
        </w:rPr>
        <w:t>لها إرسال المسلّمات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فی مقامات یتسامح فیها؛لعدم التکلیف الشرعیّ بتحصیل العلم بالمعنی اللغویّ،کما إذا ارید تفسیر خطبة أو روایة لا تتعلّق بتکلیف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فی مقام انسدّ فیه طریق العلم و لا بدّ من العمل،فیعمل بالظنّ بالحکم الشرعیّ المستند بقول أهل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طرح قول اللغویّ الغیر المفید للعلم فی ألفاظ الکتاب و السنّة مستلزم لانسداد طریق الاستنباط فی غالب الأحکام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لاندفاع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أکثر موادّ اللغات إلاّ ما شذّ و 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نحوه </w:t>
      </w:r>
      <w:r>
        <w:rPr>
          <w:rStyle w:val="FootnoteAnchor"/>
          <w:rtl w:val="true"/>
        </w:rPr>
        <w:footnoteReference w:id="5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من العرف و اللغة،کما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المتّبع فی الهیئات هی القواعد العربیّة المستفادة من الاستقراء القطعیّ و اتّفاق أهل </w:t>
      </w:r>
    </w:p>
    <w:p>
      <w:pPr>
        <w:pStyle w:val="BookText"/>
        <w:rPr/>
      </w:pPr>
      <w:r>
        <w:rPr>
          <w:rFonts w:ascii="IRNazanin" w:hAnsi="IRNazanin" w:eastAsia="IRNazanin"/>
          <w:color w:val="111111"/>
          <w:sz w:val="28"/>
          <w:sz w:val="28"/>
          <w:szCs w:val="28"/>
          <w:rtl w:val="true"/>
          <w:lang w:bidi="fa-IR"/>
        </w:rPr>
        <w:t>العربیة،أو التبادر بضمیمة أصالة عدم القرینة،فإنّه قد یثبت به الوضع الأصلیّ الموجود فی الحقائق،کما فی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الجملة الشرطیّة أو الوصفیّة؛و من هنا یتمسّکون </w:t>
      </w:r>
      <w:r>
        <w:rPr>
          <w:rStyle w:val="FootnoteAnchor"/>
          <w:rtl w:val="true"/>
        </w:rPr>
        <w:footnoteReference w:id="5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إثبات مفهوم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بفهم أبی عبیدة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الواجد</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 xml:space="preserve">،و نحوه غیره من موارد الاستشهاد بفهم أهل اللسان </w:t>
      </w:r>
      <w:r>
        <w:rPr>
          <w:rStyle w:val="FootnoteAnchor"/>
          <w:rtl w:val="true"/>
        </w:rPr>
        <w:footnoteReference w:id="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یثبت به الوضع بالمعنی الأعمّ الثابت فی المجازات المکتنفة بالقرائن المقامیّة،کما یدّعی أنّ الأمر عقیب الحظر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 عن القرینة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یتبادر منه مجرّد رفع الحظر دون الإیجاب و الإلزام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کونه لأجل قرینة خاصّة،یدفع بالأصل،فیثبت به کونه لأجل القرینة العامّة،و هی الوقوع فی مقام رفع الحظر؛فیثبت بذلک ظهور ثانویّ لصیغة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بواسطة القرینة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فالحاجة إلی قول اللغویّ الذی لا یحصل العلم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لقلّة مواردها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تصلح سببا للحکم باعتباره لأجل الحاجة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نعم،سیجیء </w:t>
      </w:r>
      <w:r>
        <w:rPr>
          <w:rStyle w:val="FootnoteAnchor"/>
          <w:rtl w:val="true"/>
        </w:rPr>
        <w:footnoteReference w:id="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کلّ من عمل بالظنّ فی مطلق الأحکام الشرعیّة الفرعیّة یلزمه العمل بالظنّ بالحکم الناشئ من الظنّ بقول اللغویّ،لکنّه لا یحتاج إلی دعوی انسداد باب العلم فی اللغات،بل </w:t>
      </w:r>
    </w:p>
    <w:p>
      <w:pPr>
        <w:pStyle w:val="BookText"/>
        <w:rPr/>
      </w:pPr>
      <w:r>
        <w:rPr>
          <w:rFonts w:ascii="IRNazanin" w:hAnsi="IRNazanin" w:eastAsia="IRNazanin"/>
          <w:color w:val="111111"/>
          <w:sz w:val="28"/>
          <w:sz w:val="28"/>
          <w:szCs w:val="28"/>
          <w:rtl w:val="true"/>
          <w:lang w:bidi="fa-IR"/>
        </w:rPr>
        <w:t>العبرة عنده بانسداد باب العلم فی معظم الأحکام؛فإنّه یوجب الرجوع إلی الظنّ بالحکم الحاصل من الظنّ باللغة و إن فرض انفتاح باب العلم فیما عدا هذا المورد من اللغات،و سیتّضح هذا زیادة علی هذا إن شاء اللّه تعالی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مورد الحاجة إلی قول اللغویّین أکثر من أن یحصی فی تفاصیل المعانی بحیث یفهم دخول الأفراد المشکوکة أو خروجها،و إن کان المعنی فی الجملة معلوما من دون مراجعة قول اللغویّ،کما فی مثل 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الفاکهة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 ذلک من متعلّقات الأحکام ممّا لا یحصی،و إن لم تکن الکثرة بحیث یوجب التوقّف فیها محذورا، و لعلّ هذا المقدار </w:t>
      </w:r>
      <w:r>
        <w:rPr>
          <w:rStyle w:val="FootnoteAnchor"/>
          <w:rtl w:val="true"/>
        </w:rPr>
        <w:footnoteReference w:id="574"/>
      </w:r>
      <w:r>
        <w:rPr>
          <w:rFonts w:ascii="IRNazanin" w:hAnsi="IRNazanin" w:eastAsia="IRNazanin"/>
          <w:color w:val="111111"/>
          <w:sz w:val="28"/>
          <w:sz w:val="28"/>
          <w:szCs w:val="28"/>
          <w:rtl w:val="true"/>
          <w:lang w:bidi="fa-IR"/>
        </w:rPr>
        <w:t xml:space="preserve">مع الاتّفاقات المستفیضة کاف فی المطلب،فتأمّل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8" w:name="pg12977_114220"/>
      <w:bookmarkStart w:id="479" w:name="pg12977_114220"/>
      <w:bookmarkEnd w:id="479"/>
    </w:p>
    <w:p>
      <w:pPr>
        <w:pStyle w:val="Heading6"/>
        <w:numPr>
          <w:ilvl w:val="5"/>
          <w:numId w:val="1"/>
        </w:numPr>
        <w:rPr/>
      </w:pPr>
      <w:bookmarkStart w:id="480" w:name="pg12977_114220"/>
      <w:bookmarkStart w:id="481" w:name="__RefHeading___Toc5446805_3224264995"/>
      <w:bookmarkStart w:id="482" w:name="_Toc184"/>
      <w:bookmarkEnd w:id="480"/>
      <w:bookmarkEnd w:id="481"/>
      <w:r>
        <w:rPr>
          <w:rtl w:val="true"/>
        </w:rPr>
        <w:t>الإجماع المنقول</w:t>
      </w:r>
      <w:bookmarkEnd w:id="4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المنقول</w:t>
      </w:r>
      <w:r>
        <w:rPr>
          <w:rFonts w:eastAsia="IRNazanin" w:cs="IRNazanin"/>
          <w:color w:val="111111"/>
          <w:sz w:val="28"/>
          <w:szCs w:val="28"/>
          <w:rtl w:val="true"/>
          <w:lang w:bidi="fa-IR"/>
        </w:rPr>
        <w:t xml:space="preserve">] </w:t>
      </w:r>
      <w:r>
        <w:rPr>
          <w:rStyle w:val="FootnoteAnchor"/>
          <w:rtl w:val="true"/>
        </w:rPr>
        <w:footnoteReference w:id="576"/>
      </w:r>
    </w:p>
    <w:p>
      <w:pPr>
        <w:pStyle w:val="Heading6"/>
        <w:numPr>
          <w:ilvl w:val="5"/>
          <w:numId w:val="1"/>
        </w:numPr>
        <w:rPr/>
      </w:pPr>
      <w:bookmarkStart w:id="483" w:name="__RefHeading___Toc5446807_3224264995"/>
      <w:bookmarkStart w:id="484" w:name="_Toc185"/>
      <w:bookmarkEnd w:id="483"/>
      <w:r>
        <w:rPr>
          <w:rtl w:val="true"/>
        </w:rPr>
        <w:t>هل الإجماع المنقول حجّة،أم لا؟</w:t>
      </w:r>
      <w:bookmarkEnd w:id="484"/>
    </w:p>
    <w:p>
      <w:pPr>
        <w:pStyle w:val="BookText"/>
        <w:rPr/>
      </w:pPr>
      <w:r>
        <w:rPr>
          <w:rFonts w:ascii="Amiri" w:hAnsi="Amiri" w:eastAsia="Amiri" w:cs="Amiri"/>
          <w:color w:val="111111"/>
          <w:sz w:val="28"/>
          <w:sz w:val="28"/>
          <w:szCs w:val="28"/>
          <w:rtl w:val="true"/>
          <w:lang w:bidi="ar-SA"/>
        </w:rPr>
        <w:t>و من جملة الظنون الخارجة عن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الإجماع المنقول بخبر الواحد،عند کثیر ممّن یقول باعتبار الخبر بالخصوص </w:t>
      </w:r>
      <w:r>
        <w:rPr>
          <w:rStyle w:val="FootnoteAnchor"/>
          <w:rtl w:val="true"/>
        </w:rPr>
        <w:footnoteReference w:id="577"/>
      </w:r>
      <w:r>
        <w:rPr>
          <w:rFonts w:ascii="IRNazanin" w:hAnsi="IRNazanin" w:eastAsia="IRNazanin"/>
          <w:color w:val="111111"/>
          <w:sz w:val="28"/>
          <w:sz w:val="28"/>
          <w:szCs w:val="28"/>
          <w:rtl w:val="true"/>
          <w:lang w:bidi="fa-IR"/>
        </w:rPr>
        <w:t>نظرا إلی أنّه من أفراده،فیشمله أدلّته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من ذکره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 علی بیان الحال فی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التعرّض للملازمة بین حجّیة الخبر و حجّیته،فنقول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ظاهر أکثر القائلین باعتباره بالخصوص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الدلیل علیه هو الدلیل علی حجّیة خبر العادل،فهو عندهم کخبر صحیح عالی السند؛ لأنّ مدّعی الإجماع یحکی مدلوله و یرویه عن الإمام علیه السّلام بلا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یدخل الإجماع ما یدخل الخبر من الأقسام،و یلحقه ما یلحقه من الأحکام</w:t>
      </w:r>
      <w:r>
        <w:rPr>
          <w:rFonts w:eastAsia="IRNazanin" w:cs="IRNazanin"/>
          <w:color w:val="111111"/>
          <w:sz w:val="28"/>
          <w:szCs w:val="28"/>
          <w:rtl w:val="true"/>
          <w:lang w:bidi="fa-IR"/>
        </w:rPr>
        <w:t>.</w:t>
      </w:r>
    </w:p>
    <w:p>
      <w:pPr>
        <w:pStyle w:val="Heading6"/>
        <w:numPr>
          <w:ilvl w:val="5"/>
          <w:numId w:val="1"/>
        </w:numPr>
        <w:rPr/>
      </w:pPr>
      <w:bookmarkStart w:id="485" w:name="__RefHeading___Toc5446809_3224264995"/>
      <w:bookmarkStart w:id="486" w:name="_Toc186"/>
      <w:bookmarkEnd w:id="485"/>
      <w:r>
        <w:rPr>
          <w:rtl w:val="true"/>
        </w:rPr>
        <w:t>الکلام فی الملازمة بین حجّیة الخبر الواحد و حجّیة الإجماع المنقول</w:t>
      </w:r>
      <w:r>
        <w:rPr>
          <w:rtl w:val="true"/>
        </w:rPr>
        <w:t>:</w:t>
      </w:r>
      <w:bookmarkEnd w:id="48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یقوی فی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عدم الملازمة بین حجّیة الخبر و حجّیة </w:t>
      </w:r>
      <w:bookmarkStart w:id="487" w:name="pg12977_114221"/>
    </w:p>
    <w:p>
      <w:pPr>
        <w:pStyle w:val="BookText"/>
        <w:rPr/>
      </w:pPr>
      <w:bookmarkEnd w:id="487"/>
      <w:r>
        <w:rPr>
          <w:rFonts w:ascii="IRNazanin" w:hAnsi="IRNazanin" w:eastAsia="IRNazanin"/>
          <w:color w:val="111111"/>
          <w:sz w:val="28"/>
          <w:sz w:val="28"/>
          <w:szCs w:val="28"/>
          <w:rtl w:val="true"/>
          <w:lang w:bidi="fa-IR"/>
        </w:rPr>
        <w:t>الإجماع المنقول،و توضیح ذلک یحصل بتقدیم أمرین</w:t>
      </w:r>
      <w:r>
        <w:rPr>
          <w:rFonts w:eastAsia="IRNazanin" w:cs="IRNazanin"/>
          <w:color w:val="111111"/>
          <w:sz w:val="28"/>
          <w:szCs w:val="28"/>
          <w:rtl w:val="true"/>
          <w:lang w:bidi="fa-IR"/>
        </w:rPr>
        <w:t>:</w:t>
      </w:r>
    </w:p>
    <w:p>
      <w:pPr>
        <w:pStyle w:val="Heading6"/>
        <w:numPr>
          <w:ilvl w:val="5"/>
          <w:numId w:val="1"/>
        </w:numPr>
        <w:rPr/>
      </w:pPr>
      <w:bookmarkStart w:id="488" w:name="__RefHeading___Toc5446811_3224264995"/>
      <w:bookmarkStart w:id="489" w:name="_Toc187"/>
      <w:bookmarkEnd w:id="488"/>
      <w:r>
        <w:rPr>
          <w:rtl w:val="true"/>
        </w:rPr>
        <w:t>الأمر الأوّل</w:t>
      </w:r>
      <w:r>
        <w:rPr>
          <w:rtl w:val="true"/>
        </w:rPr>
        <w:t xml:space="preserve">: </w:t>
      </w:r>
      <w:r>
        <w:rPr>
          <w:rtl w:val="true"/>
        </w:rPr>
        <w:t>عدم حجّیة الإخبار عن حدس</w:t>
      </w:r>
      <w:bookmarkEnd w:id="489"/>
    </w:p>
    <w:p>
      <w:pPr>
        <w:pStyle w:val="BookText"/>
        <w:rPr/>
      </w:pPr>
      <w:r>
        <w:rPr>
          <w:rFonts w:ascii="IRNazanin" w:hAnsi="IRNazanin" w:eastAsia="IRNazanin"/>
          <w:color w:val="111111"/>
          <w:sz w:val="28"/>
          <w:sz w:val="28"/>
          <w:szCs w:val="28"/>
          <w:rtl w:val="true"/>
          <w:lang w:bidi="fa-IR"/>
        </w:rPr>
        <w:t xml:space="preserve">أنّ الأدلّة الخاصّة التی أقاموها علی حجّیة خبر العادل لا تدلّ إلاّ علی حجّیة الإخبار عن حسّ؛لأنّ العمدة من تلک الأدلّة هو الاتّفاق الحاصل من عمل القدماء و أصحاب الأئمّة علیهم السّلام،و معلوم عدم شموله </w:t>
      </w:r>
      <w:r>
        <w:rPr>
          <w:rStyle w:val="FootnoteAnchor"/>
          <w:rtl w:val="true"/>
        </w:rPr>
        <w:footnoteReference w:id="578"/>
      </w:r>
      <w:r>
        <w:rPr>
          <w:rFonts w:ascii="IRNazanin" w:hAnsi="IRNazanin" w:eastAsia="IRNazanin"/>
          <w:color w:val="111111"/>
          <w:sz w:val="28"/>
          <w:sz w:val="28"/>
          <w:szCs w:val="28"/>
          <w:rtl w:val="true"/>
          <w:lang w:bidi="fa-IR"/>
        </w:rPr>
        <w:t>إلاّ للروایة المصطلحة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الأخبار الواردة فی العمل بالروایات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المناط فی وجوب العمل بالروایات هو کشفها عن الحکم الصادر عن المعصوم،و لا یعتبر فی ذلک حکایة ألفاظ الإمام علیه السّلام؛و لذا یجوز النقل بالمعنی،فإذا کان المناط کشف الروایات عن صدور معناها عن الإمام علیه السّلام و لو بلفظ آخر،و المفروض أنّ حکایة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حکایة حکم صادر عن المعصوم علیه السّلام بهذه العبارة التی هی معقد الإجماع أو بعبارة اخری،وجب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هذا المناط لو ثبت دلّ علی حجّیة الشهرة،بل فتوی الفقیه إذا کشف عن صدور الحکم بعبارة الفتوی أو بعبارة غیرها،کما عمل بفتاوی علیّ بن بابویه قدّس سرّه؛لتنزیل فتواه منزلة روایته،بل علی حجّیة مطلق الظنّ بالحکم الصادر عن الإمام علیه السّلام،و سیجیء توضیح الحال </w:t>
      </w:r>
      <w:r>
        <w:rPr>
          <w:rStyle w:val="FootnoteAnchor"/>
          <w:rtl w:val="true"/>
        </w:rPr>
        <w:footnoteReference w:id="579"/>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Heading6"/>
        <w:numPr>
          <w:ilvl w:val="5"/>
          <w:numId w:val="1"/>
        </w:numPr>
        <w:rPr/>
      </w:pPr>
      <w:bookmarkStart w:id="490" w:name="__RefHeading___Toc5446813_3224264995"/>
      <w:bookmarkStart w:id="491" w:name="_Toc188"/>
      <w:bookmarkEnd w:id="490"/>
      <w:r>
        <w:rPr>
          <w:rtl w:val="true"/>
        </w:rPr>
        <w:t>الاستدلال بآیة النبأ علی حجّیة الإجماع المنقول</w:t>
      </w:r>
      <w:r>
        <w:rPr>
          <w:rtl w:val="true"/>
        </w:rPr>
        <w:t>:</w:t>
      </w:r>
      <w:bookmarkEnd w:id="49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فالعمدة فیها من حیث وضوح الدلالة هی آیة النبأ </w:t>
      </w:r>
      <w:r>
        <w:rPr>
          <w:rStyle w:val="FootnoteAnchor"/>
          <w:rtl w:val="true"/>
        </w:rPr>
        <w:footnoteReference w:id="580"/>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هی إنّما تدلّ علی وجوب قبول خبر العادل دون خبر الفاسق، و الظاهر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التفصیل بین العادل حین الإخبار و الفاسق، و بقرینة تعلیل اختصاص التبیّن بخبر الفاسق بقیام احتمال الوقوع فی الندم احتمالا مساویا؛لأنّ الفاسق لا رادع له عن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الاعتناء باحتمال تعمّد کذبه،لا وجوب البناء علی إصابته و عدم خطائه فی حدسه؛لأنّ الفسق و العدالة حین الإخبار لا یصلحان مناطین </w:t>
      </w:r>
      <w:r>
        <w:rPr>
          <w:rStyle w:val="FootnoteAnchor"/>
          <w:rtl w:val="true"/>
        </w:rPr>
        <w:footnoteReference w:id="581"/>
      </w:r>
      <w:r>
        <w:rPr>
          <w:rFonts w:ascii="IRNazanin" w:hAnsi="IRNazanin" w:eastAsia="IRNazanin"/>
          <w:color w:val="111111"/>
          <w:sz w:val="28"/>
          <w:sz w:val="28"/>
          <w:szCs w:val="28"/>
          <w:rtl w:val="true"/>
          <w:lang w:bidi="fa-IR"/>
        </w:rPr>
        <w:t>لتصویب المخبر و تخطئته بالنسبة إلی حدسه،و کذا احتمال الوقوع فی الندم من جهة الخطأ فی الحدس أمر مشترک بین العادل و الفاسق،فلا یصلح لتعلیل الفرق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فعلمنا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 من الآیة إرادة نفی احتمال تعمّد الکذب عن العادل حین الإخبار دون الفاسق؛لأنّ هذا هو الذی یصلح لإناطته بالفسق و العدالة حین الإخبار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دلالة الآیة علی قبول الشهادة الحدسیّة إذا قلنا بدلالة الآیة علی اعتبار شهادة العدل</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مجرّد دلالة الآیة علی ما ذکر لا یوجب قبول </w:t>
      </w:r>
      <w:r>
        <w:rPr>
          <w:rStyle w:val="FootnoteAnchor"/>
          <w:rtl w:val="true"/>
        </w:rPr>
        <w:footnoteReference w:id="582"/>
      </w:r>
      <w:r>
        <w:rPr>
          <w:rFonts w:ascii="IRNazanin" w:hAnsi="IRNazanin" w:eastAsia="IRNazanin"/>
          <w:color w:val="111111"/>
          <w:sz w:val="28"/>
          <w:sz w:val="28"/>
          <w:szCs w:val="28"/>
          <w:rtl w:val="true"/>
          <w:lang w:bidi="fa-IR"/>
        </w:rPr>
        <w:t>الخبر؛لبقاء احتمال خطأ العادل فیما أخبر و إن لم یتعمّد الکذب،فیجب التبیّن فی خبر العادل أیضا؛لاحتمال خطائه و سهوه،و هو خلاف الآیة المفصّلة بین العادل و الفاسق،غایة الأمر وجوبه فی خبر الفاسق من وجهین و فی العادل من جهة واحدة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 بالآیة عدم جواز الاعتناء باحتمال تعمّد کذبه، ینفی احتمال خطائه و غفلته و اشتباهه بأصالة عدم الخطأ فی الحسّ؛و هذا أصل علیه إطباق العقلاء و العلماء فی جمیع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نعم،لو کان المخبر ممّن یکثر علیه الخطأ و الاشتباه لم یعبأ بخبره؛ لعدم جریان أصالة عدم الخطأ و الاشتباه؛و لذا یعتبرون فی الراوی و الشاهد </w:t>
      </w:r>
      <w:r>
        <w:rPr>
          <w:rStyle w:val="FootnoteAnchor"/>
          <w:rtl w:val="true"/>
        </w:rPr>
        <w:footnoteReference w:id="583"/>
      </w:r>
      <w:r>
        <w:rPr>
          <w:rFonts w:ascii="IRNazanin" w:hAnsi="IRNazanin" w:eastAsia="IRNazanin"/>
          <w:color w:val="111111"/>
          <w:sz w:val="28"/>
          <w:sz w:val="28"/>
          <w:szCs w:val="28"/>
          <w:rtl w:val="true"/>
          <w:lang w:bidi="fa-IR"/>
        </w:rPr>
        <w:t>الضبط،و إن کان ربما یتوهّم الجاهل ثبوت ذلک من الإجماع،إلاّ أنّ المنصف یشهد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Style w:val="FootnoteAnchor"/>
          <w:rtl w:val="true"/>
        </w:rPr>
        <w:footnoteReference w:id="584"/>
      </w:r>
      <w:r>
        <w:rPr>
          <w:rFonts w:ascii="IRNazanin" w:hAnsi="IRNazanin" w:eastAsia="IRNazanin"/>
          <w:color w:val="111111"/>
          <w:sz w:val="28"/>
          <w:sz w:val="28"/>
          <w:szCs w:val="28"/>
          <w:rtl w:val="true"/>
          <w:lang w:bidi="fa-IR"/>
        </w:rPr>
        <w:t>اعتبار هذا فی جمیع موارده لیس لدلیل خارجیّ مخصّص لعموم آیة النبأ و نحوها ممّا دلّ علی وجوب قبول قول العادل،بل لما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المراد بوجوب قبول قول العادل رفع التهمة عنه من جهة احتمال تعمّده الکذب،لا تصویبه و عدم تخطئته أو غفلته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لم یستدلّ أحد من العلماء علی حجّیة فتوی الفقیه علی العامّی بآیة النبأ،مع استدلالهم علیها بآیتی النفر و السؤال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دلالة الآیة و أمثالها من أدلّة قبول قول العادل علی وجوب تصویبه فی 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الوجه فیما </w:t>
      </w:r>
      <w:bookmarkStart w:id="492" w:name="pg12977_114224"/>
    </w:p>
    <w:p>
      <w:pPr>
        <w:pStyle w:val="BookText"/>
        <w:rPr/>
      </w:pPr>
      <w:bookmarkEnd w:id="492"/>
      <w:r>
        <w:rPr>
          <w:rFonts w:ascii="IRNazanin" w:hAnsi="IRNazanin" w:eastAsia="IRNazanin"/>
          <w:color w:val="111111"/>
          <w:sz w:val="28"/>
          <w:sz w:val="28"/>
          <w:szCs w:val="28"/>
          <w:rtl w:val="true"/>
          <w:lang w:bidi="fa-IR"/>
        </w:rPr>
        <w:t xml:space="preserve">ذهب إلیه المعظم </w:t>
      </w:r>
      <w:r>
        <w:rPr>
          <w:rStyle w:val="FootnoteAnchor"/>
          <w:rtl w:val="true"/>
        </w:rPr>
        <w:footnoteReference w:id="587"/>
      </w:r>
      <w:r>
        <w:rPr>
          <w:rFonts w:ascii="IRNazanin" w:hAnsi="IRNazanin" w:eastAsia="IRNazanin"/>
          <w:color w:val="111111"/>
          <w:sz w:val="28"/>
          <w:sz w:val="28"/>
          <w:szCs w:val="28"/>
          <w:rtl w:val="true"/>
          <w:lang w:bidi="fa-IR"/>
        </w:rPr>
        <w:t xml:space="preserve">،بل أطبقوا علیه کما فی الریاض </w:t>
      </w:r>
      <w:r>
        <w:rPr>
          <w:rStyle w:val="FootnoteAnchor"/>
          <w:rtl w:val="true"/>
        </w:rPr>
        <w:footnoteReference w:id="5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عدم </w:t>
      </w:r>
      <w:r>
        <w:rPr>
          <w:rStyle w:val="FootnoteAnchor"/>
          <w:rtl w:val="true"/>
        </w:rPr>
        <w:footnoteReference w:id="589"/>
      </w:r>
      <w:r>
        <w:rPr>
          <w:rFonts w:ascii="IRNazanin" w:hAnsi="IRNazanin" w:eastAsia="IRNazanin"/>
          <w:color w:val="111111"/>
          <w:sz w:val="28"/>
          <w:sz w:val="28"/>
          <w:szCs w:val="28"/>
          <w:rtl w:val="true"/>
          <w:lang w:bidi="fa-IR"/>
        </w:rPr>
        <w:t>اعتبار الشهادة فی المحسوسات إذا لم تستند إلی الحسّ،و إن علّله فی الریاض بما لا یخلو عن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الشهادة من الشهود و هو الحضور، فالحسّ مأخوذ فی مفهومها</w:t>
      </w:r>
      <w:r>
        <w:rPr>
          <w:rFonts w:eastAsia="IRNazanin" w:cs="IRNazanin"/>
          <w:color w:val="111111"/>
          <w:sz w:val="28"/>
          <w:szCs w:val="28"/>
          <w:rtl w:val="true"/>
          <w:lang w:bidi="fa-IR"/>
        </w:rPr>
        <w:t>.</w:t>
      </w:r>
    </w:p>
    <w:p>
      <w:pPr>
        <w:pStyle w:val="Heading6"/>
        <w:numPr>
          <w:ilvl w:val="5"/>
          <w:numId w:val="1"/>
        </w:numPr>
        <w:rPr/>
      </w:pPr>
      <w:bookmarkStart w:id="493" w:name="__RefHeading___Toc5446815_3224264995"/>
      <w:bookmarkStart w:id="494" w:name="_Toc189"/>
      <w:bookmarkEnd w:id="493"/>
      <w:r>
        <w:rPr>
          <w:rtl w:val="true"/>
        </w:rPr>
        <w:t>عدم عمومیّة آیة</w:t>
      </w:r>
      <w:r>
        <w:rPr>
          <w:rtl w:val="true"/>
        </w:rPr>
        <w:t>«</w:t>
      </w:r>
      <w:r>
        <w:rPr>
          <w:rtl w:val="true"/>
        </w:rPr>
        <w:t>النبأ</w:t>
      </w:r>
      <w:r>
        <w:rPr>
          <w:rtl w:val="true"/>
        </w:rPr>
        <w:t>»</w:t>
      </w:r>
      <w:r>
        <w:rPr>
          <w:rtl w:val="true"/>
        </w:rPr>
        <w:t>لکلّ خبر</w:t>
      </w:r>
      <w:r>
        <w:rPr>
          <w:rtl w:val="true"/>
        </w:rPr>
        <w:t>:</w:t>
      </w:r>
      <w:bookmarkEnd w:id="494"/>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ینبغی الإشکال فی أنّ الإخبار عن حدس و اجتهاد و نظر لیس حجّة إلاّ علی من وجب علیه تقلید المخبر فی الأحکام الشرعیّة،و أنّ الآیة لیست عامّة لکلّ خبر و دعوی </w:t>
      </w:r>
      <w:r>
        <w:rPr>
          <w:rStyle w:val="FootnoteAnchor"/>
          <w:rtl w:val="true"/>
        </w:rPr>
        <w:footnoteReference w:id="590"/>
      </w:r>
      <w:r>
        <w:rPr>
          <w:rFonts w:ascii="IRNazanin" w:hAnsi="IRNazanin" w:eastAsia="IRNazanin"/>
          <w:color w:val="111111"/>
          <w:sz w:val="28"/>
          <w:sz w:val="28"/>
          <w:szCs w:val="28"/>
          <w:rtl w:val="true"/>
          <w:lang w:bidi="fa-IR"/>
        </w:rPr>
        <w:t>خرج ما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إذا أخبر الفاسق بخبر یعلم بعدم تعمّده للکذب فیه،تقبل شهادته فیه؛لأنّ احتمال تعمّده للکذب منتف بالفرض،و احتمال غفلته و خطائه منفیّ بالأصل المجمع علیه،مع أنّ شهادته مردودة إجماعا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المراد ممّا ذکرنا عدم قابلیّة العدالة و الفسق لإناطة </w:t>
      </w:r>
      <w:r>
        <w:rPr>
          <w:rStyle w:val="FootnoteAnchor"/>
          <w:rtl w:val="true"/>
        </w:rPr>
        <w:footnoteReference w:id="591"/>
      </w:r>
      <w:r>
        <w:rPr>
          <w:rFonts w:ascii="IRNazanin" w:hAnsi="IRNazanin" w:eastAsia="IRNazanin"/>
          <w:color w:val="111111"/>
          <w:sz w:val="28"/>
          <w:sz w:val="28"/>
          <w:szCs w:val="28"/>
          <w:rtl w:val="true"/>
          <w:lang w:bidi="fa-IR"/>
        </w:rPr>
        <w:t xml:space="preserve">الحکم بهما وجودا و عدما تعبّدا،کما فی الشهادة و الفتوی و نحوهما،بل </w:t>
      </w:r>
      <w:bookmarkStart w:id="495" w:name="pg12977_114225"/>
    </w:p>
    <w:p>
      <w:pPr>
        <w:pStyle w:val="BookText"/>
        <w:rPr/>
      </w:pPr>
      <w:bookmarkEnd w:id="495"/>
      <w:r>
        <w:rPr>
          <w:rFonts w:ascii="IRNazanin" w:hAnsi="IRNazanin" w:eastAsia="IRNazanin"/>
          <w:color w:val="111111"/>
          <w:sz w:val="28"/>
          <w:sz w:val="28"/>
          <w:szCs w:val="28"/>
          <w:rtl w:val="true"/>
          <w:lang w:bidi="fa-IR"/>
        </w:rPr>
        <w:t xml:space="preserve">المراد أنّ الآیة المذکورة لا تدلّ إلاّ علی مانعیّة الفسق من حیث قیام احتمال تعمّد الکذب معه،فیکون مفهومها عدم المانع فی العادل من هذه الجهة،فلا یدلّ علی وجوب قبول خبر العادل إذا لم یمکن نفی خطائه بأصالة عدم الخطأ المختصّة بالأخبار الحسیّة،فالآیة </w:t>
      </w:r>
      <w:r>
        <w:rPr>
          <w:rStyle w:val="FootnoteAnchor"/>
          <w:rtl w:val="true"/>
        </w:rPr>
        <w:footnoteReference w:id="592"/>
      </w:r>
      <w:r>
        <w:rPr>
          <w:rFonts w:ascii="IRNazanin" w:hAnsi="IRNazanin" w:eastAsia="IRNazanin"/>
          <w:color w:val="111111"/>
          <w:sz w:val="28"/>
          <w:sz w:val="28"/>
          <w:szCs w:val="28"/>
          <w:rtl w:val="true"/>
          <w:lang w:bidi="fa-IR"/>
        </w:rPr>
        <w:t xml:space="preserve">لا تدلّ أیضا علی اشتراط العدالة و مانعیّة الفسق فی صورة العلم بعدم تعمّد </w:t>
      </w:r>
      <w:r>
        <w:rPr>
          <w:rStyle w:val="FootnoteAnchor"/>
          <w:rtl w:val="true"/>
        </w:rPr>
        <w:footnoteReference w:id="593"/>
      </w:r>
      <w:r>
        <w:rPr>
          <w:rFonts w:ascii="IRNazanin" w:hAnsi="IRNazanin" w:eastAsia="IRNazanin"/>
          <w:color w:val="111111"/>
          <w:sz w:val="28"/>
          <w:sz w:val="28"/>
          <w:szCs w:val="28"/>
          <w:rtl w:val="true"/>
          <w:lang w:bidi="fa-IR"/>
        </w:rPr>
        <w:t xml:space="preserve">الکذب،بل لا بدّ له من دلیل آخر،فتأمّل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6" w:name="__RefHeading___Toc5446817_3224264995"/>
      <w:bookmarkStart w:id="497" w:name="_Toc190"/>
      <w:bookmarkEnd w:id="496"/>
      <w:r>
        <w:rPr>
          <w:rtl w:val="true"/>
        </w:rPr>
        <w:t>الأمر الثانی</w:t>
      </w:r>
      <w:r>
        <w:rPr>
          <w:rtl w:val="true"/>
        </w:rPr>
        <w:t>:</w:t>
      </w:r>
      <w:r>
        <w:rPr>
          <w:rtl w:val="true"/>
        </w:rPr>
        <w:t>الإجماع فی مصطلح الخاصّة و العامّة</w:t>
      </w:r>
      <w:bookmarkEnd w:id="497"/>
    </w:p>
    <w:p>
      <w:pPr>
        <w:pStyle w:val="BookText"/>
        <w:rPr/>
      </w:pPr>
      <w:r>
        <w:rPr>
          <w:rFonts w:ascii="IRNazanin" w:hAnsi="IRNazanin" w:eastAsia="IRNazanin"/>
          <w:color w:val="111111"/>
          <w:sz w:val="28"/>
          <w:sz w:val="28"/>
          <w:szCs w:val="28"/>
          <w:rtl w:val="true"/>
          <w:lang w:bidi="fa-IR"/>
        </w:rPr>
        <w:t>أنّ الإجماع فی مصطلح الخاصّة،بل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الأصل له و هو الأصل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Style w:val="FootnoteAnchor"/>
          <w:rtl w:val="true"/>
        </w:rPr>
        <w:footnoteReference w:id="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اتّفاق جمیع العلماء فی عصر؛کما ینادی بذلک تعریفات کثیر من </w:t>
      </w:r>
      <w:r>
        <w:rPr>
          <w:rStyle w:val="FootnoteAnchor"/>
          <w:rtl w:val="true"/>
        </w:rPr>
        <w:footnoteReference w:id="596"/>
      </w:r>
      <w:r>
        <w:rPr>
          <w:rFonts w:ascii="IRNazanin" w:hAnsi="IRNazanin" w:eastAsia="IRNazanin"/>
          <w:color w:val="111111"/>
          <w:sz w:val="28"/>
          <w:sz w:val="28"/>
          <w:szCs w:val="28"/>
          <w:rtl w:val="true"/>
          <w:lang w:bidi="fa-IR"/>
        </w:rPr>
        <w:t xml:space="preserve">الفریقین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هو اتّفاق أهل الحلّ و العقد من أمّة محمّد صلّی اللّه علیه و آله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صاحب غایة البادئ </w:t>
      </w:r>
      <w:r>
        <w:rPr>
          <w:rStyle w:val="FootnoteAnchor"/>
          <w:rtl w:val="true"/>
        </w:rPr>
        <w:footnoteReference w:id="5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شارح المبادئ،الذی هو أحد علمائنا </w:t>
      </w:r>
      <w:bookmarkStart w:id="498" w:name="pg12977_114226"/>
    </w:p>
    <w:p>
      <w:pPr>
        <w:pStyle w:val="BookText"/>
        <w:rPr/>
      </w:pPr>
      <w:bookmarkEnd w:id="498"/>
      <w:r>
        <w:rPr>
          <w:rFonts w:ascii="IRNazanin" w:hAnsi="IRNazanin" w:eastAsia="IRNazanin"/>
          <w:color w:val="111111"/>
          <w:sz w:val="28"/>
          <w:sz w:val="28"/>
          <w:szCs w:val="28"/>
          <w:rtl w:val="true"/>
          <w:lang w:bidi="fa-IR"/>
        </w:rPr>
        <w:t>المعاصرین للعلاّمة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فی اصطلاح فقهاء أهل البیت علیهم السّلام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اتّفاق أمّة محمّد صلّی اللّه علیه و آله علی وجه یشتمل علی قول المعصوم </w:t>
      </w:r>
      <w:r>
        <w:rPr>
          <w:rStyle w:val="FootnoteAnchor"/>
          <w:rtl w:val="true"/>
        </w:rPr>
        <w:footnoteReference w:id="60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فی الاصطلاح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اتّفاق خاصّ،و هو اتّفاق من یعتبر قوله من الامّة </w:t>
      </w:r>
      <w:r>
        <w:rPr>
          <w:rStyle w:val="FootnoteAnchor"/>
          <w:rtl w:val="true"/>
        </w:rPr>
        <w:footnoteReference w:id="60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غیرها من العبارات المصرّحة بذلک </w:t>
      </w:r>
      <w:r>
        <w:rPr>
          <w:rStyle w:val="FootnoteAnchor"/>
          <w:rtl w:val="true"/>
        </w:rPr>
        <w:footnoteReference w:id="602"/>
      </w:r>
      <w:r>
        <w:rPr>
          <w:rFonts w:ascii="IRNazanin" w:hAnsi="IRNazanin" w:eastAsia="IRNazanin"/>
          <w:color w:val="111111"/>
          <w:sz w:val="28"/>
          <w:sz w:val="28"/>
          <w:szCs w:val="28"/>
          <w:rtl w:val="true"/>
          <w:lang w:bidi="fa-IR"/>
        </w:rPr>
        <w:t xml:space="preserve">فی تعریف الإجماع و غیره من المقامات،کما تراهم یعتذرون کثیرا عن وجود المخالف بانقراض عصره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9" w:name="__RefHeading___Toc5446819_3224264995"/>
      <w:bookmarkStart w:id="500" w:name="_Toc191"/>
      <w:bookmarkEnd w:id="499"/>
      <w:r>
        <w:rPr>
          <w:rtl w:val="true"/>
        </w:rPr>
        <w:t>وجه حجّیة الإجماع عند الإمامیّة</w:t>
      </w:r>
      <w:r>
        <w:rPr>
          <w:rtl w:val="true"/>
        </w:rPr>
        <w:t>:</w:t>
      </w:r>
      <w:bookmarkEnd w:id="500"/>
    </w:p>
    <w:p>
      <w:pPr>
        <w:pStyle w:val="BookText"/>
        <w:rPr/>
      </w:pPr>
      <w:r>
        <w:rPr>
          <w:rFonts w:ascii="IRNazanin" w:hAnsi="IRNazanin" w:eastAsia="IRNazanin"/>
          <w:color w:val="111111"/>
          <w:sz w:val="28"/>
          <w:sz w:val="28"/>
          <w:szCs w:val="28"/>
          <w:rtl w:val="true"/>
          <w:lang w:bidi="fa-IR"/>
        </w:rPr>
        <w:t>ثمّ إنّه لمّا کان وجه حجّیة الإجماع عند الإمامیّة اشتماله علی قول الإمام علیه السّلام،کانت الحجّیة دائرة مدار وجوده علیه السّلام فی کلّ جماعة هو أحدهم؛و لذا قال السیّد المرتضی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 علّة کون الإجماع حجّة کون الإمام فیهم،فکلّ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أو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قول الإمام فی أقوالها،فإجماعها حجّة،و أنّ خلاف الواحد و الاثنین إذا کان الإمام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أو تجویزا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عدم الاعتداد بقول الباقین و إن کثروا،و أنّ الإجماع بعد الخلاف </w:t>
      </w:r>
    </w:p>
    <w:p>
      <w:pPr>
        <w:pStyle w:val="BookText"/>
        <w:rPr/>
      </w:pPr>
      <w:r>
        <w:rPr>
          <w:rFonts w:ascii="IRNazanin" w:hAnsi="IRNazanin" w:eastAsia="IRNazanin"/>
          <w:color w:val="111111"/>
          <w:sz w:val="28"/>
          <w:sz w:val="28"/>
          <w:szCs w:val="28"/>
          <w:rtl w:val="true"/>
          <w:lang w:bidi="fa-IR"/>
        </w:rPr>
        <w:t xml:space="preserve">کالمبتدإ فی الحجّیة </w:t>
      </w:r>
      <w:r>
        <w:rPr>
          <w:rStyle w:val="FootnoteAnchor"/>
          <w:rtl w:val="true"/>
        </w:rPr>
        <w:footnoteReference w:id="60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فی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إناطة حجّیة الإجماع بدخول قول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لو خلا المائة من فقهائنا من قوله لم یکن قولهم حجّة،و لو حصل فی اثنین کان قولهما حجّة </w:t>
      </w:r>
      <w:r>
        <w:rPr>
          <w:rStyle w:val="FootnoteAnchor"/>
          <w:rtl w:val="true"/>
        </w:rPr>
        <w:footnoteReference w:id="60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الإجماع عندنا حجّة لاشتماله علی 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 جماعة قلّت أو کثرت کان قول الإمام علیه السّلام فی جملة أقوالها فإجماعها حجّة لأجله،لا لأجل الإجماع </w:t>
      </w:r>
      <w:r>
        <w:rPr>
          <w:rStyle w:val="FootnoteAnchor"/>
          <w:rtl w:val="true"/>
        </w:rPr>
        <w:footnoteReference w:id="60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لکن لا یلزم من کونه حجّة تسمیته إجماعا فی الاصطلاح، کما أنّه لیس کلّ خبر جماعة یفید العلم متواترا فی 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اشتهر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لا یقدح خروج معلوم النسب واحدا أو أکثر،فالمراد أنّه لا یقدح فی حجّیة اتّفاق الباقی،لا فی تسمیته إجماعا،کما علم من فرض المحقّق قدّس سرّه الإمام علیه السّلام فی اثنین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نعم،ظاهر کلمات جماعة </w:t>
      </w:r>
      <w:r>
        <w:rPr>
          <w:rStyle w:val="FootnoteAnchor"/>
          <w:rtl w:val="true"/>
        </w:rPr>
        <w:footnoteReference w:id="607"/>
      </w:r>
      <w:r>
        <w:rPr>
          <w:rFonts w:ascii="IRNazanin" w:hAnsi="IRNazanin" w:eastAsia="IRNazanin"/>
          <w:color w:val="111111"/>
          <w:sz w:val="28"/>
          <w:sz w:val="28"/>
          <w:szCs w:val="28"/>
          <w:rtl w:val="true"/>
          <w:lang w:bidi="fa-IR"/>
        </w:rPr>
        <w:t xml:space="preserve">یوهم تسمیته إجماعا </w:t>
      </w:r>
      <w:r>
        <w:rPr>
          <w:rStyle w:val="FootnoteAnchor"/>
          <w:rtl w:val="true"/>
        </w:rPr>
        <w:footnoteReference w:id="608"/>
      </w:r>
      <w:r>
        <w:rPr>
          <w:rFonts w:ascii="IRNazanin" w:hAnsi="IRNazanin" w:eastAsia="IRNazanin"/>
          <w:color w:val="111111"/>
          <w:sz w:val="28"/>
          <w:sz w:val="28"/>
          <w:szCs w:val="28"/>
          <w:rtl w:val="true"/>
          <w:lang w:bidi="fa-IR"/>
        </w:rPr>
        <w:t>حیث تراهم یدّعون الإجماع فی مسألة ثمّ یعتذرون عن وجود المخالف بأنّه معلوم النسب</w:t>
      </w:r>
      <w:r>
        <w:rPr>
          <w:rFonts w:eastAsia="IRNazanin" w:cs="IRNazanin"/>
          <w:color w:val="111111"/>
          <w:sz w:val="28"/>
          <w:szCs w:val="28"/>
          <w:rtl w:val="true"/>
          <w:lang w:bidi="fa-IR"/>
        </w:rPr>
        <w:t xml:space="preserve">. </w:t>
      </w:r>
      <w:bookmarkStart w:id="501" w:name="pg12977_114228"/>
    </w:p>
    <w:p>
      <w:pPr>
        <w:pStyle w:val="BookText"/>
        <w:rPr/>
      </w:pPr>
      <w:bookmarkEnd w:id="501"/>
      <w:r>
        <w:rPr>
          <w:rFonts w:ascii="IRNazanin" w:hAnsi="IRNazanin" w:eastAsia="IRNazanin"/>
          <w:color w:val="111111"/>
          <w:sz w:val="28"/>
          <w:sz w:val="28"/>
          <w:szCs w:val="28"/>
          <w:rtl w:val="true"/>
          <w:lang w:bidi="fa-IR"/>
        </w:rPr>
        <w:t>لکنّ التأمّل الصادق یشهد بأنّ الغرض الاعتذار عن قدح المخالف فی الحجّیة،لا فی التسمیة</w:t>
      </w:r>
      <w:r>
        <w:rPr>
          <w:rFonts w:eastAsia="IRNazanin" w:cs="IRNazanin"/>
          <w:color w:val="111111"/>
          <w:sz w:val="28"/>
          <w:szCs w:val="28"/>
          <w:rtl w:val="true"/>
          <w:lang w:bidi="fa-IR"/>
        </w:rPr>
        <w:t>.</w:t>
      </w:r>
    </w:p>
    <w:p>
      <w:pPr>
        <w:pStyle w:val="Heading6"/>
        <w:numPr>
          <w:ilvl w:val="5"/>
          <w:numId w:val="1"/>
        </w:numPr>
        <w:rPr/>
      </w:pPr>
      <w:bookmarkStart w:id="502" w:name="__RefHeading___Toc5446821_3224264995"/>
      <w:bookmarkStart w:id="503" w:name="_Toc192"/>
      <w:bookmarkEnd w:id="502"/>
      <w:r>
        <w:rPr>
          <w:rtl w:val="true"/>
        </w:rPr>
        <w:t>المسامحة فی إطلاق الإجماع</w:t>
      </w:r>
      <w:r>
        <w:rPr>
          <w:rtl w:val="true"/>
        </w:rPr>
        <w:t>:</w:t>
      </w:r>
      <w:bookmarkEnd w:id="503"/>
    </w:p>
    <w:p>
      <w:pPr>
        <w:pStyle w:val="BookText"/>
        <w:rPr/>
      </w:pPr>
      <w:r>
        <w:rPr>
          <w:rFonts w:ascii="IRNazanin" w:hAnsi="IRNazanin" w:eastAsia="IRNazanin"/>
          <w:color w:val="111111"/>
          <w:sz w:val="28"/>
          <w:sz w:val="28"/>
          <w:szCs w:val="28"/>
          <w:rtl w:val="true"/>
          <w:lang w:bidi="fa-IR"/>
        </w:rPr>
        <w:t>نعم،یمکن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قد تسامحوا فی إطلاق الإجماع علی اتّفاق الجماعة التی علم دخول الإمام علیه السّلام فیها؛لوجود مناط الحجّیة فیه،و کون وجود المخالف غیر مؤثّر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شاع هذا التسامح بحیث کاد أن </w:t>
      </w:r>
      <w:r>
        <w:rPr>
          <w:rStyle w:val="FootnoteAnchor"/>
          <w:rtl w:val="true"/>
        </w:rPr>
        <w:footnoteReference w:id="609"/>
      </w:r>
      <w:r>
        <w:rPr>
          <w:rFonts w:ascii="IRNazanin" w:hAnsi="IRNazanin" w:eastAsia="IRNazanin"/>
          <w:color w:val="111111"/>
          <w:sz w:val="28"/>
          <w:sz w:val="28"/>
          <w:szCs w:val="28"/>
          <w:rtl w:val="true"/>
          <w:lang w:bidi="fa-IR"/>
        </w:rPr>
        <w:t>ینقلب اصطلاح الخاصّة عمّا وافق اصطلاح العامّة إلی ما یعمّ اتّفاق طائفة من الإمامیّة،کما یعرف من أدنی تتبّع لموارد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إطلاق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بقول مطلق علی إجماع الإمامیّة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أنّهم بعض الامّة لا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إلاّ لأجل المسامحة؛من جهة أنّ وجود المخالف کعدمه من حیث مناط الحجّیة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فظاهر إطلاقهم إرادة دخول قول الإمام علیه السّلام فی أقوال المجمعین بحیث یکون دلالته علیه بالتضمّن،فیکون الإخبار عن الإجماع إخبارا عن قول الإمام علیه السّلام،و هذا هو الذی یدلّ علیه کلام المفید </w:t>
      </w:r>
      <w:r>
        <w:rPr>
          <w:rStyle w:val="FootnoteAnchor"/>
          <w:rtl w:val="true"/>
        </w:rPr>
        <w:footnoteReference w:id="610"/>
      </w:r>
      <w:r>
        <w:rPr>
          <w:rFonts w:ascii="IRNazanin" w:hAnsi="IRNazanin" w:eastAsia="IRNazanin"/>
          <w:color w:val="111111"/>
          <w:sz w:val="28"/>
          <w:sz w:val="28"/>
          <w:szCs w:val="28"/>
          <w:rtl w:val="true"/>
          <w:lang w:bidi="fa-IR"/>
        </w:rPr>
        <w:t xml:space="preserve">و المرتضی </w:t>
      </w:r>
      <w:r>
        <w:rPr>
          <w:rStyle w:val="FootnoteAnchor"/>
          <w:rtl w:val="true"/>
        </w:rPr>
        <w:footnoteReference w:id="611"/>
      </w:r>
      <w:r>
        <w:rPr>
          <w:rFonts w:ascii="Amiri" w:hAnsi="Amiri" w:eastAsia="Amiri" w:cs="Amiri"/>
          <w:color w:val="111111"/>
          <w:sz w:val="28"/>
          <w:sz w:val="28"/>
          <w:szCs w:val="28"/>
          <w:rtl w:val="true"/>
          <w:lang w:bidi="ar-SA"/>
        </w:rPr>
        <w:t xml:space="preserve">و ابن زهرة </w:t>
      </w:r>
      <w:r>
        <w:rPr>
          <w:rStyle w:val="FootnoteAnchor"/>
          <w:rtl w:val="true"/>
        </w:rPr>
        <w:footnoteReference w:id="612"/>
      </w:r>
      <w:r>
        <w:rPr>
          <w:rFonts w:ascii="Amiri" w:hAnsi="Amiri" w:eastAsia="Amiri" w:cs="Amiri"/>
          <w:color w:val="111111"/>
          <w:sz w:val="28"/>
          <w:sz w:val="28"/>
          <w:szCs w:val="28"/>
          <w:rtl w:val="true"/>
          <w:lang w:bidi="ar-SA"/>
        </w:rPr>
        <w:t xml:space="preserve">و المحقّق </w:t>
      </w:r>
      <w:r>
        <w:rPr>
          <w:rStyle w:val="FootnoteAnchor"/>
          <w:rtl w:val="true"/>
        </w:rPr>
        <w:footnoteReference w:id="613"/>
      </w:r>
      <w:r>
        <w:rPr>
          <w:rFonts w:ascii="Amiri" w:hAnsi="Amiri" w:eastAsia="Amiri" w:cs="Amiri"/>
          <w:color w:val="111111"/>
          <w:sz w:val="28"/>
          <w:sz w:val="28"/>
          <w:szCs w:val="28"/>
          <w:rtl w:val="true"/>
          <w:lang w:bidi="ar-SA"/>
        </w:rPr>
        <w:t xml:space="preserve">و العلاّمة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 xml:space="preserve">و الشهیدین </w:t>
      </w:r>
      <w:r>
        <w:rPr>
          <w:rStyle w:val="FootnoteAnchor"/>
          <w:rtl w:val="true"/>
        </w:rPr>
        <w:footnoteReference w:id="615"/>
      </w:r>
      <w:r>
        <w:rPr>
          <w:rFonts w:ascii="IRNazanin" w:hAnsi="IRNazanin" w:eastAsia="IRNazanin"/>
          <w:color w:val="111111"/>
          <w:sz w:val="28"/>
          <w:sz w:val="28"/>
          <w:szCs w:val="28"/>
          <w:rtl w:val="true"/>
          <w:lang w:bidi="fa-IR"/>
        </w:rPr>
        <w:t xml:space="preserve">و من تأخّر عنهم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اتّفاق من عدا الإمام علیه السّلام بحیث یکشف عن صدور الحکم عن الإمام علیه السّلام بقاعدة اللطف کما عن الشیخ رحمه اللّه </w:t>
      </w:r>
      <w:r>
        <w:rPr>
          <w:rStyle w:val="FootnoteAnchor"/>
          <w:rtl w:val="true"/>
        </w:rPr>
        <w:footnoteReference w:id="617"/>
      </w:r>
      <w:r>
        <w:rPr>
          <w:rFonts w:ascii="IRNazanin" w:hAnsi="IRNazanin" w:eastAsia="IRNazanin"/>
          <w:color w:val="111111"/>
          <w:sz w:val="28"/>
          <w:sz w:val="28"/>
          <w:szCs w:val="28"/>
          <w:rtl w:val="true"/>
          <w:lang w:bidi="fa-IR"/>
        </w:rPr>
        <w:t xml:space="preserve">،أو التقریر کما عن بعض المتأخّرین </w:t>
      </w:r>
      <w:r>
        <w:rPr>
          <w:rStyle w:val="FootnoteAnchor"/>
          <w:rtl w:val="true"/>
        </w:rPr>
        <w:footnoteReference w:id="618"/>
      </w:r>
      <w:r>
        <w:rPr>
          <w:rFonts w:ascii="IRNazanin" w:hAnsi="IRNazanin" w:eastAsia="IRNazanin"/>
          <w:color w:val="111111"/>
          <w:sz w:val="28"/>
          <w:sz w:val="28"/>
          <w:szCs w:val="28"/>
          <w:rtl w:val="true"/>
          <w:lang w:bidi="fa-IR"/>
        </w:rPr>
        <w:t>،أو بحکم العادة القاضیة باستحالة توافقهم علی الخطأ مع کمال بذل الوسع فی فهم الحکم الصادر عن الإمام علیه السّلام،فهذا لیس إجماعا اصطلاحیّا،إلاّ أن ینضمّ قول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المکشوف عنه باتّفاق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أقوالهم </w:t>
      </w:r>
      <w:r>
        <w:rPr>
          <w:rStyle w:val="FootnoteAnchor"/>
          <w:rtl w:val="true"/>
        </w:rPr>
        <w:footnoteReference w:id="619"/>
      </w:r>
      <w:r>
        <w:rPr>
          <w:rFonts w:ascii="IRNazanin" w:hAnsi="IRNazanin" w:eastAsia="IRNazanin"/>
          <w:color w:val="111111"/>
          <w:sz w:val="28"/>
          <w:sz w:val="28"/>
          <w:szCs w:val="28"/>
          <w:rtl w:val="true"/>
          <w:lang w:bidi="fa-IR"/>
        </w:rPr>
        <w:t xml:space="preserve">فیسمّی المجموع إجماعا؛بناء علی ما تقدّم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المسامحة فی تسمیة اتّفاق جماعة مشتمل علی قول الإمام علیه السّلام إجماعا و إن خرج عنه الکثیر أو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فالدلیل فی الحقیقة هو اتّفاق من عدا الإمام علیه السّلام،و المدلول الحکم الصادر عنه علیه السّلام،نظیر کلام الإمام علیه السّلام و معناه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فالنکتة فی التعبیر عن الدلیل بالإجماع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توقّفه علی ملاحظة انضمام مذهب الإمام علیه السّلام الذی هو المدلول إلی الکاشف عنه،و تسمیة المجموع دلیلا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التحفّظ علی ما جرت علیه </w:t>
      </w:r>
      <w:r>
        <w:rPr>
          <w:rStyle w:val="FootnoteAnchor"/>
          <w:rtl w:val="true"/>
        </w:rPr>
        <w:footnoteReference w:id="621"/>
      </w:r>
      <w:r>
        <w:rPr>
          <w:rFonts w:ascii="IRNazanin" w:hAnsi="IRNazanin" w:eastAsia="IRNazanin"/>
          <w:color w:val="111111"/>
          <w:sz w:val="28"/>
          <w:sz w:val="28"/>
          <w:szCs w:val="28"/>
          <w:rtl w:val="true"/>
          <w:lang w:bidi="fa-IR"/>
        </w:rPr>
        <w:t xml:space="preserve">سیرة أهل الفنّ،من </w:t>
      </w:r>
      <w:bookmarkStart w:id="504" w:name="pg12977_114230"/>
    </w:p>
    <w:p>
      <w:pPr>
        <w:pStyle w:val="BookText"/>
        <w:rPr/>
      </w:pPr>
      <w:bookmarkEnd w:id="504"/>
      <w:r>
        <w:rPr>
          <w:rFonts w:ascii="IRNazanin" w:hAnsi="IRNazanin" w:eastAsia="IRNazanin"/>
          <w:color w:val="111111"/>
          <w:sz w:val="28"/>
          <w:sz w:val="28"/>
          <w:szCs w:val="28"/>
          <w:rtl w:val="true"/>
          <w:lang w:bidi="fa-IR"/>
        </w:rPr>
        <w:t>إرجاع کلّ دلیل إلی أحد الأدلّة المعروفة بین الفریقین،أعنی الکتاب و السنّة و الإجماع و العقل،ففی إطلاق الإجماع علی هذا مسامحة فی مسامحة</w:t>
      </w:r>
      <w:r>
        <w:rPr>
          <w:rFonts w:eastAsia="IRNazanin" w:cs="IRNazanin"/>
          <w:color w:val="111111"/>
          <w:sz w:val="28"/>
          <w:szCs w:val="28"/>
          <w:rtl w:val="true"/>
          <w:lang w:bidi="fa-IR"/>
        </w:rPr>
        <w:t>.</w:t>
      </w:r>
    </w:p>
    <w:p>
      <w:pPr>
        <w:pStyle w:val="Heading6"/>
        <w:numPr>
          <w:ilvl w:val="5"/>
          <w:numId w:val="1"/>
        </w:numPr>
        <w:rPr/>
      </w:pPr>
      <w:bookmarkStart w:id="505" w:name="__RefHeading___Toc5446823_3224264995"/>
      <w:bookmarkStart w:id="506" w:name="_Toc193"/>
      <w:bookmarkEnd w:id="505"/>
      <w:r>
        <w:rPr>
          <w:rtl w:val="true"/>
        </w:rPr>
        <w:t>مسامحة اخری فی إطلاق الإجماع</w:t>
      </w:r>
      <w:r>
        <w:rPr>
          <w:rtl w:val="true"/>
        </w:rPr>
        <w:t>:</w:t>
      </w:r>
      <w:bookmarkEnd w:id="506"/>
    </w:p>
    <w:p>
      <w:pPr>
        <w:pStyle w:val="BookText"/>
        <w:rPr/>
      </w:pPr>
      <w:r>
        <w:rPr>
          <w:rFonts w:ascii="IRNazanin" w:hAnsi="IRNazanin" w:eastAsia="IRNazanin"/>
          <w:color w:val="111111"/>
          <w:sz w:val="28"/>
          <w:sz w:val="28"/>
          <w:szCs w:val="28"/>
          <w:rtl w:val="true"/>
          <w:lang w:bidi="fa-IR"/>
        </w:rPr>
        <w:t>و حاصل المسامحتین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الإجماع علی اتّفاق طائفة یستحیل بحکم العادة خطأهم و عدم وصولهم إلی حکم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الاطّلاع علی تعریفات الفریقین و استدلالات الخاصّة و أکثر العامّة علی حجّیة الإجماع،یوجب القطع بخروج هذا الإطلاق عن المصطلح و بنائه علی المسامحة؛لتنزیل وجود من خرج عن هذا الاتّفاق منزلة عدمه،کما قد عرفت من السیّد و الفاضلین قدّست أسرارهم </w:t>
      </w:r>
      <w:r>
        <w:rPr>
          <w:rStyle w:val="FootnoteAnchor"/>
          <w:rtl w:val="true"/>
        </w:rPr>
        <w:footnoteReference w:id="6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کلّ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أو کثرت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دخول قول الإمام علیه السّلام فیهم، فإجماعها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یکفیک فی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سیجیء </w:t>
      </w:r>
      <w:r>
        <w:rPr>
          <w:rStyle w:val="FootnoteAnchor"/>
          <w:rtl w:val="true"/>
        </w:rPr>
        <w:footnoteReference w:id="623"/>
      </w:r>
      <w:r>
        <w:rPr>
          <w:rFonts w:ascii="IRNazanin" w:hAnsi="IRNazanin" w:eastAsia="IRNazanin"/>
          <w:color w:val="111111"/>
          <w:sz w:val="28"/>
          <w:sz w:val="28"/>
          <w:szCs w:val="28"/>
          <w:rtl w:val="true"/>
          <w:lang w:bidi="fa-IR"/>
        </w:rPr>
        <w:t>من المحقّق الثانی فی تعلیق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دعوی الإجماع علی أنّ خروج الواحد من علماء العصر قادح فی انعقاد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إلی ما عرفت </w:t>
      </w:r>
      <w:r>
        <w:rPr>
          <w:rStyle w:val="FootnoteAnchor"/>
          <w:rtl w:val="true"/>
        </w:rPr>
        <w:footnoteReference w:id="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إطباق الفریقین علی تعریف الإجماع باتّفاق الکلّ</w:t>
      </w:r>
      <w:r>
        <w:rPr>
          <w:rFonts w:eastAsia="IRNazanin" w:cs="IRNazanin"/>
          <w:color w:val="111111"/>
          <w:sz w:val="28"/>
          <w:szCs w:val="28"/>
          <w:rtl w:val="true"/>
          <w:lang w:bidi="fa-IR"/>
        </w:rPr>
        <w:t>.</w:t>
      </w:r>
    </w:p>
    <w:p>
      <w:pPr>
        <w:pStyle w:val="Heading6"/>
        <w:numPr>
          <w:ilvl w:val="5"/>
          <w:numId w:val="1"/>
        </w:numPr>
        <w:rPr/>
      </w:pPr>
      <w:bookmarkStart w:id="507" w:name="__RefHeading___Toc5446825_3224264995"/>
      <w:bookmarkStart w:id="508" w:name="_Toc194"/>
      <w:bookmarkEnd w:id="507"/>
      <w:r>
        <w:rPr>
          <w:rtl w:val="true"/>
        </w:rPr>
        <w:t>لا ضیر فی المسامحتین</w:t>
      </w:r>
      <w:r>
        <w:rPr>
          <w:rtl w:val="true"/>
        </w:rPr>
        <w:t>:</w:t>
      </w:r>
      <w:bookmarkEnd w:id="50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المسامحة من الجهة الاولی أو الثانیة فی إطلاق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هذا من دون قرینة لا ضیر فیها؛لأنّ العبرة فی الاستدلال بحصول العلم من الدلیل للمستدلّ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bookmarkStart w:id="509" w:name="pg12977_114231"/>
    </w:p>
    <w:p>
      <w:pPr>
        <w:pStyle w:val="BookText"/>
        <w:rPr/>
      </w:pPr>
      <w:bookmarkEnd w:id="509"/>
      <w:r>
        <w:rPr>
          <w:rFonts w:ascii="IRNazanin" w:hAnsi="IRNazanin" w:eastAsia="IRNazanin"/>
          <w:color w:val="111111"/>
          <w:sz w:val="28"/>
          <w:sz w:val="28"/>
          <w:szCs w:val="28"/>
          <w:rtl w:val="true"/>
          <w:lang w:bidi="fa-IR"/>
        </w:rPr>
        <w:t xml:space="preserve">نعم،لو کان نقل الإجماع المصطلح حجّة عند الکلّ </w:t>
      </w:r>
      <w:r>
        <w:rPr>
          <w:rStyle w:val="FootnoteAnchor"/>
          <w:rtl w:val="true"/>
        </w:rPr>
        <w:footnoteReference w:id="626"/>
      </w:r>
      <w:r>
        <w:rPr>
          <w:rFonts w:ascii="IRNazanin" w:hAnsi="IRNazanin" w:eastAsia="IRNazanin"/>
          <w:color w:val="111111"/>
          <w:sz w:val="28"/>
          <w:sz w:val="28"/>
          <w:szCs w:val="28"/>
          <w:rtl w:val="true"/>
          <w:lang w:bidi="fa-IR"/>
        </w:rPr>
        <w:t>کان إخفاء القرینة فی الکلام الذی هو المرجع للغیر تدلیسا،أمّا لو لم یکن نقل الإجماع حجّة،أو کان نقل مطلق الدلیل القطعیّ حجّة،لم یلزم تدلیس أصلا</w:t>
      </w:r>
      <w:r>
        <w:rPr>
          <w:rFonts w:eastAsia="IRNazanin" w:cs="IRNazanin"/>
          <w:color w:val="111111"/>
          <w:sz w:val="28"/>
          <w:szCs w:val="28"/>
          <w:rtl w:val="true"/>
          <w:lang w:bidi="fa-IR"/>
        </w:rPr>
        <w:t>.</w:t>
      </w:r>
    </w:p>
    <w:p>
      <w:pPr>
        <w:pStyle w:val="Heading6"/>
        <w:numPr>
          <w:ilvl w:val="5"/>
          <w:numId w:val="1"/>
        </w:numPr>
        <w:rPr/>
      </w:pPr>
      <w:bookmarkStart w:id="510" w:name="__RefHeading___Toc5446827_3224264995"/>
      <w:bookmarkStart w:id="511" w:name="_Toc195"/>
      <w:bookmarkEnd w:id="510"/>
      <w:r>
        <w:rPr>
          <w:rtl w:val="true"/>
        </w:rPr>
        <w:t>کلام صاحب المعالم رحمه اللّه و المناقشة فیه</w:t>
      </w:r>
      <w:r>
        <w:rPr>
          <w:rtl w:val="true"/>
        </w:rPr>
        <w:t>:</w:t>
      </w:r>
      <w:bookmarkEnd w:id="511"/>
    </w:p>
    <w:p>
      <w:pPr>
        <w:pStyle w:val="BookText"/>
        <w:rPr/>
      </w:pPr>
      <w:r>
        <w:rPr>
          <w:rFonts w:ascii="IRNazanin" w:hAnsi="IRNazanin" w:eastAsia="IRNazanin"/>
          <w:color w:val="111111"/>
          <w:sz w:val="28"/>
          <w:sz w:val="28"/>
          <w:szCs w:val="28"/>
          <w:rtl w:val="true"/>
          <w:lang w:bidi="fa-IR"/>
        </w:rPr>
        <w:t>و یظهر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فی کلام صاحب المعالم رحمه اللّه،حیث إنّه بعد ما </w:t>
      </w:r>
      <w:r>
        <w:rPr>
          <w:rStyle w:val="FootnoteAnchor"/>
          <w:rtl w:val="true"/>
        </w:rPr>
        <w:footnoteReference w:id="627"/>
      </w:r>
      <w:r>
        <w:rPr>
          <w:rFonts w:ascii="IRNazanin" w:hAnsi="IRNazanin" w:eastAsia="IRNazanin"/>
          <w:color w:val="111111"/>
          <w:sz w:val="28"/>
          <w:sz w:val="28"/>
          <w:szCs w:val="28"/>
          <w:rtl w:val="true"/>
          <w:lang w:bidi="fa-IR"/>
        </w:rPr>
        <w:t xml:space="preserve">ذکر أنّ حجّیة الإجماع إنّما هی لاشتماله علی قول المعصوم، و استنهض بکلام المحقّق الذی تقدّم </w:t>
      </w:r>
      <w:r>
        <w:rPr>
          <w:rStyle w:val="FootnoteAnchor"/>
          <w:rtl w:val="true"/>
        </w:rPr>
        <w:footnoteReference w:id="628"/>
      </w:r>
      <w:r>
        <w:rPr>
          <w:rFonts w:ascii="IRNazanin" w:hAnsi="IRNazanin" w:eastAsia="IRNazanin"/>
          <w:color w:val="111111"/>
          <w:sz w:val="28"/>
          <w:sz w:val="28"/>
          <w:szCs w:val="28"/>
          <w:rtl w:val="true"/>
          <w:lang w:bidi="fa-IR"/>
        </w:rPr>
        <w:t>،و استجوده،قال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العجب من غفلة جمع من الأصحاب عن هذا الأصل و تساهلهم فی دعوی الإجماع عند احتجاجهم به للمسائل الفقهیّة،حتّی جعلوه عبارة عن اتّفاق جماعة من الأصحاب،فعدلوا به عن معناه الذی جری علیه الاصطلاح من دون نصب قرینة جلیّة،و لا دلیل لهم علی الحجّیة یعتدّ به </w:t>
      </w:r>
      <w:r>
        <w:rPr>
          <w:rStyle w:val="FootnoteAnchor"/>
          <w:rtl w:val="true"/>
        </w:rPr>
        <w:footnoteReference w:id="62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عرفت </w:t>
      </w:r>
      <w:r>
        <w:rPr>
          <w:rStyle w:val="FootnoteAnchor"/>
          <w:rtl w:val="true"/>
        </w:rPr>
        <w:footnoteReference w:id="6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مساهلتهم و تسامحهم فی محلّه؛بعد ما کان مناط حجّیة الإجماع الاصطلاحیّ موجودا فی اتّفاق جماعة من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تعبیرهم عن هذا الاتّفاق بغیر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عرفت </w:t>
      </w:r>
      <w:r>
        <w:rPr>
          <w:rStyle w:val="FootnoteAnchor"/>
          <w:rtl w:val="true"/>
        </w:rPr>
        <w:footnoteReference w:id="631"/>
      </w:r>
      <w:r>
        <w:rPr>
          <w:rFonts w:ascii="IRNazanin" w:hAnsi="IRNazanin" w:eastAsia="IRNazanin"/>
          <w:color w:val="111111"/>
          <w:sz w:val="28"/>
          <w:sz w:val="28"/>
          <w:szCs w:val="28"/>
          <w:rtl w:val="true"/>
          <w:lang w:bidi="fa-IR"/>
        </w:rPr>
        <w:t>من التحفّظ علی عناوین الأدلّة المعروفة بین الفریقین</w:t>
      </w:r>
      <w:r>
        <w:rPr>
          <w:rFonts w:eastAsia="IRNazanin" w:cs="IRNazanin"/>
          <w:color w:val="111111"/>
          <w:sz w:val="28"/>
          <w:szCs w:val="28"/>
          <w:rtl w:val="true"/>
          <w:lang w:bidi="fa-IR"/>
        </w:rPr>
        <w:t xml:space="preserve">. </w:t>
      </w:r>
      <w:bookmarkStart w:id="512" w:name="pg12977_114232"/>
    </w:p>
    <w:p>
      <w:pPr>
        <w:pStyle w:val="BookText"/>
        <w:rPr/>
      </w:pPr>
      <w:bookmarkEnd w:id="512"/>
      <w:r>
        <w:rPr>
          <w:rFonts w:ascii="IRNazanin" w:hAnsi="IRNazanin" w:eastAsia="IRNazanin"/>
          <w:color w:val="111111"/>
          <w:sz w:val="28"/>
          <w:sz w:val="28"/>
          <w:szCs w:val="28"/>
          <w:rtl w:val="true"/>
          <w:lang w:bidi="fa-IR"/>
        </w:rPr>
        <w:t>إذا عرفت ما ذکرنا،فنقول</w:t>
      </w:r>
      <w:r>
        <w:rPr>
          <w:rFonts w:eastAsia="IRNazanin" w:cs="IRNazanin"/>
          <w:color w:val="111111"/>
          <w:sz w:val="28"/>
          <w:szCs w:val="28"/>
          <w:rtl w:val="true"/>
          <w:lang w:bidi="fa-IR"/>
        </w:rPr>
        <w:t>:</w:t>
      </w:r>
    </w:p>
    <w:p>
      <w:pPr>
        <w:pStyle w:val="Heading6"/>
        <w:numPr>
          <w:ilvl w:val="5"/>
          <w:numId w:val="1"/>
        </w:numPr>
        <w:rPr/>
      </w:pPr>
      <w:bookmarkStart w:id="513" w:name="__RefHeading___Toc5446829_3224264995"/>
      <w:bookmarkStart w:id="514" w:name="_Toc196"/>
      <w:bookmarkEnd w:id="513"/>
      <w:r>
        <w:rPr>
          <w:rtl w:val="true"/>
        </w:rPr>
        <w:t>أنحاء حکایة الإجماع</w:t>
      </w:r>
      <w:r>
        <w:rPr>
          <w:rtl w:val="true"/>
        </w:rPr>
        <w:t>:</w:t>
      </w:r>
      <w:bookmarkEnd w:id="514"/>
    </w:p>
    <w:p>
      <w:pPr>
        <w:pStyle w:val="BookText"/>
        <w:rPr/>
      </w:pPr>
      <w:r>
        <w:rPr>
          <w:rFonts w:ascii="IRNazanin" w:hAnsi="IRNazanin" w:eastAsia="IRNazanin"/>
          <w:color w:val="111111"/>
          <w:sz w:val="28"/>
          <w:sz w:val="28"/>
          <w:szCs w:val="28"/>
          <w:rtl w:val="true"/>
          <w:lang w:bidi="fa-IR"/>
        </w:rPr>
        <w:t>إنّ الحاکی للاتّفاق قد ینقل الإجماع بقول مطلق،أو مضافا إلی المسلمین،أو الشیعة،أو أهل الحقّ،أو غیر ذلک ممّا یمکن أن یراد به دخول الإمام علیه السّلام فی المجمعین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ینقله مضافا إلی من عدا الإمام علیه السّلام،کقوله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علماؤنا أو أصحابنا أو فقهاؤنا أو فقهاء أهل البیت علیهم السّلام؛فإنّ ظاهر ذلک من عدا الإمام علیه السّلام،و إن کان إرادة العموم محتملة بمقتضی المعنی اللغویّ، لکنّه مرجوح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أضاف الإجماع إلی من عدا الإمام علیه السّلام فلا إشکال فی عدم حجّیة نقله؛لأنّه لم ینقل حجّة،و إن فرض حصول العلم للناقل بصدور الحکم عن الإمام علیه السّلام من جهة هذا الاتّفاق،إلاّ أنّه إنّما نقل سبب العلم،و لم ینقل المعلوم و هو قول الإمام علیه السّلام حتّی یدخل فی نقل الحجّة و حکایة السنّة بخبر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نعم،لو فرض أنّ السبب المنقول ممّا یستلزم عادة موافقة قول الإمام علیه السّلام أو وجود دلیل ظنّیّ معتبر حتّی بالنسبة إلینا،أمکن إثبات ذلک السبب المحسوس بخبر العادل،و الانتقال منه إلی لازمه،لکن سیجیء بیان الإشکال فی تحقّق ذلک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حکم الإجماع المضاف إلی من عدا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المطلق المذکور فی مقابل الخلاف،کما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خرء الحیوان الغیر المأکول غیر الطیر نجس إجماعا،و إنّما اختلفوا فی خرء الطیر،أو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محلّ </w:t>
      </w:r>
      <w:bookmarkStart w:id="515" w:name="pg12977_114233"/>
    </w:p>
    <w:p>
      <w:pPr>
        <w:pStyle w:val="BookText"/>
        <w:rPr/>
      </w:pPr>
      <w:bookmarkEnd w:id="515"/>
      <w:r>
        <w:rPr>
          <w:rFonts w:ascii="IRNazanin" w:hAnsi="IRNazanin" w:eastAsia="IRNazanin"/>
          <w:color w:val="111111"/>
          <w:sz w:val="28"/>
          <w:sz w:val="28"/>
          <w:szCs w:val="28"/>
          <w:rtl w:val="true"/>
          <w:lang w:bidi="fa-IR"/>
        </w:rPr>
        <w:t>الخلاف هو کذا،و أمّا کذا فحکمه کذا إجماعا؛فإنّ معناه فی مثل هذا کونه قولا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عدم الخلاف،و أنّه ظاهر الأصحاب،أو قضیّة المذهب،و 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أطلق الإجماع أو أضافه علی وجه یظهر منه إرادة المعنی المصطلح المتقدّم </w:t>
      </w:r>
      <w:r>
        <w:rPr>
          <w:rStyle w:val="FootnoteAnchor"/>
          <w:rtl w:val="true"/>
        </w:rPr>
        <w:footnoteReference w:id="6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مسامحة؛لتنزیل وجود المخالف منزلة العدم؛ لعدم قدحه فی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فظاهر الحکایة کونها حکایة للسنّة،أعنی حکم الإمام علیه السّلام؛لما عرفت </w:t>
      </w:r>
      <w:r>
        <w:rPr>
          <w:rStyle w:val="FootnoteAnchor"/>
          <w:rtl w:val="true"/>
        </w:rPr>
        <w:footnoteReference w:id="6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الإجماع الاصطلاحیّ متضمّن لقول الإمام علیه السّلام فیدخل فی الخبر و الحدیث،</w:t>
      </w:r>
    </w:p>
    <w:p>
      <w:pPr>
        <w:pStyle w:val="Heading6"/>
        <w:numPr>
          <w:ilvl w:val="5"/>
          <w:numId w:val="1"/>
        </w:numPr>
        <w:rPr/>
      </w:pPr>
      <w:bookmarkStart w:id="516" w:name="__RefHeading___Toc5446831_3224264995"/>
      <w:bookmarkStart w:id="517" w:name="_Toc197"/>
      <w:bookmarkEnd w:id="516"/>
      <w:r>
        <w:rPr>
          <w:rtl w:val="true"/>
        </w:rPr>
        <w:t>مستند العلم بقول الإمام علیه السّلام أحد امور</w:t>
      </w:r>
      <w:r>
        <w:rPr>
          <w:rtl w:val="true"/>
        </w:rPr>
        <w:t>:</w:t>
      </w:r>
      <w:bookmarkEnd w:id="517"/>
    </w:p>
    <w:p>
      <w:pPr>
        <w:pStyle w:val="BookText"/>
        <w:rPr/>
      </w:pPr>
      <w:r>
        <w:rPr>
          <w:rFonts w:ascii="IRNazanin" w:hAnsi="IRNazanin" w:eastAsia="IRNazanin"/>
          <w:color w:val="111111"/>
          <w:sz w:val="28"/>
          <w:sz w:val="28"/>
          <w:szCs w:val="28"/>
          <w:rtl w:val="true"/>
          <w:lang w:bidi="fa-IR"/>
        </w:rPr>
        <w:t>إلاّ أنّ مستند علم الحاکی بقول الإمام علیه السّلام أحد امور</w:t>
      </w:r>
      <w:r>
        <w:rPr>
          <w:rFonts w:eastAsia="IRNazanin" w:cs="IRNazanin"/>
          <w:color w:val="111111"/>
          <w:sz w:val="28"/>
          <w:szCs w:val="28"/>
          <w:rtl w:val="true"/>
          <w:lang w:bidi="fa-IR"/>
        </w:rPr>
        <w:t>:</w:t>
      </w:r>
    </w:p>
    <w:p>
      <w:pPr>
        <w:pStyle w:val="Heading6"/>
        <w:numPr>
          <w:ilvl w:val="5"/>
          <w:numId w:val="1"/>
        </w:numPr>
        <w:rPr/>
      </w:pPr>
      <w:bookmarkStart w:id="518" w:name="__RefHeading___Toc5446833_3224264995"/>
      <w:bookmarkStart w:id="519" w:name="_Toc198"/>
      <w:bookmarkEnd w:id="518"/>
      <w:r>
        <w:rPr>
          <w:rtl w:val="true"/>
        </w:rPr>
        <w:t>أحدها</w:t>
      </w:r>
      <w:r>
        <w:rPr>
          <w:rtl w:val="true"/>
        </w:rPr>
        <w:t>:</w:t>
      </w:r>
      <w:r>
        <w:rPr>
          <w:rtl w:val="true"/>
        </w:rPr>
        <w:t>الحسّ</w:t>
      </w:r>
      <w:bookmarkEnd w:id="519"/>
    </w:p>
    <w:p>
      <w:pPr>
        <w:pStyle w:val="BookText"/>
        <w:rPr/>
      </w:pPr>
      <w:r>
        <w:rPr>
          <w:rFonts w:ascii="IRNazanin" w:hAnsi="IRNazanin" w:eastAsia="IRNazanin"/>
          <w:color w:val="111111"/>
          <w:sz w:val="28"/>
          <w:sz w:val="28"/>
          <w:szCs w:val="28"/>
          <w:rtl w:val="true"/>
          <w:lang w:bidi="fa-IR"/>
        </w:rPr>
        <w:t>،کما إذا سمع الحکم من الإمام علیه السّلام فی جملة جماعة لا یعرف أعیانهم فیحصل له العلم بقول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فی غایة القلّة،بل نعلم جزما أنّه لم یتّفق لأحد من هؤلاء الحاکین للإجماع،کالشیخین و السیّدین و غیرهما؛و لذا صرّح الشیخ فی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الردّ علی السیّد حیث أنکر الإجماع من باب وجوب اللطف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لو لا قاعدة اللطف لم یمکن التوصّل إلی معرفة موافقة الإمام للمجمعین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0" w:name="__RefHeading___Toc5446835_3224264995"/>
      <w:bookmarkStart w:id="521" w:name="_Toc199"/>
      <w:bookmarkEnd w:id="520"/>
      <w:r>
        <w:rPr>
          <w:rtl w:val="true"/>
        </w:rPr>
        <w:t>الثانی</w:t>
      </w:r>
      <w:r>
        <w:rPr>
          <w:rtl w:val="true"/>
        </w:rPr>
        <w:t>:</w:t>
      </w:r>
      <w:r>
        <w:rPr>
          <w:rtl w:val="true"/>
        </w:rPr>
        <w:t>قاعدة اللطف</w:t>
      </w:r>
      <w:bookmarkEnd w:id="52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ما ذکره الشیخ فی العدّة </w:t>
      </w:r>
      <w:r>
        <w:rPr>
          <w:rStyle w:val="FootnoteAnchor"/>
          <w:rtl w:val="true"/>
        </w:rPr>
        <w:footnoteReference w:id="636"/>
      </w:r>
      <w:r>
        <w:rPr>
          <w:rFonts w:ascii="IRNazanin" w:hAnsi="IRNazanin" w:eastAsia="IRNazanin"/>
          <w:color w:val="111111"/>
          <w:sz w:val="28"/>
          <w:sz w:val="28"/>
          <w:szCs w:val="28"/>
          <w:rtl w:val="true"/>
          <w:lang w:bidi="fa-IR"/>
        </w:rPr>
        <w:t xml:space="preserve">و حکی </w:t>
      </w:r>
      <w:bookmarkStart w:id="522" w:name="pg12977_114234"/>
    </w:p>
    <w:p>
      <w:pPr>
        <w:pStyle w:val="BookText"/>
        <w:rPr/>
      </w:pPr>
      <w:bookmarkEnd w:id="522"/>
      <w:r>
        <w:rPr>
          <w:rFonts w:ascii="IRNazanin" w:hAnsi="IRNazanin" w:eastAsia="IRNazanin"/>
          <w:color w:val="111111"/>
          <w:sz w:val="28"/>
          <w:sz w:val="28"/>
          <w:szCs w:val="28"/>
          <w:rtl w:val="true"/>
          <w:lang w:bidi="fa-IR"/>
        </w:rPr>
        <w:t xml:space="preserve">القول به عن غیره من المتقدّمین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3" w:name="__RefHeading___Toc5446837_3224264995"/>
      <w:bookmarkStart w:id="524" w:name="_Toc200"/>
      <w:bookmarkEnd w:id="523"/>
      <w:r>
        <w:rPr>
          <w:rtl w:val="true"/>
        </w:rPr>
        <w:t>عدم صحّة الاستناد إلی اللطف</w:t>
      </w:r>
      <w:r>
        <w:rPr>
          <w:rtl w:val="true"/>
        </w:rPr>
        <w:t>:</w:t>
      </w:r>
      <w:bookmarkEnd w:id="524"/>
    </w:p>
    <w:p>
      <w:pPr>
        <w:pStyle w:val="BookText"/>
        <w:rPr/>
      </w:pPr>
      <w:r>
        <w:rPr>
          <w:rFonts w:ascii="IRNazanin" w:hAnsi="IRNazanin" w:eastAsia="IRNazanin"/>
          <w:color w:val="111111"/>
          <w:sz w:val="28"/>
          <w:sz w:val="28"/>
          <w:szCs w:val="28"/>
          <w:rtl w:val="true"/>
          <w:lang w:bidi="fa-IR"/>
        </w:rPr>
        <w:t xml:space="preserve">و لا یخفی أنّ الاستناد إلیه غیر صحیح علی ما ذکر فی محلّه </w:t>
      </w:r>
      <w:r>
        <w:rPr>
          <w:rStyle w:val="FootnoteAnchor"/>
          <w:rtl w:val="true"/>
        </w:rPr>
        <w:footnoteReference w:id="638"/>
      </w:r>
      <w:r>
        <w:rPr>
          <w:rFonts w:ascii="IRNazanin" w:hAnsi="IRNazanin" w:eastAsia="IRNazanin"/>
          <w:color w:val="111111"/>
          <w:sz w:val="28"/>
          <w:sz w:val="28"/>
          <w:szCs w:val="28"/>
          <w:rtl w:val="true"/>
          <w:lang w:bidi="fa-IR"/>
        </w:rPr>
        <w:t xml:space="preserve">، فإذا علم استناد الحاکی إلیه فلا وجه للاعتماد علی حکایته،و المفروض أنّ إجماعات الشیخ کلّها مستندة إلی هذه القاعدة؛لما عرفت من کلامه المتقدّم من العدّة،و ستعرف منها و من غیرها من کتبه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فدعوی مشارکته للسیّد قدّس سرّه فی استکشاف قول الإمام علیه السّلام من تتبّع أقوال الامّة و اختصاصه بطریق آخر مبنیّ علی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w:t>
      </w:r>
      <w:r>
        <w:rPr>
          <w:rStyle w:val="FootnoteAnchor"/>
          <w:rtl w:val="true"/>
        </w:rPr>
        <w:footnoteReference w:id="640"/>
      </w:r>
      <w:r>
        <w:rPr>
          <w:rFonts w:ascii="IRNazanin" w:hAnsi="IRNazanin" w:eastAsia="IRNazanin"/>
          <w:color w:val="111111"/>
          <w:sz w:val="28"/>
          <w:sz w:val="28"/>
          <w:szCs w:val="28"/>
          <w:rtl w:val="true"/>
          <w:lang w:bidi="fa-IR"/>
        </w:rPr>
        <w:t>اللطف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ثابتة و إن ادّعاها بعض </w:t>
      </w:r>
      <w:r>
        <w:rPr>
          <w:rStyle w:val="FootnoteAnchor"/>
          <w:rtl w:val="true"/>
        </w:rPr>
        <w:footnoteReference w:id="641"/>
      </w:r>
      <w:r>
        <w:rPr>
          <w:rFonts w:ascii="IRNazanin" w:hAnsi="IRNazanin" w:eastAsia="IRNazanin"/>
          <w:color w:val="111111"/>
          <w:sz w:val="28"/>
          <w:sz w:val="28"/>
          <w:szCs w:val="28"/>
          <w:rtl w:val="true"/>
          <w:lang w:bidi="fa-IR"/>
        </w:rPr>
        <w:t>فإنّه قدّس سرّه قال فی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ما إذا اختلفت الإمامیّة علی قولین یکون أحد القولین قول الإمام علیه السّلام علی وجه لا یعرف بنفسه،و الباقون کلّهم علی خلافه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متی اتّفق ذلک،فإن کان علی القول الذی انفرد به الإمام علیه السّلام دلیل من کتاب أو سنّة مقطوع بها،لم یجب علیه الظهور و لا الدلالة علی ذلک؛لأنّ الموجود من الدلیل کاف فی إزاحة التکلیف،و متی لم یکن علیه دلیل وجب علیه الظهور،أو إظهار من یبیّن الحقّ فی تلک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ذکر المرتضی علیّ بن الحسین الموسویّ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یجوز أن یکون الحقّ عند الإمام علیه السّلام و الأقوال الأخر کلّها باطلة،و لا یجب علیه الظهور؛لأنّا إذا کنّا نحن السبب فی استتاره،فکلّ ما یفوتنا من الانتفاع به و بما </w:t>
      </w:r>
      <w:r>
        <w:rPr>
          <w:rStyle w:val="FootnoteAnchor"/>
          <w:rtl w:val="true"/>
        </w:rPr>
        <w:footnoteReference w:id="642"/>
      </w:r>
      <w:r>
        <w:rPr>
          <w:rFonts w:ascii="IRNazanin" w:hAnsi="IRNazanin" w:eastAsia="IRNazanin"/>
          <w:color w:val="111111"/>
          <w:sz w:val="28"/>
          <w:sz w:val="28"/>
          <w:szCs w:val="28"/>
          <w:rtl w:val="true"/>
          <w:lang w:bidi="fa-IR"/>
        </w:rPr>
        <w:t xml:space="preserve">معه من الأحکام یکون </w:t>
      </w:r>
      <w:r>
        <w:rPr>
          <w:rStyle w:val="FootnoteAnchor"/>
          <w:rtl w:val="true"/>
        </w:rPr>
        <w:footnoteReference w:id="643"/>
      </w:r>
      <w:r>
        <w:rPr>
          <w:rFonts w:ascii="IRNazanin" w:hAnsi="IRNazanin" w:eastAsia="IRNazanin"/>
          <w:color w:val="111111"/>
          <w:sz w:val="28"/>
          <w:sz w:val="28"/>
          <w:szCs w:val="28"/>
          <w:rtl w:val="true"/>
          <w:lang w:bidi="fa-IR"/>
        </w:rPr>
        <w:t>قد فاتنا من قبل أنفسنا، و لو أزلنا سبب الاستتار لظهر و انتفعنا به و أدّی إلینا الحقّ الذی کان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عندی غیر صحیح؛لأنّه یؤدّی إلی أن لا یصحّ الاحتجاج بإجماع الطائفة أصلا؛لأنّا لا نعلم دخول الإمام علیه السّلام فیها إلاّ بالاعتبار الذی بیّنّاه،و متی جوّزنا انفراده بالقول و أنّه لا یجب ظهوره،منع ذلک من الاحتجاج بالإجماع </w:t>
      </w:r>
      <w:r>
        <w:rPr>
          <w:rStyle w:val="FootnoteAnchor"/>
          <w:rtl w:val="true"/>
        </w:rPr>
        <w:footnoteReference w:id="644"/>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موضع آخر من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الطریقة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طریقة السیّد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مرضیّة عندی؛لأنّها تؤدّی إلی أن لا یستدلّ بإجماع الطائفة أصلا؛لجواز أن یکون قول الإمام علیه السّلام مخالفا لها و مع ذلک لا یجب علیه إظهار ما عنده </w:t>
      </w:r>
      <w:r>
        <w:rPr>
          <w:rStyle w:val="FootnoteAnchor"/>
          <w:rtl w:val="true"/>
        </w:rPr>
        <w:footnoteReference w:id="64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أصرح من ذلک فی انحصار طریق الإجماع عند الشیخ فیما ذکره من قاعدة اللطف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حکی عن بعض </w:t>
      </w:r>
      <w:r>
        <w:rPr>
          <w:rStyle w:val="FootnoteAnchor"/>
          <w:rtl w:val="true"/>
        </w:rPr>
        <w:footnoteReference w:id="646"/>
      </w:r>
      <w:r>
        <w:rPr>
          <w:rFonts w:ascii="IRNazanin" w:hAnsi="IRNazanin" w:eastAsia="IRNazanin"/>
          <w:color w:val="111111"/>
          <w:sz w:val="28"/>
          <w:sz w:val="28"/>
          <w:szCs w:val="28"/>
          <w:rtl w:val="true"/>
          <w:lang w:bidi="fa-IR"/>
        </w:rPr>
        <w:t>أنّه حکاه عن کتاب التمهید للشیخ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 سیّدنا المرتضی قدّس سرّه کان یذکر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یمتنع أن یکون هنا امور کثیرة غیر واصلة إلینا علمها مودع عند الإمام علیه السّلام و إن کتمها الناقلون،و لا یلزم مع ذلک سقوط التکلیف عن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اعترضنا علی هذا فی کتاب العدّة فی اصول الفقه،و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الجواب صحیح لو لا ما نستدلّ فی أکثر الأحکام علی صحّته بإجماع الفرقة،فمتی جوّزنا أن یکون قول الإمام علیه السّلام خلافا لقولهم و لا یجب ظهوره،جاز 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أنکرتم أن یکون قول الإمام علیه السّلام خارجا عن قول من تظاهر بالإمامة و مع هذا لا یجب علیه الظهور؛ لأنّهم أتوا من قبل أنفسهم،فلا یمکننا الاحتجاج بإجماعهم أصلا </w:t>
      </w:r>
      <w:r>
        <w:rPr>
          <w:rStyle w:val="FootnoteAnchor"/>
          <w:rtl w:val="true"/>
        </w:rPr>
        <w:footnoteReference w:id="64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صریح هذا الکلام أنّ القادح فی طریقة السیّد منحصر فی استلزامها رفع التمسّک بالإجماع،و لا قادح فیها سوی ذلک؛و لذا صرّح فی کتاب الغیبة بأنّها قویّة تقتضیها الاصول </w:t>
      </w:r>
      <w:r>
        <w:rPr>
          <w:rStyle w:val="FootnoteAnchor"/>
          <w:rtl w:val="true"/>
        </w:rPr>
        <w:footnoteReference w:id="648"/>
      </w:r>
      <w:r>
        <w:rPr>
          <w:rFonts w:ascii="IRNazanin" w:hAnsi="IRNazanin" w:eastAsia="IRNazanin"/>
          <w:color w:val="111111"/>
          <w:sz w:val="28"/>
          <w:sz w:val="28"/>
          <w:szCs w:val="28"/>
          <w:rtl w:val="true"/>
          <w:lang w:bidi="fa-IR"/>
        </w:rPr>
        <w:t>،فلو کان لمعرفة الإجماع و جواز الاستدلال به طریق آخر غیر قاعدة وجوب إظهار الحقّ علیه، لم یبق ما یقدح فی طریقة السیّد؛لاعتراف الشیخ بصحّتها لو لا کونها مانعة عن الاستدلال بالإجماع</w:t>
      </w:r>
      <w:r>
        <w:rPr>
          <w:rFonts w:eastAsia="IRNazanin" w:cs="IRNazanin"/>
          <w:color w:val="111111"/>
          <w:sz w:val="28"/>
          <w:szCs w:val="28"/>
          <w:rtl w:val="true"/>
          <w:lang w:bidi="fa-IR"/>
        </w:rPr>
        <w:t xml:space="preserve">. </w:t>
      </w:r>
      <w:bookmarkStart w:id="525" w:name="pg12977_114237"/>
    </w:p>
    <w:p>
      <w:pPr>
        <w:pStyle w:val="Heading6"/>
        <w:numPr>
          <w:ilvl w:val="5"/>
          <w:numId w:val="1"/>
        </w:numPr>
        <w:rPr/>
      </w:pPr>
      <w:bookmarkStart w:id="526" w:name="__RefHeading___Toc5446839_3224264995"/>
      <w:bookmarkStart w:id="527" w:name="_Toc201"/>
      <w:bookmarkEnd w:id="525"/>
      <w:bookmarkEnd w:id="526"/>
      <w:r>
        <w:rPr>
          <w:rtl w:val="true"/>
        </w:rPr>
        <w:t>ظهور الاستناد إلی قاعدة اللطف من کلام جماعة</w:t>
      </w:r>
      <w:r>
        <w:rPr>
          <w:rtl w:val="true"/>
        </w:rPr>
        <w:t>:</w:t>
      </w:r>
      <w:bookmarkEnd w:id="527"/>
    </w:p>
    <w:p>
      <w:pPr>
        <w:pStyle w:val="BookText"/>
        <w:rPr/>
      </w:pPr>
      <w:r>
        <w:rPr>
          <w:rFonts w:ascii="IRNazanin" w:hAnsi="IRNazanin" w:eastAsia="IRNazanin"/>
          <w:color w:val="111111"/>
          <w:sz w:val="28"/>
          <w:sz w:val="28"/>
          <w:szCs w:val="28"/>
          <w:rtl w:val="true"/>
          <w:lang w:bidi="fa-IR"/>
        </w:rPr>
        <w:t>ثمّ إنّ الاستناد إلی هذا الوجه ظاهر من کلّ من اشترط فی تحقّق الإجماع عدم مخالفة أحد من علماء العصر،کفخر الدین و الشهید و المحقّق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الإیضاح فی مسألة ما یدخل فی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 عادة المجتهد أنّه إذا تغیّر اجتهاده إلی التردّد أو الحکم بخلاف ما اختاره أوّلا،لم یبطل ذکر الحکم الأوّل،بل یذکر ما أدّاه إلیه اجتهاده ثانیا فی موضع آخر؛لبیان عدم انعقاد إجماع أهل عصر الاجتهاد الأوّل علی خلافه،و عدم انعقاد إجماع أهل العصر الثانی علی کلّ واحد منهما، و أنّه لم یحصل فی الاجتهاد الثانی مبطل للأوّل،بل معارض لدلیله مساو له </w:t>
      </w:r>
      <w:r>
        <w:rPr>
          <w:rStyle w:val="FootnoteAnchor"/>
          <w:rtl w:val="true"/>
        </w:rPr>
        <w:footnoteReference w:id="64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أکثر فی الإیضاح من عدم الاعتبار بالخلاف؛لانقراض عصر المخالف </w:t>
      </w:r>
      <w:r>
        <w:rPr>
          <w:rStyle w:val="FootnoteAnchor"/>
          <w:rtl w:val="true"/>
        </w:rPr>
        <w:footnoteReference w:id="650"/>
      </w:r>
      <w:r>
        <w:rPr>
          <w:rFonts w:ascii="IRNazanin" w:hAnsi="IRNazanin" w:eastAsia="IRNazanin"/>
          <w:color w:val="111111"/>
          <w:sz w:val="28"/>
          <w:sz w:val="28"/>
          <w:szCs w:val="28"/>
          <w:rtl w:val="true"/>
          <w:lang w:bidi="fa-IR"/>
        </w:rPr>
        <w:t>،و ظاهره الانطباق علی هذه الطریقة،کما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العلماء المنع عن العمل بقول المیّت؛ محتجّین بأنّه لا قول للمیّت؛و لهذا ینعقد الإجماع علی خلافه میّتا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المحقّق الثانی فی حاشیة الشرائع علی أنّه لا قول للمیّت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بالإجماع علی أنّ خلاف الفقیه الواحد لسائر أهل عصره یمنع من انعقاد الإجماع؛اعتدادا بقوله و اعتبارا بخلافه،فإذا مات و انحصر أهل العصر فی المخالفین له انعقد و صار قوله غیر منظور إلیه،و لا یعتدّ به </w:t>
      </w:r>
      <w:r>
        <w:rPr>
          <w:rStyle w:val="FootnoteAnchor"/>
          <w:rtl w:val="true"/>
        </w:rPr>
        <w:footnoteReference w:id="65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528" w:name="pg12977_114238"/>
    </w:p>
    <w:p>
      <w:pPr>
        <w:pStyle w:val="BookText"/>
        <w:rPr/>
      </w:pPr>
      <w:bookmarkEnd w:id="528"/>
      <w:r>
        <w:rPr>
          <w:rFonts w:ascii="IRNazanin" w:hAnsi="IRNazanin" w:eastAsia="IRNazanin"/>
          <w:color w:val="111111"/>
          <w:sz w:val="28"/>
          <w:sz w:val="28"/>
          <w:szCs w:val="28"/>
          <w:rtl w:val="true"/>
          <w:lang w:bidi="fa-IR"/>
        </w:rPr>
        <w:t>و حکی عن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حکی عن المحقّق الداماد،أنّه قدّس سرّه قال فی بعض کلام له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النعمة الباطنة</w:t>
      </w:r>
      <w:r>
        <w:rPr>
          <w:rFonts w:eastAsia="IRNazanin" w:cs="IRNazanin"/>
          <w:color w:val="111111"/>
          <w:sz w:val="28"/>
          <w:szCs w:val="28"/>
          <w:rtl w:val="true"/>
          <w:lang w:bidi="fa-IR"/>
        </w:rPr>
        <w:t xml:space="preserve">» </w:t>
      </w:r>
      <w:r>
        <w:rPr>
          <w:rStyle w:val="FootnoteAnchor"/>
          <w:rtl w:val="true"/>
        </w:rPr>
        <w:footnoteReference w:id="6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فوائد الإمام عجّل اللّه فرجه أن یکون مستندا لحجّیة إجماع أهل الحلّ و العقد من العلماء علی حکم من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 بسیطا فی أحکامهم الإجماعیّة،و حجّیة إجماعهم المرکّب فی أحکامهم الخلافیّة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عجّل اللّه فرجه لا ینفرد بقول،بل من الرحمة الواجبة فی الحکمة الإلهیّة أن یکون فی المجتهدین المختلفین فی المسألة المختلف فیها من علماء العصر من یوافق رأیه رأی إمام عصره و صاحب أمره،و یطابق قوله قوله و إن لم یکن ممّن نعلمه بعینه و نعرفه بخصوصه </w:t>
      </w:r>
      <w:r>
        <w:rPr>
          <w:rStyle w:val="FootnoteAnchor"/>
          <w:rtl w:val="true"/>
        </w:rPr>
        <w:footnoteReference w:id="65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کأنّه لأجل مراعاة هذه الطریقة التجأ الشهید فی الذکری </w:t>
      </w:r>
      <w:r>
        <w:rPr>
          <w:rStyle w:val="FootnoteAnchor"/>
          <w:rtl w:val="true"/>
        </w:rPr>
        <w:footnoteReference w:id="655"/>
      </w:r>
      <w:r>
        <w:rPr>
          <w:rFonts w:ascii="IRNazanin" w:hAnsi="IRNazanin" w:eastAsia="IRNazanin"/>
          <w:color w:val="111111"/>
          <w:sz w:val="28"/>
          <w:sz w:val="28"/>
          <w:szCs w:val="28"/>
          <w:rtl w:val="true"/>
          <w:lang w:bidi="fa-IR"/>
        </w:rPr>
        <w:t>إلی توجیه الإجماعات التی ادّعاها جماعة فی المسائل الخلافیّة مع وجود المخالف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بإرادة غیر المعنی الاصطلاحیّ من الوجوه التی حکاها عنه فی المعالم </w:t>
      </w:r>
      <w:r>
        <w:rPr>
          <w:rStyle w:val="FootnoteAnchor"/>
          <w:rtl w:val="true"/>
        </w:rPr>
        <w:footnoteReference w:id="656"/>
      </w:r>
      <w:r>
        <w:rPr>
          <w:rFonts w:ascii="IRNazanin" w:hAnsi="IRNazanin" w:eastAsia="IRNazanin"/>
          <w:color w:val="111111"/>
          <w:sz w:val="28"/>
          <w:sz w:val="28"/>
          <w:szCs w:val="28"/>
          <w:rtl w:val="true"/>
          <w:lang w:bidi="fa-IR"/>
        </w:rPr>
        <w:t>،و لو جامع الإجماع وجود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من معلوم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داع إلی التوجیهات المذکورة،مع بعدها أو أکثرها</w:t>
      </w:r>
      <w:r>
        <w:rPr>
          <w:rFonts w:eastAsia="IRNazanin" w:cs="IRNazanin"/>
          <w:color w:val="111111"/>
          <w:sz w:val="28"/>
          <w:szCs w:val="28"/>
          <w:rtl w:val="true"/>
          <w:lang w:bidi="fa-IR"/>
        </w:rPr>
        <w:t>.</w:t>
      </w:r>
    </w:p>
    <w:p>
      <w:pPr>
        <w:pStyle w:val="Heading6"/>
        <w:numPr>
          <w:ilvl w:val="5"/>
          <w:numId w:val="1"/>
        </w:numPr>
        <w:rPr/>
      </w:pPr>
      <w:bookmarkStart w:id="529" w:name="__RefHeading___Toc5446841_3224264995"/>
      <w:bookmarkStart w:id="530" w:name="_Toc202"/>
      <w:bookmarkEnd w:id="529"/>
      <w:r>
        <w:rPr>
          <w:rtl w:val="true"/>
        </w:rPr>
        <w:t>الثالث الحدس</w:t>
      </w:r>
      <w:r>
        <w:rPr>
          <w:rtl w:val="true"/>
        </w:rPr>
        <w:t>:</w:t>
      </w:r>
      <w:bookmarkEnd w:id="530"/>
    </w:p>
    <w:p>
      <w:pPr>
        <w:pStyle w:val="BookText"/>
        <w:rPr/>
      </w:pPr>
      <w:r>
        <w:rPr>
          <w:rFonts w:ascii="IRNazanin" w:hAnsi="IRNazanin" w:eastAsia="IRNazanin"/>
          <w:color w:val="111111"/>
          <w:sz w:val="28"/>
          <w:sz w:val="28"/>
          <w:szCs w:val="28"/>
          <w:rtl w:val="true"/>
          <w:lang w:bidi="fa-IR"/>
        </w:rPr>
        <w:t>الثالث من طرق انکشاف قول الإمام علیه السّلام لمدّعی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الحدس،و هذا علی وجهین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یحصل له ذلک من طریق لو علمنا به ما خطّأناه فی </w:t>
      </w:r>
      <w:bookmarkStart w:id="531" w:name="pg12977_114239"/>
    </w:p>
    <w:p>
      <w:pPr>
        <w:pStyle w:val="BookText"/>
        <w:rPr/>
      </w:pPr>
      <w:bookmarkEnd w:id="531"/>
      <w:r>
        <w:rPr>
          <w:rFonts w:ascii="IRNazanin" w:hAnsi="IRNazanin" w:eastAsia="IRNazanin"/>
          <w:color w:val="111111"/>
          <w:sz w:val="28"/>
          <w:sz w:val="28"/>
          <w:szCs w:val="28"/>
          <w:rtl w:val="true"/>
          <w:lang w:bidi="fa-IR"/>
        </w:rPr>
        <w:t>استکشافه،و هذا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یحصل </w:t>
      </w:r>
      <w:r>
        <w:rPr>
          <w:rStyle w:val="FootnoteAnchor"/>
          <w:rtl w:val="true"/>
        </w:rPr>
        <w:footnoteReference w:id="657"/>
      </w:r>
      <w:r>
        <w:rPr>
          <w:rFonts w:ascii="IRNazanin" w:hAnsi="IRNazanin" w:eastAsia="IRNazanin"/>
          <w:color w:val="111111"/>
          <w:sz w:val="28"/>
          <w:sz w:val="28"/>
          <w:szCs w:val="28"/>
          <w:rtl w:val="true"/>
          <w:lang w:bidi="fa-IR"/>
        </w:rPr>
        <w:t xml:space="preserve">الحدس الضروریّ من مبادئ محسوسة بحیث یکون الخطأ فیه من قبیل الخطأ فی الحسّ،فیکون بحیث لو حصل لنا تلک الأخبار لحصل </w:t>
      </w:r>
      <w:r>
        <w:rPr>
          <w:rStyle w:val="FootnoteAnchor"/>
          <w:rtl w:val="true"/>
        </w:rPr>
        <w:footnoteReference w:id="658"/>
      </w:r>
      <w:r>
        <w:rPr>
          <w:rFonts w:ascii="IRNazanin" w:hAnsi="IRNazanin" w:eastAsia="IRNazanin"/>
          <w:color w:val="111111"/>
          <w:sz w:val="28"/>
          <w:sz w:val="28"/>
          <w:szCs w:val="28"/>
          <w:rtl w:val="true"/>
          <w:lang w:bidi="fa-IR"/>
        </w:rPr>
        <w:t>لنا العلم کما حصل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یحصل الحدس له من إخبار جماعة اتّفق له العلم بعدم اجتماعهم علی الخطأ،لکن لیس إخبارهم ملزوما عادة للمطابقة لقول الإمام علیه السّلام بحیث لو حصل لنا علمنا بالمطابقة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یحصل ذلک من مقدّمات نظریّة و اجتهادات کثیرة الخطأ،بل علمنا بخطإ بعضها فی موارد کثیرة من نقلة الإجماع؛علمنا ذلک منهم بتصریحاتهم فی موارد،و استظهرنا ذلک منهم فی موارد أخر، و سیجیء جملة منها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2" w:name="__RefHeading___Toc5446843_3224264995"/>
      <w:bookmarkStart w:id="533" w:name="_Toc203"/>
      <w:bookmarkEnd w:id="532"/>
      <w:r>
        <w:rPr>
          <w:rtl w:val="true"/>
        </w:rPr>
        <w:t>لا یصلح للاستناد إلاّ الحدس</w:t>
      </w:r>
      <w:r>
        <w:rPr>
          <w:rtl w:val="true"/>
        </w:rPr>
        <w:t>:</w:t>
      </w:r>
      <w:bookmarkEnd w:id="53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أنّ مستند خبر المخبر بالإجماع المتضمّن للإخبار من الإمام علیه السّلام لا یخلو من الامور الثلاثة المتقدّمة،و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السماع عن الإمام علیه السّلام مع عدم معرفته بعینه،و استکشاف قوله من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حصول العلم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ظهر لک أنّ الأوّل هنا غیر متحقّق عادة لأحد من علمائنا المدّعین للإجماع،و أنّ الثانی لیس طریقا للعلم، فلا یسمع دعوی من استند إلیه؛فلم یبق ممّا یصلح أن یکون المستند </w:t>
      </w:r>
    </w:p>
    <w:p>
      <w:pPr>
        <w:pStyle w:val="BookText"/>
        <w:rPr/>
      </w:pPr>
      <w:r>
        <w:rPr>
          <w:rFonts w:ascii="IRNazanin" w:hAnsi="IRNazanin" w:eastAsia="IRNazanin"/>
          <w:color w:val="111111"/>
          <w:sz w:val="28"/>
          <w:sz w:val="28"/>
          <w:szCs w:val="28"/>
          <w:rtl w:val="true"/>
          <w:lang w:bidi="fa-IR"/>
        </w:rPr>
        <w:t>فی الإجماعات المتداولة علی ألسنة ناقلیها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الحدس</w:t>
      </w:r>
      <w:r>
        <w:rPr>
          <w:rFonts w:eastAsia="IRNazanin" w:cs="IRNazanin"/>
          <w:color w:val="111111"/>
          <w:sz w:val="28"/>
          <w:szCs w:val="28"/>
          <w:rtl w:val="true"/>
          <w:lang w:bidi="fa-IR"/>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عرفت أنّ الحدس قد یستند إلی مبادئ محسوسة ملزومة عادة لمطابقة قول الإمام علیه السّلام،نظیر العلم الحاصل من الحواسّ الظاهرة، و نظیر الحدس الحاصل لمن أخبر بالعدالة و الشجاعة لمشاهدته آثارهما المحسوسة الموجبة للانتقال إلیهما بحکم العادة،أو إلی مبادئ محسوسة موجبة لعلم المدّعی بمطابقة قول الإمام علیه السّلام من دون ملازمة عادیّة، و قد یستند إلی اجتهادات و أنظار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دلیل علی قبول خبر العادل المستند إلی القسم الأخیر من الحدس،بل و لا المستند إلی الوجه الثانی،و لم یکن هناک ما یعلم به کون الإخبار مستندا إلی القسم الأوّل من الحدس؛وجب التوقّف فی العمل بنقل الإجماع،کسائر الأخبار المعلوم استنادها إلی الحدس المردّد بین الوجوه المذکورة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اتّفاق الکلّ،فإذا أخبر الشخص بالإجماع فقد أخبر باتّفاق الکلّ،و من المعلوم أنّ حصول العلم بالحکم من اتّفاق الکلّ کالضروریّ؛فحدس المخبر مستند إلی مباد محسوسة ملزومة لمطابقة قول الإمام علیه السّلام عادة؛فإمّا أن یجعل الحجّة نفس ما استفاده من الاتّفاق نظیر الإخبار بالعدالة،و إمّا أن یجعل الحجّة إخباره بنفس الاتّفاق المستلزم عادة لقول الإمام علیه السّلام،و یکون نفس المخبر به حینئذ محسوسا،نظیر إخبار الشخص بامور تستلزم العدالة </w:t>
      </w:r>
    </w:p>
    <w:p>
      <w:pPr>
        <w:pStyle w:val="BookText"/>
        <w:rPr/>
      </w:pPr>
      <w:r>
        <w:rPr>
          <w:rFonts w:ascii="IRNazanin" w:hAnsi="IRNazanin" w:eastAsia="IRNazanin"/>
          <w:color w:val="111111"/>
          <w:sz w:val="28"/>
          <w:sz w:val="28"/>
          <w:szCs w:val="28"/>
          <w:rtl w:val="true"/>
          <w:lang w:bidi="fa-IR"/>
        </w:rPr>
        <w:t xml:space="preserve">أو </w:t>
      </w:r>
      <w:r>
        <w:rPr>
          <w:rStyle w:val="FootnoteAnchor"/>
          <w:rtl w:val="true"/>
        </w:rPr>
        <w:footnoteReference w:id="661"/>
      </w:r>
      <w:r>
        <w:rPr>
          <w:rFonts w:ascii="Amiri" w:hAnsi="Amiri" w:eastAsia="Amiri" w:cs="Amiri"/>
          <w:color w:val="111111"/>
          <w:sz w:val="28"/>
          <w:sz w:val="28"/>
          <w:szCs w:val="28"/>
          <w:rtl w:val="true"/>
          <w:lang w:bidi="ar-SA"/>
        </w:rPr>
        <w:t>الشجاعة 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أشار إلی الوجهین بعض السادة الأجلّة </w:t>
      </w:r>
      <w:r>
        <w:rPr>
          <w:rStyle w:val="FootnoteAnchor"/>
          <w:rtl w:val="true"/>
        </w:rPr>
        <w:footnoteReference w:id="662"/>
      </w:r>
      <w:r>
        <w:rPr>
          <w:rFonts w:ascii="IRNazanin" w:hAnsi="IRNazanin" w:eastAsia="IRNazanin"/>
          <w:color w:val="111111"/>
          <w:sz w:val="28"/>
          <w:sz w:val="28"/>
          <w:szCs w:val="28"/>
          <w:rtl w:val="true"/>
          <w:lang w:bidi="fa-IR"/>
        </w:rPr>
        <w:t>فی شرحه علی الوافیة؛فإنّه قدّس سرّه لمّا اعترض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المعتبر من الأخبار ما استند إلی إحدی الحواسّ،و المخبر بالإجماع إنّما رجع إلی بذل الجهد، و مجرّد الشکّ فی دخول مثل ذلک فی الخبر یقتضی منعه،أجاب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المخبر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السمع فیما یخبر عن العلماء و إن جاء العلم بمقالة المعصوم من مراعاة أمر آخر،کوجوب اللطف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المدار فی حجّیة الإجماع علی مقالة المعصوم علیه السّلام، فالإخبار إنّما هو بها،و لا یرجع إلی 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مدار الحجّیة و إن کان ذلک،لکن استلزام اتّفاق کلمة العلماء لمقالة المعصوم علیه السّلام معلوم لکلّ أحد لا یحتاج فیه إلی النقل، و إنّما الغرض من النقل ثبوت الاتّفاق،فبعد اعتبار خبر الناقل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لوثاقته و رجوعه فی حکایة الاتّفاق إلی الحسّ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الاتّفاق معلوما،و متی ثبت ذلک کشف عن مقالة المعصوم؛للملازمة المعلومة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الرجوع فی حکایة الإجماع إلی نقل مقالة المعصوم علیه السّلام لرجوع الناقل فی ذلک إلی الحسّ؛باعتبار أنّ الاتّفاق من آثارها، و لا کلام فی اعتبار مثل ذلک،کما فی الإخبار بالإیمان و الفسق </w:t>
      </w:r>
    </w:p>
    <w:p>
      <w:pPr>
        <w:pStyle w:val="BookText"/>
        <w:rPr/>
      </w:pPr>
      <w:r>
        <w:rPr>
          <w:rFonts w:ascii="IRNazanin" w:hAnsi="IRNazanin" w:eastAsia="IRNazanin"/>
          <w:color w:val="111111"/>
          <w:sz w:val="28"/>
          <w:sz w:val="28"/>
          <w:szCs w:val="28"/>
          <w:rtl w:val="true"/>
          <w:lang w:bidi="fa-IR"/>
        </w:rPr>
        <w:t>و الشجاعة و الکرم و غیرها من الملکات،و إنّما لا یرجع إلی الأخبار فی العقلیّات المحضة،فإنّه لا یعوّل علیها و إن جاء بها ألف من الثقات حتّی یدرک مثل ما أدرکوا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اورد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یلزم من ذلک الرجوع إلی المجتهد؛لأنّه و إن لم یرجع إلی الحسّ فی نفس الأحکام إلاّ أنّه رجع فی لوازمها و آثارها إلیه،و هی أدلّتها السمعیّة،فیکون روایة،فلم لا یقبل إذا جاء به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إنّما یکفی الرجوع إلی الحسّ فی الآثار إذا کانت الآثار مستلزمة له عادة،و بالجملة إذا أفادت الیقین،کما فی آثار الملکات و آثار مقالة الرئیس و هی مقالة رعیّته،و هذا بخلاف ما یستنهضه المجتهد من الدلیل علی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 التحقیق فی الجواب عن السؤال الأوّل هو الوجه الأوّل،و علیه فلا أثر لهذا السؤال </w:t>
      </w:r>
      <w:r>
        <w:rPr>
          <w:rStyle w:val="FootnoteAnchor"/>
          <w:rtl w:val="true"/>
        </w:rPr>
        <w:footnoteReference w:id="66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الظاهر من الإجماع اتّفاق أهل عصر واحد،لا جمیع الأعصار کما یظهر من تعاریفهم و سائر کلماتهم،و من المعلوم أنّ إجماع أهل عصر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موافقة أهالی الأعصار المتقدّمة و مخالفتهم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عن طریق الحدس العلم الضروریّ بصدور الحکم عن الإمام علیه السّلام؛و لذا قد یتخلّف؛لاحتمال مخالفة من تقدّم علیهم أو أکثرهم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یفید العلم من باب وجوب اللطف الذی لا نقول بجریانه فی المقام،کما قرّر فی محلّه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bookmarkStart w:id="534" w:name="pg12977_114243"/>
    </w:p>
    <w:p>
      <w:pPr>
        <w:pStyle w:val="BookText"/>
        <w:rPr/>
      </w:pPr>
      <w:bookmarkEnd w:id="534"/>
      <w:r>
        <w:rPr>
          <w:rFonts w:ascii="IRNazanin" w:hAnsi="IRNazanin" w:eastAsia="IRNazanin"/>
          <w:color w:val="111111"/>
          <w:sz w:val="28"/>
          <w:sz w:val="28"/>
          <w:szCs w:val="28"/>
          <w:rtl w:val="true"/>
          <w:lang w:bidi="fa-IR"/>
        </w:rPr>
        <w:t>مع أنّ علماء العصر إذا کثروا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الأعصار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یتعذّر أو یتعسّر الاطّلاع علیهم حسّا بحیث یقطع بعدم من سواهم فی العصر، إلاّ إذا کان العلماء فی عصر قلیلین یمکن الإحاطة برأیهم فی المسألة فیدّعی الإجماع،إلاّ أنّ مثل هذا الأمر المحسوس لا یستلزم عادة لموافقة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فالمحسوس المستلزم عادة لقول الإمام علیه السّلام مستحیل التحقّق للناقل،و الممکن المتحقّق له غیر مستلزم عادة</w:t>
      </w:r>
      <w:r>
        <w:rPr>
          <w:rFonts w:eastAsia="IRNazanin" w:cs="IRNazanin"/>
          <w:color w:val="111111"/>
          <w:sz w:val="28"/>
          <w:szCs w:val="28"/>
          <w:rtl w:val="true"/>
          <w:lang w:bidi="fa-IR"/>
        </w:rPr>
        <w:t>.</w:t>
      </w:r>
    </w:p>
    <w:p>
      <w:pPr>
        <w:pStyle w:val="Heading6"/>
        <w:numPr>
          <w:ilvl w:val="5"/>
          <w:numId w:val="1"/>
        </w:numPr>
        <w:rPr/>
      </w:pPr>
      <w:bookmarkStart w:id="535" w:name="__RefHeading___Toc5446845_3224264995"/>
      <w:bookmarkStart w:id="536" w:name="_Toc204"/>
      <w:bookmarkEnd w:id="535"/>
      <w:r>
        <w:rPr>
          <w:rtl w:val="true"/>
        </w:rPr>
        <w:t>محامل دعوی إجماع الکلّ</w:t>
      </w:r>
      <w:r>
        <w:rPr>
          <w:rtl w:val="true"/>
        </w:rPr>
        <w:t>:</w:t>
      </w:r>
      <w:bookmarkEnd w:id="536"/>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ادّعی الناقل الإجماع خصوصا إذا کان ظاهره اتّفاق جمیع علماء الأعصار أو أکثرهم إلاّ من شذّ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الغالب فی إجماعات مثل الفاضلین و الشهیدین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انحصر محمله فی وجوه</w:t>
      </w:r>
      <w:r>
        <w:rPr>
          <w:rFonts w:eastAsia="IRNazanin" w:cs="IRNazanin"/>
          <w:color w:val="111111"/>
          <w:sz w:val="28"/>
          <w:szCs w:val="28"/>
          <w:rtl w:val="true"/>
          <w:lang w:bidi="fa-IR"/>
        </w:rPr>
        <w:t>:</w:t>
      </w:r>
    </w:p>
    <w:p>
      <w:pPr>
        <w:pStyle w:val="Heading6"/>
        <w:numPr>
          <w:ilvl w:val="5"/>
          <w:numId w:val="1"/>
        </w:numPr>
        <w:rPr/>
      </w:pPr>
      <w:bookmarkStart w:id="537" w:name="__RefHeading___Toc5446847_3224264995"/>
      <w:bookmarkStart w:id="538" w:name="_Toc205"/>
      <w:bookmarkEnd w:id="537"/>
      <w:r>
        <w:rPr>
          <w:rtl w:val="true"/>
        </w:rPr>
        <w:t>أحدها</w:t>
      </w:r>
      <w:r>
        <w:rPr>
          <w:rtl w:val="true"/>
        </w:rPr>
        <w:t>:</w:t>
      </w:r>
      <w:r>
        <w:rPr>
          <w:rtl w:val="true"/>
        </w:rPr>
        <w:t>أن یراد به اتّفاق المعروفین بالفتوی</w:t>
      </w:r>
      <w:bookmarkEnd w:id="538"/>
    </w:p>
    <w:p>
      <w:pPr>
        <w:pStyle w:val="BookText"/>
        <w:rPr/>
      </w:pPr>
      <w:r>
        <w:rPr>
          <w:rFonts w:ascii="IRNazanin" w:hAnsi="IRNazanin" w:eastAsia="IRNazanin"/>
          <w:color w:val="111111"/>
          <w:sz w:val="28"/>
          <w:sz w:val="28"/>
          <w:szCs w:val="28"/>
          <w:rtl w:val="true"/>
          <w:lang w:bidi="fa-IR"/>
        </w:rPr>
        <w:t>،دون کل قابل للفتوی من أهل عصره أو مطلقا</w:t>
      </w:r>
      <w:r>
        <w:rPr>
          <w:rFonts w:eastAsia="IRNazanin" w:cs="IRNazanin"/>
          <w:color w:val="111111"/>
          <w:sz w:val="28"/>
          <w:szCs w:val="28"/>
          <w:rtl w:val="true"/>
          <w:lang w:bidi="fa-IR"/>
        </w:rPr>
        <w:t>.</w:t>
      </w:r>
    </w:p>
    <w:p>
      <w:pPr>
        <w:pStyle w:val="Heading6"/>
        <w:numPr>
          <w:ilvl w:val="5"/>
          <w:numId w:val="1"/>
        </w:numPr>
        <w:rPr/>
      </w:pPr>
      <w:bookmarkStart w:id="539" w:name="__RefHeading___Toc5446849_3224264995"/>
      <w:bookmarkStart w:id="540" w:name="_Toc206"/>
      <w:bookmarkEnd w:id="539"/>
      <w:r>
        <w:rPr>
          <w:rtl w:val="true"/>
        </w:rPr>
        <w:t>الثانی</w:t>
      </w:r>
      <w:r>
        <w:rPr>
          <w:rtl w:val="true"/>
        </w:rPr>
        <w:t>:</w:t>
      </w:r>
      <w:r>
        <w:rPr>
          <w:rtl w:val="true"/>
        </w:rPr>
        <w:t>أن یرید إجماع الکلّ</w:t>
      </w:r>
      <w:bookmarkEnd w:id="540"/>
    </w:p>
    <w:p>
      <w:pPr>
        <w:pStyle w:val="BookText"/>
        <w:rPr/>
      </w:pPr>
      <w:r>
        <w:rPr>
          <w:rFonts w:ascii="IRNazanin" w:hAnsi="IRNazanin" w:eastAsia="IRNazanin"/>
          <w:color w:val="111111"/>
          <w:sz w:val="28"/>
          <w:sz w:val="28"/>
          <w:szCs w:val="28"/>
          <w:rtl w:val="true"/>
          <w:lang w:bidi="fa-IR"/>
        </w:rPr>
        <w:t>،و یستفید ذلک من اتّفاق المعروفین من أهل عصره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الاستفادة لیست ضروریّة و إن کانت قد تحصل؛لأنّ اتّفاق أهل عصره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المعروفین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یستلزم عادة اتّفاق غیرهم و من قبلهم،خصوصا بعد ملاحظة التخلّف فی کثیر من الموارد لا یسع هذه الرسالة لذکر معشارها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حصوله للمخبر کان من باب الحدس الحاصل عمّا لا یوجب العلم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هی </w:t>
      </w:r>
      <w:r>
        <w:rPr>
          <w:rStyle w:val="FootnoteAnchor"/>
          <w:rtl w:val="true"/>
        </w:rPr>
        <w:footnoteReference w:id="665"/>
      </w:r>
      <w:r>
        <w:rPr>
          <w:rFonts w:ascii="IRNazanin" w:hAnsi="IRNazanin" w:eastAsia="IRNazanin"/>
          <w:color w:val="111111"/>
          <w:sz w:val="28"/>
          <w:sz w:val="28"/>
          <w:szCs w:val="28"/>
          <w:rtl w:val="true"/>
          <w:lang w:bidi="fa-IR"/>
        </w:rPr>
        <w:t xml:space="preserve">أمارة ظنّیة علی ذلک؛لأنّ الغالب فی الاتّفاقیّات عند أهل عصر کونه من الاتّفاقیّات </w:t>
      </w:r>
      <w:bookmarkStart w:id="541" w:name="pg12977_114244"/>
    </w:p>
    <w:p>
      <w:pPr>
        <w:pStyle w:val="BookText"/>
        <w:rPr/>
      </w:pPr>
      <w:bookmarkEnd w:id="541"/>
      <w:r>
        <w:rPr>
          <w:rFonts w:ascii="IRNazanin" w:hAnsi="IRNazanin" w:eastAsia="IRNazanin"/>
          <w:color w:val="111111"/>
          <w:sz w:val="28"/>
          <w:sz w:val="28"/>
          <w:szCs w:val="28"/>
          <w:rtl w:val="true"/>
          <w:lang w:bidi="fa-IR"/>
        </w:rPr>
        <w:t>عند من تقدّمهم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یحصل العلم بضمیمة أمارات أخر،لکنّ الکلام فی کون الاتّفاق مستندا إلی الحسّ أو إلی حدس لازم عادة للحسّ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إذا علم اتّفاق الکلّ من اتّفاق جماعة لحسن ظنّه بهم،کما ذکره </w:t>
      </w:r>
      <w:r>
        <w:rPr>
          <w:rStyle w:val="FootnoteAnchor"/>
          <w:rtl w:val="true"/>
        </w:rPr>
        <w:footnoteReference w:id="666"/>
      </w:r>
      <w:r>
        <w:rPr>
          <w:rFonts w:ascii="IRNazanin" w:hAnsi="IRNazanin" w:eastAsia="IRNazanin"/>
          <w:color w:val="111111"/>
          <w:sz w:val="28"/>
          <w:sz w:val="28"/>
          <w:szCs w:val="28"/>
          <w:rtl w:val="true"/>
          <w:lang w:bidi="fa-IR"/>
        </w:rPr>
        <w:t>فی أوائل المعتبر،حیث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المقلّدة من لو طالبته بدلیل المسألة ادّعی الإجماع؛لوجوده فی کتب الثلاثة قدّست أسرارهم،و هو جهل إن لم یکن تجاهلا</w:t>
      </w:r>
      <w:r>
        <w:rPr>
          <w:rFonts w:eastAsia="IRNazanin" w:cs="IRNazanin"/>
          <w:color w:val="111111"/>
          <w:sz w:val="28"/>
          <w:szCs w:val="28"/>
          <w:rtl w:val="true"/>
          <w:lang w:bidi="fa-IR"/>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فی توصیف المدّعی بکونه مقلّدا مع أنّا نعلم أنّه لا یدّعی الإجماع إلاّ عن علم،إشارة إلی استناده فی دعواه إلی حسن الظنّ بهم و أنّ جزمه فی غیر محلّه </w:t>
      </w:r>
      <w:r>
        <w:rPr>
          <w:rStyle w:val="FootnoteAnchor"/>
          <w:rtl w:val="true"/>
        </w:rPr>
        <w:footnoteReference w:id="668"/>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Heading6"/>
        <w:numPr>
          <w:ilvl w:val="5"/>
          <w:numId w:val="1"/>
        </w:numPr>
        <w:rPr/>
      </w:pPr>
      <w:bookmarkStart w:id="542" w:name="__RefHeading___Toc5446851_3224264995"/>
      <w:bookmarkStart w:id="543" w:name="_Toc207"/>
      <w:bookmarkEnd w:id="542"/>
      <w:r>
        <w:rPr>
          <w:rtl w:val="true"/>
        </w:rPr>
        <w:t>الثالث</w:t>
      </w:r>
      <w:r>
        <w:rPr>
          <w:rtl w:val="true"/>
        </w:rPr>
        <w:t>:</w:t>
      </w:r>
      <w:r>
        <w:rPr>
          <w:rtl w:val="true"/>
        </w:rPr>
        <w:t>أن یستفید اتّفاق الکلّ علی الفتوی من اتّفاقهم علی العمل بالأصل عند عدم الدلیل</w:t>
      </w:r>
      <w:bookmarkEnd w:id="543"/>
    </w:p>
    <w:p>
      <w:pPr>
        <w:pStyle w:val="BookText"/>
        <w:rPr/>
      </w:pPr>
      <w:r>
        <w:rPr>
          <w:rFonts w:ascii="IRNazanin" w:hAnsi="IRNazanin" w:eastAsia="IRNazanin"/>
          <w:color w:val="111111"/>
          <w:sz w:val="28"/>
          <w:sz w:val="28"/>
          <w:szCs w:val="28"/>
          <w:rtl w:val="true"/>
          <w:lang w:bidi="fa-IR"/>
        </w:rPr>
        <w:t>،أو بعموم دلیل عند عدم وجدان المخصّص،أو بخبر معتبر عند عدم وجدان المعارض،أو اتّفاقهم علی مسألة اصولیّة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نقلیّة أو 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یستلزم القول بها الحکم </w:t>
      </w:r>
      <w:r>
        <w:rPr>
          <w:rStyle w:val="FootnoteAnchor"/>
          <w:rtl w:val="true"/>
        </w:rPr>
        <w:footnoteReference w:id="669"/>
      </w:r>
      <w:r>
        <w:rPr>
          <w:rFonts w:ascii="IRNazanin" w:hAnsi="IRNazanin" w:eastAsia="IRNazanin"/>
          <w:color w:val="111111"/>
          <w:sz w:val="28"/>
          <w:sz w:val="28"/>
          <w:szCs w:val="28"/>
          <w:rtl w:val="true"/>
          <w:lang w:bidi="fa-IR"/>
        </w:rPr>
        <w:t>فی المسألة المفروضة،و غیر ذلک من الامور المتّفق علیها التی یلزم باعتقاد المدّعی من القول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فرض عدم المعارض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بالحکم المعیّن فی المسألة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نسبة هذا الحکم إلی العلماء فی مثل ذلک </w:t>
      </w:r>
      <w:bookmarkStart w:id="544" w:name="pg12977_114245"/>
    </w:p>
    <w:p>
      <w:pPr>
        <w:pStyle w:val="BookText"/>
        <w:rPr/>
      </w:pPr>
      <w:bookmarkEnd w:id="544"/>
      <w:r>
        <w:rPr>
          <w:rFonts w:ascii="IRNazanin" w:hAnsi="IRNazanin" w:eastAsia="IRNazanin"/>
          <w:color w:val="111111"/>
          <w:sz w:val="28"/>
          <w:sz w:val="28"/>
          <w:szCs w:val="28"/>
          <w:rtl w:val="true"/>
          <w:lang w:bidi="fa-IR"/>
        </w:rPr>
        <w:t xml:space="preserve">لم تنشأ </w:t>
      </w:r>
      <w:r>
        <w:rPr>
          <w:rStyle w:val="FootnoteAnchor"/>
          <w:rtl w:val="true"/>
        </w:rPr>
        <w:footnoteReference w:id="670"/>
      </w:r>
      <w:r>
        <w:rPr>
          <w:rFonts w:ascii="IRNazanin" w:hAnsi="IRNazanin" w:eastAsia="IRNazanin"/>
          <w:color w:val="111111"/>
          <w:sz w:val="28"/>
          <w:sz w:val="28"/>
          <w:szCs w:val="28"/>
          <w:rtl w:val="true"/>
          <w:lang w:bidi="fa-IR"/>
        </w:rPr>
        <w:t>إلاّ من مقدّمتین أثبتهما المدّعی باجتهاده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ذلک الأمر المتّفق علیه مقتضیا و دلیلا للحکم لو لا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المانع و المعارض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الاستناد إلی الخبر المستند إلی ذلک غیر جائز عند أحد من العاملین بخبر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الظاهر أنّ الإجماعات المتعارضة من شخص واحد أو من معاصرین أو متقاربی العصر </w:t>
      </w:r>
      <w:r>
        <w:rPr>
          <w:rStyle w:val="FootnoteAnchor"/>
          <w:rtl w:val="true"/>
        </w:rPr>
        <w:footnoteReference w:id="671"/>
      </w:r>
      <w:r>
        <w:rPr>
          <w:rFonts w:ascii="IRNazanin" w:hAnsi="IRNazanin" w:eastAsia="IRNazanin"/>
          <w:color w:val="111111"/>
          <w:sz w:val="28"/>
          <w:sz w:val="28"/>
          <w:szCs w:val="28"/>
          <w:rtl w:val="true"/>
          <w:lang w:bidi="fa-IR"/>
        </w:rPr>
        <w:t>،و رجوع المدّعی عن الفتوی التی ادّعی الإجماع فیها،و دعوی الإجماع فی مسائل غیر معنونة فی کلام من تقدّم علی المدّعی،و فی مسائل قد اشتهر خلافها بعد المدّعی بل فی زمانه بل فی ما قبله،کلّ ذلک مبنیّ علی الاستناد فی نسبة القول إلی العلماء علی هذا الوجه</w:t>
      </w:r>
      <w:r>
        <w:rPr>
          <w:rFonts w:eastAsia="IRNazanin" w:cs="IRNazanin"/>
          <w:color w:val="111111"/>
          <w:sz w:val="28"/>
          <w:szCs w:val="28"/>
          <w:rtl w:val="true"/>
          <w:lang w:bidi="fa-IR"/>
        </w:rPr>
        <w:t>.</w:t>
      </w:r>
    </w:p>
    <w:p>
      <w:pPr>
        <w:pStyle w:val="Heading6"/>
        <w:numPr>
          <w:ilvl w:val="5"/>
          <w:numId w:val="1"/>
        </w:numPr>
        <w:rPr/>
      </w:pPr>
      <w:bookmarkStart w:id="545" w:name="__RefHeading___Toc5446853_3224264995"/>
      <w:bookmarkStart w:id="546" w:name="_Toc208"/>
      <w:bookmarkEnd w:id="545"/>
      <w:r>
        <w:rPr>
          <w:rtl w:val="true"/>
        </w:rPr>
        <w:t>ذکر موارد تدلّ علی الوجه الأخیر</w:t>
      </w:r>
      <w:r>
        <w:rPr>
          <w:rtl w:val="true"/>
        </w:rPr>
        <w:t>:</w:t>
      </w:r>
      <w:bookmarkEnd w:id="546"/>
    </w:p>
    <w:p>
      <w:pPr>
        <w:pStyle w:val="BookText"/>
        <w:rPr/>
      </w:pPr>
      <w:r>
        <w:rPr>
          <w:rFonts w:ascii="IRNazanin" w:hAnsi="IRNazanin" w:eastAsia="IRNazanin"/>
          <w:color w:val="111111"/>
          <w:sz w:val="28"/>
          <w:sz w:val="28"/>
          <w:szCs w:val="28"/>
          <w:rtl w:val="true"/>
          <w:lang w:bidi="fa-IR"/>
        </w:rPr>
        <w:t xml:space="preserve">و لا بأس بذکر بعض موارد </w:t>
      </w:r>
      <w:r>
        <w:rPr>
          <w:rStyle w:val="FootnoteAnchor"/>
          <w:rtl w:val="true"/>
        </w:rPr>
        <w:footnoteReference w:id="672"/>
      </w:r>
      <w:r>
        <w:rPr>
          <w:rFonts w:ascii="IRNazanin" w:hAnsi="IRNazanin" w:eastAsia="IRNazanin"/>
          <w:color w:val="111111"/>
          <w:sz w:val="28"/>
          <w:sz w:val="28"/>
          <w:szCs w:val="28"/>
          <w:rtl w:val="true"/>
          <w:lang w:bidi="fa-IR"/>
        </w:rPr>
        <w:t>صرّح المدّعی بنفسه أو غیره فی مقام توجیه کلامه فیها بذلک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وجّه المحقّق به دعوی المرتضی </w:t>
      </w:r>
      <w:r>
        <w:rPr>
          <w:rStyle w:val="FootnoteAnchor"/>
          <w:rtl w:val="true"/>
        </w:rPr>
        <w:footnoteReference w:id="673"/>
      </w:r>
      <w:r>
        <w:rPr>
          <w:rFonts w:ascii="IRNazanin" w:hAnsi="IRNazanin" w:eastAsia="IRNazanin"/>
          <w:color w:val="111111"/>
          <w:sz w:val="28"/>
          <w:sz w:val="28"/>
          <w:szCs w:val="28"/>
          <w:rtl w:val="true"/>
          <w:lang w:bidi="fa-IR"/>
        </w:rPr>
        <w:t xml:space="preserve">و المفید </w:t>
      </w:r>
      <w:r>
        <w:rPr>
          <w:rStyle w:val="FootnoteAnchor"/>
          <w:rtl w:val="true"/>
        </w:rPr>
        <w:footnoteReference w:id="6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مذهبنا جواز إزالة النجاسة بغیر الماء من المائعات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قول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أضاف المفید و السیّد ذلک إلی مذهبنا و لا نصّ فیه؟فالجواب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 الهدی،فإنّه ذکر فی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إنّما أضاف ذلک إلی مذهبنا؛لأنّ من أصلنا العمل بالأصل ما لم یثبت الناقل،و لیس فی الشرع ما یمنع الإزالة بغیر الماء من المائعات،ثمّ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المفید،فإنّه ادّعی فی مسائل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ذلک مرویّ عن الأئمّة علیهم السّلام </w:t>
      </w:r>
      <w:r>
        <w:rPr>
          <w:rStyle w:val="FootnoteAnchor"/>
          <w:rtl w:val="true"/>
        </w:rPr>
        <w:footnoteReference w:id="67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نسبة السیّد قدّس سرّه الحکم المذکور إلی مذهبنا من جهة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الشیخ فی الخلاف،حیث إنّه ذکر فیما إذا بان فسق الشاهدین بما یوجب القتل،بعد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w:t>
      </w:r>
      <w:r>
        <w:rPr>
          <w:rStyle w:val="FootnoteAnchor"/>
          <w:rtl w:val="true"/>
        </w:rPr>
        <w:footnoteReference w:id="676"/>
      </w:r>
      <w:r>
        <w:rPr>
          <w:rFonts w:ascii="IRNazanin" w:hAnsi="IRNazanin" w:eastAsia="IRNazanin"/>
          <w:color w:val="111111"/>
          <w:sz w:val="28"/>
          <w:sz w:val="28"/>
          <w:szCs w:val="28"/>
          <w:rtl w:val="true"/>
          <w:lang w:bidi="fa-IR"/>
        </w:rPr>
        <w:t>یسقط القود و تکون الدیة من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 إجماع الفرقة؛فإنّهم رووا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 أخطأت القضاة ففی بیت مال المسلمین </w:t>
      </w:r>
      <w:r>
        <w:rPr>
          <w:rStyle w:val="FootnoteAnchor"/>
          <w:rtl w:val="true"/>
        </w:rPr>
        <w:footnoteReference w:id="67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فعلّل انعقاد الإجماع بوجود الروایة عند الأصحاب</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بعد ذلک،فیما إذا تعدّدت الشهود فی من أعتقه المریض و عیّن کلّ غیر ما عیّنه الآخر و لم یف الثّلث بالجمیع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یخرج السابق </w:t>
      </w:r>
      <w:r>
        <w:rPr>
          <w:rStyle w:val="FootnoteAnchor"/>
          <w:rtl w:val="true"/>
        </w:rPr>
        <w:footnoteReference w:id="678"/>
      </w:r>
      <w:r>
        <w:rPr>
          <w:rFonts w:ascii="Amiri" w:hAnsi="Amiri" w:eastAsia="Amiri" w:cs="Amiri"/>
          <w:color w:val="111111"/>
          <w:sz w:val="28"/>
          <w:sz w:val="28"/>
          <w:szCs w:val="28"/>
          <w:rtl w:val="true"/>
          <w:lang w:bidi="ar-SA"/>
        </w:rPr>
        <w:t>بالقرعة،قال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دلیلنا إجماع الفرقة و أخبارهم؛فإنّهم أجمعوا علی أنّ کلّ أمر مجهول فیه القرعة </w:t>
      </w:r>
      <w:r>
        <w:rPr>
          <w:rStyle w:val="FootnoteAnchor"/>
          <w:rtl w:val="true"/>
        </w:rPr>
        <w:footnoteReference w:id="67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الثانی </w:t>
      </w:r>
      <w:r>
        <w:rPr>
          <w:rStyle w:val="FootnoteAnchor"/>
          <w:rtl w:val="true"/>
        </w:rPr>
        <w:footnoteReference w:id="6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المفید فی فصوله،حیث إنّه سئل عن الدلیل علی أنّ المطلّقة ثلاثا فی مجلس واحد یقع منها واحدة؟فقال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الدلالة علی ذلک من کتاب اللّه عزّ و جلّ و سنّة نبیّه صلّی اللّه علیه و آله و إجماع المسلمین،ثمّ استدلّ من الکتاب بظاهر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مَرَّتانِ </w:t>
      </w:r>
      <w:r>
        <w:rPr>
          <w:rStyle w:val="FootnoteAnchor"/>
          <w:rtl w:val="true"/>
        </w:rPr>
        <w:footnoteReference w:id="681"/>
      </w:r>
      <w:r>
        <w:rPr>
          <w:rFonts w:ascii="IRNazanin" w:hAnsi="IRNazanin" w:eastAsia="IRNazanin"/>
          <w:color w:val="111111"/>
          <w:sz w:val="28"/>
          <w:sz w:val="28"/>
          <w:szCs w:val="28"/>
          <w:rtl w:val="true"/>
          <w:lang w:bidi="fa-IR"/>
        </w:rPr>
        <w:t>، ثمّ بیّن وجه الدلالة،و من السنّة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لم یکن علی أمرنا هذا فهو ردّ</w:t>
      </w:r>
      <w:r>
        <w:rPr>
          <w:rFonts w:eastAsia="IRNazanin" w:cs="IRNazanin"/>
          <w:color w:val="111111"/>
          <w:sz w:val="28"/>
          <w:szCs w:val="28"/>
          <w:rtl w:val="true"/>
          <w:lang w:bidi="fa-IR"/>
        </w:rPr>
        <w:t xml:space="preserve">» </w:t>
      </w:r>
      <w:r>
        <w:rPr>
          <w:rStyle w:val="FootnoteAnchor"/>
          <w:rtl w:val="true"/>
        </w:rPr>
        <w:footnoteReference w:id="682"/>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وافق الکتاب فخذوه،و ما لم یوافقه فاطرحوه</w:t>
      </w:r>
      <w:r>
        <w:rPr>
          <w:rFonts w:eastAsia="IRNazanin" w:cs="IRNazanin"/>
          <w:color w:val="111111"/>
          <w:sz w:val="28"/>
          <w:szCs w:val="28"/>
          <w:rtl w:val="true"/>
          <w:lang w:bidi="fa-IR"/>
        </w:rPr>
        <w:t xml:space="preserve">» </w:t>
      </w:r>
      <w:r>
        <w:rPr>
          <w:rStyle w:val="FootnoteAnchor"/>
          <w:rtl w:val="true"/>
        </w:rPr>
        <w:footnoteReference w:id="683"/>
      </w:r>
      <w:r>
        <w:rPr>
          <w:rFonts w:ascii="IRNazanin" w:hAnsi="IRNazanin" w:eastAsia="IRNazanin"/>
          <w:color w:val="111111"/>
          <w:sz w:val="28"/>
          <w:sz w:val="28"/>
          <w:szCs w:val="28"/>
          <w:rtl w:val="true"/>
          <w:lang w:bidi="fa-IR"/>
        </w:rPr>
        <w:t>،و قد بیّنا أنّ المرّة لا تکون مرّتین أبدا و أنّ الواحدة لا تکون ثلاثا،فأوجب السنّة إبطال طلاق الثلاث</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إجماع الامّة،فهم مطبقون علی أنّ ما خالف الکتاب و السنّة فهو باطل،و قد تقدّم وصف خلاف الطلاق بالکتاب و السنّة،فحصل الإجماع علی إبطاله </w:t>
      </w:r>
      <w:r>
        <w:rPr>
          <w:rStyle w:val="FootnoteAnchor"/>
          <w:rtl w:val="true"/>
        </w:rPr>
        <w:footnoteReference w:id="68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حکی عن الحلّی فی السرائر الاستدلال بمثل هذا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الذی ادّعاه الحلّی علی المضایقة فی قضاء الفوائت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رسالته المسمّاة بخلاصة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أطبقت علیه الإمامیّة خلفا عن سلف و عصرا بعد عصر و أجمعت علی العمل به،و لا یعتدّ بخلاف نفر یسیر من الخراسانیین؛فإنّ ابنی بابویه،و الأشعریین کسعد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سعد ابن سعد و محمّد بن علیّ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کتاب نوادر الحکمة </w:t>
      </w:r>
      <w:r>
        <w:rPr>
          <w:rStyle w:val="FootnoteAnchor"/>
          <w:rtl w:val="true"/>
        </w:rPr>
        <w:footnoteReference w:id="6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القمیّین أجمع کعلیّ بن إبراهیم بن هاشم و محمّد بن الحسن بن الولید، عاملون بأخبار المضایقة؛لأنّهم ذکروا أنّه لا یحلّ ردّ الخبر الموثوق برواته،و حفظتهم </w:t>
      </w:r>
      <w:r>
        <w:rPr>
          <w:rStyle w:val="FootnoteAnchor"/>
          <w:rtl w:val="true"/>
        </w:rPr>
        <w:footnoteReference w:id="687"/>
      </w:r>
      <w:r>
        <w:rPr>
          <w:rFonts w:ascii="IRNazanin" w:hAnsi="IRNazanin" w:eastAsia="IRNazanin"/>
          <w:color w:val="111111"/>
          <w:sz w:val="28"/>
          <w:sz w:val="28"/>
          <w:szCs w:val="28"/>
          <w:rtl w:val="true"/>
          <w:lang w:bidi="fa-IR"/>
        </w:rPr>
        <w:t xml:space="preserve">الصدوق ذکر ذلک فی کتاب من لا یحضره الفقیه، و خرّیت هذه الصناعة و رئیس الأعاجم الشیخ أبو جعفر الطوسی مودع أخبار المضایقة فی کتبه،مفت بها،و المخالف إذا علم باسمه و نسبه لم یضرّ خلافه </w:t>
      </w:r>
      <w:r>
        <w:rPr>
          <w:rStyle w:val="FootnoteAnchor"/>
          <w:rtl w:val="true"/>
        </w:rPr>
        <w:footnoteReference w:id="68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إخباره بإجماع العلماء علی الفتوی بالمضایقة مبنیّ علی الحدس و الاجتهاد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ذکر الخبر علی عمل الذاکر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 إن کان غالبیّا إلاّ أنّه لا یوجب القطع؛لمشاهدة التخلّف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تمامیّة دلالة تلک الأخبار عند اولئک علی الوجوب؛إذ لعلّهم فهموا منها بالقرائن الخارجیّة تأکّد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رواة تلک الروایات موثوقا بهم عند اولئک؛لأنّ وثوق الحلّی بالرواة لا یدلّ علی وثوق اولئک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الحلّی لا یری جواز العمل بأخبار الآحاد و إن کانوا ثقات،و المفتی إذا استند فتواه إلی خبر واحد،لا یوجب اجتماع أمثاله القطع بالواقع،خصوصا لمن یخطّئ العمل بأخبار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مثل هذا الإجماع إخبار عن قول الإمام علیه السّلام،فیدخل فی الخبر الواحد؟مع أنّه فی الحقیقة اعتماد علی اجتهادات الحلّی مع وضوح فساد بعضها؛فإنّ کثیرا ممّن ذکر أخبار المضایقة قد ذکر أخبار المواسعة أیضا </w:t>
      </w:r>
      <w:r>
        <w:rPr>
          <w:rStyle w:val="FootnoteAnchor"/>
          <w:rtl w:val="true"/>
        </w:rPr>
        <w:footnoteReference w:id="689"/>
      </w:r>
      <w:r>
        <w:rPr>
          <w:rFonts w:ascii="IRNazanin" w:hAnsi="IRNazanin" w:eastAsia="IRNazanin"/>
          <w:color w:val="111111"/>
          <w:sz w:val="28"/>
          <w:sz w:val="28"/>
          <w:szCs w:val="28"/>
          <w:rtl w:val="true"/>
          <w:lang w:bidi="fa-IR"/>
        </w:rPr>
        <w:t xml:space="preserve">،و أنّ المفتی إذا علم استناده إلی مدرک لا یصلح للرکون </w:t>
      </w:r>
      <w:r>
        <w:rPr>
          <w:rStyle w:val="FootnoteAnchor"/>
          <w:rtl w:val="true"/>
        </w:rPr>
        <w:footnoteReference w:id="690"/>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الدلالة أو المعارضة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یؤثّر فتواه فی الکشف عن قول الإمام علیه السّلام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أوضح حالا فی عدم جواز الاعتماد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ادّعاه الحلّی من الإجماع </w:t>
      </w:r>
    </w:p>
    <w:p>
      <w:pPr>
        <w:pStyle w:val="BookText"/>
        <w:rPr/>
      </w:pPr>
      <w:r>
        <w:rPr>
          <w:rFonts w:ascii="IRNazanin" w:hAnsi="IRNazanin" w:eastAsia="IRNazanin"/>
          <w:color w:val="111111"/>
          <w:sz w:val="28"/>
          <w:sz w:val="28"/>
          <w:szCs w:val="28"/>
          <w:rtl w:val="true"/>
          <w:lang w:bidi="fa-IR"/>
        </w:rPr>
        <w:t xml:space="preserve">علی وجوب فطرة الزوجة و لو کانت ناشزة علی الزوج </w:t>
      </w:r>
      <w:r>
        <w:rPr>
          <w:rStyle w:val="FootnoteAnchor"/>
          <w:rtl w:val="true"/>
        </w:rPr>
        <w:footnoteReference w:id="691"/>
      </w:r>
      <w:r>
        <w:rPr>
          <w:rFonts w:ascii="IRNazanin" w:hAnsi="IRNazanin" w:eastAsia="IRNazanin"/>
          <w:color w:val="111111"/>
          <w:sz w:val="28"/>
          <w:sz w:val="28"/>
          <w:szCs w:val="28"/>
          <w:rtl w:val="true"/>
          <w:lang w:bidi="fa-IR"/>
        </w:rPr>
        <w:t xml:space="preserve">،و ردّه المحقّق بأنّ أحدا من علماء الإسلام لم یذهب إلی ذلک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الظاهر أنّ الحلّی إنّما اعتمد فی استکشاف أقوال العلماء علی تدوینهم للروایات الدالّة بإطلاقها علی وجوب فطرة </w:t>
      </w:r>
      <w:r>
        <w:rPr>
          <w:rStyle w:val="FootnoteAnchor"/>
          <w:rtl w:val="true"/>
        </w:rPr>
        <w:footnoteReference w:id="693"/>
      </w:r>
      <w:r>
        <w:rPr>
          <w:rFonts w:ascii="IRNazanin" w:hAnsi="IRNazanin" w:eastAsia="IRNazanin"/>
          <w:color w:val="111111"/>
          <w:sz w:val="28"/>
          <w:sz w:val="28"/>
          <w:szCs w:val="28"/>
          <w:rtl w:val="true"/>
          <w:lang w:bidi="fa-IR"/>
        </w:rPr>
        <w:t xml:space="preserve">الزوجة علی الزوج </w:t>
      </w:r>
      <w:r>
        <w:rPr>
          <w:rStyle w:val="FootnoteAnchor"/>
          <w:rtl w:val="true"/>
        </w:rPr>
        <w:footnoteReference w:id="694"/>
      </w:r>
      <w:r>
        <w:rPr>
          <w:rFonts w:ascii="IRNazanin" w:hAnsi="IRNazanin" w:eastAsia="IRNazanin"/>
          <w:color w:val="111111"/>
          <w:sz w:val="28"/>
          <w:sz w:val="28"/>
          <w:szCs w:val="28"/>
          <w:rtl w:val="true"/>
          <w:lang w:bidi="fa-IR"/>
        </w:rPr>
        <w:t>متخیّلا أنّ الحکم معلّق علی الزوجة من حیث هی زوجة، و لم یتفطّن لکون الحکم من حیث العیلولة،أو وجوب الانفاق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یجوز الاعتماد فی مثله علی الإخبار بالاتّفاق الکاشف عن قول الإمام علیه السّلام،و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سنّة محکیّة؟</w:t>
      </w:r>
    </w:p>
    <w:p>
      <w:pPr>
        <w:pStyle w:val="BookText"/>
        <w:rPr/>
      </w:pPr>
      <w:r>
        <w:rPr>
          <w:rFonts w:ascii="IRNazanin" w:hAnsi="IRNazanin" w:eastAsia="IRNazanin"/>
          <w:color w:val="111111"/>
          <w:sz w:val="28"/>
          <w:sz w:val="28"/>
          <w:szCs w:val="28"/>
          <w:rtl w:val="true"/>
          <w:lang w:bidi="fa-IR"/>
        </w:rPr>
        <w:t>و ما أبعد ما بین ما استند إلیه الحلّی فی هذا المقام و بین ما ذکره المحقّق فی بعض کلماته المحکیّة،حیث قال</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الاتّفاق علی لفظ مطلق شامل لبعض أفراده الذی وقع فیه الکلام،لا یقتضی الإجماع علی ذلک الفرد؛لأنّ المذهب لا یصار إلیه من إطلاق اللفظ ما لم یکن معلوما من القصد؛لأنّ الإجماع مأخوذ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عزم علیه،فلا یدخل فی الإجماع علی الحکم إلاّ من علم منه القصد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أنّا لا نعلم مذهب عشرة من الفقهاء الذین لم ینقل مذهبهم لدلالة عموم القرآن و إن کانوا قائلین به </w:t>
      </w:r>
      <w:r>
        <w:rPr>
          <w:rStyle w:val="FootnoteAnchor"/>
          <w:rtl w:val="true"/>
        </w:rPr>
        <w:footnoteReference w:id="695"/>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هو فی غایة المتانة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لکنّک عرفت </w:t>
      </w:r>
      <w:r>
        <w:rPr>
          <w:rStyle w:val="FootnoteAnchor"/>
          <w:rtl w:val="true"/>
        </w:rPr>
        <w:footnoteReference w:id="696"/>
      </w:r>
      <w:r>
        <w:rPr>
          <w:rFonts w:ascii="IRNazanin" w:hAnsi="IRNazanin" w:eastAsia="IRNazanin"/>
          <w:color w:val="111111"/>
          <w:sz w:val="28"/>
          <w:sz w:val="28"/>
          <w:szCs w:val="28"/>
          <w:rtl w:val="true"/>
          <w:lang w:bidi="fa-IR"/>
        </w:rPr>
        <w:t>ما وقع من جماعة من المسامحة فی إطلاق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حکی فی المعالم عن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أوّل کثیرا من الاجماعات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مشاهدة المخالف فی مواردها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بإرادة الشهرة،أو بعدم الظفر بالمخالف حین دعوی الإجماع،أو بتأویل الخلاف علی وجه لا ینافی الإجماع،أو بإرادة الإجماع علی الروایة و تدوینها فی کتب الحدیث </w:t>
      </w:r>
      <w:r>
        <w:rPr>
          <w:rStyle w:val="FootnoteAnchor"/>
          <w:rtl w:val="true"/>
        </w:rPr>
        <w:footnoteReference w:id="69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المحدّث المجلسیّ قدّس سرّه فی کتاب الصلاة من البحار بعد ذکر معنی الإجماع و وجه حجّیّته عند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لمّا رجعوا إلی الفقه کأنّهم نسوا ما ذکروه فی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فی الطعن علی إجماعاتهم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فیغلب علی الظنّ أنّ مصطلحهم فی الفروع غیر ما جروا علیه فی الاصول </w:t>
      </w:r>
      <w:r>
        <w:rPr>
          <w:rStyle w:val="FootnoteAnchor"/>
          <w:rtl w:val="true"/>
        </w:rPr>
        <w:footnoteReference w:id="69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حاجة إلی ارتکاب التأویل فی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ذکره الشهید،و لا إلی ما ذکره المحدّث المذکور </w:t>
      </w:r>
      <w:r>
        <w:rPr>
          <w:rStyle w:val="FootnoteAnchor"/>
          <w:rtl w:val="true"/>
        </w:rPr>
        <w:footnoteReference w:id="699"/>
      </w:r>
      <w:r>
        <w:rPr>
          <w:rFonts w:ascii="IRNazanin" w:hAnsi="IRNazanin" w:eastAsia="IRNazanin"/>
          <w:color w:val="111111"/>
          <w:sz w:val="28"/>
          <w:sz w:val="28"/>
          <w:szCs w:val="28"/>
          <w:rtl w:val="true"/>
          <w:lang w:bidi="fa-IR"/>
        </w:rPr>
        <w:t>قدّس سرّهما،من تغایر مصطلحهم فی الفروع و الاصول،بل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دعواهم للاجماع فی الفروع مبنیّ علی استکشاف الآراء و رأی الإمام علیه السّلام إمّا من حسن الظنّ بجماعة من السلف،أو من امور تستلزم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باجتهادهم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إفتاء العلماء بذلک و صدور الحکم عن الإمام علیه السّلام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لیس فی هذا مخالفة لظاهر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یحتاج إلی القرینة،و لا تدلیس؛لأنّ دعوی الإجماع لیست </w:t>
      </w:r>
      <w:r>
        <w:rPr>
          <w:rStyle w:val="FootnoteAnchor"/>
          <w:rtl w:val="true"/>
        </w:rPr>
        <w:footnoteReference w:id="700"/>
      </w:r>
      <w:r>
        <w:rPr>
          <w:rFonts w:ascii="IRNazanin" w:hAnsi="IRNazanin" w:eastAsia="IRNazanin"/>
          <w:color w:val="111111"/>
          <w:sz w:val="28"/>
          <w:sz w:val="28"/>
          <w:szCs w:val="28"/>
          <w:rtl w:val="true"/>
          <w:lang w:bidi="fa-IR"/>
        </w:rPr>
        <w:t>لأجل اعتماد الغیر علیه و جعله دلیلا یستریح إلیه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نعم،قد یوجب التدلیس من جهة نسبة الفتوی إلی العلماء، الظاهرة فی وجدانها فی کلماتهم،لکنّه یندفع بأدنی تتبّع فی الفقه،لیظهر أنّ مبنی ذلک علی استنباط المذهب،لا علی وجدانه مأثورا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المتتبّع فی الاجماعات المنقولة یحصل له القطع من تراکم أمارات کثیرة،باستناد دعوی الناقلین للاجماع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إذا أرادوا به اتّفاق علماء جمیع الأعصار کما هو الغالب فی إجماعات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الحدس الحاصل من حسن الظنّ بجماعة ممّن تقدّم علی الناقل،أو من الانتقال من الملزوم إلی لازمه </w:t>
      </w:r>
      <w:r>
        <w:rPr>
          <w:rStyle w:val="FootnoteAnchor"/>
          <w:rtl w:val="true"/>
        </w:rPr>
        <w:footnoteReference w:id="701"/>
      </w:r>
      <w:r>
        <w:rPr>
          <w:rFonts w:ascii="Amiri" w:hAnsi="Amiri" w:eastAsia="Amiri" w:cs="Amiri"/>
          <w:color w:val="111111"/>
          <w:sz w:val="28"/>
          <w:sz w:val="28"/>
          <w:szCs w:val="28"/>
          <w:rtl w:val="true"/>
          <w:lang w:bidi="ar-SA"/>
        </w:rPr>
        <w:t>،مع ثبوت الملازمة باجتهاد الناقل و اعتقاده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ینزّل الإجماعات المتخالفة من العلماء مع اتّحاد العصر أو تقارب العصرین،و عدم المبالاة کثیرا بإجماع الغیر و الخروج عنه للدلیل،و کذا دعوی الإجماع مع وجود المخالف؛فإنّ ما ذکرنا فی مبنی الإجماع من أصحّ المحامل لهذه الامور المنافیة لبناء دعوی الإجماع علی تتبّع الفتاوی فی خصوص المسألة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المحقّق السبزواری فی الذخیرة،بعد بیان تعسّر العلم بالاجماع</w:t>
      </w:r>
      <w:r>
        <w:rPr>
          <w:rFonts w:eastAsia="IRNazanin" w:cs="IRNazanin"/>
          <w:color w:val="111111"/>
          <w:sz w:val="28"/>
          <w:szCs w:val="28"/>
          <w:rtl w:val="true"/>
          <w:lang w:bidi="fa-IR"/>
        </w:rPr>
        <w:t xml:space="preserve">: </w:t>
      </w:r>
      <w:bookmarkStart w:id="547" w:name="pg12977_114253"/>
    </w:p>
    <w:p>
      <w:pPr>
        <w:pStyle w:val="BookText"/>
        <w:rPr/>
      </w:pPr>
      <w:bookmarkEnd w:id="547"/>
      <w:r>
        <w:rPr>
          <w:rFonts w:ascii="IRNazanin" w:hAnsi="IRNazanin" w:eastAsia="IRNazanin"/>
          <w:color w:val="111111"/>
          <w:sz w:val="28"/>
          <w:sz w:val="28"/>
          <w:szCs w:val="28"/>
          <w:rtl w:val="true"/>
          <w:lang w:bidi="fa-IR"/>
        </w:rPr>
        <w:t>أنّ مرادهم بالإجماعات المنقولة فی کثیر من المسائل بل فی أکثرها،لا یکون محمولا علی معناه الظاهر،بل إمّا یرجع إلی اجتهاد من الناقل مؤدّ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القرائن و الأمارات التی اعتبرها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المعصوم علیه السّلام موافق فی هذا الحکم،أو مرادهم الشهرة،أو اتّفاق أصحاب الکتب المشهورة،أو غیر ذلک من المعانی المحتملة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بعد کلام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ظهر لی من تتبّع کلام المتأخّرین، أنّهم کانوا ینظرون إلی کتب الفتاوی الموجودة عندهم فی حال التألیف، فإذا رأوا اتّفاقهم علی حکم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إجماعیّ،ثمّ إذا اطّلعوا علی تصنیف آخر خالف مؤلّفه الحکم المذکور،رجعوا عن الدعوی المذکورة، و یرشد إلی هذا کثیر من القرائن التی لا یناسب هذا المقام تفصیلها </w:t>
      </w:r>
      <w:r>
        <w:rPr>
          <w:rStyle w:val="FootnoteAnchor"/>
          <w:rtl w:val="true"/>
        </w:rPr>
        <w:footnoteReference w:id="70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Heading6"/>
        <w:numPr>
          <w:ilvl w:val="5"/>
          <w:numId w:val="1"/>
        </w:numPr>
        <w:rPr/>
      </w:pPr>
      <w:bookmarkStart w:id="548" w:name="__RefHeading___Toc5446855_3224264995"/>
      <w:bookmarkStart w:id="549" w:name="_Toc209"/>
      <w:bookmarkEnd w:id="548"/>
      <w:r>
        <w:rPr>
          <w:rtl w:val="true"/>
        </w:rPr>
        <w:t>حاصل الکلام فی المسألة</w:t>
      </w:r>
      <w:r>
        <w:rPr>
          <w:rtl w:val="true"/>
        </w:rPr>
        <w:t>:</w:t>
      </w:r>
      <w:bookmarkEnd w:id="549"/>
    </w:p>
    <w:p>
      <w:pPr>
        <w:pStyle w:val="BookText"/>
        <w:rPr/>
      </w:pPr>
      <w:r>
        <w:rPr>
          <w:rFonts w:ascii="IRNazanin" w:hAnsi="IRNazanin" w:eastAsia="IRNazanin"/>
          <w:color w:val="111111"/>
          <w:sz w:val="28"/>
          <w:sz w:val="28"/>
          <w:szCs w:val="28"/>
          <w:rtl w:val="true"/>
          <w:lang w:bidi="fa-IR"/>
        </w:rPr>
        <w:t>و حاصل الکلام من أوّل ما ذکرنا إلی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الناقل للإجماع إن احتمل فی حقّه تتبّع فتاوی من ادّعی اتّفاقهم حتّی الإمام الذی هو داخل فی المجمعین،فلا إشکال فی حجّیّته و فی إلحاقه بالخبر الواحد؛إذ لا یشترط فی حجّیّته معرفة الإمام علیه السّلام تفصیلا حین السماع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الفرض ممّا یعلم بعدم وقوعه،و أنّ المدّعی للإجماع لا یدّعیه علی هذا الوجه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هذا،فإن احتمل فی حقّه تتبّع فتاوی جمیع المجمعین، و المفروض أنّ الظاهر من کلامه هو </w:t>
      </w:r>
      <w:r>
        <w:rPr>
          <w:rStyle w:val="FootnoteAnchor"/>
          <w:rtl w:val="true"/>
        </w:rPr>
        <w:footnoteReference w:id="703"/>
      </w:r>
      <w:r>
        <w:rPr>
          <w:rFonts w:ascii="IRNazanin" w:hAnsi="IRNazanin" w:eastAsia="IRNazanin"/>
          <w:color w:val="111111"/>
          <w:sz w:val="28"/>
          <w:sz w:val="28"/>
          <w:szCs w:val="28"/>
          <w:rtl w:val="true"/>
          <w:lang w:bidi="fa-IR"/>
        </w:rPr>
        <w:t xml:space="preserve">اتّفاق الکلّ المستلزم عادة لموافقة </w:t>
      </w:r>
    </w:p>
    <w:p>
      <w:pPr>
        <w:pStyle w:val="BookText"/>
        <w:rPr/>
      </w:pPr>
      <w:r>
        <w:rPr>
          <w:rFonts w:ascii="IRNazanin" w:hAnsi="IRNazanin" w:eastAsia="IRNazanin"/>
          <w:color w:val="111111"/>
          <w:sz w:val="28"/>
          <w:sz w:val="28"/>
          <w:szCs w:val="28"/>
          <w:rtl w:val="true"/>
          <w:lang w:bidi="fa-IR"/>
        </w:rPr>
        <w:t xml:space="preserve">قول الإمام علیه السّلام،فالظاهر حجّیّة خبره للمنقول إلیه،سواء جعلنا المناط فی حجّیته تعلّق خبره بنفس الکاشف،الذی هو من الامور المحسوسة المستلزمة ضرورة لأمر حدسی و هو قول الإمام علیه السّلام،أو جعلنا المناط تعلّق خبره بالمنکشف و هو قول الإمام علیه السّلام؛لما عرفت </w:t>
      </w:r>
      <w:r>
        <w:rPr>
          <w:rStyle w:val="FootnoteAnchor"/>
          <w:rtl w:val="true"/>
        </w:rPr>
        <w:footnoteReference w:id="7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الخبر الحدسیّ المستند إلی إحساس ما هو ملزوم للمخبر به عادة، کالخبر الحسّی فی وجوب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الوجهان فی کلام السیّد الکاظمی فی شرح الوافیة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لکنّک قد عرفت سابقا </w:t>
      </w:r>
      <w:r>
        <w:rPr>
          <w:rStyle w:val="FootnoteAnchor"/>
          <w:rtl w:val="true"/>
        </w:rPr>
        <w:footnoteReference w:id="7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بانتفاء هذا الاحتمال،خصوصا إذا أراد الناقل اتّفاق علماء جمیع الأعصار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فرضنا قلّة العلماء فی عصر بحیث یحاط بهم،أمکن دعوی اتّفاقهم عن حسّ،لکن هذا غیر مستلزم عادة لموافقة قول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نعم،یکشف عن موافقته بناء علی طریقة الشیخ المتقدّمة </w:t>
      </w:r>
      <w:r>
        <w:rPr>
          <w:rStyle w:val="FootnoteAnchor"/>
          <w:rtl w:val="true"/>
        </w:rPr>
        <w:footnoteReference w:id="707"/>
      </w:r>
      <w:r>
        <w:rPr>
          <w:rFonts w:ascii="IRNazanin" w:hAnsi="IRNazanin" w:eastAsia="IRNazanin"/>
          <w:color w:val="111111"/>
          <w:sz w:val="28"/>
          <w:sz w:val="28"/>
          <w:szCs w:val="28"/>
          <w:rtl w:val="true"/>
          <w:lang w:bidi="fa-IR"/>
        </w:rPr>
        <w:t xml:space="preserve">التی لم تثبت عندنا و عند الأکثر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إذا علم عدم استناد دعوی اتّفاق العلماء المتشتّتین فی الأقطار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یکشف عادة عن موافقة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إلی الحدس الناشئ عن أحد الامور المتقدّمة التی مرجعها إلی حسن الظنّ أو الملازمات </w:t>
      </w:r>
      <w:bookmarkStart w:id="550" w:name="pg12977_114255"/>
    </w:p>
    <w:p>
      <w:pPr>
        <w:pStyle w:val="BookText"/>
        <w:rPr/>
      </w:pPr>
      <w:bookmarkEnd w:id="550"/>
      <w:r>
        <w:rPr>
          <w:rFonts w:ascii="IRNazanin" w:hAnsi="IRNazanin" w:eastAsia="IRNazanin"/>
          <w:color w:val="111111"/>
          <w:sz w:val="28"/>
          <w:sz w:val="28"/>
          <w:szCs w:val="28"/>
          <w:rtl w:val="true"/>
          <w:lang w:bidi="fa-IR"/>
        </w:rPr>
        <w:t>الاجتهادیّة،فلا عبرة بنقله؛لأنّ الإخبار بقول الإمام علیه السّلام حدسیّ غیر مستند إلی حسّ ملزوم له عادة لیکون نظیر الإخبار بالعدالة المستندة إلی الآثار الحسیّة،و الإخبار بالاتّفاق أیضا حدسیّ</w:t>
      </w:r>
      <w:r>
        <w:rPr>
          <w:rFonts w:eastAsia="IRNazanin" w:cs="IRNazanin"/>
          <w:color w:val="111111"/>
          <w:sz w:val="28"/>
          <w:szCs w:val="28"/>
          <w:rtl w:val="true"/>
          <w:lang w:bidi="fa-IR"/>
        </w:rPr>
        <w:t>.</w:t>
      </w:r>
    </w:p>
    <w:p>
      <w:pPr>
        <w:pStyle w:val="Heading6"/>
        <w:numPr>
          <w:ilvl w:val="5"/>
          <w:numId w:val="1"/>
        </w:numPr>
        <w:rPr/>
      </w:pPr>
      <w:bookmarkStart w:id="551" w:name="__RefHeading___Toc5446857_3224264995"/>
      <w:bookmarkStart w:id="552" w:name="_Toc210"/>
      <w:bookmarkEnd w:id="551"/>
      <w:r>
        <w:rPr>
          <w:rtl w:val="true"/>
        </w:rPr>
        <w:t>فائدة نقل الإجماع</w:t>
      </w:r>
      <w:r>
        <w:rPr>
          <w:rtl w:val="true"/>
        </w:rPr>
        <w:t>:</w:t>
      </w:r>
      <w:bookmarkEnd w:id="552"/>
    </w:p>
    <w:p>
      <w:pPr>
        <w:pStyle w:val="BookText"/>
        <w:rPr/>
      </w:pPr>
      <w:r>
        <w:rPr>
          <w:rFonts w:ascii="IRNazanin" w:hAnsi="IRNazanin" w:eastAsia="IRNazanin"/>
          <w:color w:val="111111"/>
          <w:sz w:val="28"/>
          <w:sz w:val="28"/>
          <w:szCs w:val="28"/>
          <w:rtl w:val="true"/>
          <w:lang w:bidi="fa-IR"/>
        </w:rPr>
        <w:t>نعم،یبقی هنا شیء،و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المقدار من النسبة المحتمل استناد الناقل فیها إلی الحسّ یکون خبره حجّة فیها؛لأنّ ظاهر الحکایة محمول علی الوجدان إلاّ إذا قام هناک صارف،و المعلوم من الصارف هو عدم استناد الناقل إلی الوجدان و الحسّ فی نسبة الفتوی إلی جمیع من ادّعی إجماعهم،و أمّا استناد نسبة الفتوی إلی جمیع أرباب الکتب المصنّفة فی الفتاوی إلی الوجدان فی کتبهم بعد التتبّع،فأمر محتمل لا یمنعه عادة و لا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تقدّم من المحقّق السبزواری </w:t>
      </w:r>
      <w:r>
        <w:rPr>
          <w:rStyle w:val="FootnoteAnchor"/>
          <w:rtl w:val="true"/>
        </w:rPr>
        <w:footnoteReference w:id="7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ابتناء دعوی الإجماع علی ملاحظة الکتب الموجودة عنده حال التألیف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علیه شاهد،بل الشاهد علی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تقدیره،فهو ظنّ لا یقدح فی العمل بظاهر النسبة؛فإنّ نسبة الأمر الحسّیّ إلی شخص ظاهر فی إحساس الغیر إیّاه من ذلک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فنقل الإجماع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شذّ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بالنسبة إلی صدور الفتوی عن جمیع المعروفین من أهل الفتاوی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یقدح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نجد الخلاف فی کثیر من موارد دعوی الإجماع؛إذ من المحتمل إرادة الناقل ما عدا المخالف،فتتبّع کتب من عداه و نسب الفتوی إلیهم،بل لعلّه اطّلع علی رجوع من نجده مخالفا، </w:t>
      </w:r>
      <w:bookmarkStart w:id="553" w:name="pg12977_114256"/>
    </w:p>
    <w:p>
      <w:pPr>
        <w:pStyle w:val="BookText"/>
        <w:rPr/>
      </w:pPr>
      <w:bookmarkEnd w:id="553"/>
      <w:r>
        <w:rPr>
          <w:rFonts w:ascii="IRNazanin" w:hAnsi="IRNazanin" w:eastAsia="IRNazanin"/>
          <w:color w:val="111111"/>
          <w:sz w:val="28"/>
          <w:sz w:val="28"/>
          <w:szCs w:val="28"/>
          <w:rtl w:val="true"/>
          <w:lang w:bidi="fa-IR"/>
        </w:rPr>
        <w:t>فلا حاجة إلی حمل کلامه علی من عدا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المضمون المخبر به عن حسّ و إن لم یکن مستلزما بنفسه عادة لموافقة قول الإمام علیه السّلام،إلاّ أنّه قد یستلزمه </w:t>
      </w:r>
      <w:r>
        <w:rPr>
          <w:rStyle w:val="FootnoteAnchor"/>
          <w:rtl w:val="true"/>
        </w:rPr>
        <w:footnoteReference w:id="710"/>
      </w:r>
      <w:r>
        <w:rPr>
          <w:rFonts w:ascii="IRNazanin" w:hAnsi="IRNazanin" w:eastAsia="IRNazanin"/>
          <w:color w:val="111111"/>
          <w:sz w:val="28"/>
          <w:sz w:val="28"/>
          <w:szCs w:val="28"/>
          <w:rtl w:val="true"/>
          <w:lang w:bidi="fa-IR"/>
        </w:rPr>
        <w:t>بانضمام أمارات أخر یحصّلها المتتبّع،أو بانضمام أقوال المتأخّرین دعوی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ادّعی الشیخ قدّس سرّه الإجماع علی اعتبار طهارة مسجد الجبهة،فلا أقلّ من احتمال أن یکون دعواه مستندة إلی وجدان الحکم فی الکتب المعدّة للفتوی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بإیراد الروایات التی یفتی المؤلّف بمضمونها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خبره المتضمّن لإفتاء جمیع أهل الفتوی بهذا الحکم حجّة فی المسألة،فیکون کما لو وجدنا الفتاوی فی کتبهم،بل سمعناها منهم،و فتواهم و إن لم تکن بنفسها مستلزمة عادة لموافقة الإمام علیه السّلام، إلاّ أنّا إذا ضممنا إلیها فتوی من تأخّر عن الشیخ من أهل الفتوی، و ضمّ إلی ذلک أمارات أخر،</w:t>
      </w:r>
    </w:p>
    <w:p>
      <w:pPr>
        <w:pStyle w:val="Heading6"/>
        <w:numPr>
          <w:ilvl w:val="5"/>
          <w:numId w:val="1"/>
        </w:numPr>
        <w:rPr/>
      </w:pPr>
      <w:bookmarkStart w:id="554" w:name="__RefHeading___Toc5446859_3224264995"/>
      <w:bookmarkStart w:id="555" w:name="_Toc211"/>
      <w:bookmarkEnd w:id="554"/>
      <w:r>
        <w:rPr>
          <w:rtl w:val="true"/>
        </w:rPr>
        <w:t>لو حصل من نقل الإجماع و ما انضمّ إلیه القطع بالحکم</w:t>
      </w:r>
      <w:bookmarkEnd w:id="555"/>
    </w:p>
    <w:p>
      <w:pPr>
        <w:pStyle w:val="BookText"/>
        <w:rPr/>
      </w:pPr>
      <w:r>
        <w:rPr>
          <w:rFonts w:ascii="IRNazanin" w:hAnsi="IRNazanin" w:eastAsia="IRNazanin"/>
          <w:color w:val="111111"/>
          <w:sz w:val="28"/>
          <w:sz w:val="28"/>
          <w:szCs w:val="28"/>
          <w:rtl w:val="true"/>
          <w:lang w:bidi="fa-IR"/>
        </w:rPr>
        <w:t>فربما حصل من المجموع القطع بالحکم؛ لاستحالة تخلّف هذه جمیعها عن قول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هذا 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اتّفاق أهل الفتاوی المأثورة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یثبت لنا بالوجدان،إلاّ أنّ المخبر قد أخبر به عن حسّ،فیکون حجّة کالمحسوس لنا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کما أنّ مجموع ما یستلزم عادة لصدور </w:t>
      </w:r>
      <w:r>
        <w:rPr>
          <w:rStyle w:val="FootnoteAnchor"/>
          <w:rtl w:val="true"/>
        </w:rPr>
        <w:footnoteReference w:id="711"/>
      </w:r>
      <w:r>
        <w:rPr>
          <w:rFonts w:ascii="IRNazanin" w:hAnsi="IRNazanin" w:eastAsia="IRNazanin"/>
          <w:color w:val="111111"/>
          <w:sz w:val="28"/>
          <w:sz w:val="28"/>
          <w:szCs w:val="28"/>
          <w:rtl w:val="true"/>
          <w:lang w:bidi="fa-IR"/>
        </w:rPr>
        <w:t xml:space="preserve">الحکم عن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أخبر به العادل عن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منه و عمل بمقتضاه،فکذا إذا أخبر العادل ببعضه عن حسّ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توضیحه بالمثال الخارجیّ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خبر مائة عادل أو ألف مخبر بشیء مع شدّة احتیاطهم فی مقام الإخبار یستلزم عادة ثبوت المخبر به فی الخارج،فإذا أخبرنا عادل بأنّه قد أخبر ألف عادل بموت زید و حضور دفنه،فیکون خبره بإخبار الجماعة بموت زید حجّة، فیثبت به لازمه العادیّ و هو موت زید،و کذلک إذا أخبر العادل بإخبار بعض هؤلاء،و حصّلنا إخبار الباقی بالسماع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کانت الفتاوی المنقولة إجمالا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ثبوتها لنا بالوجدان،ممّا لا یکون بنفسها أو بضمیمة أمارات أخر مستلزمة عادة للقطع بقول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قد تفیده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معنی لحجیّة خبر الواحد فی نقلها تعبّدا؛لأنّ معنی التعبّد بخبر الواحد فی شیء ترتیب لوازمه الثابتة له و لو بضمیمة امور أخر،فلو أخبر العادل بإخبار عشرین بموت زید،و فرضنا أنّ إخبارهم قد یوجب العلم و قد لا یوجب،لم یکن خبره حجّة بالنسبة إلی موت زید؛إذ لا یلزم من إخبار عشرین بموت زید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فمعنی حجّیّة خبر العادل وجوب ترتیب ما یدلّ علیه المخبر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مطابقة،أو تضمّنا،أو التزاما عقلیّا أو عادیّا أو شرعیّا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ما یقارنه أحیانا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ما ذکرنا لا یختصّ بنقل الإجماع،بل یجری فی لفظ </w:t>
      </w:r>
      <w:r>
        <w:rPr>
          <w:rStyle w:val="FootnoteAnchor"/>
          <w:rtl w:val="true"/>
        </w:rPr>
        <w:footnoteReference w:id="7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شبهه،و </w:t>
      </w:r>
      <w:r>
        <w:rPr>
          <w:rStyle w:val="FootnoteAnchor"/>
          <w:rtl w:val="true"/>
        </w:rPr>
        <w:footnoteReference w:id="713"/>
      </w:r>
      <w:r>
        <w:rPr>
          <w:rFonts w:ascii="IRNazanin" w:hAnsi="IRNazanin" w:eastAsia="IRNazanin"/>
          <w:color w:val="111111"/>
          <w:sz w:val="28"/>
          <w:sz w:val="28"/>
          <w:szCs w:val="28"/>
          <w:rtl w:val="true"/>
          <w:lang w:bidi="fa-IR"/>
        </w:rPr>
        <w:t xml:space="preserve">یجری فی نقل الشهرة،و نقل الفتاوی عن </w:t>
      </w:r>
      <w:bookmarkStart w:id="556" w:name="pg12977_114258"/>
    </w:p>
    <w:p>
      <w:pPr>
        <w:pStyle w:val="BookText"/>
        <w:rPr/>
      </w:pPr>
      <w:bookmarkEnd w:id="556"/>
      <w:r>
        <w:rPr>
          <w:rFonts w:ascii="IRNazanin" w:hAnsi="IRNazanin" w:eastAsia="IRNazanin"/>
          <w:color w:val="111111"/>
          <w:sz w:val="28"/>
          <w:sz w:val="28"/>
          <w:szCs w:val="28"/>
          <w:rtl w:val="true"/>
          <w:lang w:bidi="fa-IR"/>
        </w:rPr>
        <w:t>أربابها تفصیلا</w:t>
      </w:r>
      <w:r>
        <w:rPr>
          <w:rFonts w:eastAsia="IRNazanin" w:cs="IRNazanin"/>
          <w:color w:val="111111"/>
          <w:sz w:val="28"/>
          <w:szCs w:val="28"/>
          <w:rtl w:val="true"/>
          <w:lang w:bidi="fa-IR"/>
        </w:rPr>
        <w:t>.</w:t>
      </w:r>
    </w:p>
    <w:p>
      <w:pPr>
        <w:pStyle w:val="Heading6"/>
        <w:numPr>
          <w:ilvl w:val="5"/>
          <w:numId w:val="1"/>
        </w:numPr>
        <w:rPr/>
      </w:pPr>
      <w:bookmarkStart w:id="557" w:name="__RefHeading___Toc5446861_3224264995"/>
      <w:bookmarkStart w:id="558" w:name="_Toc212"/>
      <w:bookmarkEnd w:id="557"/>
      <w:r>
        <w:rPr>
          <w:rtl w:val="true"/>
        </w:rPr>
        <w:t>لو حصل من نقل الإجماع القطع بوجود دلیل ظنیّ معتبر</w:t>
      </w:r>
      <w:r>
        <w:rPr>
          <w:rtl w:val="true"/>
        </w:rPr>
        <w:t>:</w:t>
      </w:r>
      <w:bookmarkEnd w:id="558"/>
    </w:p>
    <w:p>
      <w:pPr>
        <w:pStyle w:val="BookText"/>
        <w:rPr/>
      </w:pPr>
      <w:r>
        <w:rPr>
          <w:rFonts w:ascii="IRNazanin" w:hAnsi="IRNazanin" w:eastAsia="IRNazanin"/>
          <w:color w:val="111111"/>
          <w:sz w:val="28"/>
          <w:sz w:val="28"/>
          <w:szCs w:val="28"/>
          <w:rtl w:val="true"/>
          <w:lang w:bidi="fa-IR"/>
        </w:rPr>
        <w:t>ثمّ إنّه لو لم یحصل من مجموع ما ثبت بنقل العادل و ما حصّله المنقول إلیه بالوجدان من الأمارات و الأقوال القطع بصدور الحکم الواقعیّ عن الإمام علیه السّلام،لکن حصل منه القطع بوجود دلیل ظنّیّ معتبر بحیث لو نقل إلینا لاعتقدناه تامّا من جهة الدلالة و فقد المعارض،کان هذا المقدار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کافیا فی إثبات المسألة الفقهیّة،بل قد یکون نفس الفتاوی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نقلها الناقل للإجماع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مستلزما لوجود دلیل معتبر، فیستقلّ الإجماع المنقول بالحجّیة بعد إثبات حجیّة خبر العادل فی المحسوسات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إذا منعنا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تقدّم سابقا </w:t>
      </w:r>
      <w:r>
        <w:rPr>
          <w:rStyle w:val="FootnoteAnchor"/>
          <w:rtl w:val="true"/>
        </w:rPr>
        <w:footnoteReference w:id="7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استلزام اتّفاق أرباب الفتاوی عادة لوجود دلیل لو نقل إلینا لوجدناه تامّا،و إن کان قد یحصل العلم بذلک من ذلک،إلاّ أنّ ذلک شیء قد یتّفق،و لا یوجب ثبوت الملازمة العادیّة التی هی المناط فی الانتقال من المخبر به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إخبار عشرة بشیء قد یوجب العلم به،لکن لا ملازمة عادیّة بینهما،بخلاف إخبار ألف عادل محتاط فی الإخبار</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یوجد فی الخبر مرتبة تستلزم عادة لتحقّق </w:t>
      </w:r>
      <w:r>
        <w:rPr>
          <w:rStyle w:val="FootnoteAnchor"/>
          <w:rtl w:val="true"/>
        </w:rPr>
        <w:footnoteReference w:id="715"/>
      </w:r>
      <w:r>
        <w:rPr>
          <w:rFonts w:ascii="IRNazanin" w:hAnsi="IRNazanin" w:eastAsia="IRNazanin"/>
          <w:color w:val="111111"/>
          <w:sz w:val="28"/>
          <w:sz w:val="28"/>
          <w:szCs w:val="28"/>
          <w:rtl w:val="true"/>
          <w:lang w:bidi="fa-IR"/>
        </w:rPr>
        <w:t>المخبر به، لکن ما یوجب العلم أحیانا قد لا یوجبه،و فی الحقیقة لیس هو بنفسه الموجب فی مقام حصول العلم؛و إلاّ لم یتخلّف</w:t>
      </w:r>
      <w:r>
        <w:rPr>
          <w:rFonts w:eastAsia="IRNazanin" w:cs="IRNazanin"/>
          <w:color w:val="111111"/>
          <w:sz w:val="28"/>
          <w:szCs w:val="28"/>
          <w:rtl w:val="true"/>
          <w:lang w:bidi="fa-IR"/>
        </w:rPr>
        <w:t xml:space="preserve">. </w:t>
      </w:r>
      <w:bookmarkStart w:id="559" w:name="pg12977_114259"/>
    </w:p>
    <w:p>
      <w:pPr>
        <w:pStyle w:val="BookText"/>
        <w:rPr/>
      </w:pPr>
      <w:bookmarkEnd w:id="559"/>
      <w:r>
        <w:rPr>
          <w:rFonts w:ascii="IRNazanin" w:hAnsi="IRNazanin" w:eastAsia="IRNazanin"/>
          <w:color w:val="111111"/>
          <w:sz w:val="28"/>
          <w:sz w:val="28"/>
          <w:szCs w:val="28"/>
          <w:rtl w:val="true"/>
          <w:lang w:bidi="fa-IR"/>
        </w:rPr>
        <w:t>ثمّ إنّه قد نبّه علی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فائدة نقل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المحقّقین فی کلام طویل له،و ما ذکرنا و إن کان محصّل کلامه علی ما نظرنا فیه،لکنّ الأولی نقل عبارته بعینها،فلعلّ الناظر یحصّل منها غیر ما حصّلنا،فإنّا قد مررنا علی العبارة مرورا،و لا یبعد أن یکون قد اختفی علینا بعض ما له دخل فی مطلبه</w:t>
      </w:r>
      <w:r>
        <w:rPr>
          <w:rFonts w:eastAsia="IRNazanin" w:cs="IRNazanin"/>
          <w:color w:val="111111"/>
          <w:sz w:val="28"/>
          <w:szCs w:val="28"/>
          <w:rtl w:val="true"/>
          <w:lang w:bidi="fa-IR"/>
        </w:rPr>
        <w:t>.</w:t>
      </w:r>
    </w:p>
    <w:p>
      <w:pPr>
        <w:pStyle w:val="Heading6"/>
        <w:numPr>
          <w:ilvl w:val="5"/>
          <w:numId w:val="1"/>
        </w:numPr>
        <w:rPr/>
      </w:pPr>
      <w:bookmarkStart w:id="560" w:name="__RefHeading___Toc5446863_3224264995"/>
      <w:bookmarkStart w:id="561" w:name="_Toc213"/>
      <w:bookmarkEnd w:id="560"/>
      <w:r>
        <w:rPr>
          <w:rtl w:val="true"/>
        </w:rPr>
        <w:t>کلام المحقّق التستری فی فائدة نقل الإجماع</w:t>
      </w:r>
      <w:r>
        <w:rPr>
          <w:rtl w:val="true"/>
        </w:rPr>
        <w:t>:</w:t>
      </w:r>
      <w:bookmarkEnd w:id="561"/>
    </w:p>
    <w:p>
      <w:pPr>
        <w:pStyle w:val="BookText"/>
        <w:rPr/>
      </w:pPr>
      <w:r>
        <w:rPr>
          <w:rFonts w:ascii="IRNazanin" w:hAnsi="IRNazanin" w:eastAsia="IRNazanin"/>
          <w:color w:val="111111"/>
          <w:sz w:val="28"/>
          <w:sz w:val="28"/>
          <w:szCs w:val="28"/>
          <w:rtl w:val="true"/>
          <w:lang w:bidi="fa-IR"/>
        </w:rPr>
        <w:t>قال قدّس سرّه فی کشف القناع و فی رسالته التی صنّفها فی المواسعة و المضایقة،ما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أنّ المحقّق فی ذلک،هو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الإجماع الذی نقل بلفظه المستعمل فی معناه المصطلح أو بسائر الألفاظ علی کثرتها،إذا لم یکن مبتنیا علی دخول المعصوم بعینه أو ما فی حکمه فی المجمعین،فهو إنّما یکون حجّة علی غیر الناقل باعتبار نقله السبب الکاشف عن قول المعصوم أو عن الدلیل القاطع أو مطلق الدلیل المعتدّ به و حصول الانکشاف للمنقول إلیه و التمسّک به بعد البناء علی قبوله،لا باعتبار ما انکشف منه لناقله بحسب ادّعائه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مقامان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حجیّته بالاعتبار الأوّل،و هی مبتنیة من جهتی الثبوت و الإثبات علی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اللفظ علی السبب،و هذه لا بدّ من اعتبارها، و هی متحقّقة ظاهرا فی الألفاظ المتداولة بینهم ما لم یصرف عنها صارف</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یشتبه الحال إذا کان النقل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الاستدلال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من المعلوم أنّ مبناه و مبنی غیره لیس علی الکشف الذی یدّعیه جهّال الصوفیّة،و لا علی الوجه الأخیر الذی إن وجد فی الأحکام ففی غایة الندرة،مع أنّه علی تقدیر بناء الناقل علیه و ثبوته واقعا کاف فی الحجّیّة،فإذا انتفی الأمران تعیّن سائر الأسباب المقرّرة، و أظهرها غالبا عند الإطلاق حصول الاطّلاع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 القطع أو الظنّ المعتدّ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اتّفاق الکلّ فی نفس الحکم؛و لذا صرّح جماعة منهم باتّحاد معنی الإجماع عند الفریقین،و جعلوه مقابلا للشهرة،و ربما بالغوا فی أمرها بأنّها کادت تکون إجماعا و نحو ذلک،و ربما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هذا مذهب فلان فالمسألة إجماعیّة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لوحظت القرائن الخارجیّة من جهة العبارة و المسألة و النّقلة، و اختلف الحال فی ذلک،فیؤخذ بما هو المتیقّن أو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فحیث دلّ اللفظ و لو بمعونة القرائن علی تحقّق الاتّفاق المعتبر کان معتبرا،و إلاّ فلا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حجّیّة نقل السبب المذکور و جواز التعویل علیه؛و ذلک لأنّه لیس إلاّ کنقل فتاوی العلماء و أقوالهم و عباراتهم الدالّة علیها لمقلّدیهم و غیرهم،و روایة ما عدا قول المعصوم و نحوه من سائر ما تضمّنه الأخبار،کالأسئلة التی تعرف </w:t>
      </w:r>
      <w:r>
        <w:rPr>
          <w:rStyle w:val="FootnoteAnchor"/>
          <w:rtl w:val="true"/>
        </w:rPr>
        <w:footnoteReference w:id="716"/>
      </w:r>
      <w:r>
        <w:rPr>
          <w:rFonts w:ascii="IRNazanin" w:hAnsi="IRNazanin" w:eastAsia="IRNazanin"/>
          <w:color w:val="111111"/>
          <w:sz w:val="28"/>
          <w:sz w:val="28"/>
          <w:szCs w:val="28"/>
          <w:rtl w:val="true"/>
          <w:lang w:bidi="fa-IR"/>
        </w:rPr>
        <w:t xml:space="preserve">منها </w:t>
      </w:r>
      <w:r>
        <w:rPr>
          <w:rStyle w:val="FootnoteAnchor"/>
          <w:rtl w:val="true"/>
        </w:rPr>
        <w:footnoteReference w:id="717"/>
      </w:r>
      <w:r>
        <w:rPr>
          <w:rFonts w:ascii="IRNazanin" w:hAnsi="IRNazanin" w:eastAsia="IRNazanin"/>
          <w:color w:val="111111"/>
          <w:sz w:val="28"/>
          <w:sz w:val="28"/>
          <w:szCs w:val="28"/>
          <w:rtl w:val="true"/>
          <w:lang w:bidi="fa-IR"/>
        </w:rPr>
        <w:t xml:space="preserve">أجوبته،و الأقوال و الأفعال التی یعرف منها تقریره،و نحوها ممّا تعلّق بها،و ما نقل عن سائر الرواة المذکورین فی الأسانید و غیرها،و کنقل الشهرة و اتّفاق سائر </w:t>
      </w:r>
    </w:p>
    <w:p>
      <w:pPr>
        <w:pStyle w:val="BookText"/>
        <w:rPr/>
      </w:pPr>
      <w:r>
        <w:rPr>
          <w:rFonts w:ascii="IRNazanin" w:hAnsi="IRNazanin" w:eastAsia="IRNazanin"/>
          <w:color w:val="111111"/>
          <w:sz w:val="28"/>
          <w:sz w:val="28"/>
          <w:szCs w:val="28"/>
          <w:rtl w:val="true"/>
          <w:lang w:bidi="fa-IR"/>
        </w:rPr>
        <w:t>اولی الآراء و المذاهب و ذوی الفتوی أو جماعة منهم،و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جرت طریقة السلف و الخلف من جمیع الفرق علی قبول أخبار الآحاد فی کلّ ذلک ممّا کان النقل فیه علی وجه الإجمال أو التفصیل،و ما تعلّق بالشرعیّات أو غیرها،حتّی أنّهم کثیرا ما ینقلون شیئا ممّا ذکر معتمدین علی نقل غیرهم من دون تصریح بالنقل عنه و الاستناد إلیه؛لحصول الوثوق به و إن لم یصل إلی مرتبة العلم،فیلزم قبول خبر الواحد فیما نحن فیه أیضا؛لاشتراک الجمیع فی کونها نقل قول غیر معلوم من غیر معصوم و حصول الوثوق بالناقل،کما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شیء من ذلک من الاصول حتّی یتوهّم عدم الاکتفاء فیه بخبر الواحد،مع أنّ هذا الوهم فاسد من أصله،کما 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 الامور المتجدّدة التی لم یعهد الاعتماد فیها علی خبر الواحد فی زمان النبیّ صلّی اللّه علیه و آله و الأئمّة علیهم السّلام و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ممّا یندر اختصاص معرفته ببعض دون بعض،مع أنّ هذا لا یمنع من التعویل علی نقل العارف به؛لما ذکر</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حجّیّة خبر الثقة العدل بقول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اقتضی کفایة الظنّ فیما لا غنی عن معرفته و لا طریق إلیه غیره غالبا؛إذ من المعلوم شدّة الحاجة إلی معرفة أقوال علماء الفریقین و آراء سائر أرباب العلوم لمقاصد شتّی لا محیص عنها،کمعرفة المجمع علیه و المشهور و الشاذّ من الأخبار و الأقوال،و الموافق للعامّة أو أکثرهم و المخالف لهم،و الثقة و الأوثق و الأورع و الأفقه،و کمعرفة اللغات و شواهدها المنثورة و المنظومة،و قواعد العربیّة التی علیها یبتنی استنباط </w:t>
      </w:r>
    </w:p>
    <w:p>
      <w:pPr>
        <w:pStyle w:val="BookText"/>
        <w:rPr/>
      </w:pPr>
      <w:r>
        <w:rPr>
          <w:rFonts w:ascii="IRNazanin" w:hAnsi="IRNazanin" w:eastAsia="IRNazanin"/>
          <w:color w:val="111111"/>
          <w:sz w:val="28"/>
          <w:sz w:val="28"/>
          <w:szCs w:val="28"/>
          <w:rtl w:val="true"/>
          <w:lang w:bidi="fa-IR"/>
        </w:rPr>
        <w:t>المطالب الشرعیّة،و فهم معانی الأقاریر و الوصایا و سائر العقود و الایقاعات المشتبهة،و غیر ذلک ممّا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طریق إلی ما اشتبه من جمیع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النقل الغیر الموجب للعلم،و الرجوع إلی الکتب المصحّحة ظاهرا،و سائر الأمارات الظنّیة،فیلزم جواز العمل بها و التعویل علیها فیما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خبر الواحد الثقة حجّة معتمدا علیها فیما نحن فیه،و لا سیّما إذا کان الناقل من الأفاضل الأعلام و الأجلاّء الکرام کما هو الغالب، بل هو أولی بالقبول و الاعتماد من أخبار الآحاد فی نفس الأحکام؛ و لذا بنی علی المسامحة فیه من وجوه شتّی بما لم یتسامح فیها،کما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استکشاف الحجّة المعتبرة من ذلک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السبب المنقول بعد حجّیّته،کالمحصّل فی ما یستکشف منه و الاعتماد علیه و قبوله و إن کان من الأدلّة الظنّیة باعتبار ظنّیة أصله؛و لذا کانت النتیجة فی الشکل الأوّل تابعة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الضروریّة و النظریّة و العلمیّة و الظنیّة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لأخسّ مقدمتیه مع بداهة إنتاجه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فینبغی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یراعی حال الناقل حین نقله من جهة ضبطه، و تورّعه فی النقل،و بضاعته فی العلم،و مبلغ نظره و وقوفه علی الکتب و الأقوال،و استقصائه لما تشتّت منها،و وصوله إلی وقائعها؛فإنّ أحوال العلماء مختلف فیها اختلافا فاحشا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حال الکتب المنقول فیها الإجماع،فربّ کتاب لغیر متتبّع موضوع علی مزید التتبّع و التدقیق، و ربّ کتاب لمتتبّع موضوع علی المسامحة و قلّة التحقیق</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الحال فی آحاد المسائل؛فإنّها تختلف أیضا فی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حال لفظه بحسب وضوح دلالته علی السبب و خفائها، و حال ما یدلّ علیه من جهة متعلّقه و زمان نقله؛لاختلاف الحکم بذلک،کما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یراعی أیضا وقوع دعوی الإجماع فی مقام ذکر الأقوال أو الاحتجاج؛فإنّ بینهما تفاوتا من بعض الجهات،و ربما کان الأوّل الأولی </w:t>
      </w:r>
      <w:r>
        <w:rPr>
          <w:rStyle w:val="FootnoteAnchor"/>
          <w:rtl w:val="true"/>
        </w:rPr>
        <w:footnoteReference w:id="718"/>
      </w:r>
      <w:r>
        <w:rPr>
          <w:rFonts w:ascii="IRNazanin" w:hAnsi="IRNazanin" w:eastAsia="IRNazanin"/>
          <w:color w:val="111111"/>
          <w:sz w:val="28"/>
          <w:sz w:val="28"/>
          <w:szCs w:val="28"/>
          <w:rtl w:val="true"/>
          <w:lang w:bidi="fa-IR"/>
        </w:rPr>
        <w:t>بالاعتماد بناء علی اعتبار السبب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w:t>
      </w:r>
      <w:r>
        <w:rPr>
          <w:rStyle w:val="FootnoteAnchor"/>
          <w:rtl w:val="true"/>
        </w:rPr>
        <w:footnoteReference w:id="719"/>
      </w:r>
      <w:r>
        <w:rPr>
          <w:rFonts w:ascii="IRNazanin" w:hAnsi="IRNazanin" w:eastAsia="IRNazanin"/>
          <w:color w:val="111111"/>
          <w:sz w:val="28"/>
          <w:sz w:val="28"/>
          <w:szCs w:val="28"/>
          <w:rtl w:val="true"/>
          <w:lang w:bidi="fa-IR"/>
        </w:rPr>
        <w:t>وقع التباس فیما یقتضیه و یتناوله کلام الناقل بعد ملاحظة ما ذکر،اخذ بما هو المتیقّن أو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لیلحظ 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یمکن معرفته من الأقوال علی وجه العلم و الیقین؛إذ لا وجه لاعتبار المظنون المنقول علی سبیل الاجمال دون المعلوم علی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لو کان المنقول معلوما لما اکتفی به فی الاستکشاف عن ملاحظة سائر الأقوال التی لها دخل فیه،فکیف إذا لم یکن کذلک؟</w:t>
      </w:r>
    </w:p>
    <w:p>
      <w:pPr>
        <w:pStyle w:val="BookText"/>
        <w:rPr/>
      </w:pPr>
      <w:r>
        <w:rPr>
          <w:rFonts w:ascii="IRNazanin" w:hAnsi="IRNazanin" w:eastAsia="IRNazanin"/>
          <w:color w:val="111111"/>
          <w:sz w:val="28"/>
          <w:sz w:val="28"/>
          <w:szCs w:val="28"/>
          <w:rtl w:val="true"/>
          <w:lang w:bidi="fa-IR"/>
        </w:rPr>
        <w:t>و یلحظ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سائر ما له تعلّق فی الاستکشاف بحسب ما یعتمد علیه </w:t>
      </w:r>
      <w:r>
        <w:rPr>
          <w:rStyle w:val="FootnoteAnchor"/>
          <w:rtl w:val="true"/>
        </w:rPr>
        <w:footnoteReference w:id="720"/>
      </w:r>
      <w:r>
        <w:rPr>
          <w:rFonts w:ascii="IRNazanin" w:hAnsi="IRNazanin" w:eastAsia="IRNazanin"/>
          <w:color w:val="111111"/>
          <w:sz w:val="28"/>
          <w:sz w:val="28"/>
          <w:szCs w:val="28"/>
          <w:rtl w:val="true"/>
          <w:lang w:bidi="fa-IR"/>
        </w:rPr>
        <w:t>من تلک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مقتضی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من الامور المعلومة أو المظنونة،و من الأقوال المتقدّمة علی النقل أو المتأخّرة أو المقارنة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یستغنی المتتبّع بما ذکر عن الرجوع إلی کلام ناقل الإجماع؛ </w:t>
      </w:r>
    </w:p>
    <w:p>
      <w:pPr>
        <w:pStyle w:val="BookText"/>
        <w:rPr/>
      </w:pPr>
      <w:r>
        <w:rPr>
          <w:rFonts w:ascii="IRNazanin" w:hAnsi="IRNazanin" w:eastAsia="IRNazanin"/>
          <w:color w:val="111111"/>
          <w:sz w:val="28"/>
          <w:sz w:val="28"/>
          <w:szCs w:val="28"/>
          <w:rtl w:val="true"/>
          <w:lang w:bidi="fa-IR"/>
        </w:rPr>
        <w:t xml:space="preserve">لاستظهاره عدم مزیّة </w:t>
      </w:r>
      <w:r>
        <w:rPr>
          <w:rStyle w:val="FootnoteAnchor"/>
          <w:rtl w:val="true"/>
        </w:rPr>
        <w:footnoteReference w:id="721"/>
      </w:r>
      <w:r>
        <w:rPr>
          <w:rFonts w:ascii="IRNazanin" w:hAnsi="IRNazanin" w:eastAsia="IRNazanin"/>
          <w:color w:val="111111"/>
          <w:sz w:val="28"/>
          <w:sz w:val="28"/>
          <w:szCs w:val="28"/>
          <w:rtl w:val="true"/>
          <w:lang w:bidi="fa-IR"/>
        </w:rPr>
        <w:t>علیه فی التتبّع و النظر،و ربما کان الأمر بالعکس و أنّه إن تفرّد بشیء کان نادرا لا یعتدّ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 أن یستفرغ وسعه و یتبع نظره و تتبّعه،سواء تأخّر عن الناقل أم عاصره،و سواء أدّی فکره إلی الموافقة له أو المخالفة،کما هو الشأن فی معرفة سائر الأدلّة و غیرها ممّا تعلّق بالمسألة،فلیس الإجماع إلاّ کأحدها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فالمقتضی للرجوع إلی النقل هو مظنّة وصول الناقل إلی ما لم یصل هو إلیه من جهة السبب،أو احتمال ذلک،فیعتمد علیه فی هذا خاصّة بحسب ما استظهر من حاله و نقله و زمانه،و یصلح کلامه مؤیّدا فیما عداه مع الموافقة؛لکشفه عن توافق النسخ و تقویته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لوحظ جمیع ما ذکر،و عرف الموافق و المخالف إن وجد، فلیفرض المظنون منه کالمعلوم؛لثبوت حجّیته بالدلیل العلمیّ و لو بوسائط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حصل من ذلک استکشاف معتبر کان حجّة ظنّیّة، حیث کان متوقّفا علی النقل الغیر الموجب للعلم بالسبب أو کان المنکشف غیر الدلیل القاطع،و إلاّ فلا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تعدّد ناقل الإجماع أو النقل،فإن توافق الجمیع لوحظ کلّ </w:t>
      </w:r>
      <w:r>
        <w:rPr>
          <w:rStyle w:val="FootnoteAnchor"/>
          <w:rtl w:val="true"/>
        </w:rPr>
        <w:footnoteReference w:id="722"/>
      </w:r>
      <w:r>
        <w:rPr>
          <w:rFonts w:ascii="IRNazanin" w:hAnsi="IRNazanin" w:eastAsia="IRNazanin"/>
          <w:color w:val="111111"/>
          <w:sz w:val="28"/>
          <w:sz w:val="28"/>
          <w:szCs w:val="28"/>
          <w:rtl w:val="true"/>
          <w:lang w:bidi="fa-IR"/>
        </w:rPr>
        <w:t xml:space="preserve">ما علم علی ما فصّل و اخذ بالحاصل،و إن تخالف لوحظ جمیع ما ذکر و اخذ فیما اختلف فیه النقل بالأرجح بحسب حال الناقل،و زمانه، </w:t>
      </w:r>
      <w:bookmarkStart w:id="562" w:name="pg12977_114265"/>
    </w:p>
    <w:p>
      <w:pPr>
        <w:pStyle w:val="BookText"/>
        <w:rPr/>
      </w:pPr>
      <w:bookmarkEnd w:id="562"/>
      <w:r>
        <w:rPr>
          <w:rFonts w:ascii="IRNazanin" w:hAnsi="IRNazanin" w:eastAsia="IRNazanin"/>
          <w:color w:val="111111"/>
          <w:sz w:val="28"/>
          <w:sz w:val="28"/>
          <w:szCs w:val="28"/>
          <w:rtl w:val="true"/>
          <w:lang w:bidi="fa-IR"/>
        </w:rPr>
        <w:t>و وجود المعاضد و عدمه،و قلّته و کثرته،ثمّ لیعمل بما هو المحصّل، و یحکم علی تقدیر حجّیته بأنّه دلیل واحد و إن توافق النقل و تعدّد الناقل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ما ذکرناه مختصّا بنقل الإجماع المتضمّن لنقل الأقوال إجمالا،بل یجری فی نقلها تفصیلا أیضا،و کذا فی نقل سائر الأشیاء التی یبتنی علیها معرفة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فیما إذا وجد المنقول موافقا لما وجد أو مخالفا مشترک بین الجمیع،کما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اتّضح بما بیّناه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ما جرت علیه طریقة معظم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عدم الاستدلال بالاجماع المنقول علی وجه الاعتماد و الاستدلال غالبا،و ردّه بعدم الثبوت أو بوجدان الخلاف و نحوهما،فإنّه المتّجه علی ما قلنا،و لا سیّما فیما شاع فیه النزاع و الجدال،أو عرفت </w:t>
      </w:r>
      <w:r>
        <w:rPr>
          <w:rStyle w:val="FootnoteAnchor"/>
          <w:rtl w:val="true"/>
        </w:rPr>
        <w:footnoteReference w:id="723"/>
      </w:r>
      <w:r>
        <w:rPr>
          <w:rFonts w:ascii="IRNazanin" w:hAnsi="IRNazanin" w:eastAsia="IRNazanin"/>
          <w:color w:val="111111"/>
          <w:sz w:val="28"/>
          <w:sz w:val="28"/>
          <w:szCs w:val="28"/>
          <w:rtl w:val="true"/>
          <w:lang w:bidi="fa-IR"/>
        </w:rPr>
        <w:t xml:space="preserve">فیه الأقوال، أو کان من الفروع النادرة التی لا یستقیم فیها دعوی الإجماع؛لقلّة المتعرّض </w:t>
      </w:r>
      <w:r>
        <w:rPr>
          <w:rStyle w:val="FootnoteAnchor"/>
          <w:rtl w:val="true"/>
        </w:rPr>
        <w:footnoteReference w:id="724"/>
      </w:r>
      <w:r>
        <w:rPr>
          <w:rFonts w:ascii="IRNazanin" w:hAnsi="IRNazanin" w:eastAsia="IRNazanin"/>
          <w:color w:val="111111"/>
          <w:sz w:val="28"/>
          <w:sz w:val="28"/>
          <w:szCs w:val="28"/>
          <w:rtl w:val="true"/>
          <w:lang w:bidi="fa-IR"/>
        </w:rPr>
        <w:t xml:space="preserve">لها إلاّ علی بعض الوجوه التی لا یعتدّ بها،أو کان الناقل ممّن لا یعتدّ بنقله؛لمعاصرته،أو قصور باعه،أو غیرهما ممّا یأتی بیانه،فالاحتیاج إلیه مختصّ بقلیل من المسائل بالنسبة إلی قلیل من العلماء و نادر من النقلة الأفاضل </w:t>
      </w:r>
      <w:r>
        <w:rPr>
          <w:rStyle w:val="FootnoteAnchor"/>
          <w:rtl w:val="true"/>
        </w:rPr>
        <w:footnoteReference w:id="725"/>
      </w:r>
      <w:r>
        <w:rPr>
          <w:rFonts w:ascii="IRNazanin" w:hAnsi="IRNazanin" w:eastAsia="IRNazanin"/>
          <w:color w:val="111111"/>
          <w:sz w:val="28"/>
          <w:sz w:val="28"/>
          <w:szCs w:val="28"/>
          <w:rtl w:val="true"/>
          <w:lang w:bidi="fa-IR"/>
        </w:rPr>
        <w:t>،انتهی کلامه،رفع مقامه</w:t>
      </w:r>
      <w:r>
        <w:rPr>
          <w:rFonts w:eastAsia="IRNazanin" w:cs="IRNazanin"/>
          <w:color w:val="111111"/>
          <w:sz w:val="28"/>
          <w:szCs w:val="28"/>
          <w:rtl w:val="true"/>
          <w:lang w:bidi="fa-IR"/>
        </w:rPr>
        <w:t>.</w:t>
      </w:r>
    </w:p>
    <w:p>
      <w:pPr>
        <w:pStyle w:val="Heading6"/>
        <w:numPr>
          <w:ilvl w:val="5"/>
          <w:numId w:val="1"/>
        </w:numPr>
        <w:rPr/>
      </w:pPr>
      <w:bookmarkStart w:id="563" w:name="__RefHeading___Toc5446865_3224264995"/>
      <w:bookmarkStart w:id="564" w:name="_Toc214"/>
      <w:bookmarkEnd w:id="563"/>
      <w:r>
        <w:rPr>
          <w:rtl w:val="true"/>
        </w:rPr>
        <w:t>الفائدة المذکورة لنقل الإجماع بحکم المعدومة</w:t>
      </w:r>
      <w:r>
        <w:rPr>
          <w:rtl w:val="true"/>
        </w:rPr>
        <w:t>:</w:t>
      </w:r>
      <w:bookmarkEnd w:id="56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لکنّک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هذه الفائدة للإجماع المنقول کالمعدومة؛لأنّ القدر الثابت من الاتّفاق بإخبار الناقل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 إلی حسّه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ممّا </w:t>
      </w:r>
      <w:bookmarkStart w:id="565" w:name="pg12977_114266"/>
    </w:p>
    <w:p>
      <w:pPr>
        <w:pStyle w:val="BookText"/>
        <w:rPr/>
      </w:pPr>
      <w:bookmarkEnd w:id="565"/>
      <w:r>
        <w:rPr>
          <w:rFonts w:ascii="IRNazanin" w:hAnsi="IRNazanin" w:eastAsia="IRNazanin"/>
          <w:color w:val="111111"/>
          <w:sz w:val="28"/>
          <w:sz w:val="28"/>
          <w:szCs w:val="28"/>
          <w:rtl w:val="true"/>
          <w:lang w:bidi="fa-IR"/>
        </w:rPr>
        <w:t>یستلزم عادة موافقة الإمام علیه السّلام،و إن کان هذا الاتّفاق لو ثبت لنا أمکن أن یحصل العلم بصدور مضمونه،لکن لیس علّة تامّة لذلک،بل هو نظیر إخبار عدد معیّن فی کونه قد یوجب العلم بصدق خبرهم و قد لا یوجب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أیضا ممّا یستلزم عادة وجود الدلیل المعتبر حتّی بالنسبة إلینا؛لأنّ استناد کلّ بعض منهم إلی ما لا نراه دلیلا،لیس أمرا مخالفا للعادة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لیس من البعید أن یکون القدماء القائلون بنجاسة البئر،بعضهم قد استند إلی دلالة الأخبار الظاهرة فی ذلک مع عدم الظفر بما یعارضها،و بعضهم قد ظفر بالمعارض و لم یعمل به؛لقصور سنده،أو لکونه من الآحاد عنده،أو لقصور دلالته،أو لمعارضته لأخبار النجاسة و ترجیحها علیه </w:t>
      </w:r>
      <w:r>
        <w:rPr>
          <w:rStyle w:val="FootnoteAnchor"/>
          <w:rtl w:val="true"/>
        </w:rPr>
        <w:footnoteReference w:id="726"/>
      </w:r>
      <w:r>
        <w:rPr>
          <w:rFonts w:ascii="IRNazanin" w:hAnsi="IRNazanin" w:eastAsia="IRNazanin"/>
          <w:color w:val="111111"/>
          <w:sz w:val="28"/>
          <w:sz w:val="28"/>
          <w:szCs w:val="28"/>
          <w:rtl w:val="true"/>
          <w:lang w:bidi="fa-IR"/>
        </w:rPr>
        <w:t>بضرب من الترجیح،فإذا ترجّح فی نظر المجتهد المتأخّر أخبار الطهارة فلا یضرّه اتّفاق القدماء علی النجاسة المستند إلی الامور المختلفة المذکورة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الإنصاف </w:t>
      </w:r>
      <w:r>
        <w:rPr>
          <w:rStyle w:val="FootnoteAnchor"/>
          <w:rtl w:val="true"/>
        </w:rPr>
        <w:footnoteReference w:id="7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التأمّل و ترک المسامحة بإبراز المظنون بصورة القطع کما هو متعارف محصّلی عصرنا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اتّفاق من یمکن تحصیل فتاواهم علی أمر کما لا یستلزم عادة موافقة الإمام علیه السّلام، کذلک لا یستلزم وجود دلیل معتبر عند الکلّ من جهة أو من جهات شتّی</w:t>
      </w:r>
      <w:r>
        <w:rPr>
          <w:rFonts w:eastAsia="IRNazanin" w:cs="IRNazanin"/>
          <w:color w:val="111111"/>
          <w:sz w:val="28"/>
          <w:szCs w:val="28"/>
          <w:rtl w:val="true"/>
          <w:lang w:bidi="fa-IR"/>
        </w:rPr>
        <w:t>.</w:t>
      </w:r>
    </w:p>
    <w:p>
      <w:pPr>
        <w:pStyle w:val="Heading6"/>
        <w:numPr>
          <w:ilvl w:val="5"/>
          <w:numId w:val="1"/>
        </w:numPr>
        <w:rPr/>
      </w:pPr>
      <w:bookmarkStart w:id="566" w:name="__RefHeading___Toc5446867_3224264995"/>
      <w:bookmarkStart w:id="567" w:name="_Toc215"/>
      <w:bookmarkEnd w:id="566"/>
      <w:r>
        <w:rPr>
          <w:rtl w:val="true"/>
        </w:rPr>
        <w:t>استلزام الإجماع قول الإمام علیه السّلام أو الدلیل المعتبر إذا انضمّ إلی أمارات أخر</w:t>
      </w:r>
      <w:bookmarkEnd w:id="56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یبق فی المقام إلاّ أن یحصّل المجتهد أمارات أخر من أقوال </w:t>
      </w:r>
    </w:p>
    <w:p>
      <w:pPr>
        <w:pStyle w:val="BookText"/>
        <w:rPr/>
      </w:pPr>
      <w:r>
        <w:rPr>
          <w:rFonts w:ascii="IRNazanin" w:hAnsi="IRNazanin" w:eastAsia="IRNazanin"/>
          <w:color w:val="111111"/>
          <w:sz w:val="28"/>
          <w:sz w:val="28"/>
          <w:szCs w:val="28"/>
          <w:rtl w:val="true"/>
          <w:lang w:bidi="fa-IR"/>
        </w:rPr>
        <w:t>باقی العلماء و غیرها لیضیفها إلی ذلک،فیحصل من مجموع المحصّل له و المنقول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فرض بحکم المحصّل من حیث وجوب العمل به تعبّدا </w:t>
      </w:r>
      <w:r>
        <w:rPr>
          <w:rStyle w:val="FootnoteAnchor"/>
          <w:rtl w:val="true"/>
        </w:rPr>
        <w:footnoteReference w:id="7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القطع فی مرحلة الظاهر باللازم،و هو قول الإمام علیه السّلام أو وجود دلیل معتبر الذی هو أیضا یرجع إلی حکم الإمام علیه السّلام بهذا الحکم الظاهری المضمون لذلک الدلیل،لکنّه أیضا مبنیّ علی کون مجموع المنقول من الأقوال و المحصّل من الأمارات ملزوما عادیّا لقول الإمام علیه السّلام أو وجود الدلیل المعتبر،و إلاّ فلا معنی لتنزیل المنقول منزلة المحصّل بأدلّة حجّیة خبر الواحد،کما عرفت سابقا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ذکره هذا البعض لیس تفصیلا فی مسألة حجّیة الإجماع المنقول،و لا قولا بحجّیته فی الجملة من حیث إنّه إجماع منقول،و إنّما یرجع محصّله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الحاکی للإجماع </w:t>
      </w:r>
      <w:r>
        <w:rPr>
          <w:rStyle w:val="FootnoteAnchor"/>
          <w:rtl w:val="true"/>
        </w:rPr>
        <w:footnoteReference w:id="730"/>
      </w:r>
      <w:r>
        <w:rPr>
          <w:rFonts w:ascii="IRNazanin" w:hAnsi="IRNazanin" w:eastAsia="IRNazanin"/>
          <w:color w:val="111111"/>
          <w:sz w:val="28"/>
          <w:sz w:val="28"/>
          <w:szCs w:val="28"/>
          <w:rtl w:val="true"/>
          <w:lang w:bidi="fa-IR"/>
        </w:rPr>
        <w:t>یصدّق فیما یخبره عن حسّ،فإن فرض کون ما یخبره عن حسّه ملازما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 أو بضمیمة أمارات 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لصدور الحکم الواقعی أو مدلول الدلیل المعتبر عند الکلّ،کانت حکایته حجّة؛لعموم أدلّة حجّیة الخبر فی المحسوسات، و إلاّ فلا،و هذا یقول به کلّ من یقول بحجّیة الخبر </w:t>
      </w:r>
      <w:r>
        <w:rPr>
          <w:rStyle w:val="FootnoteAnchor"/>
          <w:rtl w:val="true"/>
        </w:rPr>
        <w:footnoteReference w:id="731"/>
      </w:r>
      <w:r>
        <w:rPr>
          <w:rFonts w:ascii="IRNazanin" w:hAnsi="IRNazanin" w:eastAsia="IRNazanin"/>
          <w:color w:val="111111"/>
          <w:sz w:val="28"/>
          <w:sz w:val="28"/>
          <w:szCs w:val="28"/>
          <w:rtl w:val="true"/>
          <w:lang w:bidi="fa-IR"/>
        </w:rPr>
        <w:t>فی الجملة،و قد اعترف بجریانه فی نقل الشهرة و فتاوی آحاد العلماء</w:t>
      </w:r>
      <w:r>
        <w:rPr>
          <w:rFonts w:eastAsia="IRNazanin" w:cs="IRNazanin"/>
          <w:color w:val="111111"/>
          <w:sz w:val="28"/>
          <w:szCs w:val="28"/>
          <w:rtl w:val="true"/>
          <w:lang w:bidi="fa-IR"/>
        </w:rPr>
        <w:t>.</w:t>
      </w:r>
      <w:bookmarkStart w:id="568" w:name="pg12977_114268"/>
    </w:p>
    <w:p>
      <w:pPr>
        <w:pStyle w:val="Heading6"/>
        <w:numPr>
          <w:ilvl w:val="5"/>
          <w:numId w:val="1"/>
        </w:numPr>
        <w:rPr/>
      </w:pPr>
      <w:bookmarkStart w:id="569" w:name="__RefHeading___Toc5446869_3224264995"/>
      <w:bookmarkStart w:id="570" w:name="_Toc216"/>
      <w:bookmarkEnd w:id="568"/>
      <w:bookmarkEnd w:id="569"/>
      <w:r>
        <w:rPr>
          <w:rtl w:val="true"/>
        </w:rPr>
        <w:t>حکم المتواتر المنقول</w:t>
      </w:r>
      <w:r>
        <w:rPr>
          <w:rtl w:val="true"/>
        </w:rPr>
        <w:t>:</w:t>
      </w:r>
      <w:bookmarkEnd w:id="570"/>
    </w:p>
    <w:p>
      <w:pPr>
        <w:pStyle w:val="BookText"/>
        <w:rPr/>
      </w:pPr>
      <w:r>
        <w:rPr>
          <w:rFonts w:ascii="IRNazanin" w:hAnsi="IRNazanin" w:eastAsia="IRNazanin"/>
          <w:color w:val="111111"/>
          <w:sz w:val="28"/>
          <w:sz w:val="28"/>
          <w:szCs w:val="28"/>
          <w:rtl w:val="true"/>
          <w:lang w:bidi="fa-IR"/>
        </w:rPr>
        <w:t>و من جمیع ما ذکرنا یظهر الکلام فی المتواتر المنقول،و أنّ نقل التواتر فی خبر لا یثبت حجّیته و لو قلنا بحجّیة خبر الواحد؛لأنّ التواتر صفة فی الخبر تحصل بإخبار جماعة تفید العلم للسامع،و یختلف عدده باختلاف خصوصیّات المقامات،و لیس کلّ تواتر ثبت لشخص ممّا یستلزم فی نفس الأمر عادة تحقّق المخبر به،فإذا أخبر بالتواتر فقد أخبر بإخبار جماعة أفاد له العلم بالواقع،و قبول هذا الخبر لا یجدی شیئا؛لأنّ المفروض أنّ تحقّق مضمون المتواتر لیس من لوازم إخبار الجماعة الثابت بخبر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أخبر بإخبار جماعة یستلزم عادة تحقّق المخبر به،بأن یکون حصول العلم بالمخبر به لازم الحصول لإخبار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أخبر مثلا بإخبار ألف عادل أو أزید بموت زید و حضور جنازته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اللازم من قبول خبره الحکم بتحقّق الملزوم و هو إخبار الجماعة،فیثبت اللازم و هو تحقّق موت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لازم من یعتمد علی الإجماع المنقول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إخبار الناقل مستندا إلی حدس غیر مستند إلی المبادئ المحسوسة المستلزمة للمخبر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بحجّیة التواتر المنقول</w:t>
      </w:r>
      <w:r>
        <w:rPr>
          <w:rFonts w:eastAsia="IRNazanin" w:cs="IRNazanin"/>
          <w:color w:val="111111"/>
          <w:sz w:val="28"/>
          <w:szCs w:val="28"/>
          <w:rtl w:val="true"/>
          <w:lang w:bidi="fa-IR"/>
        </w:rPr>
        <w:t>.</w:t>
      </w:r>
    </w:p>
    <w:p>
      <w:pPr>
        <w:pStyle w:val="Heading6"/>
        <w:numPr>
          <w:ilvl w:val="5"/>
          <w:numId w:val="1"/>
        </w:numPr>
        <w:rPr/>
      </w:pPr>
      <w:bookmarkStart w:id="571" w:name="__RefHeading___Toc5446871_3224264995"/>
      <w:bookmarkStart w:id="572" w:name="_Toc217"/>
      <w:bookmarkEnd w:id="571"/>
      <w:r>
        <w:rPr>
          <w:rtl w:val="true"/>
        </w:rPr>
        <w:t>معنی قبول نقل التواتر</w:t>
      </w:r>
      <w:r>
        <w:rPr>
          <w:rtl w:val="true"/>
        </w:rPr>
        <w:t>:</w:t>
      </w:r>
      <w:bookmarkEnd w:id="572"/>
    </w:p>
    <w:p>
      <w:pPr>
        <w:pStyle w:val="BookText"/>
        <w:rPr/>
      </w:pPr>
      <w:r>
        <w:rPr>
          <w:rFonts w:ascii="IRNazanin" w:hAnsi="IRNazanin" w:eastAsia="IRNazanin"/>
          <w:color w:val="111111"/>
          <w:sz w:val="28"/>
          <w:sz w:val="28"/>
          <w:szCs w:val="28"/>
          <w:rtl w:val="true"/>
          <w:lang w:bidi="fa-IR"/>
        </w:rPr>
        <w:t>لکن لیعلم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 قبول نقل التواتر مثل الإخبار بتواتر موت زید مثلا،یتصوّر علی وجهین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بثبوت الخبر المدّعی تواتره أعنی موت زید،نظیر حجّیة الإجماع المنقول بالنسبة إلی المسألة المدّعی علیها الإجماع،و هذا هو الذی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یشترط </w:t>
      </w:r>
      <w:r>
        <w:rPr>
          <w:rStyle w:val="FootnoteAnchor"/>
          <w:rtl w:val="true"/>
        </w:rPr>
        <w:footnoteReference w:id="732"/>
      </w:r>
      <w:r>
        <w:rPr>
          <w:rFonts w:ascii="IRNazanin" w:hAnsi="IRNazanin" w:eastAsia="IRNazanin"/>
          <w:color w:val="111111"/>
          <w:sz w:val="28"/>
          <w:sz w:val="28"/>
          <w:szCs w:val="28"/>
          <w:rtl w:val="true"/>
          <w:lang w:bidi="fa-IR"/>
        </w:rPr>
        <w:t xml:space="preserve">فی قبول خبر الواحد فیه کون ما أخبر </w:t>
      </w:r>
      <w:bookmarkStart w:id="573" w:name="pg12977_114269"/>
    </w:p>
    <w:p>
      <w:pPr>
        <w:pStyle w:val="BookText"/>
        <w:rPr/>
      </w:pPr>
      <w:bookmarkEnd w:id="573"/>
      <w:r>
        <w:rPr>
          <w:rFonts w:ascii="Amiri" w:hAnsi="Amiri" w:eastAsia="Amiri" w:cs="Amiri"/>
          <w:color w:val="111111"/>
          <w:sz w:val="28"/>
          <w:sz w:val="28"/>
          <w:szCs w:val="28"/>
          <w:rtl w:val="true"/>
          <w:lang w:bidi="ar-SA"/>
        </w:rPr>
        <w:t>به مستلزما عادة لوقوع متعلّقه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 بثبوت تواتر الخبر المذکور لیترتّب </w:t>
      </w:r>
      <w:r>
        <w:rPr>
          <w:rStyle w:val="FootnoteAnchor"/>
          <w:rtl w:val="true"/>
        </w:rPr>
        <w:footnoteReference w:id="733"/>
      </w:r>
      <w:r>
        <w:rPr>
          <w:rFonts w:ascii="IRNazanin" w:hAnsi="IRNazanin" w:eastAsia="IRNazanin"/>
          <w:color w:val="111111"/>
          <w:sz w:val="28"/>
          <w:sz w:val="28"/>
          <w:szCs w:val="28"/>
          <w:rtl w:val="true"/>
          <w:lang w:bidi="fa-IR"/>
        </w:rPr>
        <w:t>علی ذلک الخبر آثار المتواتر و أحکامه الشرعیّة،کما إذا نذر أن یحفظ أو یکتب کلّ خبر 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أحکام التواتر،منها ما ثبت لما تواتر فی الجملة و لو عند غیر هذا الشخص،و منها ما ثبت لما تواتر بالنسبة إلی هذا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الاشکال فی أنّ مقتضی قبول نقل التواتر العمل به علی الوجه الأوّل،و أوّل وجهی الثانی،کما لا ینبغی الاشکال فی عدم ترتّب آثار تواتر المخبر به عند نفس هذا الشخص</w:t>
      </w:r>
      <w:r>
        <w:rPr>
          <w:rFonts w:eastAsia="IRNazanin" w:cs="IRNazanin"/>
          <w:color w:val="111111"/>
          <w:sz w:val="28"/>
          <w:szCs w:val="28"/>
          <w:rtl w:val="true"/>
          <w:lang w:bidi="fa-IR"/>
        </w:rPr>
        <w:t>.</w:t>
      </w:r>
    </w:p>
    <w:p>
      <w:pPr>
        <w:pStyle w:val="Heading6"/>
        <w:numPr>
          <w:ilvl w:val="5"/>
          <w:numId w:val="1"/>
        </w:numPr>
        <w:rPr/>
      </w:pPr>
      <w:bookmarkStart w:id="574" w:name="__RefHeading___Toc5446873_3224264995"/>
      <w:bookmarkStart w:id="575" w:name="_Toc218"/>
      <w:bookmarkEnd w:id="574"/>
      <w:r>
        <w:rPr>
          <w:rtl w:val="true"/>
        </w:rPr>
        <w:t>الکلام فی تواتر القراءات</w:t>
      </w:r>
      <w:r>
        <w:rPr>
          <w:rtl w:val="true"/>
        </w:rPr>
        <w:t>:</w:t>
      </w:r>
      <w:bookmarkEnd w:id="575"/>
    </w:p>
    <w:p>
      <w:pPr>
        <w:pStyle w:val="BookText"/>
        <w:rPr/>
      </w:pPr>
      <w:r>
        <w:rPr>
          <w:rFonts w:ascii="IRNazanin" w:hAnsi="IRNazanin" w:eastAsia="IRNazanin"/>
          <w:color w:val="111111"/>
          <w:sz w:val="28"/>
          <w:sz w:val="28"/>
          <w:szCs w:val="28"/>
          <w:rtl w:val="true"/>
          <w:lang w:bidi="fa-IR"/>
        </w:rPr>
        <w:t>و من هنا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الحکم بوجوب القراءة فی الصلاة إن کان منوطا بکون المقروء قرآنا واقعیّا قرأه النبیّ صلّی اللّه علیه و آله،فلا إشکال فی جواز الاعتماد علی إخبار الشهید رحمه اللّه بتواتر القراءات الثلاث </w:t>
      </w:r>
      <w:r>
        <w:rPr>
          <w:rStyle w:val="FootnoteAnchor"/>
          <w:rtl w:val="true"/>
        </w:rPr>
        <w:footnoteReference w:id="734"/>
      </w:r>
      <w:r>
        <w:rPr>
          <w:rFonts w:ascii="IRNazanin" w:hAnsi="IRNazanin" w:eastAsia="IRNazanin"/>
          <w:color w:val="111111"/>
          <w:sz w:val="28"/>
          <w:sz w:val="28"/>
          <w:szCs w:val="28"/>
          <w:rtl w:val="true"/>
          <w:lang w:bidi="fa-IR"/>
        </w:rPr>
        <w:t xml:space="preserve">،أعنی قراءة أبی جعفر و أخویه </w:t>
      </w:r>
      <w:r>
        <w:rPr>
          <w:rStyle w:val="FootnoteAnchor"/>
          <w:rtl w:val="true"/>
        </w:rPr>
        <w:footnoteReference w:id="735"/>
      </w:r>
      <w:r>
        <w:rPr>
          <w:rFonts w:ascii="IRNazanin" w:hAnsi="IRNazanin" w:eastAsia="IRNazanin"/>
          <w:color w:val="111111"/>
          <w:sz w:val="28"/>
          <w:sz w:val="28"/>
          <w:szCs w:val="28"/>
          <w:rtl w:val="true"/>
          <w:lang w:bidi="fa-IR"/>
        </w:rPr>
        <w:t>،لکن بالشرط المتقدّم،و هو کون ما أخبر به الشهید من التواتر ملزوما عادة لتحقّق القرآنیّة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لا إشکال فی الاعتماد من دون شرط إن کان الحکم منوطا بالقرآن المتواتر فی الجملة؛فإنّه قد ثبت تواتر تلک القراءات عند الشهید بإخباره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إن کان الحکم معلّقا علی القرآن المتواتر عند القارئ أو مجتهده،فلا یجدی إخبار الشهید بتواتر تلک القراءات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إلی أحد الأوّلین نظر </w:t>
      </w:r>
      <w:r>
        <w:rPr>
          <w:rStyle w:val="FootnoteAnchor"/>
          <w:rtl w:val="true"/>
        </w:rPr>
        <w:footnoteReference w:id="737"/>
      </w:r>
      <w:r>
        <w:rPr>
          <w:rFonts w:ascii="IRNazanin" w:hAnsi="IRNazanin" w:eastAsia="IRNazanin"/>
          <w:color w:val="111111"/>
          <w:sz w:val="28"/>
          <w:sz w:val="28"/>
          <w:szCs w:val="28"/>
          <w:rtl w:val="true"/>
          <w:lang w:bidi="fa-IR"/>
        </w:rPr>
        <w:t xml:space="preserve">حکم المحقّق و الشهید الثانیین </w:t>
      </w:r>
      <w:r>
        <w:rPr>
          <w:rStyle w:val="FootnoteAnchor"/>
          <w:rtl w:val="true"/>
        </w:rPr>
        <w:footnoteReference w:id="738"/>
      </w:r>
      <w:r>
        <w:rPr>
          <w:rFonts w:ascii="IRNazanin" w:hAnsi="IRNazanin" w:eastAsia="IRNazanin"/>
          <w:color w:val="111111"/>
          <w:sz w:val="28"/>
          <w:sz w:val="28"/>
          <w:szCs w:val="28"/>
          <w:rtl w:val="true"/>
          <w:lang w:bidi="fa-IR"/>
        </w:rPr>
        <w:t xml:space="preserve">بجواز القراءة بتلک القراءات؛مستندا إلی أنّ الشهید </w:t>
      </w:r>
      <w:r>
        <w:rPr>
          <w:rStyle w:val="FootnoteAnchor"/>
          <w:rtl w:val="true"/>
        </w:rPr>
        <w:footnoteReference w:id="739"/>
      </w:r>
      <w:r>
        <w:rPr>
          <w:rFonts w:ascii="Amiri" w:hAnsi="Amiri" w:eastAsia="Amiri" w:cs="Amiri"/>
          <w:color w:val="111111"/>
          <w:sz w:val="28"/>
          <w:sz w:val="28"/>
          <w:szCs w:val="28"/>
          <w:rtl w:val="true"/>
          <w:lang w:bidi="ar-SA"/>
        </w:rPr>
        <w:t xml:space="preserve">و العلاّمة </w:t>
      </w:r>
      <w:r>
        <w:rPr>
          <w:rStyle w:val="FootnoteAnchor"/>
          <w:rtl w:val="true"/>
        </w:rPr>
        <w:footnoteReference w:id="740"/>
      </w:r>
      <w:r>
        <w:rPr>
          <w:rFonts w:ascii="IRNazanin" w:hAnsi="IRNazanin" w:eastAsia="IRNazanin"/>
          <w:color w:val="111111"/>
          <w:sz w:val="28"/>
          <w:sz w:val="28"/>
          <w:szCs w:val="28"/>
          <w:rtl w:val="true"/>
          <w:lang w:bidi="fa-IR"/>
        </w:rPr>
        <w:t>قدّس سرّهما قد ادّعیا تواترها و أنّ هذا لا یقصر عن نقل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إلی الثالث نظر صاحب المدارک </w:t>
      </w:r>
      <w:r>
        <w:rPr>
          <w:rStyle w:val="FootnoteAnchor"/>
          <w:rtl w:val="true"/>
        </w:rPr>
        <w:footnoteReference w:id="741"/>
      </w:r>
      <w:r>
        <w:rPr>
          <w:rFonts w:ascii="IRNazanin" w:hAnsi="IRNazanin" w:eastAsia="IRNazanin"/>
          <w:color w:val="111111"/>
          <w:sz w:val="28"/>
          <w:sz w:val="28"/>
          <w:szCs w:val="28"/>
          <w:rtl w:val="true"/>
          <w:lang w:bidi="fa-IR"/>
        </w:rPr>
        <w:t xml:space="preserve">و شیخه المقدّس الأردبیلی </w:t>
      </w:r>
      <w:r>
        <w:rPr>
          <w:rStyle w:val="FootnoteAnchor"/>
          <w:rtl w:val="true"/>
        </w:rPr>
        <w:footnoteReference w:id="742"/>
      </w:r>
      <w:r>
        <w:rPr>
          <w:rFonts w:ascii="IRNazanin" w:hAnsi="IRNazanin" w:eastAsia="IRNazanin"/>
          <w:color w:val="111111"/>
          <w:sz w:val="28"/>
          <w:sz w:val="28"/>
          <w:szCs w:val="28"/>
          <w:rtl w:val="true"/>
          <w:lang w:bidi="fa-IR"/>
        </w:rPr>
        <w:t>قدّس سرّهما، حیث اعترضا علی المحقّق و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رجوع عن اشتراط التواتر فی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یخلو نظرهما عن نظر،فتدبّر</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للّه،و صلّی اللّه علی محمّد و آله،و لعنة اللّه علی أعدائهم أجمعین</w:t>
      </w:r>
      <w:r>
        <w:rPr>
          <w:rFonts w:eastAsia="IRNazanin" w:cs="IRNazanin"/>
          <w:color w:val="111111"/>
          <w:sz w:val="28"/>
          <w:szCs w:val="28"/>
          <w:rtl w:val="true"/>
          <w:lang w:bidi="fa-IR"/>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6" w:name="pg12977_114272"/>
      <w:bookmarkStart w:id="577" w:name="pg12977_114272"/>
      <w:bookmarkEnd w:id="577"/>
    </w:p>
    <w:p>
      <w:pPr>
        <w:pStyle w:val="Heading6"/>
        <w:numPr>
          <w:ilvl w:val="5"/>
          <w:numId w:val="1"/>
        </w:numPr>
        <w:rPr/>
      </w:pPr>
      <w:bookmarkStart w:id="578" w:name="pg12977_114272"/>
      <w:bookmarkStart w:id="579" w:name="__RefHeading___Toc5446875_3224264995"/>
      <w:bookmarkStart w:id="580" w:name="_Toc219"/>
      <w:bookmarkEnd w:id="578"/>
      <w:bookmarkEnd w:id="579"/>
      <w:r>
        <w:rPr>
          <w:rtl w:val="true"/>
        </w:rPr>
        <w:t>الشهرة الفتوائیة</w:t>
      </w:r>
      <w:bookmarkEnd w:id="5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 الفتوائیة</w:t>
      </w:r>
      <w:r>
        <w:rPr>
          <w:rFonts w:eastAsia="IRNazanin" w:cs="IRNazanin"/>
          <w:color w:val="111111"/>
          <w:sz w:val="28"/>
          <w:szCs w:val="28"/>
          <w:rtl w:val="true"/>
          <w:lang w:bidi="fa-IR"/>
        </w:rPr>
        <w:t xml:space="preserve">] </w:t>
      </w:r>
      <w:r>
        <w:rPr>
          <w:rStyle w:val="FootnoteAnchor"/>
          <w:rtl w:val="true"/>
        </w:rPr>
        <w:footnoteReference w:id="743"/>
      </w:r>
    </w:p>
    <w:p>
      <w:pPr>
        <w:pStyle w:val="Heading6"/>
        <w:numPr>
          <w:ilvl w:val="5"/>
          <w:numId w:val="1"/>
        </w:numPr>
        <w:rPr/>
      </w:pPr>
      <w:bookmarkStart w:id="581" w:name="__RefHeading___Toc5446877_3224264995"/>
      <w:bookmarkStart w:id="582" w:name="_Toc220"/>
      <w:bookmarkEnd w:id="581"/>
      <w:r>
        <w:rPr>
          <w:rtl w:val="true"/>
        </w:rPr>
        <w:t>هل الشهرة الفتوائیّة حجّة،أم لا؟</w:t>
      </w:r>
      <w:bookmarkEnd w:id="582"/>
    </w:p>
    <w:p>
      <w:pPr>
        <w:pStyle w:val="BookText"/>
        <w:rPr/>
      </w:pPr>
      <w:r>
        <w:rPr>
          <w:rFonts w:ascii="IRNazanin" w:hAnsi="IRNazanin" w:eastAsia="IRNazanin"/>
          <w:color w:val="111111"/>
          <w:sz w:val="28"/>
          <w:sz w:val="28"/>
          <w:szCs w:val="28"/>
          <w:rtl w:val="true"/>
          <w:lang w:bidi="fa-IR"/>
        </w:rPr>
        <w:t>و من جملة الظنون التی توهّم حجّیّتها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الشهرة فی الفتوی،الحاصلة بفتوی جلّ الفقهاء المعروفین،سواء کان فی مقابلها فتوی غیرهم بالخلاف </w:t>
      </w:r>
      <w:r>
        <w:rPr>
          <w:rStyle w:val="FootnoteAnchor"/>
          <w:rtl w:val="true"/>
        </w:rPr>
        <w:footnoteReference w:id="744"/>
      </w:r>
      <w:r>
        <w:rPr>
          <w:rFonts w:ascii="IRNazanin" w:hAnsi="IRNazanin" w:eastAsia="IRNazanin"/>
          <w:color w:val="111111"/>
          <w:sz w:val="28"/>
          <w:sz w:val="28"/>
          <w:szCs w:val="28"/>
          <w:rtl w:val="true"/>
          <w:lang w:bidi="fa-IR"/>
        </w:rPr>
        <w:t>أم لم یعرف الخلاف و الوفاق من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المقصود هنا لیس التعرّض لحکم الشهرة من حیث الحجّیّة فی الجملة،بل المقصود إبطال توهّم کونها من الظنون الخاصّة،و إلاّ فالقول بحجّیّتها من حیث إفادة المظنّة بناء علی دلیل الانسداد غیر بعید</w:t>
      </w:r>
      <w:r>
        <w:rPr>
          <w:rFonts w:eastAsia="IRNazanin" w:cs="IRNazanin"/>
          <w:color w:val="111111"/>
          <w:sz w:val="28"/>
          <w:szCs w:val="28"/>
          <w:rtl w:val="true"/>
          <w:lang w:bidi="fa-IR"/>
        </w:rPr>
        <w:t>.</w:t>
      </w:r>
    </w:p>
    <w:p>
      <w:pPr>
        <w:pStyle w:val="Heading6"/>
        <w:numPr>
          <w:ilvl w:val="5"/>
          <w:numId w:val="1"/>
        </w:numPr>
        <w:rPr/>
      </w:pPr>
      <w:bookmarkStart w:id="583" w:name="__RefHeading___Toc5446879_3224264995"/>
      <w:bookmarkStart w:id="584" w:name="_Toc221"/>
      <w:bookmarkEnd w:id="583"/>
      <w:r>
        <w:rPr>
          <w:rtl w:val="true"/>
        </w:rPr>
        <w:t>منشأ توهّم الحجّیة</w:t>
      </w:r>
      <w:r>
        <w:rPr>
          <w:rtl w:val="true"/>
        </w:rPr>
        <w:t>:</w:t>
      </w:r>
      <w:bookmarkEnd w:id="584"/>
    </w:p>
    <w:p>
      <w:pPr>
        <w:pStyle w:val="BookText"/>
        <w:rPr/>
      </w:pPr>
      <w:r>
        <w:rPr>
          <w:rFonts w:ascii="Amiri" w:hAnsi="Amiri" w:eastAsia="Amiri" w:cs="Amiri"/>
          <w:color w:val="111111"/>
          <w:sz w:val="28"/>
          <w:sz w:val="28"/>
          <w:szCs w:val="28"/>
          <w:rtl w:val="true"/>
          <w:lang w:bidi="ar-SA"/>
        </w:rPr>
        <w:t>ثمّ إنّ منشأ توهّم کونها من الظنون الخاصّة أمران</w:t>
      </w:r>
      <w:r>
        <w:rPr>
          <w:rFonts w:eastAsia="Amiri" w:cs="Amiri" w:ascii="Amiri" w:hAnsi="Amiri"/>
          <w:color w:val="111111"/>
          <w:sz w:val="28"/>
          <w:szCs w:val="28"/>
          <w:rtl w:val="true"/>
          <w:lang w:bidi="ar-SA"/>
        </w:rPr>
        <w:t>:</w:t>
      </w:r>
    </w:p>
    <w:p>
      <w:pPr>
        <w:pStyle w:val="Heading6"/>
        <w:numPr>
          <w:ilvl w:val="5"/>
          <w:numId w:val="1"/>
        </w:numPr>
        <w:rPr/>
      </w:pPr>
      <w:bookmarkStart w:id="585" w:name="__RefHeading___Toc5446881_3224264995"/>
      <w:bookmarkStart w:id="586" w:name="_Toc222"/>
      <w:bookmarkEnd w:id="585"/>
      <w:r>
        <w:rPr>
          <w:rtl w:val="true"/>
        </w:rPr>
        <w:t>أحدهما</w:t>
      </w:r>
      <w:r>
        <w:rPr>
          <w:rtl w:val="true"/>
        </w:rPr>
        <w:t>:</w:t>
      </w:r>
      <w:r>
        <w:rPr>
          <w:rtl w:val="true"/>
        </w:rPr>
        <w:t>الاستدلال بمفهوم الموافقة</w:t>
      </w:r>
      <w:r>
        <w:rPr>
          <w:rtl w:val="true"/>
        </w:rPr>
        <w:t>:</w:t>
      </w:r>
      <w:bookmarkEnd w:id="58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یظهر من بعض </w:t>
      </w:r>
      <w:r>
        <w:rPr>
          <w:rStyle w:val="FootnoteAnchor"/>
          <w:rtl w:val="true"/>
        </w:rPr>
        <w:footnoteReference w:id="7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أدلّة حجّیّة خبر الواحد تدلّ علی حجّیّتها بمفهوم الموافقة؛لأنّه ربما یحصل منها الظنّ الأقوی من </w:t>
      </w:r>
      <w:bookmarkStart w:id="587" w:name="pg12977_114273"/>
    </w:p>
    <w:p>
      <w:pPr>
        <w:pStyle w:val="BookText"/>
        <w:rPr/>
      </w:pPr>
      <w:bookmarkEnd w:id="587"/>
      <w:r>
        <w:rPr>
          <w:rFonts w:ascii="IRNazanin" w:hAnsi="IRNazanin" w:eastAsia="IRNazanin"/>
          <w:color w:val="111111"/>
          <w:sz w:val="28"/>
          <w:sz w:val="28"/>
          <w:szCs w:val="28"/>
          <w:rtl w:val="true"/>
          <w:lang w:bidi="fa-IR"/>
        </w:rPr>
        <w:t>الحاصل من خبر العادل</w:t>
      </w:r>
      <w:r>
        <w:rPr>
          <w:rFonts w:eastAsia="IRNazanin" w:cs="IRNazanin"/>
          <w:color w:val="111111"/>
          <w:sz w:val="28"/>
          <w:szCs w:val="28"/>
          <w:rtl w:val="true"/>
          <w:lang w:bidi="fa-IR"/>
        </w:rPr>
        <w:t>.</w:t>
      </w:r>
    </w:p>
    <w:p>
      <w:pPr>
        <w:pStyle w:val="Heading6"/>
        <w:numPr>
          <w:ilvl w:val="5"/>
          <w:numId w:val="1"/>
        </w:numPr>
        <w:rPr/>
      </w:pPr>
      <w:bookmarkStart w:id="588" w:name="__RefHeading___Toc5446883_3224264995"/>
      <w:bookmarkStart w:id="589" w:name="_Toc223"/>
      <w:bookmarkEnd w:id="588"/>
      <w:r>
        <w:rPr>
          <w:rtl w:val="true"/>
        </w:rPr>
        <w:t>المناقشة فی هذا الاستدلال</w:t>
      </w:r>
      <w:r>
        <w:rPr>
          <w:rtl w:val="true"/>
        </w:rPr>
        <w:t>:</w:t>
      </w:r>
      <w:bookmarkEnd w:id="589"/>
    </w:p>
    <w:p>
      <w:pPr>
        <w:pStyle w:val="BookText"/>
        <w:rPr/>
      </w:pPr>
      <w:r>
        <w:rPr>
          <w:rFonts w:ascii="IRNazanin" w:hAnsi="IRNazanin" w:eastAsia="IRNazanin"/>
          <w:color w:val="111111"/>
          <w:sz w:val="28"/>
          <w:sz w:val="28"/>
          <w:szCs w:val="28"/>
          <w:rtl w:val="true"/>
          <w:lang w:bidi="fa-IR"/>
        </w:rPr>
        <w:t xml:space="preserve">و هذا خیال ضعیف تخیّله بعض فی بعض رسائله،و وقع نظیره من الشهید الثانی فی المسالک </w:t>
      </w:r>
      <w:r>
        <w:rPr>
          <w:rStyle w:val="FootnoteAnchor"/>
          <w:rtl w:val="true"/>
        </w:rPr>
        <w:footnoteReference w:id="746"/>
      </w:r>
      <w:r>
        <w:rPr>
          <w:rFonts w:ascii="IRNazanin" w:hAnsi="IRNazanin" w:eastAsia="IRNazanin"/>
          <w:color w:val="111111"/>
          <w:sz w:val="28"/>
          <w:sz w:val="28"/>
          <w:szCs w:val="28"/>
          <w:rtl w:val="true"/>
          <w:lang w:bidi="fa-IR"/>
        </w:rPr>
        <w:t>،حیث وجّه حجّیة الشیاع الظنّی بکون الظنّ الحاصل منه أقوی من الحاصل من شهادة العدلین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الأولویّة الظنّیة أوهن بمراتب من الشهرة، فکیف یتمسّک بها فی حجّیتها؟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الأولویّة ممنوعة رأسا؛للظنّ بل العلم بأنّ المناط و العلّة فی حجّیة الأصل لیس مجرّد إفادة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تسمیة هذه الأولویّة فی کلام ذلک البعض مفهوم الموافقة؛مع أنّه ما کان استفادة حکم الفرع من الدلیل اللفظیّ الدالّ علی حکم الأصل،مثل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تَقُلْ لَهُما أُفٍّ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0" w:name="__RefHeading___Toc5446885_3224264995"/>
      <w:bookmarkStart w:id="591" w:name="_Toc224"/>
      <w:bookmarkEnd w:id="590"/>
      <w:r>
        <w:rPr>
          <w:rtl w:val="true"/>
        </w:rPr>
        <w:t>الأمر</w:t>
      </w:r>
      <w:bookmarkEnd w:id="591"/>
    </w:p>
    <w:p>
      <w:pPr>
        <w:pStyle w:val="BookText"/>
        <w:rPr/>
      </w:pPr>
      <w:r>
        <w:rPr>
          <w:rFonts w:ascii="IRNazanin" w:hAnsi="IRNazanin" w:eastAsia="IRNazanin"/>
          <w:color w:val="111111"/>
          <w:sz w:val="28"/>
          <w:sz w:val="28"/>
          <w:szCs w:val="28"/>
          <w:rtl w:val="true"/>
          <w:lang w:bidi="fa-IR"/>
        </w:rPr>
        <w:t xml:space="preserve">الأمر </w:t>
      </w:r>
      <w:r>
        <w:rPr>
          <w:rStyle w:val="FootnoteAnchor"/>
          <w:rtl w:val="true"/>
        </w:rPr>
        <w:footnoteReference w:id="748"/>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مرفوعة زرارة،و مقبولة ابن حنظلة</w:t>
      </w:r>
    </w:p>
    <w:p>
      <w:pPr>
        <w:pStyle w:val="BookText"/>
        <w:rPr/>
      </w:pP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فداک،یأتی عنکم الخبران أو </w:t>
      </w:r>
      <w:r>
        <w:rPr>
          <w:rStyle w:val="FootnoteAnchor"/>
          <w:rtl w:val="true"/>
        </w:rPr>
        <w:footnoteReference w:id="749"/>
      </w:r>
      <w:r>
        <w:rPr>
          <w:rFonts w:ascii="IRNazanin" w:hAnsi="IRNazanin" w:eastAsia="IRNazanin"/>
          <w:color w:val="111111"/>
          <w:sz w:val="28"/>
          <w:sz w:val="28"/>
          <w:szCs w:val="28"/>
          <w:rtl w:val="true"/>
          <w:lang w:bidi="fa-IR"/>
        </w:rPr>
        <w:t>الحدیثان المتعارضان،فبأیّهما نعمل؟قال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اشتهر بین أصحابک،ودع الشّاذّ النادر،قلت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سیّدی،إنّهما معا مشهوران مأثوران عنکم؟قال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یقوله أعدلهما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بناء علی أنّ المراد بالموصول مطلق المشهور روایة کان أو فتوی، أو أنّ إناطة الحکم بالاشتهار تدلّ علی اعتبار الشهرة فی نفسها و إن لم تکن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المقبولة بعد فرض السائل تساوی الراویین فی العدالة،قال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إلی ما کان من روایتهم عنّا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حکما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المجمع علیه بین أصحابک،فیؤخذ به،و یترک الشاذّ الذی لیس بمشهور عند أصحابک؛فإنّ المجمع علیه لا ریب فیه،و إنّما الامور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رشده فیتّبع،و أمر بیّن غیّه فیجتنب،و أمر مشکل یردّ حکمه إلی اللّه و رسوله؛قال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بیّن،و حرام بیّن،و شبهات بین ذلک،فمن ترک الشّبهات نجا من المحرّمات،و من أخذ بالشّبهات وقع فی المحرّمات و هلک من حیث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الخبران عنکم مشهورین قد رواهما الثقات 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الروایة</w:t>
      </w:r>
      <w:r>
        <w:rPr>
          <w:rFonts w:eastAsia="IRNazanin" w:cs="IRNazanin"/>
          <w:color w:val="111111"/>
          <w:sz w:val="28"/>
          <w:szCs w:val="28"/>
          <w:rtl w:val="true"/>
          <w:lang w:bidi="fa-IR"/>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أنّ المراد بالمجمع علیه فی الموضعین هو المشهور؛بقرینة إطلاق المشهور علیه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یترک الشاذّ الذی لیس بمشهور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فی التعلیل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المجمع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علی أنّ المشهور مطلقا ممّا یجب العمل به،و إن کان مورد التعلیل الشهرة فی الروایة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یؤیّد إرادة الشهرة من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لو کان الإجماع الحقیقیّ لم یکن ریب فی بطلان خلافه،مع أنّ الإمام علیه السّلام جعل مقابله ممّا فیه الریب</w:t>
      </w:r>
      <w:r>
        <w:rPr>
          <w:rFonts w:eastAsia="IRNazanin" w:cs="IRNazanin"/>
          <w:color w:val="111111"/>
          <w:sz w:val="28"/>
          <w:szCs w:val="28"/>
          <w:rtl w:val="true"/>
          <w:lang w:bidi="fa-IR"/>
        </w:rPr>
        <w:t xml:space="preserve">. </w:t>
      </w:r>
      <w:bookmarkStart w:id="592" w:name="pg12977_114275"/>
    </w:p>
    <w:p>
      <w:pPr>
        <w:pStyle w:val="Heading6"/>
        <w:numPr>
          <w:ilvl w:val="5"/>
          <w:numId w:val="1"/>
        </w:numPr>
        <w:rPr/>
      </w:pPr>
      <w:bookmarkStart w:id="593" w:name="__RefHeading___Toc5446887_3224264995"/>
      <w:bookmarkStart w:id="594" w:name="_Toc225"/>
      <w:bookmarkEnd w:id="592"/>
      <w:bookmarkEnd w:id="593"/>
      <w:r>
        <w:rPr>
          <w:rtl w:val="true"/>
        </w:rPr>
        <w:t>الجواب عن الاستدلال بالمرفوعة</w:t>
      </w:r>
      <w:r>
        <w:rPr>
          <w:rtl w:val="true"/>
        </w:rPr>
        <w:t>:</w:t>
      </w:r>
      <w:bookmarkEnd w:id="594"/>
    </w:p>
    <w:p>
      <w:pPr>
        <w:pStyle w:val="BookText"/>
        <w:rPr/>
      </w:pPr>
      <w:r>
        <w:rPr>
          <w:rFonts w:ascii="IRNazanin" w:hAnsi="IRNazanin" w:eastAsia="IRNazanin"/>
          <w:color w:val="111111"/>
          <w:sz w:val="28"/>
          <w:sz w:val="28"/>
          <w:szCs w:val="28"/>
          <w:rtl w:val="true"/>
          <w:lang w:bidi="fa-IR"/>
        </w:rPr>
        <w:t>و لکن فی الاستدلال بالروایتین ما لا یخفی من الوهن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إلی ضعفها،حتّی أنّه ردّها من لیس دأبه الخدشة فی سند الروایات کالمحدّث البحرانی </w:t>
      </w:r>
      <w:r>
        <w:rPr>
          <w:rStyle w:val="FootnoteAnchor"/>
          <w:rtl w:val="true"/>
        </w:rPr>
        <w:footnoteReference w:id="7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المراد بالموصول هو </w:t>
      </w:r>
      <w:r>
        <w:rPr>
          <w:rStyle w:val="FootnoteAnchor"/>
          <w:rtl w:val="true"/>
        </w:rPr>
        <w:footnoteReference w:id="753"/>
      </w:r>
      <w:r>
        <w:rPr>
          <w:rFonts w:ascii="IRNazanin" w:hAnsi="IRNazanin" w:eastAsia="IRNazanin"/>
          <w:color w:val="111111"/>
          <w:sz w:val="28"/>
          <w:sz w:val="28"/>
          <w:szCs w:val="28"/>
          <w:rtl w:val="true"/>
          <w:lang w:bidi="fa-IR"/>
        </w:rPr>
        <w:t xml:space="preserve">خصوص الروایة المشهورة من الروایتین دون مطلق الحکم </w:t>
      </w:r>
      <w:r>
        <w:rPr>
          <w:rStyle w:val="FootnoteAnchor"/>
          <w:rtl w:val="true"/>
        </w:rPr>
        <w:footnoteReference w:id="754"/>
      </w:r>
      <w:r>
        <w:rPr>
          <w:rFonts w:ascii="IRNazanin" w:hAnsi="IRNazanin" w:eastAsia="IRNazanin"/>
          <w:color w:val="111111"/>
          <w:sz w:val="28"/>
          <w:sz w:val="28"/>
          <w:szCs w:val="28"/>
          <w:rtl w:val="true"/>
          <w:lang w:bidi="fa-IR"/>
        </w:rPr>
        <w:t>المشهور؛أ لا تری أنّک لو سألت عن أنّ أیّ المسجدین أحبّ إلیک،فقلت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الاجتماع فیه أکثر،لم یحسن للمخاطب أن ینسب إلیک محبوبیّة کلّ مکان یکون الاجتماع فیه أکثر،بیتا کان أو خانا أو سوقا،و کذا لو أجبت عن سؤال المرجّح لأحد الرمّانین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دعوی العموم فی المقام لغیر الروایة ممّا لا یظنّ بأدنی التفات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الشهرة الفتوائیّة ممّا لا یقبل أن یکون فی طرفی المسألة،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سیّدی،إنّهما معا </w:t>
      </w:r>
      <w:r>
        <w:rPr>
          <w:rStyle w:val="FootnoteAnchor"/>
          <w:rtl w:val="true"/>
        </w:rPr>
        <w:footnoteReference w:id="756"/>
      </w:r>
      <w:r>
        <w:rPr>
          <w:rFonts w:ascii="IRNazanin" w:hAnsi="IRNazanin" w:eastAsia="IRNazanin"/>
          <w:color w:val="111111"/>
          <w:sz w:val="28"/>
          <w:sz w:val="28"/>
          <w:szCs w:val="28"/>
          <w:rtl w:val="true"/>
          <w:lang w:bidi="fa-IR"/>
        </w:rPr>
        <w:t>مشهوران مأثوران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أوضح شاهد علی أنّ المراد بالشهرة الشهرة فی الروایة الحاصلة بأن یکون الروایة </w:t>
      </w:r>
      <w:r>
        <w:rPr>
          <w:rStyle w:val="FootnoteAnchor"/>
          <w:rtl w:val="true"/>
        </w:rPr>
        <w:footnoteReference w:id="757"/>
      </w:r>
      <w:r>
        <w:rPr>
          <w:rFonts w:ascii="Amiri" w:hAnsi="Amiri" w:eastAsia="Amiri" w:cs="Amiri"/>
          <w:color w:val="111111"/>
          <w:sz w:val="28"/>
          <w:sz w:val="28"/>
          <w:szCs w:val="28"/>
          <w:rtl w:val="true"/>
          <w:lang w:bidi="ar-SA"/>
        </w:rPr>
        <w:t xml:space="preserve">ممّا </w:t>
      </w:r>
      <w:bookmarkStart w:id="595" w:name="pg12977_114276"/>
    </w:p>
    <w:p>
      <w:pPr>
        <w:pStyle w:val="BookText"/>
        <w:rPr/>
      </w:pPr>
      <w:bookmarkEnd w:id="595"/>
      <w:r>
        <w:rPr>
          <w:rFonts w:ascii="IRNazanin" w:hAnsi="IRNazanin" w:eastAsia="IRNazanin"/>
          <w:color w:val="111111"/>
          <w:sz w:val="28"/>
          <w:sz w:val="28"/>
          <w:szCs w:val="28"/>
          <w:rtl w:val="true"/>
          <w:lang w:bidi="fa-IR"/>
        </w:rPr>
        <w:t>اتّفق الکلّ علی روایته أو تدوینه،و هذا ممّا یمکن اتّصاف الروایتین المتعارضتین به</w:t>
      </w:r>
      <w:r>
        <w:rPr>
          <w:rFonts w:eastAsia="IRNazanin" w:cs="IRNazanin"/>
          <w:color w:val="111111"/>
          <w:sz w:val="28"/>
          <w:szCs w:val="28"/>
          <w:rtl w:val="true"/>
          <w:lang w:bidi="fa-IR"/>
        </w:rPr>
        <w:t>.</w:t>
      </w:r>
    </w:p>
    <w:p>
      <w:pPr>
        <w:pStyle w:val="Heading6"/>
        <w:numPr>
          <w:ilvl w:val="5"/>
          <w:numId w:val="1"/>
        </w:numPr>
        <w:rPr/>
      </w:pPr>
      <w:bookmarkStart w:id="596" w:name="__RefHeading___Toc5446889_3224264995"/>
      <w:bookmarkStart w:id="597" w:name="_Toc226"/>
      <w:bookmarkEnd w:id="596"/>
      <w:r>
        <w:rPr>
          <w:rtl w:val="true"/>
        </w:rPr>
        <w:t>الجواب عن الاستدلال بالمقبولة</w:t>
      </w:r>
      <w:r>
        <w:rPr>
          <w:rtl w:val="true"/>
        </w:rPr>
        <w:t>:</w:t>
      </w:r>
      <w:bookmarkEnd w:id="597"/>
    </w:p>
    <w:p>
      <w:pPr>
        <w:pStyle w:val="BookText"/>
        <w:rPr/>
      </w:pPr>
      <w:r>
        <w:rPr>
          <w:rFonts w:ascii="IRNazanin" w:hAnsi="IRNazanin" w:eastAsia="IRNazanin"/>
          <w:color w:val="111111"/>
          <w:sz w:val="28"/>
          <w:sz w:val="28"/>
          <w:szCs w:val="28"/>
          <w:rtl w:val="true"/>
          <w:lang w:bidi="fa-IR"/>
        </w:rPr>
        <w:t>و من هنا یعلم الجواب عن التمسّک بالمقبولة،و أنّه لا تنافی بین إطلاق المجمع علیه علی المشهور و بالعکس حتّی تصرف أحدهما عن ظاهره بقرینة الآخر؛فإنّ إطلاق المشهور فی مقابل الإجماع إنّما هو إطلاق حادث مختصّ بالاصولیّین،و إلاّ فالمشهور هو الواضح المعروف، 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فلان سیفه،و سیف شاهر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فالمراد أنّه یؤخذ بالروایة التی یعرفها جمیع أصحابک و لا ینکرها أحد منهم،و یترک ما لا یعرفه إلاّ الشاذّ و لا یعرفه </w:t>
      </w:r>
      <w:r>
        <w:rPr>
          <w:rStyle w:val="FootnoteAnchor"/>
          <w:rtl w:val="true"/>
        </w:rPr>
        <w:footnoteReference w:id="758"/>
      </w:r>
      <w:r>
        <w:rPr>
          <w:rFonts w:ascii="IRNazanin" w:hAnsi="IRNazanin" w:eastAsia="IRNazanin"/>
          <w:color w:val="111111"/>
          <w:sz w:val="28"/>
          <w:sz w:val="28"/>
          <w:szCs w:val="28"/>
          <w:rtl w:val="true"/>
          <w:lang w:bidi="fa-IR"/>
        </w:rPr>
        <w:t xml:space="preserve">الباقی،فالشاذّ مشارک للمشهور فی معرفة الروایة المشهورة،و المشهور لا یشارکون </w:t>
      </w:r>
      <w:r>
        <w:rPr>
          <w:rStyle w:val="FootnoteAnchor"/>
          <w:rtl w:val="true"/>
        </w:rPr>
        <w:footnoteReference w:id="759"/>
      </w:r>
      <w:r>
        <w:rPr>
          <w:rFonts w:ascii="IRNazanin" w:hAnsi="IRNazanin" w:eastAsia="IRNazanin"/>
          <w:color w:val="111111"/>
          <w:sz w:val="28"/>
          <w:sz w:val="28"/>
          <w:szCs w:val="28"/>
          <w:rtl w:val="true"/>
          <w:lang w:bidi="fa-IR"/>
        </w:rPr>
        <w:t>الشاذّ فی معرفة الروایة الشاذّة؛و لهذا کانت الروایة المشهورة من قبیل بیّن الرشد،و الشاذّ من قبیل المشکل الذی یردّ علمه إلی أهله؛و إلاّ فلا معنی للاستشهاد بحدیث التثلیث</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یضحک الثّکلی فی هذا المقام،توجیه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معا مشهوران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بإمکان انعقاد الشهرة فی عصر علی فتوی و فی عصر آخر علی خلافها،کما قد یتّفق بین القدماء و المتأخّرین،فتدبّر</w:t>
      </w:r>
      <w:r>
        <w:rPr>
          <w:rFonts w:eastAsia="IRNazanin" w:cs="IRNazanin"/>
          <w:color w:val="111111"/>
          <w:sz w:val="28"/>
          <w:szCs w:val="28"/>
          <w:rtl w:val="true"/>
          <w:lang w:bidi="fa-IR"/>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8" w:name="pg12977_114278"/>
      <w:bookmarkStart w:id="599" w:name="pg12977_114278"/>
      <w:bookmarkEnd w:id="599"/>
    </w:p>
    <w:p>
      <w:pPr>
        <w:pStyle w:val="Heading6"/>
        <w:numPr>
          <w:ilvl w:val="5"/>
          <w:numId w:val="1"/>
        </w:numPr>
        <w:rPr/>
      </w:pPr>
      <w:bookmarkStart w:id="600" w:name="pg12977_114278"/>
      <w:bookmarkStart w:id="601" w:name="__RefHeading___Toc5446891_3224264995"/>
      <w:bookmarkStart w:id="602" w:name="_Toc227"/>
      <w:bookmarkEnd w:id="600"/>
      <w:bookmarkEnd w:id="601"/>
      <w:r>
        <w:rPr>
          <w:rtl w:val="true"/>
        </w:rPr>
        <w:t>حجیة خبر الواحد</w:t>
      </w:r>
      <w:bookmarkEnd w:id="6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خبر الواحد</w:t>
      </w:r>
      <w:r>
        <w:rPr>
          <w:rFonts w:eastAsia="IRNazanin" w:cs="IRNazanin"/>
          <w:color w:val="111111"/>
          <w:sz w:val="28"/>
          <w:szCs w:val="28"/>
          <w:rtl w:val="true"/>
          <w:lang w:bidi="fa-IR"/>
        </w:rPr>
        <w:t xml:space="preserve">]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و من جملة الظنون الخارجة </w:t>
      </w:r>
      <w:r>
        <w:rPr>
          <w:rStyle w:val="FootnoteAnchor"/>
          <w:rtl w:val="true"/>
        </w:rPr>
        <w:footnoteReference w:id="761"/>
      </w:r>
      <w:r>
        <w:rPr>
          <w:rFonts w:ascii="IRNazanin" w:hAnsi="IRNazanin" w:eastAsia="IRNazanin"/>
          <w:color w:val="111111"/>
          <w:sz w:val="28"/>
          <w:sz w:val="28"/>
          <w:szCs w:val="28"/>
          <w:rtl w:val="true"/>
          <w:lang w:bidi="fa-IR"/>
        </w:rPr>
        <w:t>بالخصوص عن أصالة حرمة العمل بغیر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المشهور،بل کاد أن یکون إجماعا</w:t>
      </w:r>
      <w:r>
        <w:rPr>
          <w:rFonts w:eastAsia="IRNazanin" w:cs="IRNazanin"/>
          <w:color w:val="111111"/>
          <w:sz w:val="28"/>
          <w:szCs w:val="28"/>
          <w:rtl w:val="true"/>
          <w:lang w:bidi="fa-IR"/>
        </w:rPr>
        <w:t>.</w:t>
      </w:r>
    </w:p>
    <w:p>
      <w:pPr>
        <w:pStyle w:val="Heading6"/>
        <w:numPr>
          <w:ilvl w:val="5"/>
          <w:numId w:val="1"/>
        </w:numPr>
        <w:rPr/>
      </w:pPr>
      <w:bookmarkStart w:id="603" w:name="__RefHeading___Toc5446893_3224264995"/>
      <w:bookmarkStart w:id="604" w:name="_Toc228"/>
      <w:bookmarkEnd w:id="603"/>
      <w:r>
        <w:rPr>
          <w:rtl w:val="true"/>
        </w:rPr>
        <w:t>إثبات الحکم الشرعی بالأخبار یتوقّف علی مقدّمات</w:t>
      </w:r>
      <w:r>
        <w:rPr>
          <w:rtl w:val="true"/>
        </w:rPr>
        <w:t>:</w:t>
      </w:r>
      <w:bookmarkEnd w:id="604"/>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إثبات الحکم الشرعیّ بالأخبار المرویّة عن الحجج علیهم السّلام </w:t>
      </w:r>
      <w:r>
        <w:rPr>
          <w:rStyle w:val="FootnoteAnchor"/>
          <w:rtl w:val="true"/>
        </w:rPr>
        <w:footnoteReference w:id="762"/>
      </w:r>
      <w:r>
        <w:rPr>
          <w:rFonts w:ascii="IRNazanin" w:hAnsi="IRNazanin" w:eastAsia="IRNazanin"/>
          <w:color w:val="111111"/>
          <w:sz w:val="28"/>
          <w:sz w:val="28"/>
          <w:szCs w:val="28"/>
          <w:rtl w:val="true"/>
          <w:lang w:bidi="fa-IR"/>
        </w:rPr>
        <w:t>موقوف علی مقدّمات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الکلام صادرا عن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صدوره لبیان حکم اللّه،لا علی وجه آخر،من تقیّة أو </w:t>
      </w:r>
      <w:r>
        <w:rPr>
          <w:rStyle w:val="FootnoteAnchor"/>
          <w:rtl w:val="true"/>
        </w:rPr>
        <w:footnoteReference w:id="763"/>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ثبوت دلالته </w:t>
      </w:r>
      <w:r>
        <w:rPr>
          <w:rStyle w:val="FootnoteAnchor"/>
          <w:rtl w:val="true"/>
        </w:rPr>
        <w:footnoteReference w:id="764"/>
      </w:r>
      <w:r>
        <w:rPr>
          <w:rFonts w:ascii="IRNazanin" w:hAnsi="IRNazanin" w:eastAsia="IRNazanin"/>
          <w:color w:val="111111"/>
          <w:sz w:val="28"/>
          <w:sz w:val="28"/>
          <w:szCs w:val="28"/>
          <w:rtl w:val="true"/>
          <w:lang w:bidi="fa-IR"/>
        </w:rPr>
        <w:t>علی الحکم المدّعی،و هذا یتوقّف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تعیین أوضاع ألفاظ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تعیین المراد منها،و أنّ المراد مقتضی وضعها أو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امور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w:t>
      </w:r>
      <w:r>
        <w:rPr>
          <w:rStyle w:val="FootnoteAnchor"/>
          <w:rtl w:val="true"/>
        </w:rPr>
        <w:footnoteReference w:id="765"/>
      </w:r>
      <w:r>
        <w:rPr>
          <w:rFonts w:ascii="IRNazanin" w:hAnsi="IRNazanin" w:eastAsia="IRNazanin"/>
          <w:color w:val="111111"/>
          <w:sz w:val="28"/>
          <w:sz w:val="28"/>
          <w:szCs w:val="28"/>
          <w:rtl w:val="true"/>
          <w:lang w:bidi="fa-IR"/>
        </w:rPr>
        <w:t xml:space="preserve">أشرنا </w:t>
      </w:r>
      <w:r>
        <w:rPr>
          <w:rStyle w:val="FootnoteAnchor"/>
          <w:rtl w:val="true"/>
        </w:rPr>
        <w:footnoteReference w:id="766"/>
      </w:r>
      <w:r>
        <w:rPr>
          <w:rFonts w:ascii="IRNazanin" w:hAnsi="IRNazanin" w:eastAsia="IRNazanin"/>
          <w:color w:val="111111"/>
          <w:sz w:val="28"/>
          <w:sz w:val="28"/>
          <w:szCs w:val="28"/>
          <w:rtl w:val="true"/>
          <w:lang w:bidi="fa-IR"/>
        </w:rPr>
        <w:t xml:space="preserve">إلی کون الجهة الثانیة من المقدّمة الثالثة من الظنون الخاصّة،و هو المعبّر عنه بالظهور اللفظیّ،و إلی أنّ الجهة الاولی منها ممّا لم یثبت کون الظنّ الحاصل فیها بقول اللغوی من الظنون الخاصّة، و إن لم نستبعد الحجّیة أخیرا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المقدّمة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أیضا ثابتة بأصالة عدم صدور الروایة لغیر داعی بیان الحکم الواقعیّ،و هی حجّة؛لرجوعها إلی القاعدة المجمع علیها بین العلماء و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حمل کلام المتکلّم علی کونه صادرا لبیان مطلوبه الواقعیّ،لا لبیان خلاف مقصوده من تقیّة أو خوف؛و لذا لا یسمع دعواه ممّن یدّعیه إذا لم یکن کلامه محفوفا بأماراته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768"/>
      </w:r>
      <w:r>
        <w:rPr>
          <w:rFonts w:ascii="IRNazanin" w:hAnsi="IRNazanin" w:eastAsia="IRNazanin"/>
          <w:color w:val="111111"/>
          <w:sz w:val="28"/>
          <w:sz w:val="28"/>
          <w:szCs w:val="28"/>
          <w:rtl w:val="true"/>
          <w:lang w:bidi="fa-IR"/>
        </w:rPr>
        <w:t>أمّا المقدّمة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التی عقد لها مسألة حجّیّة أخبار الآحاد،فمرجع هذه المسألة إلی أنّ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قول الحجّة أو فعله أو تقریره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تثبت بخبر الواحد أم لا تثبت إلاّ بما یفید القطع من التواتر و القرینة؟ </w:t>
      </w:r>
      <w:bookmarkStart w:id="605" w:name="pg12977_114280"/>
    </w:p>
    <w:p>
      <w:pPr>
        <w:pStyle w:val="BookText"/>
        <w:rPr/>
      </w:pPr>
      <w:bookmarkEnd w:id="605"/>
      <w:r>
        <w:rPr>
          <w:rFonts w:ascii="IRNazanin" w:hAnsi="IRNazanin" w:eastAsia="IRNazanin"/>
          <w:color w:val="111111"/>
          <w:sz w:val="28"/>
          <w:sz w:val="28"/>
          <w:szCs w:val="28"/>
          <w:rtl w:val="true"/>
          <w:lang w:bidi="fa-IR"/>
        </w:rPr>
        <w:t>و من هنا یتّضح دخولها فی مسائل اصول الفقه الباحثة عن أحوال الأدلّة،و لا حاجة إلی تجشّم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البحث عن دلیلیّة الدلیل بحث عن أحوال الدلیل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أصل وجوب العمل بالأخبار المدوّنة فی الکتب المعروفة ممّا اجمع علیه فی هذه الأعصار،بل لا یبعد کونه ضروریّ المذهب</w:t>
      </w:r>
      <w:r>
        <w:rPr>
          <w:rFonts w:eastAsia="IRNazanin" w:cs="IRNazanin"/>
          <w:color w:val="111111"/>
          <w:sz w:val="28"/>
          <w:szCs w:val="28"/>
          <w:rtl w:val="true"/>
          <w:lang w:bidi="fa-IR"/>
        </w:rPr>
        <w:t>.</w:t>
      </w:r>
    </w:p>
    <w:p>
      <w:pPr>
        <w:pStyle w:val="Heading6"/>
        <w:numPr>
          <w:ilvl w:val="5"/>
          <w:numId w:val="1"/>
        </w:numPr>
        <w:rPr/>
      </w:pPr>
      <w:bookmarkStart w:id="606" w:name="__RefHeading___Toc5446895_3224264995"/>
      <w:bookmarkStart w:id="607" w:name="_Toc229"/>
      <w:bookmarkEnd w:id="606"/>
      <w:r>
        <w:rPr>
          <w:rtl w:val="true"/>
        </w:rPr>
        <w:t>الخلاف فی الأخبار المدوّنة فی مقامین</w:t>
      </w:r>
      <w:r>
        <w:rPr>
          <w:rtl w:val="true"/>
        </w:rPr>
        <w:t>:</w:t>
      </w:r>
      <w:bookmarkEnd w:id="607"/>
    </w:p>
    <w:p>
      <w:pPr>
        <w:pStyle w:val="BookText"/>
        <w:rPr/>
      </w:pPr>
      <w:r>
        <w:rPr>
          <w:rFonts w:ascii="IRNazanin" w:hAnsi="IRNazanin" w:eastAsia="IRNazanin"/>
          <w:color w:val="111111"/>
          <w:sz w:val="28"/>
          <w:sz w:val="28"/>
          <w:szCs w:val="28"/>
          <w:rtl w:val="true"/>
          <w:lang w:bidi="fa-IR"/>
        </w:rPr>
        <w:t>و إنّما الخلاف فی مقامین</w:t>
      </w:r>
      <w:r>
        <w:rPr>
          <w:rFonts w:eastAsia="IRNazanin" w:cs="IRNazanin"/>
          <w:color w:val="111111"/>
          <w:sz w:val="28"/>
          <w:szCs w:val="28"/>
          <w:rtl w:val="true"/>
          <w:lang w:bidi="fa-IR"/>
        </w:rPr>
        <w:t>:</w:t>
      </w:r>
    </w:p>
    <w:p>
      <w:pPr>
        <w:pStyle w:val="Heading6"/>
        <w:numPr>
          <w:ilvl w:val="5"/>
          <w:numId w:val="1"/>
        </w:numPr>
        <w:rPr/>
      </w:pPr>
      <w:bookmarkStart w:id="608" w:name="__RefHeading___Toc5446897_3224264995"/>
      <w:bookmarkStart w:id="609" w:name="_Toc230"/>
      <w:bookmarkEnd w:id="608"/>
      <w:r>
        <w:rPr/>
        <w:t>1</w:t>
      </w:r>
      <w:r>
        <w:rPr>
          <w:rtl w:val="true"/>
        </w:rPr>
        <w:t>-</w:t>
      </w:r>
      <w:r>
        <w:rPr>
          <w:rtl w:val="true"/>
        </w:rPr>
        <w:t>هل هی مقطوعة الصدور ام لا؟</w:t>
      </w:r>
      <w:bookmarkEnd w:id="609"/>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مقطوعة الصدور أو غیر مقطوعة؟</w:t>
      </w:r>
    </w:p>
    <w:p>
      <w:pPr>
        <w:pStyle w:val="BookText"/>
        <w:rPr/>
      </w:pPr>
      <w:r>
        <w:rPr>
          <w:rFonts w:ascii="IRNazanin" w:hAnsi="IRNazanin" w:eastAsia="IRNazanin"/>
          <w:color w:val="111111"/>
          <w:sz w:val="28"/>
          <w:sz w:val="28"/>
          <w:szCs w:val="28"/>
          <w:rtl w:val="true"/>
          <w:lang w:bidi="fa-IR"/>
        </w:rPr>
        <w:t xml:space="preserve">فقد ذهب شرذمة من متأخّری الأخباریّین </w:t>
      </w:r>
      <w:r>
        <w:rPr>
          <w:rStyle w:val="FootnoteAnchor"/>
          <w:rtl w:val="true"/>
        </w:rPr>
        <w:footnoteReference w:id="7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نسب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کونها قطعیّة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قول لا فائدة فی بیانه و الجواب عنه،إلاّ التحرّز عن حصول هذا الوهم لغیرهم کما حصل لهم؛و إلاّ فمدّعی القطع لا یلزم بذکر ضعف مبنی 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کتبنا فی سالف الزمان فی ردّ هذا القول رسالة </w:t>
      </w:r>
      <w:r>
        <w:rPr>
          <w:rStyle w:val="FootnoteAnchor"/>
          <w:rtl w:val="true"/>
        </w:rPr>
        <w:footnoteReference w:id="771"/>
      </w:r>
      <w:r>
        <w:rPr>
          <w:rFonts w:ascii="IRNazanin" w:hAnsi="IRNazanin" w:eastAsia="IRNazanin"/>
          <w:color w:val="111111"/>
          <w:sz w:val="28"/>
          <w:sz w:val="28"/>
          <w:szCs w:val="28"/>
          <w:rtl w:val="true"/>
          <w:lang w:bidi="fa-IR"/>
        </w:rPr>
        <w:t>تعرّضنا فیها لجمیع ما ذکروه،و بیان ضعفها بحسب ما أدّی إلیه فهمی القاصر</w:t>
      </w:r>
      <w:r>
        <w:rPr>
          <w:rFonts w:eastAsia="IRNazanin" w:cs="IRNazanin"/>
          <w:color w:val="111111"/>
          <w:sz w:val="28"/>
          <w:szCs w:val="28"/>
          <w:rtl w:val="true"/>
          <w:lang w:bidi="fa-IR"/>
        </w:rPr>
        <w:t>.</w:t>
      </w:r>
    </w:p>
    <w:p>
      <w:pPr>
        <w:pStyle w:val="Heading6"/>
        <w:numPr>
          <w:ilvl w:val="5"/>
          <w:numId w:val="1"/>
        </w:numPr>
        <w:rPr/>
      </w:pPr>
      <w:bookmarkStart w:id="610" w:name="__RefHeading___Toc5446899_3224264995"/>
      <w:bookmarkStart w:id="611" w:name="_Toc231"/>
      <w:bookmarkEnd w:id="610"/>
      <w:r>
        <w:rPr/>
        <w:t>2</w:t>
      </w:r>
      <w:r>
        <w:rPr>
          <w:rtl w:val="true"/>
        </w:rPr>
        <w:t>-</w:t>
      </w:r>
      <w:r>
        <w:rPr>
          <w:rtl w:val="true"/>
        </w:rPr>
        <w:t>هل هی معتبرة بالخصوص ام لا؟</w:t>
      </w:r>
      <w:bookmarkEnd w:id="61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مع عدم قطعیّة صدورها معتبرة بالخصوص أم لا؟ </w:t>
      </w:r>
      <w:bookmarkStart w:id="612" w:name="pg12977_114281"/>
    </w:p>
    <w:p>
      <w:pPr>
        <w:pStyle w:val="BookText"/>
        <w:rPr/>
      </w:pPr>
      <w:bookmarkEnd w:id="612"/>
      <w:r>
        <w:rPr>
          <w:rFonts w:ascii="Amiri" w:hAnsi="Amiri" w:eastAsia="Amiri" w:cs="Amiri"/>
          <w:color w:val="111111"/>
          <w:sz w:val="28"/>
          <w:sz w:val="28"/>
          <w:szCs w:val="28"/>
          <w:rtl w:val="true"/>
          <w:lang w:bidi="ar-SA"/>
        </w:rPr>
        <w:t xml:space="preserve">فالمحکیّ عن السیّد </w:t>
      </w:r>
      <w:r>
        <w:rPr>
          <w:rStyle w:val="FootnoteAnchor"/>
          <w:rtl w:val="true"/>
        </w:rPr>
        <w:footnoteReference w:id="772"/>
      </w:r>
      <w:r>
        <w:rPr>
          <w:rFonts w:ascii="IRNazanin" w:hAnsi="IRNazanin" w:eastAsia="IRNazanin"/>
          <w:color w:val="111111"/>
          <w:sz w:val="28"/>
          <w:sz w:val="28"/>
          <w:szCs w:val="28"/>
          <w:rtl w:val="true"/>
          <w:lang w:bidi="fa-IR"/>
        </w:rPr>
        <w:t xml:space="preserve">و القاضی </w:t>
      </w:r>
      <w:r>
        <w:rPr>
          <w:rStyle w:val="FootnoteAnchor"/>
          <w:rtl w:val="true"/>
        </w:rPr>
        <w:footnoteReference w:id="773"/>
      </w:r>
      <w:r>
        <w:rPr>
          <w:rFonts w:ascii="Amiri" w:hAnsi="Amiri" w:eastAsia="Amiri" w:cs="Amiri"/>
          <w:color w:val="111111"/>
          <w:sz w:val="28"/>
          <w:sz w:val="28"/>
          <w:szCs w:val="28"/>
          <w:rtl w:val="true"/>
          <w:lang w:bidi="ar-SA"/>
        </w:rPr>
        <w:t xml:space="preserve">و ابن زهرة </w:t>
      </w:r>
      <w:r>
        <w:rPr>
          <w:rStyle w:val="FootnoteAnchor"/>
          <w:rtl w:val="true"/>
        </w:rPr>
        <w:footnoteReference w:id="774"/>
      </w:r>
      <w:r>
        <w:rPr>
          <w:rFonts w:ascii="IRNazanin" w:hAnsi="IRNazanin" w:eastAsia="IRNazanin"/>
          <w:color w:val="111111"/>
          <w:sz w:val="28"/>
          <w:sz w:val="28"/>
          <w:szCs w:val="28"/>
          <w:rtl w:val="true"/>
          <w:lang w:bidi="fa-IR"/>
        </w:rPr>
        <w:t xml:space="preserve">و الطبرسی </w:t>
      </w:r>
      <w:r>
        <w:rPr>
          <w:rStyle w:val="FootnoteAnchor"/>
          <w:rtl w:val="true"/>
        </w:rPr>
        <w:footnoteReference w:id="775"/>
      </w:r>
      <w:r>
        <w:rPr>
          <w:rFonts w:ascii="IRNazanin" w:hAnsi="IRNazanin" w:eastAsia="IRNazanin"/>
          <w:color w:val="111111"/>
          <w:sz w:val="28"/>
          <w:sz w:val="28"/>
          <w:szCs w:val="28"/>
          <w:rtl w:val="true"/>
          <w:lang w:bidi="fa-IR"/>
        </w:rPr>
        <w:t>و ابن إدریس قدّس اللّه أسرارهم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المنع </w:t>
      </w:r>
      <w:r>
        <w:rPr>
          <w:rStyle w:val="FootnoteAnchor"/>
          <w:rtl w:val="true"/>
        </w:rPr>
        <w:footnoteReference w:id="776"/>
      </w:r>
      <w:r>
        <w:rPr>
          <w:rFonts w:ascii="IRNazanin" w:hAnsi="IRNazanin" w:eastAsia="IRNazanin"/>
          <w:color w:val="111111"/>
          <w:sz w:val="28"/>
          <w:sz w:val="28"/>
          <w:szCs w:val="28"/>
          <w:rtl w:val="true"/>
          <w:lang w:bidi="fa-IR"/>
        </w:rPr>
        <w:t xml:space="preserve">،و ربما نسب إلی المفید </w:t>
      </w:r>
      <w:r>
        <w:rPr>
          <w:rStyle w:val="FootnoteAnchor"/>
          <w:rtl w:val="true"/>
        </w:rPr>
        <w:footnoteReference w:id="777"/>
      </w:r>
      <w:r>
        <w:rPr>
          <w:rFonts w:ascii="IRNazanin" w:hAnsi="IRNazanin" w:eastAsia="IRNazanin"/>
          <w:color w:val="111111"/>
          <w:sz w:val="28"/>
          <w:sz w:val="28"/>
          <w:szCs w:val="28"/>
          <w:rtl w:val="true"/>
          <w:lang w:bidi="fa-IR"/>
        </w:rPr>
        <w:t xml:space="preserve">قدّس سرّه؛حیث حکی عنه فی المعارج </w:t>
      </w:r>
      <w:r>
        <w:rPr>
          <w:rStyle w:val="FootnoteAnchor"/>
          <w:rtl w:val="true"/>
        </w:rPr>
        <w:footnoteReference w:id="778"/>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خبر الواحد القاطع للعذر هو الذی یقترن إلیه دلیل یفضی بالنظر إلی العلم،و ربما یکون ذلک إجماعا أو شاهدا من عقل</w:t>
      </w:r>
      <w:r>
        <w:rPr>
          <w:rFonts w:eastAsia="IRNazanin" w:cs="IRNazanin"/>
          <w:color w:val="111111"/>
          <w:sz w:val="28"/>
          <w:szCs w:val="28"/>
          <w:rtl w:val="true"/>
          <w:lang w:bidi="fa-IR"/>
        </w:rPr>
        <w:t xml:space="preserve">» </w:t>
      </w:r>
      <w:r>
        <w:rPr>
          <w:rStyle w:val="FootnoteAnchor"/>
          <w:rtl w:val="true"/>
        </w:rPr>
        <w:footnoteReference w:id="779"/>
      </w:r>
      <w:r>
        <w:rPr>
          <w:rFonts w:ascii="IRNazanin" w:hAnsi="IRNazanin" w:eastAsia="IRNazanin"/>
          <w:color w:val="111111"/>
          <w:sz w:val="28"/>
          <w:sz w:val="28"/>
          <w:szCs w:val="28"/>
          <w:rtl w:val="true"/>
          <w:lang w:bidi="fa-IR"/>
        </w:rPr>
        <w:t xml:space="preserve">،و ربما ینسب إلی الشیخ،کما سیجیء عند نقل کلامه </w:t>
      </w:r>
      <w:r>
        <w:rPr>
          <w:rStyle w:val="FootnoteAnchor"/>
          <w:rtl w:val="true"/>
        </w:rPr>
        <w:footnoteReference w:id="780"/>
      </w:r>
      <w:r>
        <w:rPr>
          <w:rFonts w:ascii="IRNazanin" w:hAnsi="IRNazanin" w:eastAsia="IRNazanin"/>
          <w:color w:val="111111"/>
          <w:sz w:val="28"/>
          <w:sz w:val="28"/>
          <w:szCs w:val="28"/>
          <w:rtl w:val="true"/>
          <w:lang w:bidi="fa-IR"/>
        </w:rPr>
        <w:t xml:space="preserve">،و کذا إلی المحقّق،بل إلی ابن بابویه </w:t>
      </w:r>
      <w:r>
        <w:rPr>
          <w:rStyle w:val="FootnoteAnchor"/>
          <w:rtl w:val="true"/>
        </w:rPr>
        <w:footnoteReference w:id="781"/>
      </w:r>
      <w:r>
        <w:rPr>
          <w:rFonts w:ascii="Amiri" w:hAnsi="Amiri" w:eastAsia="Amiri" w:cs="Amiri"/>
          <w:color w:val="111111"/>
          <w:sz w:val="28"/>
          <w:sz w:val="28"/>
          <w:szCs w:val="28"/>
          <w:rtl w:val="true"/>
          <w:lang w:bidi="ar-SA"/>
        </w:rPr>
        <w:t>،بل فی الوافیة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لم یجد القول بالحجّیّة صریحا ممّن تقدّم علی العلاّمة </w:t>
      </w:r>
      <w:r>
        <w:rPr>
          <w:rStyle w:val="FootnoteAnchor"/>
          <w:rtl w:val="true"/>
        </w:rPr>
        <w:footnoteReference w:id="782"/>
      </w:r>
      <w:r>
        <w:rPr>
          <w:rFonts w:ascii="IRNazanin" w:hAnsi="IRNazanin" w:eastAsia="IRNazanin"/>
          <w:color w:val="111111"/>
          <w:sz w:val="28"/>
          <w:sz w:val="28"/>
          <w:szCs w:val="28"/>
          <w:rtl w:val="true"/>
          <w:lang w:bidi="fa-IR"/>
        </w:rPr>
        <w:t>،و هو عجیب</w:t>
      </w:r>
      <w:r>
        <w:rPr>
          <w:rFonts w:eastAsia="IRNazanin" w:cs="IRNazanin"/>
          <w:color w:val="111111"/>
          <w:sz w:val="28"/>
          <w:szCs w:val="28"/>
          <w:rtl w:val="true"/>
          <w:lang w:bidi="fa-IR"/>
        </w:rPr>
        <w:t>.</w:t>
      </w:r>
    </w:p>
    <w:p>
      <w:pPr>
        <w:pStyle w:val="Heading6"/>
        <w:numPr>
          <w:ilvl w:val="5"/>
          <w:numId w:val="1"/>
        </w:numPr>
        <w:rPr/>
      </w:pPr>
      <w:bookmarkStart w:id="613" w:name="__RefHeading___Toc5446901_3224264995"/>
      <w:bookmarkStart w:id="614" w:name="_Toc232"/>
      <w:bookmarkEnd w:id="613"/>
      <w:r>
        <w:rPr>
          <w:rtl w:val="true"/>
        </w:rPr>
        <w:t>ما هو المعتبر منها؟</w:t>
      </w:r>
      <w:r>
        <w:rPr>
          <w:rtl w:val="true"/>
        </w:rPr>
        <w:t>:</w:t>
      </w:r>
      <w:bookmarkEnd w:id="61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القائلون بالاعتبار،فهم مختلفون من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المعتبر منها کلّ ما فی الکتب المعتبرة </w:t>
      </w:r>
      <w:r>
        <w:rPr>
          <w:rStyle w:val="FootnoteAnchor"/>
          <w:rtl w:val="true"/>
        </w:rPr>
        <w:footnoteReference w:id="7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یحکی عن بعض </w:t>
      </w:r>
    </w:p>
    <w:p>
      <w:pPr>
        <w:pStyle w:val="BookText"/>
        <w:rPr/>
      </w:pPr>
      <w:r>
        <w:rPr>
          <w:rFonts w:ascii="IRNazanin" w:hAnsi="IRNazanin" w:eastAsia="IRNazanin"/>
          <w:color w:val="111111"/>
          <w:sz w:val="28"/>
          <w:sz w:val="28"/>
          <w:szCs w:val="28"/>
          <w:rtl w:val="true"/>
          <w:lang w:bidi="fa-IR"/>
        </w:rPr>
        <w:t xml:space="preserve">الأخباریّین </w:t>
      </w:r>
      <w:r>
        <w:rPr>
          <w:rStyle w:val="FootnoteAnchor"/>
          <w:rtl w:val="true"/>
        </w:rPr>
        <w:footnoteReference w:id="784"/>
      </w:r>
      <w:r>
        <w:rPr>
          <w:rFonts w:ascii="IRNazanin" w:hAnsi="IRNazanin" w:eastAsia="IRNazanin"/>
          <w:color w:val="111111"/>
          <w:sz w:val="28"/>
          <w:sz w:val="28"/>
          <w:szCs w:val="28"/>
          <w:rtl w:val="true"/>
          <w:lang w:bidi="fa-IR"/>
        </w:rPr>
        <w:t xml:space="preserve">أیضا،و تبعهم بعض المعاصرین من الاصولیّین </w:t>
      </w:r>
      <w:r>
        <w:rPr>
          <w:rStyle w:val="FootnoteAnchor"/>
          <w:rtl w:val="true"/>
        </w:rPr>
        <w:footnoteReference w:id="785"/>
      </w:r>
      <w:r>
        <w:rPr>
          <w:rFonts w:ascii="IRNazanin" w:hAnsi="IRNazanin" w:eastAsia="IRNazanin"/>
          <w:color w:val="111111"/>
          <w:sz w:val="28"/>
          <w:sz w:val="28"/>
          <w:szCs w:val="28"/>
          <w:rtl w:val="true"/>
          <w:lang w:bidi="fa-IR"/>
        </w:rPr>
        <w:t>بعد استثناء ما کان مخالفا للمشهور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أنّ المعتبر بعضها،و أنّ المناط فی الاعتبار عمل الأصحاب کما یظهر من کلام المحقّق </w:t>
      </w:r>
      <w:r>
        <w:rPr>
          <w:rStyle w:val="FootnoteAnchor"/>
          <w:rtl w:val="true"/>
        </w:rPr>
        <w:footnoteReference w:id="786"/>
      </w:r>
      <w:r>
        <w:rPr>
          <w:rFonts w:ascii="IRNazanin" w:hAnsi="IRNazanin" w:eastAsia="IRNazanin"/>
          <w:color w:val="111111"/>
          <w:sz w:val="28"/>
          <w:sz w:val="28"/>
          <w:szCs w:val="28"/>
          <w:rtl w:val="true"/>
          <w:lang w:bidi="fa-IR"/>
        </w:rPr>
        <w:t xml:space="preserve">،أو عدالة الراوی،أو وثاقته، أو مجرّد الظنّ بصدور الروایة من غیر اعتبار صفة فی الراوی،أو غیر ذلک من التفصیلات </w:t>
      </w:r>
      <w:r>
        <w:rPr>
          <w:rStyle w:val="FootnoteAnchor"/>
          <w:rtl w:val="true"/>
        </w:rPr>
        <w:footnoteReference w:id="787"/>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المقصود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إثبات حجّیّته بالخصوص فی الجملة فی مقابل السلب الکلّی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یمکن أن یحتجّ به القائلون بالمنع،ثمّ نعقّبه بذکر أدلّة الجواز،فنقول</w:t>
      </w:r>
      <w:r>
        <w:rPr>
          <w:rFonts w:eastAsia="IRNazanin" w:cs="IRNazanin"/>
          <w:color w:val="111111"/>
          <w:sz w:val="28"/>
          <w:szCs w:val="28"/>
          <w:rtl w:val="true"/>
          <w:lang w:bidi="fa-IR"/>
        </w:rPr>
        <w:t xml:space="preserve">: </w:t>
      </w:r>
      <w:bookmarkStart w:id="615" w:name="pg12977_114283"/>
    </w:p>
    <w:p>
      <w:pPr>
        <w:pStyle w:val="Heading6"/>
        <w:numPr>
          <w:ilvl w:val="5"/>
          <w:numId w:val="1"/>
        </w:numPr>
        <w:rPr/>
      </w:pPr>
      <w:bookmarkStart w:id="616" w:name="__RefHeading___Toc5446903_3224264995"/>
      <w:bookmarkStart w:id="617" w:name="_Toc233"/>
      <w:bookmarkEnd w:id="615"/>
      <w:bookmarkEnd w:id="616"/>
      <w:r>
        <w:rPr>
          <w:rtl w:val="true"/>
        </w:rPr>
        <w:t>أمّا حجّة المانعین،فالأدلّة الثلاثة</w:t>
      </w:r>
      <w:r>
        <w:rPr>
          <w:rtl w:val="true"/>
        </w:rPr>
        <w:t>:</w:t>
      </w:r>
      <w:bookmarkEnd w:id="617"/>
    </w:p>
    <w:p>
      <w:pPr>
        <w:pStyle w:val="Heading6"/>
        <w:numPr>
          <w:ilvl w:val="5"/>
          <w:numId w:val="1"/>
        </w:numPr>
        <w:rPr/>
      </w:pPr>
      <w:bookmarkStart w:id="618" w:name="__RefHeading___Toc5446905_3224264995"/>
      <w:bookmarkStart w:id="619" w:name="_Toc234"/>
      <w:bookmarkEnd w:id="618"/>
      <w:r>
        <w:rPr>
          <w:rtl w:val="true"/>
        </w:rPr>
        <w:t>أمّا الکتاب</w:t>
      </w:r>
      <w:r>
        <w:rPr>
          <w:rtl w:val="true"/>
        </w:rPr>
        <w:t>:</w:t>
      </w:r>
      <w:bookmarkEnd w:id="619"/>
    </w:p>
    <w:p>
      <w:pPr>
        <w:pStyle w:val="BookText"/>
        <w:rPr/>
      </w:pPr>
      <w:r>
        <w:rPr>
          <w:rFonts w:ascii="IRNazanin" w:hAnsi="IRNazanin" w:eastAsia="IRNazanin"/>
          <w:color w:val="111111"/>
          <w:sz w:val="28"/>
          <w:sz w:val="28"/>
          <w:szCs w:val="28"/>
          <w:rtl w:val="true"/>
          <w:lang w:bidi="fa-IR"/>
        </w:rPr>
        <w:t xml:space="preserve">فالآیات الناهیة عن العمل بما وراء العلم </w:t>
      </w:r>
      <w:r>
        <w:rPr>
          <w:rStyle w:val="FootnoteAnchor"/>
          <w:rtl w:val="true"/>
        </w:rPr>
        <w:footnoteReference w:id="789"/>
      </w:r>
      <w:r>
        <w:rPr>
          <w:rFonts w:ascii="IRNazanin" w:hAnsi="IRNazanin" w:eastAsia="IRNazanin"/>
          <w:color w:val="111111"/>
          <w:sz w:val="28"/>
          <w:sz w:val="28"/>
          <w:szCs w:val="28"/>
          <w:rtl w:val="true"/>
          <w:lang w:bidi="fa-IR"/>
        </w:rPr>
        <w:t xml:space="preserve">،و التعلیل المذکور فی آیة النبأ </w:t>
      </w:r>
      <w:r>
        <w:rPr>
          <w:rStyle w:val="FootnoteAnchor"/>
          <w:rtl w:val="true"/>
        </w:rPr>
        <w:footnoteReference w:id="790"/>
      </w:r>
      <w:r>
        <w:rPr>
          <w:rFonts w:ascii="IRNazanin" w:hAnsi="IRNazanin" w:eastAsia="IRNazanin"/>
          <w:color w:val="111111"/>
          <w:sz w:val="28"/>
          <w:sz w:val="28"/>
          <w:szCs w:val="28"/>
          <w:rtl w:val="true"/>
          <w:lang w:bidi="fa-IR"/>
        </w:rPr>
        <w:t>علی ما ذکره أمین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فیها دلالة علی عدم جواز العمل بخبر الواحد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0" w:name="__RefHeading___Toc5446907_3224264995"/>
      <w:bookmarkStart w:id="621" w:name="_Toc235"/>
      <w:bookmarkEnd w:id="620"/>
      <w:r>
        <w:rPr>
          <w:rtl w:val="true"/>
        </w:rPr>
        <w:t>و أمّا السنّة</w:t>
      </w:r>
      <w:r>
        <w:rPr>
          <w:rtl w:val="true"/>
        </w:rPr>
        <w:t>:</w:t>
      </w:r>
      <w:bookmarkEnd w:id="621"/>
    </w:p>
    <w:p>
      <w:pPr>
        <w:pStyle w:val="BookText"/>
        <w:rPr/>
      </w:pPr>
      <w:r>
        <w:rPr>
          <w:rFonts w:ascii="IRNazanin" w:hAnsi="IRNazanin" w:eastAsia="IRNazanin"/>
          <w:color w:val="111111"/>
          <w:sz w:val="28"/>
          <w:sz w:val="28"/>
          <w:szCs w:val="28"/>
          <w:rtl w:val="true"/>
          <w:lang w:bidi="fa-IR"/>
        </w:rPr>
        <w:t>فهی أخبار کثیرة تدلّ علی المنع من العمل بالخبر الغیر المعلوم الصدور إلاّ إذا احتفّ بقرینة معتبرة من کتاب أو سنّة 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فی البحار عن بصائر الدرجات،عن محمّد بن عیسی،قال</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أقرأنی داود بن فرقد الفارسیّ کتابه إلی أبی الحسن الثالث علیه السّلام و جوابه علیه السّلام بخطّه،فکتب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نسألک عن العلم المنقول عن آبائک و أجدادک صلوات اللّه علیهم أجمعین قد اختلفوا علینا فیه،فکیف العمل به علی اختلافه؟فکتب علیه السّلام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علمتم أنّه قولنا فالزموه،و ما لم تعلموه فردّوه إلینا</w:t>
      </w:r>
      <w:r>
        <w:rPr>
          <w:rFonts w:eastAsia="IRNazanin" w:cs="IRNazanin"/>
          <w:color w:val="111111"/>
          <w:sz w:val="28"/>
          <w:szCs w:val="28"/>
          <w:rtl w:val="true"/>
          <w:lang w:bidi="fa-IR"/>
        </w:rPr>
        <w:t xml:space="preserve">» </w:t>
      </w:r>
      <w:r>
        <w:rPr>
          <w:rStyle w:val="FootnoteAnchor"/>
          <w:rtl w:val="true"/>
        </w:rPr>
        <w:footnoteReference w:id="7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عن مستطرفات السرائر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الأخبار الدالّة علی عدم جواز العمل بالخبر المأثور إلاّ إذا وجد له شاهد من کتاب اللّه أو من السنّة المعلومة،فتدلّ علی المنع عن العمل بالخبر </w:t>
      </w:r>
      <w:r>
        <w:rPr>
          <w:rStyle w:val="FootnoteAnchor"/>
          <w:rtl w:val="true"/>
        </w:rPr>
        <w:footnoteReference w:id="794"/>
      </w:r>
      <w:r>
        <w:rPr>
          <w:rFonts w:ascii="IRNazanin" w:hAnsi="IRNazanin" w:eastAsia="IRNazanin"/>
          <w:color w:val="111111"/>
          <w:sz w:val="28"/>
          <w:sz w:val="28"/>
          <w:szCs w:val="28"/>
          <w:rtl w:val="true"/>
          <w:lang w:bidi="fa-IR"/>
        </w:rPr>
        <w:t>المجرّد عن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غیر واحد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جاءکم عنّی لا یوافق القرآن فلم أقله</w:t>
      </w:r>
      <w:r>
        <w:rPr>
          <w:rFonts w:eastAsia="IRNazanin" w:cs="IRNazanin"/>
          <w:color w:val="111111"/>
          <w:sz w:val="28"/>
          <w:szCs w:val="28"/>
          <w:rtl w:val="true"/>
          <w:lang w:bidi="fa-IR"/>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أبی جعفر و أبی عبد اللّه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یصدّق علینا إلاّ ما یوافق کتاب اللّه و سنّة نبیّه صلّی اللّه علیه و آله</w:t>
      </w:r>
      <w:r>
        <w:rPr>
          <w:rFonts w:eastAsia="IRNazanin" w:cs="IRNazanin"/>
          <w:color w:val="111111"/>
          <w:sz w:val="28"/>
          <w:szCs w:val="28"/>
          <w:rtl w:val="true"/>
          <w:lang w:bidi="fa-IR"/>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جاءکم حدیث عنّا فوجدتم علیه شاهدا أو شاهدین من کتاب اللّه فخذوا به،و إلاّ فقفوا عنده،ثم ردّوه إلینا حتّی نبیّن لکم</w:t>
      </w:r>
      <w:r>
        <w:rPr>
          <w:rFonts w:eastAsia="IRNazanin" w:cs="IRNazanin"/>
          <w:color w:val="111111"/>
          <w:sz w:val="28"/>
          <w:szCs w:val="28"/>
          <w:rtl w:val="true"/>
          <w:lang w:bidi="fa-IR"/>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ابن أبی یعفور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اختلاف الحدیث،یرویه من نثق به و من لا نثق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ورد علیکم حدیث فوجدتم له شاهدا من کتاب اللّه أو من قول رسول اللّه صلّی اللّه علیه و آله فخذوا به،و إلاّ فالذی جاءکم به أولی به</w:t>
      </w:r>
      <w:r>
        <w:rPr>
          <w:rFonts w:eastAsia="IRNazanin" w:cs="IRNazanin"/>
          <w:color w:val="111111"/>
          <w:sz w:val="28"/>
          <w:szCs w:val="28"/>
          <w:rtl w:val="true"/>
          <w:lang w:bidi="fa-IR"/>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قوله علیه السّلام لمحمّد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جاءک من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أو 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یوافق کتاب اللّه فخذ به،و ما جاءک من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أو 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یخالف کتاب اللّه فلا تأخذ به</w:t>
      </w:r>
      <w:r>
        <w:rPr>
          <w:rFonts w:eastAsia="IRNazanin" w:cs="IRNazanin"/>
          <w:color w:val="111111"/>
          <w:sz w:val="28"/>
          <w:szCs w:val="28"/>
          <w:rtl w:val="true"/>
          <w:lang w:bidi="fa-IR"/>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جاءکم من حدیث لا یصدّقه کتاب اللّه فهو باطل</w:t>
      </w:r>
      <w:r>
        <w:rPr>
          <w:rFonts w:eastAsia="IRNazanin" w:cs="IRNazanin"/>
          <w:color w:val="111111"/>
          <w:sz w:val="28"/>
          <w:szCs w:val="28"/>
          <w:rtl w:val="true"/>
          <w:lang w:bidi="fa-IR"/>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جاءکم عنّا فإن وجدتموه موافقا للقرآن فخذوا به،و إن لم تجدوه موافقا فردّوه،و إن اشتبه الأمر عندکم فقفوا عنده و ردّوه إلینا حتّی نشرح من ذلک ما شرح لنا</w:t>
      </w:r>
      <w:r>
        <w:rPr>
          <w:rFonts w:eastAsia="IRNazanin" w:cs="IRNazanin"/>
          <w:color w:val="111111"/>
          <w:sz w:val="28"/>
          <w:szCs w:val="28"/>
          <w:rtl w:val="true"/>
          <w:lang w:bidi="fa-IR"/>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مردود إلی کتاب اللّه و السنّة، و کلّ حدیث لا یوافق کتاب اللّه فهو زخرف</w:t>
      </w:r>
      <w:r>
        <w:rPr>
          <w:rFonts w:eastAsia="IRNazanin" w:cs="IRNazanin"/>
          <w:color w:val="111111"/>
          <w:sz w:val="28"/>
          <w:szCs w:val="28"/>
          <w:rtl w:val="true"/>
          <w:lang w:bidi="fa-IR"/>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صحیحة هشام بن الحکم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تقبلوا علینا حدیثا إلاّ ما وافق الکتاب و السنّة،أو تجدون معه شاهدا من أحادیثنا المتقدّمة؛فإنّ المغیرة بن سعید لعنه اللّه دسّ فی کتب أصحاب أبی أحادیث لم یحدّث بها أبی،فاتّقوا اللّه و لا تقبلوا علینا ما خالف قول ربّنا و سنّة نبیّنا صلّی اللّه علیه و آله</w:t>
      </w:r>
      <w:r>
        <w:rPr>
          <w:rFonts w:eastAsia="IRNazanin" w:cs="IRNazanin"/>
          <w:color w:val="111111"/>
          <w:sz w:val="28"/>
          <w:szCs w:val="28"/>
          <w:rtl w:val="true"/>
          <w:lang w:bidi="fa-IR"/>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bookmarkStart w:id="622" w:name="pg12977_114286"/>
    </w:p>
    <w:p>
      <w:pPr>
        <w:pStyle w:val="BookText"/>
        <w:rPr/>
      </w:pPr>
      <w:bookmarkEnd w:id="622"/>
      <w:r>
        <w:rPr>
          <w:rFonts w:ascii="IRNazanin" w:hAnsi="IRNazanin" w:eastAsia="IRNazanin"/>
          <w:color w:val="111111"/>
          <w:sz w:val="28"/>
          <w:sz w:val="28"/>
          <w:szCs w:val="28"/>
          <w:rtl w:val="true"/>
          <w:lang w:bidi="fa-IR"/>
        </w:rPr>
        <w:t>و الأخبار الواردة فی طرح الأخبار المخالفة للکتاب و السنّة و لو مع عدم المعارض متواترة جدّا</w:t>
      </w:r>
      <w:r>
        <w:rPr>
          <w:rFonts w:eastAsia="IRNazanin" w:cs="IRNazanin"/>
          <w:color w:val="111111"/>
          <w:sz w:val="28"/>
          <w:szCs w:val="28"/>
          <w:rtl w:val="true"/>
          <w:lang w:bidi="fa-IR"/>
        </w:rPr>
        <w:t>.</w:t>
      </w:r>
    </w:p>
    <w:p>
      <w:pPr>
        <w:pStyle w:val="Heading6"/>
        <w:numPr>
          <w:ilvl w:val="5"/>
          <w:numId w:val="1"/>
        </w:numPr>
        <w:rPr/>
      </w:pPr>
      <w:bookmarkStart w:id="623" w:name="__RefHeading___Toc5446909_3224264995"/>
      <w:bookmarkStart w:id="624" w:name="_Toc236"/>
      <w:bookmarkEnd w:id="623"/>
      <w:r>
        <w:rPr>
          <w:rtl w:val="true"/>
        </w:rPr>
        <w:t>وجه الاستدلال بالأخبار</w:t>
      </w:r>
      <w:r>
        <w:rPr>
          <w:rtl w:val="true"/>
        </w:rPr>
        <w:t>:</w:t>
      </w:r>
      <w:bookmarkEnd w:id="624"/>
    </w:p>
    <w:p>
      <w:pPr>
        <w:pStyle w:val="BookText"/>
        <w:rPr/>
      </w:pPr>
      <w:r>
        <w:rPr>
          <w:rFonts w:ascii="IRNazanin" w:hAnsi="IRNazanin" w:eastAsia="IRNazanin"/>
          <w:color w:val="111111"/>
          <w:sz w:val="28"/>
          <w:sz w:val="28"/>
          <w:szCs w:val="28"/>
          <w:rtl w:val="true"/>
          <w:lang w:bidi="fa-IR"/>
        </w:rPr>
        <w:t>وجه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من الواضحات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الأخبار الواردة عنهم صلوات اللّه علیهم فی مخالفة ظواهر الکتاب و السنّة فی غایة الکثرة،و المراد من المخالفة للکتاب فی تلک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الناهیة عن الأخذ بمخالف </w:t>
      </w:r>
      <w:r>
        <w:rPr>
          <w:rStyle w:val="FootnoteAnchor"/>
          <w:rtl w:val="true"/>
        </w:rPr>
        <w:footnoteReference w:id="804"/>
      </w:r>
      <w:r>
        <w:rPr>
          <w:rFonts w:ascii="IRNazanin" w:hAnsi="IRNazanin" w:eastAsia="IRNazanin"/>
          <w:color w:val="111111"/>
          <w:sz w:val="28"/>
          <w:sz w:val="28"/>
          <w:szCs w:val="28"/>
          <w:rtl w:val="true"/>
          <w:lang w:bidi="fa-IR"/>
        </w:rPr>
        <w:t>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هی المخالفة علی وجه التباین الکلّی بحیث یتعذّر أو یتعسّر الجمع؛ إذ لا یصدر من الکذّابین علیهم ما یباین الکتاب و السنّة کلیّة؛إذ لا یصدّقهم أحد فی ذلک،فما کان یصدر عن الکذّابین </w:t>
      </w:r>
      <w:r>
        <w:rPr>
          <w:rStyle w:val="FootnoteAnchor"/>
          <w:rtl w:val="true"/>
        </w:rPr>
        <w:footnoteReference w:id="805"/>
      </w:r>
      <w:r>
        <w:rPr>
          <w:rFonts w:ascii="IRNazanin" w:hAnsi="IRNazanin" w:eastAsia="IRNazanin"/>
          <w:color w:val="111111"/>
          <w:sz w:val="28"/>
          <w:sz w:val="28"/>
          <w:szCs w:val="28"/>
          <w:rtl w:val="true"/>
          <w:lang w:bidi="fa-IR"/>
        </w:rPr>
        <w:t>من الکذب لم یکن إلاّ نظیر ما کان یرد من الأئمّة صلوات اللّه علیهم فی مخالفة ظواهر الکتاب و السنّة،فلیس المقصود من عرض ما یرد من الحدیث علی الکتاب و السنّة إلاّ عرض ما کان منها غیر معلوم الصدور عنهم، و أنّه إن وجد له قرینة و شاهد معتمد فهو،و إلاّ فلیتوقّف فیه؛لعدم إفادته العلم بنفسه،و عدم اعتضاده بقرینة 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عدم ذکر الإجماع و دلیل العقل من جملة قرائن الخبر فی هذه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فعله الشیخ فی العدّة </w:t>
      </w:r>
      <w:r>
        <w:rPr>
          <w:rStyle w:val="FootnoteAnchor"/>
          <w:rtl w:val="true"/>
        </w:rPr>
        <w:footnoteReference w:id="8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مرجعهما إلی الکتاب و السنّة،کما یظهر بالتأمّل</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یشیر إلی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المقصود من عرض الخبر علی </w:t>
      </w:r>
      <w:bookmarkStart w:id="625" w:name="pg12977_114287"/>
    </w:p>
    <w:p>
      <w:pPr>
        <w:pStyle w:val="BookText"/>
        <w:rPr/>
      </w:pPr>
      <w:bookmarkEnd w:id="625"/>
      <w:r>
        <w:rPr>
          <w:rFonts w:ascii="IRNazanin" w:hAnsi="IRNazanin" w:eastAsia="IRNazanin"/>
          <w:color w:val="111111"/>
          <w:sz w:val="28"/>
          <w:sz w:val="28"/>
          <w:szCs w:val="28"/>
          <w:rtl w:val="true"/>
          <w:lang w:bidi="fa-IR"/>
        </w:rPr>
        <w:t>الکتاب و السنّة هو فی غیر معلوم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العرض فی بعض الأخبار بوجود الأخبار المکذوبة فی أخبار الإمامیّة</w:t>
      </w:r>
      <w:r>
        <w:rPr>
          <w:rFonts w:eastAsia="IRNazanin" w:cs="IRNazanin"/>
          <w:color w:val="111111"/>
          <w:sz w:val="28"/>
          <w:szCs w:val="28"/>
          <w:rtl w:val="true"/>
          <w:lang w:bidi="fa-IR"/>
        </w:rPr>
        <w:t>.</w:t>
      </w:r>
    </w:p>
    <w:p>
      <w:pPr>
        <w:pStyle w:val="Heading6"/>
        <w:numPr>
          <w:ilvl w:val="5"/>
          <w:numId w:val="1"/>
        </w:numPr>
        <w:rPr/>
      </w:pPr>
      <w:bookmarkStart w:id="626" w:name="__RefHeading___Toc5446911_3224264995"/>
      <w:bookmarkStart w:id="627" w:name="_Toc237"/>
      <w:bookmarkEnd w:id="626"/>
      <w:r>
        <w:rPr>
          <w:rtl w:val="true"/>
        </w:rPr>
        <w:t>و أمّا الإجماع</w:t>
      </w:r>
      <w:r>
        <w:rPr>
          <w:rtl w:val="true"/>
        </w:rPr>
        <w:t>:</w:t>
      </w:r>
      <w:bookmarkEnd w:id="627"/>
    </w:p>
    <w:p>
      <w:pPr>
        <w:pStyle w:val="BookText"/>
        <w:rPr/>
      </w:pPr>
      <w:r>
        <w:rPr>
          <w:rFonts w:ascii="IRNazanin" w:hAnsi="IRNazanin" w:eastAsia="IRNazanin"/>
          <w:color w:val="111111"/>
          <w:sz w:val="28"/>
          <w:sz w:val="28"/>
          <w:szCs w:val="28"/>
          <w:rtl w:val="true"/>
          <w:lang w:bidi="fa-IR"/>
        </w:rPr>
        <w:t xml:space="preserve">فقد ادّعاه السیّد المرتضی قدّس سرّه فی مواضع من کلامه،و جعله فی بعضها بمنزلة القیاس فی کون ترک العمل به معروفا من مذهب الشیعة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اعترف بذلک الشیخ علی ما یأتی فی کلامه </w:t>
      </w:r>
      <w:r>
        <w:rPr>
          <w:rStyle w:val="FootnoteAnchor"/>
          <w:rtl w:val="true"/>
        </w:rPr>
        <w:footnoteReference w:id="808"/>
      </w:r>
      <w:r>
        <w:rPr>
          <w:rFonts w:ascii="IRNazanin" w:hAnsi="IRNazanin" w:eastAsia="IRNazanin"/>
          <w:color w:val="111111"/>
          <w:sz w:val="28"/>
          <w:sz w:val="28"/>
          <w:szCs w:val="28"/>
          <w:rtl w:val="true"/>
          <w:lang w:bidi="fa-IR"/>
        </w:rPr>
        <w:t>،إلاّ أنّه أوّل معقد الإجماع بإرادة الأخبار التی یرویها المخالفون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ظاهر المحکیّ عن الطبرسیّ فی مجمع البیان،قال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العمل بالظنّ عند الإمامیّة إلاّ فی شهادة العدلین و قیم المتلفات و اروش الجنایات </w:t>
      </w:r>
      <w:r>
        <w:rPr>
          <w:rStyle w:val="FootnoteAnchor"/>
          <w:rtl w:val="true"/>
        </w:rPr>
        <w:footnoteReference w:id="809"/>
      </w:r>
      <w:r>
        <w:rPr>
          <w:rFonts w:ascii="IRNazanin" w:hAnsi="IRNazanin" w:eastAsia="IRNazanin"/>
          <w:color w:val="111111"/>
          <w:sz w:val="28"/>
          <w:sz w:val="28"/>
          <w:szCs w:val="28"/>
          <w:rtl w:val="true"/>
          <w:lang w:bidi="fa-IR"/>
        </w:rPr>
        <w:t xml:space="preserve">،انتهی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Heading6"/>
        <w:numPr>
          <w:ilvl w:val="5"/>
          <w:numId w:val="1"/>
        </w:numPr>
        <w:rPr/>
      </w:pPr>
      <w:bookmarkStart w:id="628" w:name="__RefHeading___Toc5446913_3224264995"/>
      <w:bookmarkStart w:id="629" w:name="_Toc238"/>
      <w:bookmarkEnd w:id="628"/>
      <w:r>
        <w:rPr>
          <w:rtl w:val="true"/>
        </w:rPr>
        <w:t>الجواب عن الاستدلال بالآیات</w:t>
      </w:r>
      <w:bookmarkEnd w:id="629"/>
    </w:p>
    <w:p>
      <w:pPr>
        <w:pStyle w:val="BookText"/>
        <w:rPr/>
      </w:pPr>
      <w:r>
        <w:rPr>
          <w:rFonts w:ascii="IRNazanin" w:hAnsi="IRNazanin" w:eastAsia="IRNazanin"/>
          <w:color w:val="111111"/>
          <w:sz w:val="28"/>
          <w:sz w:val="28"/>
          <w:szCs w:val="28"/>
          <w:rtl w:val="true"/>
          <w:lang w:bidi="fa-IR"/>
        </w:rPr>
        <w:t>أمّا عن الآیات،فبأنّها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تسلیم دلالتها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عمومات مخصّصة بما سیجیء من الأدلّة</w:t>
      </w:r>
      <w:r>
        <w:rPr>
          <w:rFonts w:eastAsia="IRNazanin" w:cs="IRNazanin"/>
          <w:color w:val="111111"/>
          <w:sz w:val="28"/>
          <w:szCs w:val="28"/>
          <w:rtl w:val="true"/>
          <w:lang w:bidi="fa-IR"/>
        </w:rPr>
        <w:t>.</w:t>
      </w:r>
    </w:p>
    <w:p>
      <w:pPr>
        <w:pStyle w:val="Heading6"/>
        <w:numPr>
          <w:ilvl w:val="5"/>
          <w:numId w:val="1"/>
        </w:numPr>
        <w:rPr/>
      </w:pPr>
      <w:bookmarkStart w:id="630" w:name="__RefHeading___Toc5446915_3224264995"/>
      <w:bookmarkStart w:id="631" w:name="_Toc239"/>
      <w:bookmarkEnd w:id="630"/>
      <w:r>
        <w:rPr>
          <w:rtl w:val="true"/>
        </w:rPr>
        <w:t>الجواب عن الاستدلال بالأخبار</w:t>
      </w:r>
      <w:bookmarkEnd w:id="631"/>
    </w:p>
    <w:p>
      <w:pPr>
        <w:pStyle w:val="Heading6"/>
        <w:numPr>
          <w:ilvl w:val="5"/>
          <w:numId w:val="1"/>
        </w:numPr>
        <w:rPr/>
      </w:pPr>
      <w:bookmarkStart w:id="632" w:name="__RefHeading___Toc5446917_3224264995"/>
      <w:bookmarkStart w:id="633" w:name="_Toc240"/>
      <w:bookmarkEnd w:id="632"/>
      <w:r>
        <w:rPr>
          <w:rtl w:val="true"/>
        </w:rPr>
        <w:t>اشارة</w:t>
      </w:r>
      <w:bookmarkEnd w:id="633"/>
    </w:p>
    <w:p>
      <w:pPr>
        <w:pStyle w:val="BookText"/>
        <w:rPr/>
      </w:pPr>
      <w:r>
        <w:rPr>
          <w:rFonts w:ascii="IRNazanin" w:hAnsi="IRNazanin" w:eastAsia="IRNazanin"/>
          <w:color w:val="111111"/>
          <w:sz w:val="28"/>
          <w:sz w:val="28"/>
          <w:szCs w:val="28"/>
          <w:rtl w:val="true"/>
          <w:lang w:bidi="fa-IR"/>
        </w:rPr>
        <w:t>و أمّا عن الأخبار</w:t>
      </w:r>
      <w:r>
        <w:rPr>
          <w:rFonts w:eastAsia="IRNazanin" w:cs="IRNazanin"/>
          <w:color w:val="111111"/>
          <w:sz w:val="28"/>
          <w:szCs w:val="28"/>
          <w:rtl w:val="true"/>
          <w:lang w:bidi="fa-IR"/>
        </w:rPr>
        <w:t>:</w:t>
      </w:r>
    </w:p>
    <w:p>
      <w:pPr>
        <w:pStyle w:val="Heading6"/>
        <w:numPr>
          <w:ilvl w:val="5"/>
          <w:numId w:val="1"/>
        </w:numPr>
        <w:rPr/>
      </w:pPr>
      <w:bookmarkStart w:id="634" w:name="__RefHeading___Toc5446919_3224264995"/>
      <w:bookmarkStart w:id="635" w:name="_Toc241"/>
      <w:bookmarkEnd w:id="634"/>
      <w:r>
        <w:rPr/>
        <w:t>1</w:t>
      </w:r>
      <w:r>
        <w:rPr>
          <w:rtl w:val="true"/>
        </w:rPr>
        <w:t>-</w:t>
      </w:r>
      <w:r>
        <w:rPr>
          <w:rtl w:val="true"/>
        </w:rPr>
        <w:t>الروایة الاولی</w:t>
      </w:r>
      <w:bookmarkEnd w:id="63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الروایة الاولی،فبأنّها خبر واحد لا یجوز الاستدلال بها علی المنع عن الخبر الواحد</w:t>
      </w:r>
      <w:r>
        <w:rPr>
          <w:rFonts w:eastAsia="IRNazanin" w:cs="IRNazanin"/>
          <w:color w:val="111111"/>
          <w:sz w:val="28"/>
          <w:szCs w:val="28"/>
          <w:rtl w:val="true"/>
          <w:lang w:bidi="fa-IR"/>
        </w:rPr>
        <w:t xml:space="preserve">. </w:t>
      </w:r>
      <w:bookmarkStart w:id="636" w:name="pg12977_114288"/>
    </w:p>
    <w:p>
      <w:pPr>
        <w:pStyle w:val="Heading6"/>
        <w:numPr>
          <w:ilvl w:val="5"/>
          <w:numId w:val="1"/>
        </w:numPr>
        <w:rPr/>
      </w:pPr>
      <w:bookmarkStart w:id="637" w:name="__RefHeading___Toc5446921_3224264995"/>
      <w:bookmarkStart w:id="638" w:name="_Toc242"/>
      <w:bookmarkEnd w:id="636"/>
      <w:bookmarkEnd w:id="637"/>
      <w:r>
        <w:rPr/>
        <w:t>2</w:t>
      </w:r>
      <w:r>
        <w:rPr>
          <w:rtl w:val="true"/>
        </w:rPr>
        <w:t>-</w:t>
      </w:r>
      <w:r>
        <w:rPr>
          <w:rtl w:val="true"/>
        </w:rPr>
        <w:t>اخبار العرض</w:t>
      </w:r>
      <w:bookmarkEnd w:id="638"/>
    </w:p>
    <w:p>
      <w:pPr>
        <w:pStyle w:val="BookText"/>
        <w:rPr/>
      </w:pPr>
      <w:r>
        <w:rPr>
          <w:rFonts w:ascii="IRNazanin" w:hAnsi="IRNazanin" w:eastAsia="IRNazanin"/>
          <w:color w:val="111111"/>
          <w:sz w:val="28"/>
          <w:sz w:val="28"/>
          <w:szCs w:val="28"/>
          <w:rtl w:val="true"/>
          <w:lang w:bidi="fa-IR"/>
        </w:rPr>
        <w:t>و أمّا أخبار العرض علی الکتاب،فهی و إن کانت متواترة بالمعنی إلاّ أنّها بین 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طرح الخبر الذی یخالف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طرح الخبر الذی لا یوافق الکتاب</w:t>
      </w:r>
      <w:r>
        <w:rPr>
          <w:rFonts w:eastAsia="IRNazanin" w:cs="IRNazanin"/>
          <w:color w:val="111111"/>
          <w:sz w:val="28"/>
          <w:szCs w:val="28"/>
          <w:rtl w:val="true"/>
          <w:lang w:bidi="fa-IR"/>
        </w:rPr>
        <w:t>.</w:t>
      </w:r>
    </w:p>
    <w:p>
      <w:pPr>
        <w:pStyle w:val="Heading6"/>
        <w:numPr>
          <w:ilvl w:val="5"/>
          <w:numId w:val="1"/>
        </w:numPr>
        <w:rPr/>
      </w:pPr>
      <w:bookmarkStart w:id="639" w:name="__RefHeading___Toc5446923_3224264995"/>
      <w:bookmarkStart w:id="640" w:name="_Toc243"/>
      <w:bookmarkEnd w:id="639"/>
      <w:r>
        <w:rPr/>
        <w:t>3</w:t>
      </w:r>
      <w:r>
        <w:rPr>
          <w:rtl w:val="true"/>
        </w:rPr>
        <w:t>-</w:t>
      </w:r>
      <w:r>
        <w:rPr>
          <w:rtl w:val="true"/>
        </w:rPr>
        <w:t>ما دل علی طرح ما یخالف الکتاب</w:t>
      </w:r>
      <w:bookmarkEnd w:id="640"/>
    </w:p>
    <w:p>
      <w:pPr>
        <w:pStyle w:val="BookText"/>
        <w:rPr/>
      </w:pPr>
      <w:r>
        <w:rPr>
          <w:rFonts w:ascii="IRNazanin" w:hAnsi="IRNazanin" w:eastAsia="IRNazanin"/>
          <w:color w:val="111111"/>
          <w:sz w:val="28"/>
          <w:sz w:val="28"/>
          <w:szCs w:val="28"/>
          <w:rtl w:val="true"/>
          <w:lang w:bidi="fa-IR"/>
        </w:rPr>
        <w:t xml:space="preserve">أمّا الطائفة الاولی،فلا تدلّ علی المنع عن الخبر الذی لا یوجد مضمونه </w:t>
      </w:r>
      <w:r>
        <w:rPr>
          <w:rStyle w:val="FootnoteAnchor"/>
          <w:rtl w:val="true"/>
        </w:rPr>
        <w:footnoteReference w:id="811"/>
      </w:r>
      <w:r>
        <w:rPr>
          <w:rFonts w:ascii="IRNazanin" w:hAnsi="IRNazanin" w:eastAsia="IRNazanin"/>
          <w:color w:val="111111"/>
          <w:sz w:val="28"/>
          <w:sz w:val="28"/>
          <w:szCs w:val="28"/>
          <w:rtl w:val="true"/>
          <w:lang w:bidi="fa-IR"/>
        </w:rPr>
        <w:t>فی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واقعة إلاّ و یمکن استفادة حکمها من عمومات الکتاب المقتصر فی تخصیصها علی السنّة القطعیّة،مثل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لَکُمْ ما فِی الْأَرْضِ جَمِیعاً</w:t>
      </w:r>
    </w:p>
    <w:p>
      <w:pPr>
        <w:pStyle w:val="BookText"/>
        <w:rPr/>
      </w:pP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عَلَیْکُمُ الْمَیْتَةَ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813"/>
      </w:r>
      <w:r>
        <w:rPr>
          <w:rFonts w:ascii="Amiri" w:hAnsi="Amiri" w:eastAsia="Amiri" w:cs="Amiri"/>
          <w:color w:val="111111"/>
          <w:sz w:val="28"/>
          <w:sz w:val="28"/>
          <w:szCs w:val="28"/>
          <w:rtl w:val="true"/>
          <w:lang w:bidi="ar-SA"/>
        </w:rPr>
        <w:t xml:space="preserve">،و فَکُلُوا مِمّا غَنِمْتُمْ حَلالاً طَیِّباً </w:t>
      </w:r>
      <w:r>
        <w:rPr>
          <w:rStyle w:val="FootnoteAnchor"/>
          <w:rtl w:val="true"/>
        </w:rPr>
        <w:footnoteReference w:id="814"/>
      </w:r>
      <w:r>
        <w:rPr>
          <w:rFonts w:ascii="Amiri" w:hAnsi="Amiri" w:eastAsia="Amiri" w:cs="Amiri"/>
          <w:color w:val="111111"/>
          <w:sz w:val="28"/>
          <w:sz w:val="28"/>
          <w:szCs w:val="28"/>
          <w:rtl w:val="true"/>
          <w:lang w:bidi="ar-SA"/>
        </w:rPr>
        <w:t xml:space="preserve">،و یُرِیدُ اللّهُ بِکُمُ الْیُسْرَ وَ لا یُرِیدُ بِکُمُ الْعُسْرَ </w:t>
      </w:r>
      <w:r>
        <w:rPr>
          <w:rStyle w:val="FootnoteAnchor"/>
          <w:rtl w:val="true"/>
        </w:rPr>
        <w:footnoteReference w:id="815"/>
      </w:r>
      <w:r>
        <w:rPr>
          <w:rFonts w:ascii="IRNazanin" w:hAnsi="IRNazanin" w:eastAsia="IRNazanin"/>
          <w:color w:val="111111"/>
          <w:sz w:val="28"/>
          <w:sz w:val="28"/>
          <w:szCs w:val="28"/>
          <w:rtl w:val="true"/>
          <w:lang w:bidi="fa-IR"/>
        </w:rPr>
        <w:t>،و نحو ذلک،فالأخبار المخصّصة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لکثیر </w:t>
      </w:r>
      <w:r>
        <w:rPr>
          <w:rStyle w:val="FootnoteAnchor"/>
          <w:rtl w:val="true"/>
        </w:rPr>
        <w:footnoteReference w:id="816"/>
      </w:r>
      <w:r>
        <w:rPr>
          <w:rFonts w:ascii="IRNazanin" w:hAnsi="IRNazanin" w:eastAsia="IRNazanin"/>
          <w:color w:val="111111"/>
          <w:sz w:val="28"/>
          <w:sz w:val="28"/>
          <w:szCs w:val="28"/>
          <w:rtl w:val="true"/>
          <w:lang w:bidi="fa-IR"/>
        </w:rPr>
        <w:t xml:space="preserve">من عمومات السنّة القطعیّة مخالفة للکتاب و السنّة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Heading6"/>
        <w:numPr>
          <w:ilvl w:val="5"/>
          <w:numId w:val="1"/>
        </w:numPr>
        <w:rPr/>
      </w:pPr>
      <w:bookmarkStart w:id="641" w:name="__RefHeading___Toc5446925_3224264995"/>
      <w:bookmarkStart w:id="642" w:name="_Toc244"/>
      <w:bookmarkEnd w:id="641"/>
      <w:r>
        <w:rPr>
          <w:rtl w:val="true"/>
        </w:rPr>
        <w:t>مخالفة ظاهر العموم لا تعد مخالفة</w:t>
      </w:r>
      <w:bookmarkEnd w:id="642"/>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یعدّ مخالفة ظاهر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مثل هذه </w:t>
      </w:r>
      <w:bookmarkStart w:id="643" w:name="pg12977_114289"/>
    </w:p>
    <w:p>
      <w:pPr>
        <w:pStyle w:val="BookText"/>
        <w:rPr/>
      </w:pPr>
      <w:bookmarkEnd w:id="643"/>
      <w:r>
        <w:rPr>
          <w:rFonts w:ascii="IRNazanin" w:hAnsi="IRNazanin" w:eastAsia="IRNazanin"/>
          <w:color w:val="111111"/>
          <w:sz w:val="28"/>
          <w:sz w:val="28"/>
          <w:szCs w:val="28"/>
          <w:rtl w:val="true"/>
          <w:lang w:bidi="fa-IR"/>
        </w:rPr>
        <w:t>العمومات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،مخالفة؛و إلاّ لعدّت الأخبار الصادرة یقینا عن الأئمّة علیهم السّلام المخالفة لعمومات الکتاب و السنّة النبویّة،مخالفة للکتاب و السنّة،غایة الأمر ثبوت الأخذ بها مع مخالفتها لکتاب اللّه و سنّة نبیّه صلّی اللّه علیه و آله،فتخرج عن عموم أخبار العرض،مع أنّ الناظر فی أخبار العرض علی الکتاب و السنّة یقطع بأنّها تأبی عن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یرتکب التخصیص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حدیث لا یوافق کتاب اللّه فهو زخرف</w:t>
      </w:r>
      <w:r>
        <w:rPr>
          <w:rFonts w:eastAsia="IRNazanin" w:cs="IRNazanin"/>
          <w:color w:val="111111"/>
          <w:sz w:val="28"/>
          <w:szCs w:val="28"/>
          <w:rtl w:val="true"/>
          <w:lang w:bidi="fa-IR"/>
        </w:rPr>
        <w:t xml:space="preserve">» </w:t>
      </w:r>
      <w:r>
        <w:rPr>
          <w:rStyle w:val="FootnoteAnchor"/>
          <w:rtl w:val="true"/>
        </w:rPr>
        <w:footnoteReference w:id="818"/>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أتاکم من حدیث لا یوافق کتاب اللّه فهو باطل</w:t>
      </w:r>
      <w:r>
        <w:rPr>
          <w:rFonts w:eastAsia="IRNazanin" w:cs="IRNazanin"/>
          <w:color w:val="111111"/>
          <w:sz w:val="28"/>
          <w:szCs w:val="28"/>
          <w:rtl w:val="true"/>
          <w:lang w:bidi="fa-IR"/>
        </w:rPr>
        <w:t xml:space="preserve">» </w:t>
      </w:r>
      <w:r>
        <w:rPr>
          <w:rStyle w:val="FootnoteAnchor"/>
          <w:rtl w:val="true"/>
        </w:rPr>
        <w:footnoteReference w:id="819"/>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تقبلوا علینا خلاف القرآن؛ فإنّا إن حدّثنا حدّثنا بموافقة القرآن و موافقة السنّة</w:t>
      </w:r>
      <w:r>
        <w:rPr>
          <w:rFonts w:eastAsia="IRNazanin" w:cs="IRNazanin"/>
          <w:color w:val="111111"/>
          <w:sz w:val="28"/>
          <w:szCs w:val="28"/>
          <w:rtl w:val="true"/>
          <w:lang w:bidi="fa-IR"/>
        </w:rPr>
        <w:t xml:space="preserve">» </w:t>
      </w:r>
      <w:r>
        <w:rPr>
          <w:rStyle w:val="FootnoteAnchor"/>
          <w:rtl w:val="true"/>
        </w:rPr>
        <w:footnoteReference w:id="820"/>
      </w:r>
      <w:r>
        <w:rPr>
          <w:rFonts w:ascii="IRNazanin" w:hAnsi="IRNazanin" w:eastAsia="IRNazanin"/>
          <w:color w:val="111111"/>
          <w:sz w:val="28"/>
          <w:sz w:val="28"/>
          <w:szCs w:val="28"/>
          <w:rtl w:val="true"/>
          <w:lang w:bidi="fa-IR"/>
        </w:rPr>
        <w:t>،و قد صحّ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خالف کتاب اللّه فلیس من حدیثی </w:t>
      </w:r>
      <w:r>
        <w:rPr>
          <w:rStyle w:val="FootnoteAnchor"/>
          <w:rtl w:val="true"/>
        </w:rPr>
        <w:footnoteReference w:id="821"/>
      </w:r>
      <w:r>
        <w:rPr>
          <w:rFonts w:ascii="IRNazanin" w:hAnsi="IRNazanin" w:eastAsia="IRNazanin"/>
          <w:color w:val="111111"/>
          <w:sz w:val="28"/>
          <w:sz w:val="28"/>
          <w:szCs w:val="28"/>
          <w:rtl w:val="true"/>
          <w:lang w:bidi="fa-IR"/>
        </w:rPr>
        <w:t>،أو لم أقله</w:t>
      </w:r>
      <w:r>
        <w:rPr>
          <w:rFonts w:eastAsia="IRNazanin" w:cs="IRNazanin"/>
          <w:color w:val="111111"/>
          <w:sz w:val="28"/>
          <w:szCs w:val="28"/>
          <w:rtl w:val="true"/>
          <w:lang w:bidi="fa-IR"/>
        </w:rPr>
        <w:t xml:space="preserve">» </w:t>
      </w:r>
      <w:r>
        <w:rPr>
          <w:rStyle w:val="FootnoteAnchor"/>
          <w:rtl w:val="true"/>
        </w:rPr>
        <w:footnoteReference w:id="822"/>
      </w:r>
      <w:r>
        <w:rPr>
          <w:rFonts w:ascii="IRNazanin" w:hAnsi="IRNazanin" w:eastAsia="IRNazanin"/>
          <w:color w:val="111111"/>
          <w:sz w:val="28"/>
          <w:sz w:val="28"/>
          <w:szCs w:val="28"/>
          <w:rtl w:val="true"/>
          <w:lang w:bidi="fa-IR"/>
        </w:rPr>
        <w:t>،مع أنّ أکثر عمومات الکتاب قد خصّص بقول النبیّ صلّی اللّه علیه و آله؟</w:t>
      </w:r>
    </w:p>
    <w:p>
      <w:pPr>
        <w:pStyle w:val="Heading6"/>
        <w:numPr>
          <w:ilvl w:val="5"/>
          <w:numId w:val="1"/>
        </w:numPr>
        <w:rPr/>
      </w:pPr>
      <w:bookmarkStart w:id="644" w:name="__RefHeading___Toc5446927_3224264995"/>
      <w:bookmarkStart w:id="645" w:name="_Toc245"/>
      <w:bookmarkEnd w:id="644"/>
      <w:r>
        <w:rPr>
          <w:rtl w:val="true"/>
        </w:rPr>
        <w:t>ما یدل علی ذلک</w:t>
      </w:r>
      <w:bookmarkEnd w:id="645"/>
    </w:p>
    <w:p>
      <w:pPr>
        <w:pStyle w:val="BookText"/>
        <w:rPr/>
      </w:pPr>
      <w:r>
        <w:rPr>
          <w:rFonts w:ascii="IRNazanin" w:hAnsi="IRNazanin" w:eastAsia="IRNazanin"/>
          <w:color w:val="111111"/>
          <w:sz w:val="28"/>
          <w:sz w:val="28"/>
          <w:szCs w:val="28"/>
          <w:rtl w:val="true"/>
          <w:lang w:bidi="fa-IR"/>
        </w:rPr>
        <w:t>و ممّا یدلّ علی أنّ المخالفة لتلک العمومات لا تعدّ مخالفة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من الأخبار علی بیان حکم ما لا یوجد حکمه فی الکتاب و السنّة النبویّة؛إذ بناء علی تلک العمومات لا یوجد واقعة لا یوجد حکمها فیهما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تلک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 البصائر و الاحتجاج و غیرهما </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 xml:space="preserve">مرسلا </w:t>
      </w:r>
      <w:r>
        <w:rPr>
          <w:rStyle w:val="FootnoteAnchor"/>
          <w:rtl w:val="true"/>
        </w:rPr>
        <w:footnoteReference w:id="824"/>
      </w:r>
      <w:r>
        <w:rPr>
          <w:rFonts w:ascii="Amiri" w:hAnsi="Amiri" w:eastAsia="Amiri" w:cs="Amiri"/>
          <w:color w:val="111111"/>
          <w:sz w:val="28"/>
          <w:sz w:val="28"/>
          <w:szCs w:val="28"/>
          <w:rtl w:val="true"/>
          <w:lang w:bidi="ar-SA"/>
        </w:rPr>
        <w:t>عن رسول اللّه صلّی اللّه علیه و آله،أنّه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وجدتم فی کتاب اللّه فالعمل به لازم و </w:t>
      </w:r>
      <w:r>
        <w:rPr>
          <w:rStyle w:val="FootnoteAnchor"/>
          <w:rtl w:val="true"/>
        </w:rPr>
        <w:footnoteReference w:id="825"/>
      </w:r>
      <w:r>
        <w:rPr>
          <w:rFonts w:ascii="IRNazanin" w:hAnsi="IRNazanin" w:eastAsia="IRNazanin"/>
          <w:color w:val="111111"/>
          <w:sz w:val="28"/>
          <w:sz w:val="28"/>
          <w:szCs w:val="28"/>
          <w:rtl w:val="true"/>
          <w:lang w:bidi="fa-IR"/>
        </w:rPr>
        <w:t xml:space="preserve">لا عذر لکم فی ترکه،و ما لم یکن فی کتاب اللّه تعالی و کانت فیه سنّة منّی فلا عذر لکم فی ترک سنّتی </w:t>
      </w:r>
      <w:r>
        <w:rPr>
          <w:rStyle w:val="FootnoteAnchor"/>
          <w:rtl w:val="true"/>
        </w:rPr>
        <w:footnoteReference w:id="826"/>
      </w:r>
      <w:r>
        <w:rPr>
          <w:rFonts w:ascii="IRNazanin" w:hAnsi="IRNazanin" w:eastAsia="IRNazanin"/>
          <w:color w:val="111111"/>
          <w:sz w:val="28"/>
          <w:sz w:val="28"/>
          <w:szCs w:val="28"/>
          <w:rtl w:val="true"/>
          <w:lang w:bidi="fa-IR"/>
        </w:rPr>
        <w:t>،و ما لم یکن فیه سنّة منّی،فما قال أصحابی فقولوا به؛فإنّما مثل أصحابی فیکم کمثل النجوم،بأیّها اخذ اهتدی،و بأیّ أقاویل أصحابی أخذتم اهتدیتم،و اختلاف أصحابی رحمة لکم،قیل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اللّه،و من أصحابک؟قال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صریح فی أنّه قد یرد من الأئمّة علیهم السّلام ما لا یوجد فی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تعارض الروایتین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ما لا یوجد فی الکتاب و السنّة إلی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فی العیون عن ابن الولید،عن سعد بن عبد اللّه، عن محمّد بن عبد اللّه المسمعی،عن المیثمیّ،و فیها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ورد علیکم من خبرین مختلفین فاعرضوهما علی کتاب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لم یکن فی الکتاب فاعرضوه </w:t>
      </w:r>
      <w:r>
        <w:rPr>
          <w:rStyle w:val="FootnoteAnchor"/>
          <w:rtl w:val="true"/>
        </w:rPr>
        <w:footnoteReference w:id="828"/>
      </w:r>
      <w:r>
        <w:rPr>
          <w:rFonts w:ascii="IRNazanin" w:hAnsi="IRNazanin" w:eastAsia="IRNazanin"/>
          <w:color w:val="111111"/>
          <w:sz w:val="28"/>
          <w:sz w:val="28"/>
          <w:szCs w:val="28"/>
          <w:rtl w:val="true"/>
          <w:lang w:bidi="fa-IR"/>
        </w:rPr>
        <w:t xml:space="preserve">علی سنن </w:t>
      </w:r>
      <w:bookmarkStart w:id="646" w:name="pg12977_114291"/>
    </w:p>
    <w:p>
      <w:pPr>
        <w:pStyle w:val="BookText"/>
        <w:rPr/>
      </w:pPr>
      <w:bookmarkEnd w:id="646"/>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لم تجدوه </w:t>
      </w:r>
      <w:r>
        <w:rPr>
          <w:rStyle w:val="FootnoteAnchor"/>
          <w:rtl w:val="true"/>
        </w:rPr>
        <w:footnoteReference w:id="829"/>
      </w:r>
      <w:r>
        <w:rPr>
          <w:rFonts w:ascii="IRNazanin" w:hAnsi="IRNazanin" w:eastAsia="IRNazanin"/>
          <w:color w:val="111111"/>
          <w:sz w:val="28"/>
          <w:sz w:val="28"/>
          <w:szCs w:val="28"/>
          <w:rtl w:val="true"/>
          <w:lang w:bidi="fa-IR"/>
        </w:rPr>
        <w:t>فی شیء من هذه فردّوا إلینا علمه،فنحن أولی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القرائن الدالّة علی أنّ المراد بمخالفة الکتاب لیس مجرّد مخالفة عمومه أو إطلاقه کثیرة،تظهر لمن له أدنی 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ضعف التأمّل فی تخصیص الکتاب بخبر الواحد لتلک الأخبار،بل منعه لأجلها کما عن الشیخ فی العدّة </w:t>
      </w:r>
      <w:r>
        <w:rPr>
          <w:rStyle w:val="FootnoteAnchor"/>
          <w:rtl w:val="true"/>
        </w:rPr>
        <w:footnoteReference w:id="8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لما ذکره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الدلیل علی وجوب العمل بخبر الواحد الإجماع علی استعماله فیما لا یوجد فیه دلالة،و مع الدلالة القرآنیّة یسقط وجوب العمل به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نتکلّم فی الأحکام التی لم یرد فیها عموم من القرآن و السنّة،ککثیر من أحکام المعاملات بل العبادات التی لم ترد فیها إلاّ آیات مجملة أو مطلقة من الکتاب؛إذ لو سلّمنا أنّ تخصیص العموم یعدّ مخالفة،أمّا تقیید المطلق فلا یعدّ فی العرف مخالفة،بل هو مفسّر، خصوصا علی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عدم کون المطلق مجازا عند التقیید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7" w:name="__RefHeading___Toc5446929_3224264995"/>
      <w:bookmarkStart w:id="648" w:name="_Toc246"/>
      <w:bookmarkEnd w:id="647"/>
      <w:r>
        <w:rPr>
          <w:rtl w:val="true"/>
        </w:rPr>
        <w:t>ما هو المراد من طرح ما یخالف الکتاب؟</w:t>
      </w:r>
      <w:bookmarkEnd w:id="648"/>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 أیّ شیء تحمل تلک الأخبار الکثیرة الآمرة </w:t>
      </w:r>
      <w:bookmarkStart w:id="649" w:name="pg12977_114292"/>
    </w:p>
    <w:p>
      <w:pPr>
        <w:pStyle w:val="BookText"/>
        <w:rPr/>
      </w:pPr>
      <w:bookmarkEnd w:id="649"/>
      <w:r>
        <w:rPr>
          <w:rFonts w:ascii="IRNazanin" w:hAnsi="IRNazanin" w:eastAsia="IRNazanin"/>
          <w:color w:val="111111"/>
          <w:sz w:val="28"/>
          <w:sz w:val="28"/>
          <w:szCs w:val="28"/>
          <w:rtl w:val="true"/>
          <w:lang w:bidi="fa-IR"/>
        </w:rPr>
        <w:t>بطرح مخالف الکتاب؟فإنّ حملها علی طرح ما یباین الکتاب کلیّة حمل علی فرد نادر بل معدوم،فلا ینبغی لأجله هذا الاهتمام الذی عرفته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الأخبار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 عدم صدور الخبر المخالف للکتاب و السنّة عنهم علیهم السّلام،و أنّ المخالف لهما باطل،و أنّه لیس بحدیثهم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 عدم جواز تصدیق الخبر المحکیّ عنهم علیهم السّلام إذا خالف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الطائفة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 حملها علی الأخبار الواردة فی اصول الدین،مثل مسائل الغلوّ و الجبر و التفویض التی ورد فیها الآیات و الأخبار النبویّة،و هذه الأخبار غیر موجودة فی کتبنا الجوامع؛لأنّها اخذت عن الاصول بعد تهذیبها من تلک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حملها علی ما ذکر فی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حملها علی صورة تعارض الخبرین؛کما یشهد به مورد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حملها علی خبر غیر الثقة؛لما سیجیء من الأدلّة علی اعتبار خبر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الطائفة الدالّة علی طرح الأخبار المخالفة للکتاب و السنّة</w:t>
      </w:r>
      <w:r>
        <w:rPr>
          <w:rFonts w:eastAsia="IRNazanin" w:cs="IRNazanin"/>
          <w:color w:val="111111"/>
          <w:sz w:val="28"/>
          <w:szCs w:val="28"/>
          <w:rtl w:val="true"/>
          <w:lang w:bidi="fa-IR"/>
        </w:rPr>
        <w:t>.</w:t>
      </w:r>
    </w:p>
    <w:p>
      <w:pPr>
        <w:pStyle w:val="Heading6"/>
        <w:numPr>
          <w:ilvl w:val="5"/>
          <w:numId w:val="1"/>
        </w:numPr>
        <w:rPr/>
      </w:pPr>
      <w:bookmarkStart w:id="650" w:name="__RefHeading___Toc5446931_3224264995"/>
      <w:bookmarkStart w:id="651" w:name="_Toc247"/>
      <w:bookmarkEnd w:id="650"/>
      <w:r>
        <w:rPr/>
        <w:t>4</w:t>
      </w:r>
      <w:r>
        <w:rPr>
          <w:rtl w:val="true"/>
        </w:rPr>
        <w:t>-</w:t>
      </w:r>
      <w:r>
        <w:rPr>
          <w:rtl w:val="true"/>
        </w:rPr>
        <w:t>ما دل علی طرح ما لایوافق الکتاب</w:t>
      </w:r>
      <w:bookmarkEnd w:id="651"/>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الطائفة الآمرة بطرح ما لا یوافق </w:t>
      </w:r>
      <w:r>
        <w:rPr>
          <w:rStyle w:val="FootnoteAnchor"/>
          <w:rtl w:val="true"/>
        </w:rPr>
        <w:footnoteReference w:id="834"/>
      </w:r>
      <w:r>
        <w:rPr>
          <w:rFonts w:ascii="IRNazanin" w:hAnsi="IRNazanin" w:eastAsia="IRNazanin"/>
          <w:color w:val="111111"/>
          <w:sz w:val="28"/>
          <w:sz w:val="28"/>
          <w:szCs w:val="28"/>
          <w:rtl w:val="true"/>
          <w:lang w:bidi="fa-IR"/>
        </w:rPr>
        <w:t>الکتاب أو لم یوجد علیه شاهد من الکتاب و السنّة</w:t>
      </w:r>
      <w:r>
        <w:rPr>
          <w:rFonts w:eastAsia="IRNazanin" w:cs="IRNazanin"/>
          <w:color w:val="111111"/>
          <w:sz w:val="28"/>
          <w:szCs w:val="28"/>
          <w:rtl w:val="true"/>
          <w:lang w:bidi="fa-IR"/>
        </w:rPr>
        <w:t xml:space="preserve">: </w:t>
      </w:r>
      <w:bookmarkStart w:id="652" w:name="pg12977_114293"/>
    </w:p>
    <w:p>
      <w:pPr>
        <w:pStyle w:val="BookText"/>
        <w:rPr/>
      </w:pPr>
      <w:bookmarkEnd w:id="652"/>
      <w:r>
        <w:rPr>
          <w:rFonts w:ascii="IRNazanin" w:hAnsi="IRNazanin" w:eastAsia="IRNazanin"/>
          <w:color w:val="111111"/>
          <w:sz w:val="28"/>
          <w:sz w:val="28"/>
          <w:szCs w:val="28"/>
          <w:rtl w:val="true"/>
          <w:lang w:bidi="fa-IR"/>
        </w:rPr>
        <w:t>فالجواب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ما عرفت </w:t>
      </w:r>
      <w:r>
        <w:rPr>
          <w:rStyle w:val="FootnoteAnchor"/>
          <w:rtl w:val="true"/>
        </w:rPr>
        <w:footnoteReference w:id="835"/>
      </w:r>
      <w:r>
        <w:rPr>
          <w:rFonts w:ascii="IRNazanin" w:hAnsi="IRNazanin" w:eastAsia="IRNazanin"/>
          <w:color w:val="111111"/>
          <w:sz w:val="28"/>
          <w:sz w:val="28"/>
          <w:szCs w:val="28"/>
          <w:rtl w:val="true"/>
          <w:lang w:bidi="fa-IR"/>
        </w:rPr>
        <w:t xml:space="preserve">من القطع بصدور الأخبار الغیر الموافقة لما یوجد فی الکتاب منهم علیهم السّلام،کما دلّ علیه روایتا الاحتجاج و العیون المتقدّمتان </w:t>
      </w:r>
      <w:r>
        <w:rPr>
          <w:rStyle w:val="FootnoteAnchor"/>
          <w:rtl w:val="true"/>
        </w:rPr>
        <w:footnoteReference w:id="836"/>
      </w:r>
      <w:r>
        <w:rPr>
          <w:rFonts w:ascii="IRNazanin" w:hAnsi="IRNazanin" w:eastAsia="IRNazanin"/>
          <w:color w:val="111111"/>
          <w:sz w:val="28"/>
          <w:sz w:val="28"/>
          <w:szCs w:val="28"/>
          <w:rtl w:val="true"/>
          <w:lang w:bidi="fa-IR"/>
        </w:rPr>
        <w:t xml:space="preserve">المعتضدتان بغیرهما من الأخبار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أنّها محمولة علی ما تقدّم فی الطائفة الآمرة بطرح الأخبار المخالفة للکتاب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ما دلّ منها علی بطلان ما لم یوافق و کونه زخرفا محمول علی الأخبار الواردة فی اصول الدین،مع احتمال کون ذلک من أخبارهم الموافقة للکتاب و السنّة علی </w:t>
      </w:r>
      <w:r>
        <w:rPr>
          <w:rStyle w:val="FootnoteAnchor"/>
          <w:rtl w:val="true"/>
        </w:rPr>
        <w:footnoteReference w:id="838"/>
      </w:r>
      <w:r>
        <w:rPr>
          <w:rFonts w:ascii="IRNazanin" w:hAnsi="IRNazanin" w:eastAsia="IRNazanin"/>
          <w:color w:val="111111"/>
          <w:sz w:val="28"/>
          <w:sz w:val="28"/>
          <w:szCs w:val="28"/>
          <w:rtl w:val="true"/>
          <w:lang w:bidi="fa-IR"/>
        </w:rPr>
        <w:t xml:space="preserve">الباطن الذی یعلمونه منهما </w:t>
      </w:r>
      <w:r>
        <w:rPr>
          <w:rStyle w:val="FootnoteAnchor"/>
          <w:rtl w:val="true"/>
        </w:rPr>
        <w:footnoteReference w:id="839"/>
      </w:r>
      <w:r>
        <w:rPr>
          <w:rFonts w:ascii="IRNazanin" w:hAnsi="IRNazanin" w:eastAsia="IRNazanin"/>
          <w:color w:val="111111"/>
          <w:sz w:val="28"/>
          <w:sz w:val="28"/>
          <w:szCs w:val="28"/>
          <w:rtl w:val="true"/>
          <w:lang w:bidi="fa-IR"/>
        </w:rPr>
        <w:t>و لهذا کانوا یستشهدون کثیرا بآیات لا نفهم دلالتها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دلّ علی عدم جواز تصدیق الخبر الذی لا یوجد علیه شاهد من کتاب اللّه،علی خبر غیر الثقة أو صورة التعارض؛کما هو ظاهر غیر واحد من الأخبار العلاجیّة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الأخبار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تسلیم دلالتها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کثیرة،إلاّ أنّها لا تقاوم الأدلّة الآتیة؛فإنّها موجبة للقطع بحجّیّة خبر الثقة،فلا بدّ من مخالفة الظاهر فی هذه الأخبار</w:t>
      </w:r>
      <w:r>
        <w:rPr>
          <w:rFonts w:eastAsia="IRNazanin" w:cs="IRNazanin"/>
          <w:color w:val="111111"/>
          <w:sz w:val="28"/>
          <w:szCs w:val="28"/>
          <w:rtl w:val="true"/>
          <w:lang w:bidi="fa-IR"/>
        </w:rPr>
        <w:t>.</w:t>
      </w:r>
    </w:p>
    <w:p>
      <w:pPr>
        <w:pStyle w:val="Heading6"/>
        <w:numPr>
          <w:ilvl w:val="5"/>
          <w:numId w:val="1"/>
        </w:numPr>
        <w:rPr/>
      </w:pPr>
      <w:bookmarkStart w:id="653" w:name="__RefHeading___Toc5446933_3224264995"/>
      <w:bookmarkStart w:id="654" w:name="_Toc248"/>
      <w:bookmarkEnd w:id="653"/>
      <w:r>
        <w:rPr>
          <w:rtl w:val="true"/>
        </w:rPr>
        <w:t>الجواب عن الاستدلال بالإجماع</w:t>
      </w:r>
      <w:r>
        <w:rPr>
          <w:rtl w:val="true"/>
        </w:rPr>
        <w:t>:</w:t>
      </w:r>
      <w:bookmarkEnd w:id="65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الجواب عن الإجماع الذی ادّعاه السیّد و الطبرسی قدّس سرّهما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فبأنّه لم یتحقّق لنا هذا الإجماع،و الاعتماد علی نقله تعویل علی خبر الواحد،مع معارضته بما سیجیء </w:t>
      </w:r>
      <w:r>
        <w:rPr>
          <w:rStyle w:val="FootnoteAnchor"/>
          <w:rtl w:val="true"/>
        </w:rPr>
        <w:footnoteReference w:id="8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دعوی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المعتضدة بدعوی جماعة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علی حجّیّة خبر الواحد فی الجملة، و تحقّق الشهرة علی خلافها بین القدماء و المتأخّرین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نسبة بعض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کالحاجبیّ و العضدیّ </w:t>
      </w:r>
      <w:r>
        <w:rPr>
          <w:rStyle w:val="FootnoteAnchor"/>
          <w:rtl w:val="true"/>
        </w:rPr>
        <w:footnoteReference w:id="8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الحجّیّة إلی الرافضة،فمستندة إلی ما رأوا من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دعوی الإجماع بل ضرورة المذهب علی کون خبر الواحد کالقیاس عند الشیعة</w:t>
      </w:r>
      <w:r>
        <w:rPr>
          <w:rFonts w:eastAsia="IRNazanin" w:cs="IRNazanin"/>
          <w:color w:val="111111"/>
          <w:sz w:val="28"/>
          <w:szCs w:val="28"/>
          <w:rtl w:val="true"/>
          <w:lang w:bidi="fa-IR"/>
        </w:rPr>
        <w:t xml:space="preserve">. </w:t>
      </w:r>
      <w:bookmarkStart w:id="655" w:name="pg12977_114295"/>
    </w:p>
    <w:p>
      <w:pPr>
        <w:pStyle w:val="Heading6"/>
        <w:numPr>
          <w:ilvl w:val="5"/>
          <w:numId w:val="1"/>
        </w:numPr>
        <w:rPr/>
      </w:pPr>
      <w:bookmarkStart w:id="656" w:name="__RefHeading___Toc5446935_3224264995"/>
      <w:bookmarkStart w:id="657" w:name="_Toc249"/>
      <w:bookmarkEnd w:id="655"/>
      <w:bookmarkEnd w:id="656"/>
      <w:r>
        <w:rPr>
          <w:rtl w:val="true"/>
        </w:rPr>
        <w:t>أدلّة القائلین بالحجیّة الاستدلال بالکتاب الآیة الاولی</w:t>
      </w:r>
      <w:r>
        <w:rPr>
          <w:rtl w:val="true"/>
        </w:rPr>
        <w:t>:</w:t>
      </w:r>
      <w:r>
        <w:rPr>
          <w:rtl w:val="true"/>
        </w:rPr>
        <w:t>آیة</w:t>
      </w:r>
      <w:r>
        <w:rPr>
          <w:rtl w:val="true"/>
        </w:rPr>
        <w:t>«</w:t>
      </w:r>
      <w:r>
        <w:rPr>
          <w:rtl w:val="true"/>
        </w:rPr>
        <w:t>النبأ</w:t>
      </w:r>
      <w:r>
        <w:rPr>
          <w:rtl w:val="true"/>
        </w:rPr>
        <w:t>»</w:t>
      </w:r>
      <w:bookmarkEnd w:id="657"/>
    </w:p>
    <w:p>
      <w:pPr>
        <w:pStyle w:val="BookText"/>
        <w:rPr/>
      </w:pPr>
      <w:r>
        <w:rPr>
          <w:rFonts w:ascii="Amiri" w:hAnsi="Amiri" w:eastAsia="Amiri" w:cs="Amiri"/>
          <w:color w:val="111111"/>
          <w:sz w:val="28"/>
          <w:sz w:val="28"/>
          <w:szCs w:val="28"/>
          <w:rtl w:val="true"/>
          <w:lang w:bidi="ar-SA"/>
        </w:rPr>
        <w:t>و أمّا المجوّزون فقد استدلّوا علی حجّیّته بالأدلّة 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الکتاب،فقد ذکروا منه آیات ادّعوا دلالتها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 فی سورة الحجرات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إِنْ جاءَکُمْ فاسِقٌ بِنَبَإٍ فَتَبَیَّنُوا أَنْ تُصِیبُوا قَوْماً بِجَهالَةٍ فَتُصْبِحُوا عَلی ما فَعَلْتُمْ نادِمِینَ</w:t>
      </w:r>
    </w:p>
    <w:p>
      <w:pPr>
        <w:pStyle w:val="BookText"/>
        <w:rPr/>
      </w:pPr>
      <w:r>
        <w:rPr>
          <w:rStyle w:val="FootnoteAnchor"/>
          <w:rtl w:val="true"/>
        </w:rPr>
        <w:footnoteReference w:id="84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8" w:name="__RefHeading___Toc5446937_3224264995"/>
      <w:bookmarkStart w:id="659" w:name="_Toc250"/>
      <w:bookmarkEnd w:id="658"/>
      <w:r>
        <w:rPr>
          <w:rtl w:val="true"/>
        </w:rPr>
        <w:t>الاستدلال بها من طریقین من طریق مفهوم الشرط</w:t>
      </w:r>
      <w:bookmarkEnd w:id="659"/>
    </w:p>
    <w:p>
      <w:pPr>
        <w:pStyle w:val="BookText"/>
        <w:rPr/>
      </w:pPr>
      <w:r>
        <w:rPr>
          <w:rFonts w:ascii="IRNazanin" w:hAnsi="IRNazanin" w:eastAsia="IRNazanin"/>
          <w:color w:val="111111"/>
          <w:sz w:val="28"/>
          <w:sz w:val="28"/>
          <w:szCs w:val="28"/>
          <w:rtl w:val="true"/>
          <w:lang w:bidi="fa-IR"/>
        </w:rPr>
        <w:t>و المحکیّ فی وجه الاستدلال بها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أنّه سبحانه علّق وجوب التثبّت علی مجیء الفاسق، فینتفی عند انتفائه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بمفهوم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یجب التثبّت عند مجیء غیر الفاسق،فإمّا أن یجب القبول و هو المطلوب،أو الردّ و هو باطل؛ لأنّه یقتضی کون العادل أسوأ حالا من الفاسق،و فساده بیّن</w:t>
      </w:r>
      <w:r>
        <w:rPr>
          <w:rFonts w:eastAsia="IRNazanin" w:cs="IRNazanin"/>
          <w:color w:val="111111"/>
          <w:sz w:val="28"/>
          <w:szCs w:val="28"/>
          <w:rtl w:val="true"/>
          <w:lang w:bidi="fa-IR"/>
        </w:rPr>
        <w:t>.</w:t>
      </w:r>
    </w:p>
    <w:p>
      <w:pPr>
        <w:pStyle w:val="Heading6"/>
        <w:numPr>
          <w:ilvl w:val="5"/>
          <w:numId w:val="1"/>
        </w:numPr>
        <w:rPr/>
      </w:pPr>
      <w:bookmarkStart w:id="660" w:name="__RefHeading___Toc5446939_3224264995"/>
      <w:bookmarkStart w:id="661" w:name="_Toc251"/>
      <w:bookmarkEnd w:id="660"/>
      <w:r>
        <w:rPr>
          <w:rtl w:val="true"/>
        </w:rPr>
        <w:t>الثانی</w:t>
      </w:r>
      <w:r>
        <w:rPr>
          <w:rtl w:val="true"/>
        </w:rPr>
        <w:t>:</w:t>
      </w:r>
      <w:r>
        <w:rPr>
          <w:rtl w:val="true"/>
        </w:rPr>
        <w:t>من طریق مفهوم الوصف</w:t>
      </w:r>
      <w:bookmarkEnd w:id="661"/>
    </w:p>
    <w:p>
      <w:pPr>
        <w:pStyle w:val="BookText"/>
        <w:rPr/>
      </w:pPr>
      <w:r>
        <w:rPr>
          <w:rFonts w:ascii="IRNazanin" w:hAnsi="IRNazanin" w:eastAsia="IRNazanin"/>
          <w:color w:val="111111"/>
          <w:sz w:val="28"/>
          <w:sz w:val="28"/>
          <w:szCs w:val="28"/>
          <w:rtl w:val="true"/>
          <w:lang w:bidi="fa-IR"/>
        </w:rPr>
        <w:t>أنّه تعالی أمر بالتثبّت عند إخبار الفاسق،و قد اجتمع فیه و صفان،ذاتیّ و هو کونه خبر واحد،و عرضیّ و هو کونه خبر فاسق، و مقتضی التثبّت هو الثانی؛للمناسبة و الاقتران؛فإنّ الفسق یناسب عدم القبول،فلا یصلح الأوّل للعلّیّة؛و إلاّ لوجب الاستناد إلیه؛إذ التعلیل بالذاتیّ الصالح للعلّیّة أولی من التعلیل بالعرضیّ؛لحصوله قبل حصول العرضیّ،فیکون الحکم قد حصل قبل حصول العرضیّ،و إذا لم یجب التثبّت عند إخبار العدل،فإمّا أن یجب القبول،و هو المطلوب،أو الردّ، فیکون حاله أسوأ من حال الفاسق،و هو محال</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أخذهم للمقدّمة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أنّه إذا لم یجب </w:t>
      </w:r>
    </w:p>
    <w:p>
      <w:pPr>
        <w:pStyle w:val="BookText"/>
        <w:rPr/>
      </w:pPr>
      <w:r>
        <w:rPr>
          <w:rFonts w:ascii="IRNazanin" w:hAnsi="IRNazanin" w:eastAsia="IRNazanin"/>
          <w:color w:val="111111"/>
          <w:sz w:val="28"/>
          <w:sz w:val="28"/>
          <w:szCs w:val="28"/>
          <w:rtl w:val="true"/>
          <w:lang w:bidi="fa-IR"/>
        </w:rPr>
        <w:t>التثبّت وجب القبول؛لأنّ الردّ مستلزم لکون العادل أسوأ حالا من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 ما یتراءی من ظهور الأمر بالتبیّن فی الوجوب النفسیّ،فیکون هنا امور ثلاثة،الفحص عن الصدق و الکذب،و الردّ من دون تبیّن،و القبول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الأمر بالتبیّن هنا مسوق لبیان الوجوب الشرطیّ،و أنّ التبیّن شرط للعمل بخبر الفاسق دون العادل،فالعمل بخبر العادل غیر مشروط بالتبیّن،فیتمّ المطلوب من دون ضمّ مقدّمة خارجیّة،و هی کون العادل أسوأ حالا من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الدلیل علی کون الأمر بالتبیّن للوجوب الشرطیّ لا النفسیّ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أنّه المتبادر عرفا فی أمثال المقام،و إلی أنّ الإجماع قائم علی عدم ثبوت الوجوب النفسیّ للتبیّن فی خبر الفاسق،و إنّما أوجبه من أوجبه عند إرادة العمل به،لا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التعلیل فی الآیة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تُصِیبُوا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844"/>
      </w:r>
      <w:r>
        <w:rPr>
          <w:rFonts w:ascii="IRNazanin" w:hAnsi="IRNazanin" w:eastAsia="IRNazanin"/>
          <w:color w:val="111111"/>
          <w:sz w:val="28"/>
          <w:sz w:val="28"/>
          <w:szCs w:val="28"/>
          <w:rtl w:val="true"/>
          <w:lang w:bidi="fa-IR"/>
        </w:rPr>
        <w:t xml:space="preserve">لا یصلح </w:t>
      </w:r>
      <w:r>
        <w:rPr>
          <w:rStyle w:val="FootnoteAnchor"/>
          <w:rtl w:val="true"/>
        </w:rPr>
        <w:footnoteReference w:id="845"/>
      </w:r>
      <w:r>
        <w:rPr>
          <w:rFonts w:ascii="IRNazanin" w:hAnsi="IRNazanin" w:eastAsia="IRNazanin"/>
          <w:color w:val="111111"/>
          <w:sz w:val="28"/>
          <w:sz w:val="28"/>
          <w:szCs w:val="28"/>
          <w:rtl w:val="true"/>
          <w:lang w:bidi="fa-IR"/>
        </w:rPr>
        <w:t>أن یکون تعلیلا للوجوب النفسیّ؛لأنّ حاصله یرجع إلی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تصیبوا قوما بجهالة بمقتضی العمل بخبر الفاسق فتندموا علی فعلکم بعد تبیّن الخلاف،و من المعلوم أنّ هذا لا یصلح إلاّ علّة لحرمة العمل بدون التبیّن،فهذا هو المعلول،و مفهومه جواز العمل بخبر العادل من دون تبیّن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فی الأولویّة </w:t>
      </w:r>
      <w:r>
        <w:rPr>
          <w:rStyle w:val="FootnoteAnchor"/>
          <w:rtl w:val="true"/>
        </w:rPr>
        <w:footnoteReference w:id="846"/>
      </w:r>
      <w:r>
        <w:rPr>
          <w:rFonts w:ascii="IRNazanin" w:hAnsi="IRNazanin" w:eastAsia="IRNazanin"/>
          <w:color w:val="111111"/>
          <w:sz w:val="28"/>
          <w:sz w:val="28"/>
          <w:szCs w:val="28"/>
          <w:rtl w:val="true"/>
          <w:lang w:bidi="fa-IR"/>
        </w:rPr>
        <w:t xml:space="preserve">المذکورة فی کلام الجماعة بناء علی کون </w:t>
      </w:r>
      <w:bookmarkStart w:id="662" w:name="pg12977_114297"/>
    </w:p>
    <w:p>
      <w:pPr>
        <w:pStyle w:val="BookText"/>
        <w:rPr/>
      </w:pPr>
      <w:bookmarkEnd w:id="662"/>
      <w:r>
        <w:rPr>
          <w:rFonts w:ascii="IRNazanin" w:hAnsi="IRNazanin" w:eastAsia="IRNazanin"/>
          <w:color w:val="111111"/>
          <w:sz w:val="28"/>
          <w:sz w:val="28"/>
          <w:szCs w:val="28"/>
          <w:rtl w:val="true"/>
          <w:lang w:bidi="fa-IR"/>
        </w:rPr>
        <w:t>وجوب التبیّن نفسیّا،ما لا یخفی؛لأنّ الآیة علی هذا ساکتة عن حکم العمل بخبر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التبیّن أو بعده </w:t>
      </w:r>
      <w:r>
        <w:rPr>
          <w:rStyle w:val="FootnoteAnchor"/>
          <w:rtl w:val="true"/>
        </w:rPr>
        <w:footnoteReference w:id="8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 اشتراک الفاسق و العادل فی عدم جواز العمل قبل التبیّن،کما أنّهما یشترکان قطعا فی جواز العمل بعد التبیّن و العلم بالصدق؛لأنّ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بمقتضی التبیّن لا باعتبار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فاختصاص الفاسق بوجوب التعرّض لخبره و التفتیش عنه دون العادل،لا یستلزم کون العادل أسوأ حالا،بل مستلزم لمزیّة کاملة للعادل علی الفاسق،فتأمّل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اورد علی الآیة إیرادات کثیرة ربما تبلغ إلی نیّف و عشرین،إلاّ أنّ کثیرا منها قابلة للدفع،فلنذکر أوّلا ما لا یمکن الذبّ عنه،ثمّ نتبعه بذکر بعض ما اورد من الإیرادات القابلة للدفع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لا یمکن الذبّ عنه فإیرادان</w:t>
      </w:r>
      <w:r>
        <w:rPr>
          <w:rFonts w:eastAsia="IRNazanin" w:cs="IRNazanin"/>
          <w:color w:val="111111"/>
          <w:sz w:val="28"/>
          <w:szCs w:val="28"/>
          <w:rtl w:val="true"/>
          <w:lang w:bidi="fa-IR"/>
        </w:rPr>
        <w:t>:</w:t>
      </w:r>
    </w:p>
    <w:p>
      <w:pPr>
        <w:pStyle w:val="Heading6"/>
        <w:numPr>
          <w:ilvl w:val="5"/>
          <w:numId w:val="1"/>
        </w:numPr>
        <w:rPr/>
      </w:pPr>
      <w:bookmarkStart w:id="663" w:name="__RefHeading___Toc5446941_3224264995"/>
      <w:bookmarkStart w:id="664" w:name="_Toc252"/>
      <w:bookmarkEnd w:id="663"/>
      <w:r>
        <w:rPr>
          <w:rtl w:val="true"/>
        </w:rPr>
        <w:t>ما أورد علی الاستدلال بالآیة بما لا یمکن دفعه</w:t>
      </w:r>
      <w:r>
        <w:rPr>
          <w:rtl w:val="true"/>
        </w:rPr>
        <w:t>:</w:t>
      </w:r>
      <w:bookmarkEnd w:id="664"/>
    </w:p>
    <w:p>
      <w:pPr>
        <w:pStyle w:val="Heading6"/>
        <w:numPr>
          <w:ilvl w:val="5"/>
          <w:numId w:val="1"/>
        </w:numPr>
        <w:rPr/>
      </w:pPr>
      <w:bookmarkStart w:id="665" w:name="__RefHeading___Toc5446943_3224264995"/>
      <w:bookmarkStart w:id="666" w:name="_Toc253"/>
      <w:bookmarkEnd w:id="665"/>
      <w:r>
        <w:rPr/>
        <w:t>1</w:t>
      </w:r>
      <w:r>
        <w:rPr>
          <w:rtl w:val="true"/>
        </w:rPr>
        <w:t>-</w:t>
      </w:r>
      <w:r>
        <w:rPr>
          <w:rtl w:val="true"/>
        </w:rPr>
        <w:t>عدم اعتبار مفهوم الوصف</w:t>
      </w:r>
      <w:bookmarkEnd w:id="666"/>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الاستدلال إن کان راجعا إلی اعتبار </w:t>
      </w:r>
      <w:r>
        <w:rPr>
          <w:rStyle w:val="FootnoteAnchor"/>
          <w:rtl w:val="true"/>
        </w:rPr>
        <w:footnoteReference w:id="848"/>
      </w:r>
      <w:r>
        <w:rPr>
          <w:rFonts w:ascii="IRNazanin" w:hAnsi="IRNazanin" w:eastAsia="IRNazanin"/>
          <w:color w:val="111111"/>
          <w:sz w:val="28"/>
          <w:sz w:val="28"/>
          <w:szCs w:val="28"/>
          <w:rtl w:val="true"/>
          <w:lang w:bidi="fa-IR"/>
        </w:rPr>
        <w:t>مفهوم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المحقّق فی محلّه عدم اعتبار المفهوم فی الوصف،خصوصا فی الوصف الغیر المعتمد علی موصوف محقّق کما فیما نحن فیه؛فإنّه أشبه بمفهوم اللقب</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هذا مراد من أجاب عن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کالسیّدین </w:t>
      </w:r>
      <w:r>
        <w:rPr>
          <w:rStyle w:val="FootnoteAnchor"/>
          <w:rtl w:val="true"/>
        </w:rPr>
        <w:footnoteReference w:id="849"/>
      </w:r>
      <w:r>
        <w:rPr>
          <w:rFonts w:ascii="IRNazanin" w:hAnsi="IRNazanin" w:eastAsia="IRNazanin"/>
          <w:color w:val="111111"/>
          <w:sz w:val="28"/>
          <w:sz w:val="28"/>
          <w:szCs w:val="28"/>
          <w:rtl w:val="true"/>
          <w:lang w:bidi="fa-IR"/>
        </w:rPr>
        <w:t xml:space="preserve">و أمین الإسلام </w:t>
      </w:r>
      <w:r>
        <w:rPr>
          <w:rStyle w:val="FootnoteAnchor"/>
          <w:rtl w:val="true"/>
        </w:rPr>
        <w:footnoteReference w:id="850"/>
      </w:r>
      <w:bookmarkStart w:id="667" w:name="pg12977_114298"/>
    </w:p>
    <w:p>
      <w:pPr>
        <w:pStyle w:val="BookText"/>
        <w:rPr/>
      </w:pPr>
      <w:bookmarkEnd w:id="667"/>
      <w:r>
        <w:rPr>
          <w:rFonts w:ascii="Amiri" w:hAnsi="Amiri" w:eastAsia="Amiri" w:cs="Amiri"/>
          <w:color w:val="111111"/>
          <w:sz w:val="28"/>
          <w:sz w:val="28"/>
          <w:szCs w:val="28"/>
          <w:rtl w:val="true"/>
          <w:lang w:bidi="ar-SA"/>
        </w:rPr>
        <w:t xml:space="preserve">و المحقّق </w:t>
      </w:r>
      <w:r>
        <w:rPr>
          <w:rStyle w:val="FootnoteAnchor"/>
          <w:rtl w:val="true"/>
        </w:rPr>
        <w:footnoteReference w:id="851"/>
      </w:r>
      <w:r>
        <w:rPr>
          <w:rFonts w:ascii="Amiri" w:hAnsi="Amiri" w:eastAsia="Amiri" w:cs="Amiri"/>
          <w:color w:val="111111"/>
          <w:sz w:val="28"/>
          <w:sz w:val="28"/>
          <w:szCs w:val="28"/>
          <w:rtl w:val="true"/>
          <w:lang w:bidi="ar-SA"/>
        </w:rPr>
        <w:t xml:space="preserve">و العلاّمة </w:t>
      </w:r>
      <w:r>
        <w:rPr>
          <w:rStyle w:val="FootnoteAnchor"/>
          <w:rtl w:val="true"/>
        </w:rPr>
        <w:footnoteReference w:id="852"/>
      </w:r>
      <w:r>
        <w:rPr>
          <w:rFonts w:ascii="IRNazanin" w:hAnsi="IRNazanin" w:eastAsia="IRNazanin"/>
          <w:color w:val="111111"/>
          <w:sz w:val="28"/>
          <w:sz w:val="28"/>
          <w:szCs w:val="28"/>
          <w:rtl w:val="true"/>
          <w:lang w:bidi="fa-IR"/>
        </w:rPr>
        <w:t xml:space="preserve">و غیرهم </w:t>
      </w:r>
      <w:r>
        <w:rPr>
          <w:rStyle w:val="FootnoteAnchor"/>
          <w:rtl w:val="true"/>
        </w:rPr>
        <w:footnoteReference w:id="8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الاستدلال مبنیّ علی دلیل الخطاب،و لا نقول به</w:t>
      </w:r>
      <w:r>
        <w:rPr>
          <w:rFonts w:eastAsia="IRNazanin" w:cs="IRNazanin"/>
          <w:color w:val="111111"/>
          <w:sz w:val="28"/>
          <w:szCs w:val="28"/>
          <w:rtl w:val="true"/>
          <w:lang w:bidi="fa-IR"/>
        </w:rPr>
        <w:t>.</w:t>
      </w:r>
    </w:p>
    <w:p>
      <w:pPr>
        <w:pStyle w:val="Heading6"/>
        <w:numPr>
          <w:ilvl w:val="5"/>
          <w:numId w:val="1"/>
        </w:numPr>
        <w:rPr/>
      </w:pPr>
      <w:bookmarkStart w:id="668" w:name="__RefHeading___Toc5446945_3224264995"/>
      <w:bookmarkStart w:id="669" w:name="_Toc254"/>
      <w:bookmarkEnd w:id="668"/>
      <w:r>
        <w:rPr>
          <w:rtl w:val="true"/>
        </w:rPr>
        <w:t>عدم اعتبار مفهوم الشرط فی الآیة لأنّه سالبة بانتفاء الموضوع</w:t>
      </w:r>
      <w:r>
        <w:rPr>
          <w:rtl w:val="true"/>
        </w:rPr>
        <w:t>:</w:t>
      </w:r>
      <w:bookmarkEnd w:id="669"/>
    </w:p>
    <w:p>
      <w:pPr>
        <w:pStyle w:val="BookText"/>
        <w:rPr/>
      </w:pPr>
      <w:r>
        <w:rPr>
          <w:rFonts w:ascii="IRNazanin" w:hAnsi="IRNazanin" w:eastAsia="IRNazanin"/>
          <w:color w:val="111111"/>
          <w:sz w:val="28"/>
          <w:sz w:val="28"/>
          <w:szCs w:val="28"/>
          <w:rtl w:val="true"/>
          <w:lang w:bidi="fa-IR"/>
        </w:rPr>
        <w:t xml:space="preserve">و إن کان باعتبار مفهوم الشرط،کما یظهر من المعالم </w:t>
      </w:r>
      <w:r>
        <w:rPr>
          <w:rStyle w:val="FootnoteAnchor"/>
          <w:rtl w:val="true"/>
        </w:rPr>
        <w:footnoteReference w:id="854"/>
      </w:r>
      <w:r>
        <w:rPr>
          <w:rFonts w:ascii="IRNazanin" w:hAnsi="IRNazanin" w:eastAsia="IRNazanin"/>
          <w:color w:val="111111"/>
          <w:sz w:val="28"/>
          <w:sz w:val="28"/>
          <w:szCs w:val="28"/>
          <w:rtl w:val="true"/>
          <w:lang w:bidi="fa-IR"/>
        </w:rPr>
        <w:t xml:space="preserve">و المحکیّ عن جماعة </w:t>
      </w:r>
      <w:r>
        <w:rPr>
          <w:rStyle w:val="FootnoteAnchor"/>
          <w:rtl w:val="true"/>
        </w:rPr>
        <w:footnoteReference w:id="855"/>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مفهوم الشرط عدم مجیء الفاسق بالنبإ،و عدم التبیّن هنا لأجل عدم ما یتبیّن،فالجملة الشرطیّة هنا مسوقة لبیان تحقّق الموضوع، کما فی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رزقت ولدا فاختنه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رکب زید فخذ رکابه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قدم من السفر فاستقبله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تزوّجت فلا تضیّع حقّ زوجتک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قرأت الدرس فاحفظه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قُرِئَ الْقُرْآنُ فَاسْتَمِعُوا لَهُ وَ أَنْصِتُوا</w:t>
      </w:r>
    </w:p>
    <w:p>
      <w:pPr>
        <w:pStyle w:val="BookText"/>
        <w:rPr/>
      </w:pPr>
      <w:r>
        <w:rPr>
          <w:rStyle w:val="FootnoteAnchor"/>
          <w:rtl w:val="true"/>
        </w:rPr>
        <w:footnoteReference w:id="8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حُیِّیتُمْ بِتَحِیَّةٍ فَحَیُّوا بِأَحْسَنَ مِنْها أَوْ رُدُّوها </w:t>
      </w:r>
      <w:r>
        <w:rPr>
          <w:rStyle w:val="FootnoteAnchor"/>
          <w:rtl w:val="true"/>
        </w:rPr>
        <w:footnoteReference w:id="857"/>
      </w:r>
      <w:r>
        <w:rPr>
          <w:rFonts w:ascii="IRNazanin" w:hAnsi="IRNazanin" w:eastAsia="IRNazanin"/>
          <w:color w:val="111111"/>
          <w:sz w:val="28"/>
          <w:sz w:val="28"/>
          <w:szCs w:val="28"/>
          <w:rtl w:val="true"/>
          <w:lang w:bidi="fa-IR"/>
        </w:rPr>
        <w:t>،إلی غیر ذلک ممّا لا یحصی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 فساد ما یقال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مجیء الفاسق یشمل ما لو جاء العادل بنبإ،فلا یجب تبیّنه،فیثبت المطلوب</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جعل مدلول الآیة هو عدم وجوب التبیّن فی خبر الفاسق </w:t>
      </w:r>
      <w:bookmarkStart w:id="670" w:name="pg12977_114299"/>
    </w:p>
    <w:p>
      <w:pPr>
        <w:pStyle w:val="BookText"/>
        <w:rPr/>
      </w:pPr>
      <w:bookmarkEnd w:id="670"/>
      <w:r>
        <w:rPr>
          <w:rFonts w:ascii="IRNazanin" w:hAnsi="IRNazanin" w:eastAsia="IRNazanin"/>
          <w:color w:val="111111"/>
          <w:sz w:val="28"/>
          <w:sz w:val="28"/>
          <w:szCs w:val="28"/>
          <w:rtl w:val="true"/>
          <w:lang w:bidi="fa-IR"/>
        </w:rPr>
        <w:t>لأجل عدمه،یوجب حمل السالبة علی المنتفیة بانتفاء الموضوع،و هو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إذا ثبت لخبر الفاسق بشرط مجیء الفاسق به،کان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الدلالة العرفیّة أو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الحکم المذکور فی المنطوق عن الموضوع المذکور فیه عند انتفاء الشرط المذکور فیه،ففرض مجیء العادل بنبإ عند عدم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مجیء الفاسق بالنبإ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انتفاء التبیّن عن خبر العادل الذی جاء به؛لأنّه لم یکن مثبتا فی المنطوق حتّی ینتفی فی المفهوم،فالمفهوم فی الآیة و أمثالها لیس قابلا لغیر السالبة بانتفاء الموضوع،و لیس هنا قضیّة لفظیّة سالبة دار الأمر بین کون سلبها لسلب المحمول عن الموضوع الموجود أو لانتفاء الموضوع</w:t>
      </w:r>
      <w:r>
        <w:rPr>
          <w:rFonts w:eastAsia="IRNazanin" w:cs="IRNazanin"/>
          <w:color w:val="111111"/>
          <w:sz w:val="28"/>
          <w:szCs w:val="28"/>
          <w:rtl w:val="true"/>
          <w:lang w:bidi="fa-IR"/>
        </w:rPr>
        <w:t>.</w:t>
      </w:r>
    </w:p>
    <w:p>
      <w:pPr>
        <w:pStyle w:val="Heading6"/>
        <w:numPr>
          <w:ilvl w:val="5"/>
          <w:numId w:val="1"/>
        </w:numPr>
        <w:rPr/>
      </w:pPr>
      <w:bookmarkStart w:id="671" w:name="__RefHeading___Toc5446947_3224264995"/>
      <w:bookmarkStart w:id="672" w:name="_Toc255"/>
      <w:bookmarkEnd w:id="671"/>
      <w:r>
        <w:rPr>
          <w:rtl w:val="true"/>
        </w:rPr>
        <w:t>الثانی</w:t>
      </w:r>
      <w:r>
        <w:rPr>
          <w:rtl w:val="true"/>
        </w:rPr>
        <w:t>:</w:t>
      </w:r>
      <w:r>
        <w:rPr>
          <w:rtl w:val="true"/>
        </w:rPr>
        <w:t>تعارض المفهوم و التعلیل</w:t>
      </w:r>
      <w:bookmarkEnd w:id="672"/>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أورده فی محکیّ </w:t>
      </w:r>
      <w:r>
        <w:rPr>
          <w:rStyle w:val="FootnoteAnchor"/>
          <w:rtl w:val="true"/>
        </w:rPr>
        <w:footnoteReference w:id="858"/>
      </w:r>
      <w:r>
        <w:rPr>
          <w:rFonts w:ascii="Amiri" w:hAnsi="Amiri" w:eastAsia="Amiri" w:cs="Amiri"/>
          <w:color w:val="111111"/>
          <w:sz w:val="28"/>
          <w:sz w:val="28"/>
          <w:szCs w:val="28"/>
          <w:rtl w:val="true"/>
          <w:lang w:bidi="ar-SA"/>
        </w:rPr>
        <w:t xml:space="preserve">العدّة </w:t>
      </w:r>
      <w:r>
        <w:rPr>
          <w:rStyle w:val="FootnoteAnchor"/>
          <w:rtl w:val="true"/>
        </w:rPr>
        <w:footnoteReference w:id="859"/>
      </w:r>
      <w:r>
        <w:rPr>
          <w:rFonts w:ascii="IRNazanin" w:hAnsi="IRNazanin" w:eastAsia="IRNazanin"/>
          <w:color w:val="111111"/>
          <w:sz w:val="28"/>
          <w:sz w:val="28"/>
          <w:szCs w:val="28"/>
          <w:rtl w:val="true"/>
          <w:lang w:bidi="fa-IR"/>
        </w:rPr>
        <w:t xml:space="preserve">و الذریعة </w:t>
      </w:r>
      <w:r>
        <w:rPr>
          <w:rStyle w:val="FootnoteAnchor"/>
          <w:rtl w:val="true"/>
        </w:rPr>
        <w:footnoteReference w:id="860"/>
      </w:r>
      <w:r>
        <w:rPr>
          <w:rFonts w:ascii="IRNazanin" w:hAnsi="IRNazanin" w:eastAsia="IRNazanin"/>
          <w:color w:val="111111"/>
          <w:sz w:val="28"/>
          <w:sz w:val="28"/>
          <w:szCs w:val="28"/>
          <w:rtl w:val="true"/>
          <w:lang w:bidi="fa-IR"/>
        </w:rPr>
        <w:t xml:space="preserve">و الغنیة </w:t>
      </w:r>
      <w:r>
        <w:rPr>
          <w:rStyle w:val="FootnoteAnchor"/>
          <w:rtl w:val="true"/>
        </w:rPr>
        <w:footnoteReference w:id="861"/>
      </w:r>
      <w:r>
        <w:rPr>
          <w:rFonts w:ascii="IRNazanin" w:hAnsi="IRNazanin" w:eastAsia="IRNazanin"/>
          <w:color w:val="111111"/>
          <w:sz w:val="28"/>
          <w:sz w:val="28"/>
          <w:szCs w:val="28"/>
          <w:rtl w:val="true"/>
          <w:lang w:bidi="fa-IR"/>
        </w:rPr>
        <w:t xml:space="preserve">و مجمع البیان </w:t>
      </w:r>
      <w:r>
        <w:rPr>
          <w:rStyle w:val="FootnoteAnchor"/>
          <w:rtl w:val="true"/>
        </w:rPr>
        <w:footnoteReference w:id="862"/>
      </w:r>
      <w:r>
        <w:rPr>
          <w:rFonts w:ascii="IRNazanin" w:hAnsi="IRNazanin" w:eastAsia="IRNazanin"/>
          <w:color w:val="111111"/>
          <w:sz w:val="28"/>
          <w:sz w:val="28"/>
          <w:szCs w:val="28"/>
          <w:rtl w:val="true"/>
          <w:lang w:bidi="fa-IR"/>
        </w:rPr>
        <w:t xml:space="preserve">و المعارج </w:t>
      </w:r>
      <w:r>
        <w:rPr>
          <w:rStyle w:val="FootnoteAnchor"/>
          <w:rtl w:val="true"/>
        </w:rPr>
        <w:footnoteReference w:id="863"/>
      </w:r>
      <w:r>
        <w:rPr>
          <w:rFonts w:ascii="IRNazanin" w:hAnsi="IRNazanin" w:eastAsia="IRNazanin"/>
          <w:color w:val="111111"/>
          <w:sz w:val="28"/>
          <w:sz w:val="28"/>
          <w:szCs w:val="28"/>
          <w:rtl w:val="true"/>
          <w:lang w:bidi="fa-IR"/>
        </w:rPr>
        <w:t xml:space="preserve">و غیرها </w:t>
      </w:r>
      <w:r>
        <w:rPr>
          <w:rStyle w:val="FootnoteAnchor"/>
          <w:rtl w:val="true"/>
        </w:rPr>
        <w:footnoteReference w:id="8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أنّا لو سلّمنا دلالة المفهوم علی قبول خبر العادل الغیر المفید للعلم،لکن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مقتضی </w:t>
      </w:r>
    </w:p>
    <w:p>
      <w:pPr>
        <w:pStyle w:val="BookText"/>
        <w:rPr/>
      </w:pPr>
      <w:r>
        <w:rPr>
          <w:rFonts w:ascii="IRNazanin" w:hAnsi="IRNazanin" w:eastAsia="IRNazanin"/>
          <w:color w:val="111111"/>
          <w:sz w:val="28"/>
          <w:sz w:val="28"/>
          <w:szCs w:val="28"/>
          <w:rtl w:val="true"/>
          <w:lang w:bidi="fa-IR"/>
        </w:rPr>
        <w:t>عموم التعلیل وجوب التبیّن فی کلّ خبر لا یؤمن الوقوع فی الندم من العمل به و إن کان المخبر عادلا،فیعارض المفهوم،و الترجیح مع ظهور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النسبة بینهما و إن کان عموما من وجه،فیتعارضان فی مادّة الاجتماع و هی خبر العادل الغیر المفید للعلم،لکن یجب تقدیم عموم المفهوم و إدخال مادّة الاجتماع فیه؛إذ لو خرج عنه و انحصر مورده فی خبر العادل المفید للعلم لکان </w:t>
      </w:r>
      <w:r>
        <w:rPr>
          <w:rStyle w:val="FootnoteAnchor"/>
          <w:rtl w:val="true"/>
        </w:rPr>
        <w:footnoteReference w:id="865"/>
      </w:r>
      <w:r>
        <w:rPr>
          <w:rFonts w:ascii="IRNazanin" w:hAnsi="IRNazanin" w:eastAsia="IRNazanin"/>
          <w:color w:val="111111"/>
          <w:sz w:val="28"/>
          <w:sz w:val="28"/>
          <w:szCs w:val="28"/>
          <w:rtl w:val="true"/>
          <w:lang w:bidi="fa-IR"/>
        </w:rPr>
        <w:t>لغوا؛لأنّ خبر الفاسق المفید للعلم أیضا واجب العمل،بل الخبر المفید للعلم خارج عن المنطوق و المفهوم معا،فیکون المفهوم أخصّ مطلقا من عموم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المفهوم أخصّ مطلقا من عموم التعلیل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مسلّم،إلاّ أنّا ندّعی التعارض بین ظهور عموم التعلیل فی عدم جواز </w:t>
      </w:r>
      <w:r>
        <w:rPr>
          <w:rStyle w:val="FootnoteAnchor"/>
          <w:rtl w:val="true"/>
        </w:rPr>
        <w:footnoteReference w:id="866"/>
      </w:r>
      <w:r>
        <w:rPr>
          <w:rFonts w:ascii="IRNazanin" w:hAnsi="IRNazanin" w:eastAsia="IRNazanin"/>
          <w:color w:val="111111"/>
          <w:sz w:val="28"/>
          <w:sz w:val="28"/>
          <w:szCs w:val="28"/>
          <w:rtl w:val="true"/>
          <w:lang w:bidi="fa-IR"/>
        </w:rPr>
        <w:t xml:space="preserve">العمل بخبر العادل الغیر العلمیّ و ظهور الجملة الشرطیّة أو الوصفیّة فی ثبوت المفهوم،فطرح المفهوم </w:t>
      </w:r>
      <w:r>
        <w:rPr>
          <w:rStyle w:val="FootnoteAnchor"/>
          <w:rtl w:val="true"/>
        </w:rPr>
        <w:footnoteReference w:id="867"/>
      </w:r>
      <w:r>
        <w:rPr>
          <w:rFonts w:ascii="IRNazanin" w:hAnsi="IRNazanin" w:eastAsia="IRNazanin"/>
          <w:color w:val="111111"/>
          <w:sz w:val="28"/>
          <w:sz w:val="28"/>
          <w:szCs w:val="28"/>
          <w:rtl w:val="true"/>
          <w:lang w:bidi="fa-IR"/>
        </w:rPr>
        <w:t>و الحکم بخلوّ الجملة الشرطیّة عن المفهوم أولی من ارتکاب التخصیص فی التعلیل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إلیه أشار فی محکیّ العدّة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یمنع ترک دلیل الخطاب لدلیل،و التعلیل دلیل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فی ذلک منافاة لما هو الحقّ و علیه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جواز </w:t>
      </w:r>
    </w:p>
    <w:p>
      <w:pPr>
        <w:pStyle w:val="BookText"/>
        <w:rPr/>
      </w:pPr>
      <w:r>
        <w:rPr>
          <w:rFonts w:ascii="IRNazanin" w:hAnsi="IRNazanin" w:eastAsia="IRNazanin"/>
          <w:color w:val="111111"/>
          <w:sz w:val="28"/>
          <w:sz w:val="28"/>
          <w:szCs w:val="28"/>
          <w:rtl w:val="true"/>
          <w:lang w:bidi="fa-IR"/>
        </w:rPr>
        <w:t>تخصیص العامّ بمفهوم المخالفة؛لاختصاص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بالمخصّص المنفصل،و لو سلّم جریانه فی الکلام الواحد منعناه فی العلّة و المعلول؛ فإنّ الظاهر عند العرف أنّ المعلول یتبع العلّة فی العموم و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فالعلّة تارة تخصّص مورد المعلول و إن کان عامّا بحسب اللفظ، کما فی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الرمّان؛لأنّه حامض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،فیخصّصه بالأفراد الحامضة،فیکون عدم التقیید فی الرمّان لغلبة </w:t>
      </w:r>
      <w:r>
        <w:rPr>
          <w:rStyle w:val="FootnoteAnchor"/>
          <w:rtl w:val="true"/>
        </w:rPr>
        <w:footnoteReference w:id="869"/>
      </w:r>
      <w:r>
        <w:rPr>
          <w:rFonts w:ascii="IRNazanin" w:hAnsi="IRNazanin" w:eastAsia="IRNazanin"/>
          <w:color w:val="111111"/>
          <w:sz w:val="28"/>
          <w:sz w:val="28"/>
          <w:szCs w:val="28"/>
          <w:rtl w:val="true"/>
          <w:lang w:bidi="fa-IR"/>
        </w:rPr>
        <w:t>الحموضة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توجب عموم المعلول و إن کان بحسب الدلالة اللفظیّة خاصّا، کما فی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الأدویة التی تصفها لک النسوان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وصفت لک امرأة دواء فلا تشربه؛لأنّک لا تأمن ضرره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،فیدلّ علی أنّ الحکم عامّ فی کلّ دواء لا یؤمن ضرره من أیّ واصف کان، و یکون تخصیص النسوان بالذکر من بین الجهّال لنکتة خاصّة أو عامّة لاحظها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نحن فیه من هذا القبیل،فلعلّ النکتة فیه التنبیه علی فسق الولید،کما نبّه علیه فی المعارج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الإیراد مبنیّ علی أنّ المراد بالتبیّن هو التبیّن العلمیّ کما هو مقتضی اشتقاقه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المراد منه ما یعمّ الظهور العرفیّ الحاصل من الاطمئنان الذی هو مقابل الجهالة،و هذا و إن کان یدفع الإیراد المذکور عن المفهوم؛من حیث رجوع الفرق بین الفاسق و العادل فی وجوب </w:t>
      </w:r>
      <w:bookmarkStart w:id="673" w:name="pg12977_114302"/>
    </w:p>
    <w:p>
      <w:pPr>
        <w:pStyle w:val="BookText"/>
        <w:rPr/>
      </w:pPr>
      <w:bookmarkEnd w:id="673"/>
      <w:r>
        <w:rPr>
          <w:rFonts w:ascii="IRNazanin" w:hAnsi="IRNazanin" w:eastAsia="IRNazanin"/>
          <w:color w:val="111111"/>
          <w:sz w:val="28"/>
          <w:sz w:val="28"/>
          <w:szCs w:val="28"/>
          <w:rtl w:val="true"/>
          <w:lang w:bidi="fa-IR"/>
        </w:rPr>
        <w:t>التبیّن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العادل الواقعیّ یحصل منه غالبا الاطمئنان المذکور بخلاف الفاسق؛فلهذا وجب فیه تحصیل هذا </w:t>
      </w:r>
      <w:r>
        <w:rPr>
          <w:rStyle w:val="FootnoteAnchor"/>
          <w:rtl w:val="true"/>
        </w:rPr>
        <w:footnoteReference w:id="871"/>
      </w:r>
      <w:r>
        <w:rPr>
          <w:rFonts w:ascii="IRNazanin" w:hAnsi="IRNazanin" w:eastAsia="IRNazanin"/>
          <w:color w:val="111111"/>
          <w:sz w:val="28"/>
          <w:sz w:val="28"/>
          <w:szCs w:val="28"/>
          <w:rtl w:val="true"/>
          <w:lang w:bidi="fa-IR"/>
        </w:rPr>
        <w:t xml:space="preserve">الاطمئنان من الخارج،لکنّک خبیر بأنّ الاستدلال بالمفهوم علی حجّیة خبر العادل المفید للاطمئنان غیر محتاج إلیه؛إذ المنطوق علی هذا التقریر </w:t>
      </w:r>
      <w:r>
        <w:rPr>
          <w:rStyle w:val="FootnoteAnchor"/>
          <w:rtl w:val="true"/>
        </w:rPr>
        <w:footnoteReference w:id="872"/>
      </w:r>
      <w:r>
        <w:rPr>
          <w:rFonts w:ascii="IRNazanin" w:hAnsi="IRNazanin" w:eastAsia="IRNazanin"/>
          <w:color w:val="111111"/>
          <w:sz w:val="28"/>
          <w:sz w:val="28"/>
          <w:szCs w:val="28"/>
          <w:rtl w:val="true"/>
          <w:lang w:bidi="fa-IR"/>
        </w:rPr>
        <w:t xml:space="preserve">یدلّ علی حجّیة کلّ ما یفید الاطمئنان کما لا یخفی،فیثبت اعتبار مرتبة خاصّة من مطلق الظنّ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4" w:name="__RefHeading___Toc5446949_3224264995"/>
      <w:bookmarkStart w:id="675" w:name="_Toc256"/>
      <w:bookmarkEnd w:id="674"/>
      <w:r>
        <w:rPr>
          <w:rtl w:val="true"/>
        </w:rPr>
        <w:t>ما اجیب به عن إیراد تعارض المفهوم و التعلیل</w:t>
      </w:r>
      <w:r>
        <w:rPr>
          <w:rtl w:val="true"/>
        </w:rPr>
        <w:t>:</w:t>
      </w:r>
      <w:bookmarkEnd w:id="675"/>
    </w:p>
    <w:p>
      <w:pPr>
        <w:pStyle w:val="BookText"/>
        <w:rPr/>
      </w:pPr>
      <w:r>
        <w:rPr>
          <w:rFonts w:ascii="Amiri" w:hAnsi="Amiri" w:eastAsia="Amiri" w:cs="Amiri"/>
          <w:color w:val="111111"/>
          <w:sz w:val="28"/>
          <w:sz w:val="28"/>
          <w:szCs w:val="28"/>
          <w:rtl w:val="true"/>
          <w:lang w:bidi="ar-SA"/>
        </w:rPr>
        <w:t xml:space="preserve">ثمّ إنّ المحکی عن بعض </w:t>
      </w:r>
      <w:r>
        <w:rPr>
          <w:rStyle w:val="FootnoteAnchor"/>
          <w:rtl w:val="true"/>
        </w:rPr>
        <w:footnoteReference w:id="8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دلالة التعلیل علی عدم جواز الإقدام علی ما هو مخالف للواقع؛بأنّ المراد بالجهالة السفاهة و فعل ما لا یجوز فعله،لا مقابل العلم؛بدلیل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فَتُصْبِحُوا عَلی ما فَعَلْتُمْ نادِمِینَ </w:t>
      </w:r>
      <w:r>
        <w:rPr>
          <w:rStyle w:val="FootnoteAnchor"/>
          <w:rtl w:val="true"/>
        </w:rPr>
        <w:footnoteReference w:id="875"/>
      </w:r>
      <w:r>
        <w:rPr>
          <w:rFonts w:ascii="IRNazanin" w:hAnsi="IRNazanin" w:eastAsia="IRNazanin"/>
          <w:color w:val="111111"/>
          <w:sz w:val="28"/>
          <w:sz w:val="28"/>
          <w:szCs w:val="28"/>
          <w:rtl w:val="true"/>
          <w:lang w:bidi="fa-IR"/>
        </w:rPr>
        <w:t>و لو کان المراد الغلط فی الاعتقاد لما جاز الاعتماد علی الشهادة و الفتوی</w:t>
      </w:r>
      <w:r>
        <w:rPr>
          <w:rFonts w:eastAsia="IRNazanin" w:cs="IRNazanin"/>
          <w:color w:val="111111"/>
          <w:sz w:val="28"/>
          <w:szCs w:val="28"/>
          <w:rtl w:val="true"/>
          <w:lang w:bidi="fa-IR"/>
        </w:rPr>
        <w:t>.</w:t>
      </w:r>
    </w:p>
    <w:p>
      <w:pPr>
        <w:pStyle w:val="Heading6"/>
        <w:numPr>
          <w:ilvl w:val="5"/>
          <w:numId w:val="1"/>
        </w:numPr>
        <w:rPr/>
      </w:pPr>
      <w:bookmarkStart w:id="676" w:name="__RefHeading___Toc5446951_3224264995"/>
      <w:bookmarkStart w:id="677" w:name="_Toc257"/>
      <w:bookmarkEnd w:id="676"/>
      <w:r>
        <w:rPr>
          <w:rtl w:val="true"/>
        </w:rPr>
        <w:t>المناقشة فی هذا الجواب</w:t>
      </w:r>
      <w:r>
        <w:rPr>
          <w:rtl w:val="true"/>
        </w:rPr>
        <w:t>:</w:t>
      </w:r>
      <w:bookmarkEnd w:id="677"/>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کونه خلاف ظاهر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الإقدام علی مقتضی قول الولید لم یکن سفاهة قطعا؛إذ العاقل بل جماعة من العقلاء لا یقدمون علی الامور من دون وثوق بخبر المخبر بها؛فالآیة تدلّ علی المنع عن العمل بغیر العلم 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کونه فی معرض المخالفة للواقع</w:t>
      </w:r>
      <w:r>
        <w:rPr>
          <w:rFonts w:eastAsia="IRNazanin" w:cs="IRNazanin"/>
          <w:color w:val="111111"/>
          <w:sz w:val="28"/>
          <w:szCs w:val="28"/>
          <w:rtl w:val="true"/>
          <w:lang w:bidi="fa-IR"/>
        </w:rPr>
        <w:t xml:space="preserve">. </w:t>
      </w:r>
      <w:bookmarkStart w:id="678" w:name="pg12977_114303"/>
    </w:p>
    <w:p>
      <w:pPr>
        <w:pStyle w:val="BookText"/>
        <w:rPr/>
      </w:pPr>
      <w:bookmarkEnd w:id="678"/>
      <w:r>
        <w:rPr>
          <w:rFonts w:ascii="IRNazanin" w:hAnsi="IRNazanin" w:eastAsia="IRNazanin"/>
          <w:color w:val="111111"/>
          <w:sz w:val="28"/>
          <w:sz w:val="28"/>
          <w:szCs w:val="28"/>
          <w:rtl w:val="true"/>
          <w:lang w:bidi="fa-IR"/>
        </w:rPr>
        <w:t xml:space="preserve">و أمّا جواز الاعتماد علی الفتوی و الشهادة،فلا یجوز القیاس به </w:t>
      </w:r>
      <w:r>
        <w:rPr>
          <w:rStyle w:val="FootnoteAnchor"/>
          <w:rtl w:val="true"/>
        </w:rPr>
        <w:footnoteReference w:id="876"/>
      </w:r>
      <w:r>
        <w:rPr>
          <w:rFonts w:ascii="IRNazanin" w:hAnsi="IRNazanin" w:eastAsia="IRNazanin"/>
          <w:color w:val="111111"/>
          <w:sz w:val="28"/>
          <w:sz w:val="28"/>
          <w:szCs w:val="28"/>
          <w:rtl w:val="true"/>
          <w:lang w:bidi="fa-IR"/>
        </w:rPr>
        <w:t>لما تقدّم فی توجیه کلام ابن 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الاقدام علی ما فیه مخالفة الواقع أحیانا قد یحسن؛لأجل الاضطرار إلیه و عدم وجود الأقرب إلی الواقع منه کما فی الفتوی،و قد یکون لأجل مصلحة تزید علی مصلحة إدراک الواقع،فراجع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9" w:name="__RefHeading___Toc5446953_3224264995"/>
      <w:bookmarkStart w:id="680" w:name="_Toc258"/>
      <w:bookmarkEnd w:id="679"/>
      <w:r>
        <w:rPr>
          <w:rtl w:val="true"/>
        </w:rPr>
        <w:t>الأولی فی التخلّص عن هذا الإیراد</w:t>
      </w:r>
      <w:r>
        <w:rPr>
          <w:rtl w:val="true"/>
        </w:rPr>
        <w:t>:</w:t>
      </w:r>
      <w:bookmarkEnd w:id="680"/>
    </w:p>
    <w:p>
      <w:pPr>
        <w:pStyle w:val="BookText"/>
        <w:rPr/>
      </w:pPr>
      <w:r>
        <w:rPr>
          <w:rFonts w:ascii="IRNazanin" w:hAnsi="IRNazanin" w:eastAsia="IRNazanin"/>
          <w:color w:val="111111"/>
          <w:sz w:val="28"/>
          <w:sz w:val="28"/>
          <w:szCs w:val="28"/>
          <w:rtl w:val="true"/>
          <w:lang w:bidi="fa-IR"/>
        </w:rPr>
        <w:t>فالأولی لمن یرید التفصّی عن هذا الإیراد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التشبّث بما ذکرنا،من أنّ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الاطمئنان،و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أو الظنّ الابتدائیّ الزائل بعد الدقّة و التأمّل،فتأمّل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فیها </w:t>
      </w:r>
      <w:r>
        <w:rPr>
          <w:rStyle w:val="FootnoteAnchor"/>
          <w:rtl w:val="true"/>
        </w:rPr>
        <w:footnoteReference w:id="878"/>
      </w:r>
      <w:r>
        <w:rPr>
          <w:rFonts w:ascii="IRNazanin" w:hAnsi="IRNazanin" w:eastAsia="IRNazanin"/>
          <w:color w:val="111111"/>
          <w:sz w:val="28"/>
          <w:sz w:val="28"/>
          <w:szCs w:val="28"/>
          <w:rtl w:val="true"/>
          <w:lang w:bidi="fa-IR"/>
        </w:rPr>
        <w:t xml:space="preserve">إرشاد إلی عدم جواز مقایسة الفاسق بغیره و إن حصل منهما الاطمئنان؛لأنّ </w:t>
      </w:r>
      <w:r>
        <w:rPr>
          <w:rStyle w:val="FootnoteAnchor"/>
          <w:rtl w:val="true"/>
        </w:rPr>
        <w:footnoteReference w:id="879"/>
      </w:r>
      <w:r>
        <w:rPr>
          <w:rFonts w:ascii="IRNazanin" w:hAnsi="IRNazanin" w:eastAsia="IRNazanin"/>
          <w:color w:val="111111"/>
          <w:sz w:val="28"/>
          <w:sz w:val="28"/>
          <w:szCs w:val="28"/>
          <w:rtl w:val="true"/>
          <w:lang w:bidi="fa-IR"/>
        </w:rPr>
        <w:t>الاطمئنان الحاصل من الفاسق یزول بالالتفات إلی فسقه و عدم مبالاته بالمعصیة و إن کان متحرّزا عن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الجواب عمّا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العاقل لا یقبل الخبر من دون اطمئنان بمضمونه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عادلا کان المخبر أو فاسقا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للأمر بتحصیل الاطمئنان فی الفاسق</w:t>
      </w:r>
      <w:r>
        <w:rPr>
          <w:rFonts w:eastAsia="IRNazanin" w:cs="IRNazanin"/>
          <w:color w:val="111111"/>
          <w:sz w:val="28"/>
          <w:szCs w:val="28"/>
          <w:rtl w:val="true"/>
          <w:lang w:bidi="fa-IR"/>
        </w:rPr>
        <w:t>.</w:t>
      </w:r>
    </w:p>
    <w:p>
      <w:pPr>
        <w:pStyle w:val="Heading6"/>
        <w:numPr>
          <w:ilvl w:val="5"/>
          <w:numId w:val="1"/>
        </w:numPr>
        <w:rPr/>
      </w:pPr>
      <w:bookmarkStart w:id="681" w:name="__RefHeading___Toc5446955_3224264995"/>
      <w:bookmarkStart w:id="682" w:name="_Toc259"/>
      <w:bookmarkEnd w:id="681"/>
      <w:r>
        <w:rPr>
          <w:rtl w:val="true"/>
        </w:rPr>
        <w:t>الإیرادات القابلة للدفع</w:t>
      </w:r>
      <w:r>
        <w:rPr>
          <w:rtl w:val="true"/>
        </w:rPr>
        <w:t>:</w:t>
      </w:r>
      <w:bookmarkEnd w:id="682"/>
    </w:p>
    <w:p>
      <w:pPr>
        <w:pStyle w:val="BookText"/>
        <w:rPr/>
      </w:pPr>
      <w:r>
        <w:rPr>
          <w:rFonts w:ascii="IRNazanin" w:hAnsi="IRNazanin" w:eastAsia="IRNazanin"/>
          <w:color w:val="111111"/>
          <w:sz w:val="28"/>
          <w:sz w:val="28"/>
          <w:szCs w:val="28"/>
          <w:rtl w:val="true"/>
          <w:lang w:bidi="fa-IR"/>
        </w:rPr>
        <w:t xml:space="preserve">و أمّا ما اورد علی الآیة بما </w:t>
      </w:r>
      <w:r>
        <w:rPr>
          <w:rStyle w:val="FootnoteAnchor"/>
          <w:rtl w:val="true"/>
        </w:rPr>
        <w:footnoteReference w:id="880"/>
      </w:r>
      <w:r>
        <w:rPr>
          <w:rFonts w:ascii="IRNazanin" w:hAnsi="IRNazanin" w:eastAsia="IRNazanin"/>
          <w:color w:val="111111"/>
          <w:sz w:val="28"/>
          <w:sz w:val="28"/>
          <w:szCs w:val="28"/>
          <w:rtl w:val="true"/>
          <w:lang w:bidi="fa-IR"/>
        </w:rPr>
        <w:t>هو قابل للذبّ عنه فکثیر</w:t>
      </w:r>
      <w:r>
        <w:rPr>
          <w:rFonts w:eastAsia="IRNazanin" w:cs="IRNazanin"/>
          <w:color w:val="111111"/>
          <w:sz w:val="28"/>
          <w:szCs w:val="28"/>
          <w:rtl w:val="true"/>
          <w:lang w:bidi="fa-IR"/>
        </w:rPr>
        <w:t>:</w:t>
      </w:r>
    </w:p>
    <w:p>
      <w:pPr>
        <w:pStyle w:val="Heading6"/>
        <w:numPr>
          <w:ilvl w:val="5"/>
          <w:numId w:val="1"/>
        </w:numPr>
        <w:rPr/>
      </w:pPr>
      <w:bookmarkStart w:id="683" w:name="__RefHeading___Toc5446957_3224264995"/>
      <w:bookmarkStart w:id="684" w:name="_Toc260"/>
      <w:bookmarkEnd w:id="683"/>
      <w:r>
        <w:rPr/>
        <w:t>1</w:t>
      </w:r>
      <w:r>
        <w:rPr>
          <w:rtl w:val="true"/>
        </w:rPr>
        <w:t>-</w:t>
      </w:r>
      <w:r>
        <w:rPr>
          <w:rtl w:val="true"/>
        </w:rPr>
        <w:t>معارضة مفهوم الآیة بالآیات الناهیة عن العمل بغیر العلم</w:t>
      </w:r>
      <w:bookmarkEnd w:id="68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تعارض مفهوم الآیة بالآیات الناهیة عن العمل بغیر العلم، </w:t>
      </w:r>
      <w:bookmarkStart w:id="685" w:name="pg12977_114304"/>
    </w:p>
    <w:p>
      <w:pPr>
        <w:pStyle w:val="BookText"/>
        <w:rPr/>
      </w:pPr>
      <w:bookmarkEnd w:id="685"/>
      <w:r>
        <w:rPr>
          <w:rFonts w:ascii="IRNazanin" w:hAnsi="IRNazanin" w:eastAsia="IRNazanin"/>
          <w:color w:val="111111"/>
          <w:sz w:val="28"/>
          <w:sz w:val="28"/>
          <w:szCs w:val="28"/>
          <w:rtl w:val="true"/>
          <w:lang w:bidi="fa-IR"/>
        </w:rPr>
        <w:t>و النسبة عموم من وجه،فالمرجع إلی أصالة عدم الحجّیّة</w:t>
      </w:r>
      <w:r>
        <w:rPr>
          <w:rFonts w:eastAsia="IRNazanin" w:cs="IRNazanin"/>
          <w:color w:val="111111"/>
          <w:sz w:val="28"/>
          <w:szCs w:val="28"/>
          <w:rtl w:val="true"/>
          <w:lang w:bidi="fa-IR"/>
        </w:rPr>
        <w:t>.</w:t>
      </w:r>
    </w:p>
    <w:p>
      <w:pPr>
        <w:pStyle w:val="Heading6"/>
        <w:numPr>
          <w:ilvl w:val="5"/>
          <w:numId w:val="1"/>
        </w:numPr>
        <w:rPr/>
      </w:pPr>
      <w:bookmarkStart w:id="686" w:name="__RefHeading___Toc5446959_3224264995"/>
      <w:bookmarkStart w:id="687" w:name="_Toc261"/>
      <w:bookmarkEnd w:id="686"/>
      <w:r>
        <w:rPr>
          <w:rtl w:val="true"/>
        </w:rPr>
        <w:t>الجواب عن هذا الإیراد</w:t>
      </w:r>
      <w:r>
        <w:rPr>
          <w:rtl w:val="true"/>
        </w:rPr>
        <w:t>:</w:t>
      </w:r>
      <w:bookmarkEnd w:id="687"/>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المنطوق ما لا یعلم صدقه و لا کذبه، فالمفهوم أخصّ مطلقا من تلک الآیات،فیتعیّن تخصیصها؛بناء علی ما تقرّر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ظهور الجملة الشرطیّة فی المفهوم أقوی من ظهور العامّ فی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منع ذلک فیما تقدّم من التعارض بین عموم التعلیل و ظهور المفهوم؛فلما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منع ظهور الجملة الشرطیّة المعلّلة بالتعلیل الجاری فی صورتی وجود الشرط و انتفائه،فی إفادة الانتفاء عند الانتفاء،فراجع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للآیات الناهیة جهة خصوص،إمّا من جهة اختصاصها بصورة التمکّن من العلم،و إمّا من جهة اختصاصها بغیر البیّنة العادلة و أمثالها ممّا خرج عن تلک الآیات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منع 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یکفی المستدلّ کون الخبر حجّة بالخصوص عند الانسداد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الثانی </w:t>
      </w:r>
      <w:r>
        <w:rPr>
          <w:rStyle w:val="FootnoteAnchor"/>
          <w:rtl w:val="true"/>
        </w:rPr>
        <w:footnoteReference w:id="8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خروج ما خرج من أدلّة حرمة العمل بالظنّ لا یوجب جهة عموم فی المفهوم؛لأنّ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خاصّ، مثل الخاصّ الذی خصّص أدلّة حرمة العمل بالظنّ،فلا یجوز تخصیص العامّ بأحدهما أوّلا ثمّ ملاحظة النسبة بین العامّ بعد ذلک التخصیص و بین الخاصّ الأخیر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 xml:space="preserve">. </w:t>
      </w:r>
      <w:bookmarkStart w:id="688" w:name="pg12977_114305"/>
    </w:p>
    <w:p>
      <w:pPr>
        <w:pStyle w:val="BookText"/>
        <w:rPr/>
      </w:pPr>
      <w:bookmarkEnd w:id="688"/>
      <w:r>
        <w:rPr>
          <w:rFonts w:ascii="IRNazanin" w:hAnsi="IRNazanin" w:eastAsia="IRNazanin"/>
          <w:color w:val="111111"/>
          <w:sz w:val="28"/>
          <w:sz w:val="28"/>
          <w:szCs w:val="28"/>
          <w:rtl w:val="true"/>
          <w:lang w:bidi="fa-IR"/>
        </w:rPr>
        <w:t>فإذا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أکرم العلماء،ثمّ قام الدلیل علی عدم وجوب إکرام جماعة من فسّاقهم،ثمّ ورد دلیل ثالث علی عدم وجوب إکرام مطلق الفسّاق منهم،فلا مجال لتوهّم تخصیص العامّ بالخاصّ الأوّل أوّلا،ثمّ جعل النسبة بینه و بین الخاصّ الثانی عموما من وجه،و هذا أمر واضح نبّهنا علیه فی باب التعارض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9" w:name="__RefHeading___Toc5446961_3224264995"/>
      <w:bookmarkStart w:id="690" w:name="_Toc262"/>
      <w:bookmarkEnd w:id="689"/>
      <w:r>
        <w:rPr/>
        <w:t>2</w:t>
      </w:r>
      <w:r>
        <w:rPr>
          <w:rtl w:val="true"/>
        </w:rPr>
        <w:t>-</w:t>
      </w:r>
      <w:r>
        <w:rPr>
          <w:rtl w:val="true"/>
        </w:rPr>
        <w:t>شمول الایة لخبرالسید المرتضی</w:t>
      </w:r>
      <w:bookmarkEnd w:id="690"/>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مفهوم الآیة لو دلّ علی حجّیّة خبر العادل لدلّ علی حجّیّة الإجماع الذی أخبر به السیّد المرتضی و أتباعه قدّست أسرارهم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عدم حجّیّة خبر العادل؛لأنّهم عدول أخبروا بحکم الإمام علیه السّلام بعدم حجّیّة الخبر</w:t>
      </w:r>
      <w:r>
        <w:rPr>
          <w:rFonts w:eastAsia="IRNazanin" w:cs="IRNazanin"/>
          <w:color w:val="111111"/>
          <w:sz w:val="28"/>
          <w:szCs w:val="28"/>
          <w:rtl w:val="true"/>
          <w:lang w:bidi="fa-IR"/>
        </w:rPr>
        <w:t>.</w:t>
      </w:r>
    </w:p>
    <w:p>
      <w:pPr>
        <w:pStyle w:val="Heading6"/>
        <w:numPr>
          <w:ilvl w:val="5"/>
          <w:numId w:val="1"/>
        </w:numPr>
        <w:rPr/>
      </w:pPr>
      <w:bookmarkStart w:id="691" w:name="__RefHeading___Toc5446963_3224264995"/>
      <w:bookmarkStart w:id="692" w:name="_Toc263"/>
      <w:bookmarkEnd w:id="691"/>
      <w:r>
        <w:rPr>
          <w:rtl w:val="true"/>
        </w:rPr>
        <w:t>الجواب عن هذا الإیراد</w:t>
      </w:r>
      <w:r>
        <w:rPr>
          <w:rtl w:val="true"/>
        </w:rPr>
        <w:t>:</w:t>
      </w:r>
      <w:bookmarkEnd w:id="692"/>
    </w:p>
    <w:p>
      <w:pPr>
        <w:pStyle w:val="BookText"/>
        <w:rPr/>
      </w:pPr>
      <w:r>
        <w:rPr>
          <w:rFonts w:ascii="IRNazanin" w:hAnsi="IRNazanin" w:eastAsia="IRNazanin"/>
          <w:color w:val="111111"/>
          <w:sz w:val="28"/>
          <w:sz w:val="28"/>
          <w:szCs w:val="28"/>
          <w:rtl w:val="true"/>
          <w:lang w:bidi="fa-IR"/>
        </w:rPr>
        <w:t xml:space="preserve">و فساد هذا الإیراد أوضح من أن یبیّن؛إذ بعد الغضّ عمّا ذکرنا سابقا </w:t>
      </w:r>
      <w:r>
        <w:rPr>
          <w:rStyle w:val="FootnoteAnchor"/>
          <w:rtl w:val="true"/>
        </w:rPr>
        <w:footnoteReference w:id="885"/>
      </w:r>
      <w:r>
        <w:rPr>
          <w:rFonts w:ascii="IRNazanin" w:hAnsi="IRNazanin" w:eastAsia="IRNazanin"/>
          <w:color w:val="111111"/>
          <w:sz w:val="28"/>
          <w:sz w:val="28"/>
          <w:szCs w:val="28"/>
          <w:rtl w:val="true"/>
          <w:lang w:bidi="fa-IR"/>
        </w:rPr>
        <w:t>فی عدم شمول آیة النبأ للاجماع المنقول،و بعد الغضّ عن أنّ إخبار هؤلاء معارض بإخبار الشیخ قدّس سرّه،نقول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یمکن دخول هذا الخبر تحت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دخوله یستلزم خروجه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خبر عادل </w:t>
      </w:r>
      <w:r>
        <w:rPr>
          <w:rStyle w:val="FootnoteAnchor"/>
          <w:rtl w:val="true"/>
        </w:rPr>
        <w:footnoteReference w:id="8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فیستحیل دخوله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یعمّ نفسه،مدفوعة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و إن لم یعمّ </w:t>
      </w:r>
      <w:r>
        <w:rPr>
          <w:rStyle w:val="FootnoteAnchor"/>
          <w:rtl w:val="true"/>
        </w:rPr>
        <w:footnoteReference w:id="887"/>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لقصور دلالة اللفظ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أنّه یعلم أنّ الحکم ثابت لهذا الفرد </w:t>
      </w:r>
      <w:r>
        <w:rPr>
          <w:rStyle w:val="FootnoteAnchor"/>
          <w:rtl w:val="true"/>
        </w:rPr>
        <w:footnoteReference w:id="888"/>
      </w:r>
      <w:bookmarkStart w:id="693" w:name="pg12977_114306"/>
    </w:p>
    <w:p>
      <w:pPr>
        <w:pStyle w:val="BookText"/>
        <w:rPr/>
      </w:pPr>
      <w:bookmarkEnd w:id="693"/>
      <w:r>
        <w:rPr>
          <w:rFonts w:ascii="IRNazanin" w:hAnsi="IRNazanin" w:eastAsia="IRNazanin"/>
          <w:color w:val="111111"/>
          <w:sz w:val="28"/>
          <w:sz w:val="28"/>
          <w:szCs w:val="28"/>
          <w:rtl w:val="true"/>
          <w:lang w:bidi="fa-IR"/>
        </w:rPr>
        <w:t>للعلم بعدم خصوصیّة مخرجة له عن الحکم؛و لذا لو سألنا السیّد عن أنّه إذا ثبت إجماعک لنا بخبر واحد هل یجوز الاتّکال علیه؟فیقول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w:t>
      </w:r>
      <w:r>
        <w:rPr>
          <w:rStyle w:val="FootnoteAnchor"/>
          <w:rtl w:val="true"/>
        </w:rPr>
        <w:footnoteReference w:id="889"/>
      </w:r>
      <w:r>
        <w:rPr>
          <w:rFonts w:ascii="IRNazanin" w:hAnsi="IRNazanin" w:eastAsia="IRNazanin"/>
          <w:color w:val="111111"/>
          <w:sz w:val="28"/>
          <w:sz w:val="28"/>
          <w:szCs w:val="28"/>
          <w:rtl w:val="true"/>
          <w:lang w:bidi="fa-IR"/>
        </w:rPr>
        <w:t>سلّمنا جواز دخوله،لکن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وقع الإجماع علی خروجه من النافین لحجّیّة الخبر و من المثبتین،فتأمّل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فلدوران الأمر بین دخوله و خروج ما عداه و بین العکس،و لا ریب أنّ العکس متعیّن،لا لمجرّد قبح انتهاء التخصیص إلی الواحد؛بل لأنّ المقصود من الکلام حینئذ </w:t>
      </w:r>
      <w:r>
        <w:rPr>
          <w:rStyle w:val="FootnoteAnchor"/>
          <w:rtl w:val="true"/>
        </w:rPr>
        <w:footnoteReference w:id="890"/>
      </w:r>
      <w:r>
        <w:rPr>
          <w:rFonts w:ascii="IRNazanin" w:hAnsi="IRNazanin" w:eastAsia="IRNazanin"/>
          <w:color w:val="111111"/>
          <w:sz w:val="28"/>
          <w:sz w:val="28"/>
          <w:szCs w:val="28"/>
          <w:rtl w:val="true"/>
          <w:lang w:bidi="fa-IR"/>
        </w:rPr>
        <w:t xml:space="preserve">ینحصر </w:t>
      </w:r>
      <w:r>
        <w:rPr>
          <w:rStyle w:val="FootnoteAnchor"/>
          <w:rtl w:val="true"/>
        </w:rPr>
        <w:footnoteReference w:id="891"/>
      </w:r>
      <w:r>
        <w:rPr>
          <w:rFonts w:ascii="IRNazanin" w:hAnsi="IRNazanin" w:eastAsia="IRNazanin"/>
          <w:color w:val="111111"/>
          <w:sz w:val="28"/>
          <w:sz w:val="28"/>
          <w:szCs w:val="28"/>
          <w:rtl w:val="true"/>
          <w:lang w:bidi="fa-IR"/>
        </w:rPr>
        <w:t>فی بیان عدم حجّیّة خبر العادل،و لا ریب أنّ التعبیر عن هذا المقصود بما یدلّ علی عموم حجّیّة خبر العادل قبیح فی الغایة و فضیح إلی النهایة؛کما یعلم من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زیدا فی جمیع ما یخبرک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،فأخبرک زید بألف من الأخبار،ثمّ أخبر بکذب جمیعها،فأراد القائل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أجاب بعض من لا تحصیل له </w:t>
      </w:r>
      <w:r>
        <w:rPr>
          <w:rStyle w:val="FootnoteAnchor"/>
          <w:rtl w:val="true"/>
        </w:rPr>
        <w:footnoteReference w:id="8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الإجماع المنقول مظنون الاعتبار و ظاهر الکتاب مقطوع الاعتبار</w:t>
      </w:r>
      <w:r>
        <w:rPr>
          <w:rFonts w:eastAsia="IRNazanin" w:cs="IRNazanin"/>
          <w:color w:val="111111"/>
          <w:sz w:val="28"/>
          <w:szCs w:val="28"/>
          <w:rtl w:val="true"/>
          <w:lang w:bidi="fa-IR"/>
        </w:rPr>
        <w:t>.</w:t>
      </w:r>
    </w:p>
    <w:p>
      <w:pPr>
        <w:pStyle w:val="Heading6"/>
        <w:numPr>
          <w:ilvl w:val="5"/>
          <w:numId w:val="1"/>
        </w:numPr>
        <w:rPr/>
      </w:pPr>
      <w:bookmarkStart w:id="694" w:name="__RefHeading___Toc5446965_3224264995"/>
      <w:bookmarkStart w:id="695" w:name="_Toc264"/>
      <w:bookmarkEnd w:id="694"/>
      <w:r>
        <w:rPr/>
        <w:t>3</w:t>
      </w:r>
      <w:r>
        <w:rPr>
          <w:rtl w:val="true"/>
        </w:rPr>
        <w:t>-</w:t>
      </w:r>
      <w:r>
        <w:rPr>
          <w:rtl w:val="true"/>
        </w:rPr>
        <w:t>عدم شمول الایة للاخبار مع الواسطة</w:t>
      </w:r>
      <w:bookmarkEnd w:id="69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الآیة لا تشمل الأخبار مع الواسطة ؛لانصراف النبأ إلی الخبر بلا واسطة،فلا یعمّ الروایات المأثورة عن الأئمّة علیهم السّلام؛ </w:t>
      </w:r>
      <w:bookmarkStart w:id="696" w:name="pg12977_114307"/>
    </w:p>
    <w:p>
      <w:pPr>
        <w:pStyle w:val="BookText"/>
        <w:rPr/>
      </w:pPr>
      <w:bookmarkEnd w:id="696"/>
      <w:r>
        <w:rPr>
          <w:rFonts w:ascii="IRNazanin" w:hAnsi="IRNazanin" w:eastAsia="IRNazanin"/>
          <w:color w:val="111111"/>
          <w:sz w:val="28"/>
          <w:sz w:val="28"/>
          <w:szCs w:val="28"/>
          <w:rtl w:val="true"/>
          <w:lang w:bidi="fa-IR"/>
        </w:rPr>
        <w:t>لاشتمالها علی وسائط</w:t>
      </w:r>
      <w:r>
        <w:rPr>
          <w:rFonts w:eastAsia="IRNazanin" w:cs="IRNazanin"/>
          <w:color w:val="111111"/>
          <w:sz w:val="28"/>
          <w:szCs w:val="28"/>
          <w:rtl w:val="true"/>
          <w:lang w:bidi="fa-IR"/>
        </w:rPr>
        <w:t>.</w:t>
      </w:r>
    </w:p>
    <w:p>
      <w:pPr>
        <w:pStyle w:val="Heading6"/>
        <w:numPr>
          <w:ilvl w:val="5"/>
          <w:numId w:val="1"/>
        </w:numPr>
        <w:rPr/>
      </w:pPr>
      <w:bookmarkStart w:id="697" w:name="__RefHeading___Toc5446967_3224264995"/>
      <w:bookmarkStart w:id="698" w:name="_Toc265"/>
      <w:bookmarkEnd w:id="697"/>
      <w:r>
        <w:rPr>
          <w:rtl w:val="true"/>
        </w:rPr>
        <w:t>الجواب عن هذا الإیراد</w:t>
      </w:r>
      <w:r>
        <w:rPr>
          <w:rtl w:val="true"/>
        </w:rPr>
        <w:t>:</w:t>
      </w:r>
      <w:bookmarkEnd w:id="698"/>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ضعف هذا الإیراد علی ظاهره واضح؛لأنّ کلّ واسطة من الوسائط إنّما یخبر خبرا بلا واسطة؛فإنّ الشیخ قدّس سرّه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المفید،قال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الصدوق،قال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الصفّار،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إلیّ العسکریّ علیه السّلام بکذا </w:t>
      </w:r>
      <w:r>
        <w:rPr>
          <w:rStyle w:val="FootnoteAnchor"/>
          <w:rtl w:val="true"/>
        </w:rPr>
        <w:footnoteReference w:id="893"/>
      </w:r>
      <w:r>
        <w:rPr>
          <w:rFonts w:ascii="Amiri" w:hAnsi="Amiri" w:eastAsia="Amiri" w:cs="Amiri"/>
          <w:color w:val="111111"/>
          <w:sz w:val="28"/>
          <w:sz w:val="28"/>
          <w:szCs w:val="28"/>
          <w:rtl w:val="true"/>
          <w:lang w:bidi="ar-SA"/>
        </w:rPr>
        <w:t xml:space="preserve">،فإنّ هناک </w:t>
      </w:r>
      <w:r>
        <w:rPr>
          <w:rStyle w:val="FootnoteAnchor"/>
          <w:rtl w:val="true"/>
        </w:rPr>
        <w:footnoteReference w:id="894"/>
      </w:r>
      <w:r>
        <w:rPr>
          <w:rFonts w:ascii="IRNazanin" w:hAnsi="IRNazanin" w:eastAsia="IRNazanin"/>
          <w:color w:val="111111"/>
          <w:sz w:val="28"/>
          <w:sz w:val="28"/>
          <w:szCs w:val="28"/>
          <w:rtl w:val="true"/>
          <w:lang w:bidi="fa-IR"/>
        </w:rPr>
        <w:t>أخبارا متعدّدة بتعدّد الوسائط،فخبر الشیخ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المفید الخ،و هذا خبر بلا واسطة یجب تصدیقه،فإذا حکم بصدقه و ثبت </w:t>
      </w:r>
      <w:r>
        <w:rPr>
          <w:rStyle w:val="FootnoteAnchor"/>
          <w:rtl w:val="true"/>
        </w:rPr>
        <w:footnoteReference w:id="895"/>
      </w:r>
      <w:r>
        <w:rPr>
          <w:rFonts w:ascii="IRNazanin" w:hAnsi="IRNazanin" w:eastAsia="IRNazanin"/>
          <w:color w:val="111111"/>
          <w:sz w:val="28"/>
          <w:sz w:val="28"/>
          <w:szCs w:val="28"/>
          <w:rtl w:val="true"/>
          <w:lang w:bidi="fa-IR"/>
        </w:rPr>
        <w:t>شرعا أنّ المفید حدّث الشیخ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الصدوق،فهذا الإخبار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قول المفید الثابت بخبر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خبر عادل و هو المفید، فنحکم بصدقه و أنّ الصدوق حدّثه،فیکون کما لو سمعنا من الصدوق إخباره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أبی،و الصدوق عادل،فیصدّق فی خبره،فیکون کما لو سمعنا أباه یحدّث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الصفّار،فنصدّقه؛لأنّه عادل، فیثبت خبر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کتب إلیه العسکری علیه السّلام،و إذا کان الصفّار عادلا وجب تصدیقه و الحکم بأنّ العسکریّ علیه السّلام کتب إلیه ذلک القول، کما لو شاهدنا الإمام علیه السّلام یکتبه إلیه،فیکون المکتوب حجّة،فیثبت بخبر کلّ لاحق إخبار سابقه؛و لهذا یعتبر العدالة فی جمیع الطبقات؛لأنّ کلّ واسطة مخبر بخبر مستقل</w:t>
      </w:r>
      <w:r>
        <w:rPr>
          <w:rFonts w:eastAsia="IRNazanin" w:cs="IRNazanin"/>
          <w:color w:val="111111"/>
          <w:sz w:val="28"/>
          <w:szCs w:val="28"/>
          <w:rtl w:val="true"/>
          <w:lang w:bidi="fa-IR"/>
        </w:rPr>
        <w:t xml:space="preserve">. </w:t>
      </w:r>
      <w:bookmarkStart w:id="699" w:name="pg12977_114308"/>
    </w:p>
    <w:p>
      <w:pPr>
        <w:pStyle w:val="Heading6"/>
        <w:numPr>
          <w:ilvl w:val="5"/>
          <w:numId w:val="1"/>
        </w:numPr>
        <w:rPr/>
      </w:pPr>
      <w:bookmarkStart w:id="700" w:name="__RefHeading___Toc5446969_3224264995"/>
      <w:bookmarkStart w:id="701" w:name="_Toc266"/>
      <w:bookmarkEnd w:id="699"/>
      <w:bookmarkEnd w:id="700"/>
      <w:r>
        <w:rPr>
          <w:rtl w:val="true"/>
        </w:rPr>
        <w:t>إشکال تقدّم الحکم علی الموضوع</w:t>
      </w:r>
      <w:r>
        <w:rPr>
          <w:rtl w:val="true"/>
        </w:rPr>
        <w:t>:</w:t>
      </w:r>
      <w:bookmarkEnd w:id="70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هذا،و لکن قد یشکل الأمر </w:t>
      </w:r>
      <w:r>
        <w:rPr>
          <w:rStyle w:val="FootnoteAnchor"/>
          <w:rtl w:val="true"/>
        </w:rPr>
        <w:footnoteReference w:id="8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ما یحکیه الشیخ عن المفید صار خبرا للمفید بحکم وجوب التصدیق،فکیف یصیر موضوعا لوجوب التصدیق الذی لم یثبت موضوع الخبریّة إلاّ به </w:t>
      </w:r>
      <w:r>
        <w:rPr>
          <w:rStyle w:val="FootnoteAnchor"/>
          <w:rtl w:val="true"/>
        </w:rPr>
        <w:footnoteReference w:id="897"/>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لکن یضعّف هذا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بانتقاضه بورود مثله فی نظیره الثابت بالإجماع کالإقرار بالإقرار،و إخبار العادل بعدالة مخبر،فإنّ الآیة تشمل الإخبار بالعدالة بغیر إشکال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w:t>
      </w:r>
      <w:r>
        <w:rPr>
          <w:rStyle w:val="FootnoteAnchor"/>
          <w:rtl w:val="true"/>
        </w:rPr>
        <w:footnoteReference w:id="899"/>
      </w:r>
      <w:r>
        <w:rPr>
          <w:rFonts w:ascii="IRNazanin" w:hAnsi="IRNazanin" w:eastAsia="IRNazanin"/>
          <w:color w:val="111111"/>
          <w:sz w:val="28"/>
          <w:sz w:val="28"/>
          <w:szCs w:val="28"/>
          <w:rtl w:val="true"/>
          <w:lang w:bidi="fa-IR"/>
        </w:rPr>
        <w:t xml:space="preserve">عدم قابلیّة اللفظ العامّ لأن یدخل فیه الموضوع </w:t>
      </w:r>
    </w:p>
    <w:p>
      <w:pPr>
        <w:pStyle w:val="BookText"/>
        <w:rPr/>
      </w:pPr>
      <w:r>
        <w:rPr>
          <w:rFonts w:ascii="IRNazanin" w:hAnsi="IRNazanin" w:eastAsia="IRNazanin"/>
          <w:color w:val="111111"/>
          <w:sz w:val="28"/>
          <w:sz w:val="28"/>
          <w:szCs w:val="28"/>
          <w:rtl w:val="true"/>
          <w:lang w:bidi="fa-IR"/>
        </w:rPr>
        <w:t xml:space="preserve">الذی لا یتحقّق و لا یوجد إلاّ بعد ثبوت حکم هذا العامّ لفرد آخر، لا یوجب التوقّف فی الحکم إذا علم المناط الملحوظ فی الحکم العامّ و أنّ المتکلّم لم یلاحظ موضوعا دون آخر </w:t>
      </w:r>
      <w:r>
        <w:rPr>
          <w:rStyle w:val="FootnoteAnchor"/>
          <w:rtl w:val="true"/>
        </w:rPr>
        <w:footnoteReference w:id="900"/>
      </w:r>
      <w:r>
        <w:rPr>
          <w:rFonts w:ascii="IRNazanin" w:hAnsi="IRNazanin" w:eastAsia="IRNazanin"/>
          <w:color w:val="111111"/>
          <w:sz w:val="28"/>
          <w:sz w:val="28"/>
          <w:szCs w:val="28"/>
          <w:rtl w:val="true"/>
          <w:lang w:bidi="fa-IR"/>
        </w:rPr>
        <w:t>لأنّ هذا الخروج مستند إلی قصور العبارة و عدم قابلیّتها لشموله،لا للفرق بینه و بین غیره فی نظر المتکلّم حتّی یتأمّل فی شمول حکم العامّ له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لا قصور فی العبارة بعد ما فهم منها أنّ هذا المحمول وصف </w:t>
      </w:r>
      <w:bookmarkStart w:id="702" w:name="pg12977_114311"/>
    </w:p>
    <w:p>
      <w:pPr>
        <w:pStyle w:val="BookText"/>
        <w:rPr/>
      </w:pPr>
      <w:bookmarkEnd w:id="702"/>
      <w:r>
        <w:rPr>
          <w:rFonts w:ascii="IRNazanin" w:hAnsi="IRNazanin" w:eastAsia="IRNazanin"/>
          <w:color w:val="111111"/>
          <w:sz w:val="28"/>
          <w:sz w:val="28"/>
          <w:szCs w:val="28"/>
          <w:rtl w:val="true"/>
          <w:lang w:bidi="fa-IR"/>
        </w:rPr>
        <w:t>لازم لطبیعة الموضوع و لا ینفکّ عن مصادیقها،فهو مثل ما لو أخبر زید بعض عبید المولی بأنّه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تعمل بأخبار زید،فإنّه لا یجوز له العمل به و لو اتّکالا علی دلیل عامّ یدلّ علی الجواز؛لأنّ عدم شموله له لیس إلاّ لقصور اللفظ و عدم قابلیّته للشمول،لا للتفاوت بینه و بین غیره من أخبار زید فی نظر المولی </w:t>
      </w:r>
      <w:r>
        <w:rPr>
          <w:rStyle w:val="FootnoteAnchor"/>
          <w:rtl w:val="true"/>
        </w:rPr>
        <w:footnoteReference w:id="9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فی الإیراد الثانی من هذه الإیرادات ما یوضح لک </w:t>
      </w:r>
      <w:r>
        <w:rPr>
          <w:rStyle w:val="FootnoteAnchor"/>
          <w:rtl w:val="true"/>
        </w:rPr>
        <w:footnoteReference w:id="902"/>
      </w:r>
      <w:r>
        <w:rPr>
          <w:rFonts w:ascii="IRNazanin" w:hAnsi="IRNazanin" w:eastAsia="IRNazanin"/>
          <w:color w:val="111111"/>
          <w:sz w:val="28"/>
          <w:sz w:val="28"/>
          <w:szCs w:val="28"/>
          <w:rtl w:val="true"/>
          <w:lang w:bidi="fa-IR"/>
        </w:rPr>
        <w:t xml:space="preserve">،فراجع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3" w:name="__RefHeading___Toc5446971_3224264995"/>
      <w:bookmarkStart w:id="704" w:name="_Toc267"/>
      <w:bookmarkEnd w:id="703"/>
      <w:r>
        <w:rPr/>
        <w:t>4</w:t>
      </w:r>
      <w:r>
        <w:rPr>
          <w:rtl w:val="true"/>
        </w:rPr>
        <w:t>-</w:t>
      </w:r>
      <w:r>
        <w:rPr>
          <w:rtl w:val="true"/>
        </w:rPr>
        <w:t>عدم إمکان العمل بمفهوم الآیة فی الأحکام الشرعیّة</w:t>
      </w:r>
      <w:bookmarkEnd w:id="704"/>
    </w:p>
    <w:p>
      <w:pPr>
        <w:pStyle w:val="BookText"/>
        <w:rPr/>
      </w:pPr>
      <w:r>
        <w:rPr>
          <w:rFonts w:ascii="IRNazanin" w:hAnsi="IRNazanin" w:eastAsia="IRNazanin"/>
          <w:color w:val="111111"/>
          <w:sz w:val="28"/>
          <w:sz w:val="28"/>
          <w:szCs w:val="28"/>
          <w:rtl w:val="true"/>
          <w:lang w:bidi="fa-IR"/>
        </w:rPr>
        <w:t>أنّ العمل بالمفهوم فی الأحکام الشرعیّة غیر ممکن؛ لوجوب التفحّص عن المعارض لخبر العدل فی الأحکام الشرعیّة،فیجب تنزیل الآیة علی الإخبار فی الموضوعات الخارجیّة؛فإنّها هی التی لا یجب التفحّص فیها عن المعارض،و یجعل المراد من القبول فیها هو القبول فی الجملة،فلا ینافی اعتبار انضمام عدل آخر إلیه،فلا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قبول خبر الواحد فی الموضوعات الخارجیّة مطلقا یستلزم قبوله فی الأحکام بالإجماع المرکّب و الأولویّة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5" w:name="__RefHeading___Toc5446973_3224264995"/>
      <w:bookmarkStart w:id="706" w:name="_Toc268"/>
      <w:bookmarkEnd w:id="705"/>
      <w:r>
        <w:rPr>
          <w:rtl w:val="true"/>
        </w:rPr>
        <w:t>الجواب عن هذا الإیراد</w:t>
      </w:r>
      <w:bookmarkEnd w:id="70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وجوب التفحّص عن المعارض غیر وجوب التبیّن فی الخبر،فإنّ الأوّل یؤکّد حجّیّة خبر العادل و لا ینافیها؛لأنّ مرجع التفحّص عن المعارض إلی الفحص عمّا أوجب الشارع العمل به کما أوجب العمل بهذا،و التبیّن المنافی للحجّیّة هو التوقّف عن العمل </w:t>
      </w:r>
      <w:bookmarkStart w:id="707" w:name="pg12977_114312"/>
    </w:p>
    <w:p>
      <w:pPr>
        <w:pStyle w:val="BookText"/>
        <w:rPr/>
      </w:pPr>
      <w:bookmarkEnd w:id="707"/>
      <w:r>
        <w:rPr>
          <w:rFonts w:ascii="IRNazanin" w:hAnsi="IRNazanin" w:eastAsia="IRNazanin"/>
          <w:color w:val="111111"/>
          <w:sz w:val="28"/>
          <w:sz w:val="28"/>
          <w:szCs w:val="28"/>
          <w:rtl w:val="true"/>
          <w:lang w:bidi="fa-IR"/>
        </w:rPr>
        <w:t>و التماس دلیل آخر،فیکون ذلک الدلیل هو المتّبع و لو کان أصلا من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یئس عن المعارض عمل بهذا الخبر،و إذا وجده أخذ بالأرجح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یئس عن التبیّن توقّف عن العمل و رجع إلی ما یقتضیه 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فخبر الفاسق و إن اشترک مع خبر العادل فی عدم جواز العمل بمجرّد المجیء،إلاّ أنّه بعد الیأس عن وجود المنافی یعمل بالثانی دون الأوّل،و مع وجدان المنافی یؤخذ به فی الأوّل و یؤخذ بالأرجح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فتتبّع الأدلّة فی الأوّل لتحصیل المقتضی الشرعیّ للحکم </w:t>
      </w:r>
      <w:r>
        <w:rPr>
          <w:rStyle w:val="FootnoteAnchor"/>
          <w:rtl w:val="true"/>
        </w:rPr>
        <w:footnoteReference w:id="905"/>
      </w:r>
      <w:r>
        <w:rPr>
          <w:rFonts w:ascii="IRNazanin" w:hAnsi="IRNazanin" w:eastAsia="IRNazanin"/>
          <w:color w:val="111111"/>
          <w:sz w:val="28"/>
          <w:sz w:val="28"/>
          <w:szCs w:val="28"/>
          <w:rtl w:val="true"/>
          <w:lang w:bidi="fa-IR"/>
        </w:rPr>
        <w:t>الذی تضمّنه خبر الفاسق،و فی الثانی لطلب المانع عمّا اقتضاه الدلیل الموجود</w:t>
      </w:r>
      <w:r>
        <w:rPr>
          <w:rFonts w:eastAsia="IRNazanin" w:cs="IRNazanin"/>
          <w:color w:val="111111"/>
          <w:sz w:val="28"/>
          <w:szCs w:val="28"/>
          <w:rtl w:val="true"/>
          <w:lang w:bidi="fa-IR"/>
        </w:rPr>
        <w:t>.</w:t>
      </w:r>
    </w:p>
    <w:p>
      <w:pPr>
        <w:pStyle w:val="Heading6"/>
        <w:numPr>
          <w:ilvl w:val="5"/>
          <w:numId w:val="1"/>
        </w:numPr>
        <w:rPr/>
      </w:pPr>
      <w:bookmarkStart w:id="708" w:name="__RefHeading___Toc5446975_3224264995"/>
      <w:bookmarkStart w:id="709" w:name="_Toc269"/>
      <w:bookmarkEnd w:id="708"/>
      <w:r>
        <w:rPr/>
        <w:t>5</w:t>
      </w:r>
      <w:r>
        <w:rPr>
          <w:rtl w:val="true"/>
        </w:rPr>
        <w:t>-</w:t>
      </w:r>
      <w:r>
        <w:rPr>
          <w:rtl w:val="true"/>
        </w:rPr>
        <w:t>عدم العمل بمفهوم الآیة فی مورده،و الجواب عنه</w:t>
      </w:r>
      <w:bookmarkEnd w:id="709"/>
    </w:p>
    <w:p>
      <w:pPr>
        <w:pStyle w:val="BookText"/>
        <w:rPr/>
      </w:pPr>
      <w:r>
        <w:rPr>
          <w:rFonts w:ascii="IRNazanin" w:hAnsi="IRNazanin" w:eastAsia="IRNazanin"/>
          <w:color w:val="111111"/>
          <w:sz w:val="28"/>
          <w:sz w:val="28"/>
          <w:szCs w:val="28"/>
          <w:rtl w:val="true"/>
          <w:lang w:bidi="fa-IR"/>
        </w:rPr>
        <w:t xml:space="preserve">أنّ مفهوم الآیة غیر معمول به فی الموضوعات الخارجیّة التی منها مورد الآیة و هو إخبار الولید بارتداد طائفة،و من المعلوم أنّه لا یکفی فیه خبر العادل الواحد </w:t>
      </w:r>
      <w:r>
        <w:rPr>
          <w:rStyle w:val="FootnoteAnchor"/>
          <w:rtl w:val="true"/>
        </w:rPr>
        <w:footnoteReference w:id="906"/>
      </w:r>
      <w:r>
        <w:rPr>
          <w:rFonts w:ascii="IRNazanin" w:hAnsi="IRNazanin" w:eastAsia="IRNazanin"/>
          <w:color w:val="111111"/>
          <w:sz w:val="28"/>
          <w:sz w:val="28"/>
          <w:szCs w:val="28"/>
          <w:rtl w:val="true"/>
          <w:lang w:bidi="fa-IR"/>
        </w:rPr>
        <w:t>،بل لا أقلّ من اعتبار العدلین، فلا بدّ من طرح المفهوم؛لعدم جواز إخراج المورد</w:t>
      </w:r>
      <w:r>
        <w:rPr>
          <w:rFonts w:eastAsia="IRNazanin" w:cs="IRNazanin"/>
          <w:color w:val="111111"/>
          <w:sz w:val="28"/>
          <w:szCs w:val="28"/>
          <w:rtl w:val="true"/>
          <w:lang w:bidi="fa-IR"/>
        </w:rPr>
        <w:t>.</w:t>
      </w:r>
    </w:p>
    <w:p>
      <w:pPr>
        <w:pStyle w:val="Heading6"/>
        <w:numPr>
          <w:ilvl w:val="5"/>
          <w:numId w:val="1"/>
        </w:numPr>
        <w:rPr/>
      </w:pPr>
      <w:bookmarkStart w:id="710" w:name="__RefHeading___Toc5446977_3224264995"/>
      <w:bookmarkStart w:id="711" w:name="_Toc270"/>
      <w:bookmarkEnd w:id="710"/>
      <w:r>
        <w:rPr>
          <w:rtl w:val="true"/>
        </w:rPr>
        <w:t>الجواب عن هذا الایراد</w:t>
      </w:r>
      <w:bookmarkEnd w:id="711"/>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غایة الأمر لزوم تقیید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إذا تعدّد المخبر العادل،فکلّ واحد من خبری </w:t>
      </w:r>
      <w:r>
        <w:rPr>
          <w:rStyle w:val="FootnoteAnchor"/>
          <w:rtl w:val="true"/>
        </w:rPr>
        <w:footnoteReference w:id="907"/>
      </w:r>
      <w:r>
        <w:rPr>
          <w:rFonts w:ascii="IRNazanin" w:hAnsi="IRNazanin" w:eastAsia="IRNazanin"/>
          <w:color w:val="111111"/>
          <w:sz w:val="28"/>
          <w:sz w:val="28"/>
          <w:szCs w:val="28"/>
          <w:rtl w:val="true"/>
          <w:lang w:bidi="fa-IR"/>
        </w:rPr>
        <w:t>العدلین فی البیّنة لا یجب التبیّن فیه</w:t>
      </w:r>
      <w:r>
        <w:rPr>
          <w:rFonts w:eastAsia="IRNazanin" w:cs="IRNazanin"/>
          <w:color w:val="111111"/>
          <w:sz w:val="28"/>
          <w:szCs w:val="28"/>
          <w:rtl w:val="true"/>
          <w:lang w:bidi="fa-IR"/>
        </w:rPr>
        <w:t xml:space="preserve">. </w:t>
      </w:r>
      <w:bookmarkStart w:id="712" w:name="pg12977_114313"/>
    </w:p>
    <w:p>
      <w:pPr>
        <w:pStyle w:val="BookText"/>
        <w:rPr/>
      </w:pPr>
      <w:bookmarkEnd w:id="712"/>
      <w:r>
        <w:rPr>
          <w:rFonts w:ascii="IRNazanin" w:hAnsi="IRNazanin" w:eastAsia="IRNazanin"/>
          <w:color w:val="111111"/>
          <w:sz w:val="28"/>
          <w:sz w:val="28"/>
          <w:szCs w:val="28"/>
          <w:rtl w:val="true"/>
          <w:lang w:bidi="fa-IR"/>
        </w:rPr>
        <w:t>و أمّا لزوم إخراج المورد فممنوع؛لأنّ المورد داخل فی منطوق الآیة لا مفهومها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جعل أصل خبر الارتداد موردا للحکم بوجوب التبیّن إذا کان المخبر به فاسقا و بعدمه </w:t>
      </w:r>
      <w:r>
        <w:rPr>
          <w:rStyle w:val="FootnoteAnchor"/>
          <w:rtl w:val="true"/>
        </w:rPr>
        <w:footnoteReference w:id="908"/>
      </w:r>
      <w:r>
        <w:rPr>
          <w:rFonts w:ascii="IRNazanin" w:hAnsi="IRNazanin" w:eastAsia="IRNazanin"/>
          <w:color w:val="111111"/>
          <w:sz w:val="28"/>
          <w:sz w:val="28"/>
          <w:szCs w:val="28"/>
          <w:rtl w:val="true"/>
          <w:lang w:bidi="fa-IR"/>
        </w:rPr>
        <w:t xml:space="preserve">إذا کان المخبر به عادلا،لا یلزم منه إلاّ تقیید لحکمه </w:t>
      </w:r>
      <w:r>
        <w:rPr>
          <w:rStyle w:val="FootnoteAnchor"/>
          <w:rtl w:val="true"/>
        </w:rPr>
        <w:footnoteReference w:id="909"/>
      </w:r>
      <w:r>
        <w:rPr>
          <w:rFonts w:ascii="IRNazanin" w:hAnsi="IRNazanin" w:eastAsia="IRNazanin"/>
          <w:color w:val="111111"/>
          <w:sz w:val="28"/>
          <w:sz w:val="28"/>
          <w:szCs w:val="28"/>
          <w:rtl w:val="true"/>
          <w:lang w:bidi="fa-IR"/>
        </w:rPr>
        <w:t>فی طرف المفهوم و إخراج بعض أفراده،و هذا لیس من إخراج المورد المستهجن فی شیء</w:t>
      </w:r>
      <w:r>
        <w:rPr>
          <w:rFonts w:eastAsia="IRNazanin" w:cs="IRNazanin"/>
          <w:color w:val="111111"/>
          <w:sz w:val="28"/>
          <w:szCs w:val="28"/>
          <w:rtl w:val="true"/>
          <w:lang w:bidi="fa-IR"/>
        </w:rPr>
        <w:t>.</w:t>
      </w:r>
    </w:p>
    <w:p>
      <w:pPr>
        <w:pStyle w:val="Heading6"/>
        <w:numPr>
          <w:ilvl w:val="5"/>
          <w:numId w:val="1"/>
        </w:numPr>
        <w:rPr/>
      </w:pPr>
      <w:bookmarkStart w:id="713" w:name="__RefHeading___Toc5446979_3224264995"/>
      <w:bookmarkStart w:id="714" w:name="_Toc271"/>
      <w:bookmarkEnd w:id="713"/>
      <w:r>
        <w:rPr/>
        <w:t>6</w:t>
      </w:r>
      <w:r>
        <w:rPr>
          <w:rtl w:val="true"/>
        </w:rPr>
        <w:t>-</w:t>
      </w:r>
      <w:r>
        <w:rPr>
          <w:rtl w:val="true"/>
        </w:rPr>
        <w:t>مفهوم الآیة لا یستلزم العمل و الجواب عنه</w:t>
      </w:r>
      <w:bookmarkEnd w:id="714"/>
    </w:p>
    <w:p>
      <w:pPr>
        <w:pStyle w:val="BookText"/>
        <w:rPr/>
      </w:pPr>
      <w:r>
        <w:rPr>
          <w:rFonts w:ascii="IRNazanin" w:hAnsi="IRNazanin" w:eastAsia="IRNazanin"/>
          <w:color w:val="111111"/>
          <w:sz w:val="28"/>
          <w:sz w:val="28"/>
          <w:szCs w:val="28"/>
          <w:rtl w:val="true"/>
          <w:lang w:bidi="fa-IR"/>
        </w:rPr>
        <w:t xml:space="preserve">و منها ما عن غایة البادئ </w:t>
      </w:r>
      <w:r>
        <w:rPr>
          <w:rStyle w:val="FootnoteAnchor"/>
          <w:rtl w:val="true"/>
        </w:rPr>
        <w:footnoteReference w:id="9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المفهوم یدلّ علی عدم وجوب التبیّن،و هو لا یستلزم العمل؛لجواز وجوب التوقّف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کأنّ هذا الایراد مبنیّ علی ما تقدّم </w:t>
      </w:r>
      <w:r>
        <w:rPr>
          <w:rStyle w:val="FootnoteAnchor"/>
          <w:rtl w:val="true"/>
        </w:rPr>
        <w:footnoteReference w:id="912"/>
      </w:r>
      <w:r>
        <w:rPr>
          <w:rFonts w:ascii="IRNazanin" w:hAnsi="IRNazanin" w:eastAsia="IRNazanin"/>
          <w:color w:val="111111"/>
          <w:sz w:val="28"/>
          <w:sz w:val="28"/>
          <w:szCs w:val="28"/>
          <w:rtl w:val="true"/>
          <w:lang w:bidi="fa-IR"/>
        </w:rPr>
        <w:t>فساده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إرادة وجوب التبیّن نفسیّا،و قد عرفت ضعفه،و أنّ المراد وجوب التبیّن لأجل العمل عند إرادته،و لیس التوقّف حینئذ واسطة</w:t>
      </w:r>
      <w:r>
        <w:rPr>
          <w:rFonts w:eastAsia="IRNazanin" w:cs="IRNazanin"/>
          <w:color w:val="111111"/>
          <w:sz w:val="28"/>
          <w:szCs w:val="28"/>
          <w:rtl w:val="true"/>
          <w:lang w:bidi="fa-IR"/>
        </w:rPr>
        <w:t>.</w:t>
      </w:r>
    </w:p>
    <w:p>
      <w:pPr>
        <w:pStyle w:val="Heading6"/>
        <w:numPr>
          <w:ilvl w:val="5"/>
          <w:numId w:val="1"/>
        </w:numPr>
        <w:rPr/>
      </w:pPr>
      <w:bookmarkStart w:id="715" w:name="__RefHeading___Toc5446981_3224264995"/>
      <w:bookmarkStart w:id="716" w:name="_Toc272"/>
      <w:bookmarkEnd w:id="715"/>
      <w:r>
        <w:rPr/>
        <w:t>7</w:t>
      </w:r>
      <w:r>
        <w:rPr>
          <w:rtl w:val="true"/>
        </w:rPr>
        <w:t>-</w:t>
      </w:r>
      <w:r>
        <w:rPr>
          <w:rtl w:val="true"/>
        </w:rPr>
        <w:t>کون المسألة اصولیّة و جوابه</w:t>
      </w:r>
      <w:bookmarkEnd w:id="716"/>
    </w:p>
    <w:p>
      <w:pPr>
        <w:pStyle w:val="BookText"/>
        <w:rPr/>
      </w:pPr>
      <w:r>
        <w:rPr>
          <w:rFonts w:ascii="IRNazanin" w:hAnsi="IRNazanin" w:eastAsia="IRNazanin"/>
          <w:color w:val="111111"/>
          <w:sz w:val="28"/>
          <w:sz w:val="28"/>
          <w:szCs w:val="28"/>
          <w:rtl w:val="true"/>
          <w:lang w:bidi="fa-IR"/>
        </w:rPr>
        <w:t>أنّ المسألة اصولیّة،فلا یکتفی فیها بالظنّ</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الظهور اللفظیّ لا بأس بالتمسّک به فی اصول الفقه، و الاصول التی لا یتمسّک فیها </w:t>
      </w:r>
      <w:r>
        <w:rPr>
          <w:rStyle w:val="FootnoteAnchor"/>
          <w:rtl w:val="true"/>
        </w:rPr>
        <w:footnoteReference w:id="913"/>
      </w:r>
      <w:r>
        <w:rPr>
          <w:rFonts w:ascii="IRNazanin" w:hAnsi="IRNazanin" w:eastAsia="IRNazanin"/>
          <w:color w:val="111111"/>
          <w:sz w:val="28"/>
          <w:sz w:val="28"/>
          <w:szCs w:val="28"/>
          <w:rtl w:val="true"/>
          <w:lang w:bidi="fa-IR"/>
        </w:rPr>
        <w:t xml:space="preserve">بالظنّ مطلقا هو اصول الدین لا اصول </w:t>
      </w:r>
      <w:bookmarkStart w:id="717" w:name="pg12977_114314"/>
    </w:p>
    <w:p>
      <w:pPr>
        <w:pStyle w:val="BookText"/>
        <w:rPr/>
      </w:pPr>
      <w:bookmarkEnd w:id="717"/>
      <w:r>
        <w:rPr>
          <w:rFonts w:ascii="IRNazanin" w:hAnsi="IRNazanin" w:eastAsia="IRNazanin"/>
          <w:color w:val="111111"/>
          <w:sz w:val="28"/>
          <w:sz w:val="28"/>
          <w:szCs w:val="28"/>
          <w:rtl w:val="true"/>
          <w:lang w:bidi="fa-IR"/>
        </w:rPr>
        <w:t>الفقه،و الظنّ الذی لا یتمسّک به فی الاصول مطلقا هو مطلق الظنّ، لا الظنّ الخاصّ</w:t>
      </w:r>
      <w:r>
        <w:rPr>
          <w:rFonts w:eastAsia="IRNazanin" w:cs="IRNazanin"/>
          <w:color w:val="111111"/>
          <w:sz w:val="28"/>
          <w:szCs w:val="28"/>
          <w:rtl w:val="true"/>
          <w:lang w:bidi="fa-IR"/>
        </w:rPr>
        <w:t>.</w:t>
      </w:r>
    </w:p>
    <w:p>
      <w:pPr>
        <w:pStyle w:val="Heading6"/>
        <w:numPr>
          <w:ilvl w:val="5"/>
          <w:numId w:val="1"/>
        </w:numPr>
        <w:rPr/>
      </w:pPr>
      <w:bookmarkStart w:id="718" w:name="__RefHeading___Toc5446983_3224264995"/>
      <w:bookmarkStart w:id="719" w:name="_Toc273"/>
      <w:bookmarkEnd w:id="718"/>
      <w:r>
        <w:rPr/>
        <w:t>7</w:t>
      </w:r>
      <w:r>
        <w:rPr>
          <w:rtl w:val="true"/>
        </w:rPr>
        <w:t>-</w:t>
      </w:r>
      <w:r>
        <w:rPr>
          <w:rtl w:val="true"/>
        </w:rPr>
        <w:t>انحصار مفهوم الآیة فی المعصوم علیه السلام و من دونه</w:t>
      </w:r>
      <w:bookmarkEnd w:id="719"/>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بالفاسق مطلق الخارج عن طاعة اللّه و لو بالصغائر،فکلّ من کان کذلک أو احتمل فی حقّه ذلک وجب التبیّن فی خبره،و غیره ممّن یفید قوله العلم؛لانحصاره فی المعصوم أو من هو دونه،فیکون فی تعلیق الحکم بالفسق إشارة إلی أنّ مطلق خبر المخبر غیر المعصوم لا عبرة به؛لاحتمال فسقه؛لأنّ المراد الفاسق الواقعیّ لا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وجه آخر لإفادة الآیة حرمة اتّباع غیر العلم،لا یحتاج معه إلی التمسّک فی ذلک بتعلیل الآیة،کما تقدّم </w:t>
      </w:r>
      <w:r>
        <w:rPr>
          <w:rStyle w:val="FootnoteAnchor"/>
          <w:rtl w:val="true"/>
        </w:rPr>
        <w:footnoteReference w:id="914"/>
      </w:r>
      <w:r>
        <w:rPr>
          <w:rFonts w:ascii="IRNazanin" w:hAnsi="IRNazanin" w:eastAsia="IRNazanin"/>
          <w:color w:val="111111"/>
          <w:sz w:val="28"/>
          <w:sz w:val="28"/>
          <w:szCs w:val="28"/>
          <w:rtl w:val="true"/>
          <w:lang w:bidi="fa-IR"/>
        </w:rPr>
        <w:t>فی الإیراد الثانی من الإیرادین الأوّلین</w:t>
      </w:r>
      <w:r>
        <w:rPr>
          <w:rFonts w:eastAsia="IRNazanin" w:cs="IRNazanin"/>
          <w:color w:val="111111"/>
          <w:sz w:val="28"/>
          <w:szCs w:val="28"/>
          <w:rtl w:val="true"/>
          <w:lang w:bidi="fa-IR"/>
        </w:rPr>
        <w:t>.</w:t>
      </w:r>
    </w:p>
    <w:p>
      <w:pPr>
        <w:pStyle w:val="Heading6"/>
        <w:numPr>
          <w:ilvl w:val="5"/>
          <w:numId w:val="1"/>
        </w:numPr>
        <w:rPr/>
      </w:pPr>
      <w:bookmarkStart w:id="720" w:name="__RefHeading___Toc5446985_3224264995"/>
      <w:bookmarkStart w:id="721" w:name="_Toc274"/>
      <w:bookmarkEnd w:id="720"/>
      <w:r>
        <w:rPr>
          <w:rtl w:val="true"/>
        </w:rPr>
        <w:t>الجواب عن هذا الإیراد</w:t>
      </w:r>
      <w:r>
        <w:rPr>
          <w:rtl w:val="true"/>
        </w:rPr>
        <w:t>:</w:t>
      </w:r>
      <w:bookmarkEnd w:id="721"/>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إرادة مطلق الخارج عن طاعة اللّه من إطلاق الفاسق خلاف الظاهر عرفا،فالمراد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الکافر،کما هو الشائع إطلاقه فی الکتاب،حیث إنّه یطلق غالبا فی مقابل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الخارج عن طاعة اللّه بالمعاصی الکبیرة الثابتة تحریمها فی زمان نزول هذه الآیة،فالمرتکب للصغیرة غیر داخل تحت إطلاق الفاسق فی عرفنا المطابق للعرف السابق</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کَبائِرَ ما تُنْهَوْنَ عَنْهُ نُکَفِّرْ عَنْکُمْ سَیِّئاتِکُمْ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 xml:space="preserve">. </w:t>
      </w:r>
      <w:bookmarkStart w:id="722" w:name="pg12977_114315"/>
    </w:p>
    <w:p>
      <w:pPr>
        <w:pStyle w:val="BookText"/>
        <w:rPr/>
      </w:pPr>
      <w:bookmarkEnd w:id="722"/>
      <w:r>
        <w:rPr>
          <w:rFonts w:ascii="IRNazanin" w:hAnsi="IRNazanin" w:eastAsia="IRNazanin"/>
          <w:color w:val="111111"/>
          <w:sz w:val="28"/>
          <w:sz w:val="28"/>
          <w:szCs w:val="28"/>
          <w:rtl w:val="true"/>
          <w:lang w:bidi="fa-IR"/>
        </w:rPr>
        <w:t xml:space="preserve">مع أنّه یمکن فرض الخلوّ عن الصغیرة و الکبیرة،کما إذا علم منه التوبة من الذنب السابق،و به یندفع الإیراد المذکور،حتّی علی مذهب من یجعل کلّ ذنب کبیرة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احتمال فسقه بهذا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لکذبه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غیر قادح؛لأنّ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جاءَکُمْ فاسِقٌ بِنَبَإٍ </w:t>
      </w:r>
      <w:r>
        <w:rPr>
          <w:rStyle w:val="FootnoteAnchor"/>
          <w:rtl w:val="true"/>
        </w:rPr>
        <w:footnoteReference w:id="917"/>
      </w:r>
      <w:r>
        <w:rPr>
          <w:rFonts w:ascii="IRNazanin" w:hAnsi="IRNazanin" w:eastAsia="IRNazanin"/>
          <w:color w:val="111111"/>
          <w:sz w:val="28"/>
          <w:sz w:val="28"/>
          <w:szCs w:val="28"/>
          <w:rtl w:val="true"/>
          <w:lang w:bidi="fa-IR"/>
        </w:rPr>
        <w:t>تحقّق الفسق قبل النبأ لا به، فالمفهوم یدلّ علی قبول خبر من لیس فاسقا مع قطع النظر عن هذا النبأ و احتمال فسقه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جملة ممّا أوردوه علی ظاهر الآیة،و قد عرفت </w:t>
      </w:r>
      <w:r>
        <w:rPr>
          <w:rStyle w:val="FootnoteAnchor"/>
          <w:rtl w:val="true"/>
        </w:rPr>
        <w:footnoteReference w:id="918"/>
      </w:r>
      <w:r>
        <w:rPr>
          <w:rFonts w:ascii="IRNazanin" w:hAnsi="IRNazanin" w:eastAsia="IRNazanin"/>
          <w:color w:val="111111"/>
          <w:sz w:val="28"/>
          <w:sz w:val="28"/>
          <w:szCs w:val="28"/>
          <w:rtl w:val="true"/>
          <w:lang w:bidi="fa-IR"/>
        </w:rPr>
        <w:t xml:space="preserve">أنّ الوارد منها إیرادان،و العمدة الایراد الأوّل الذی أورده جماعة من القدماء و المتأخّرین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3" w:name="__RefHeading___Toc5446987_3224264995"/>
      <w:bookmarkStart w:id="724" w:name="_Toc275"/>
      <w:bookmarkEnd w:id="723"/>
      <w:r>
        <w:rPr>
          <w:rtl w:val="true"/>
        </w:rPr>
        <w:t>الاستدلال بمنطوق الآیة علی حجیّة خبر غیر العادل إذا حصل الظنّ بصدقه</w:t>
      </w:r>
      <w:bookmarkEnd w:id="724"/>
    </w:p>
    <w:p>
      <w:pPr>
        <w:pStyle w:val="BookText"/>
        <w:rPr/>
      </w:pPr>
      <w:r>
        <w:rPr>
          <w:rFonts w:ascii="IRNazanin" w:hAnsi="IRNazanin" w:eastAsia="IRNazanin"/>
          <w:color w:val="111111"/>
          <w:sz w:val="28"/>
          <w:sz w:val="28"/>
          <w:szCs w:val="28"/>
          <w:rtl w:val="true"/>
          <w:lang w:bidi="fa-IR"/>
        </w:rPr>
        <w:t>ثمّ إنّه کما استدلّ بمفهوم الآیة علی حجّیّة خبر العادل،کذلک قد یستدلّ بمنطوقها علی حجّیّة خبر غیر العادل إذا حصل الظنّ بصدقه؛ بناء علی أنّ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یعمّ تحصیل الظنّ،فإذا حصل من الخارج ظنّ بصدق خبر الفاسق کفی فی العمل به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التبیّن الظنّیّ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تحصیل شهرة العلماء علی العمل بالخبر أو علی مضمونه أو علی </w:t>
      </w:r>
      <w:r>
        <w:rPr>
          <w:rStyle w:val="FootnoteAnchor"/>
          <w:rtl w:val="true"/>
        </w:rPr>
        <w:footnoteReference w:id="920"/>
      </w:r>
      <w:r>
        <w:rPr>
          <w:rFonts w:ascii="IRNazanin" w:hAnsi="IRNazanin" w:eastAsia="IRNazanin"/>
          <w:color w:val="111111"/>
          <w:sz w:val="28"/>
          <w:sz w:val="28"/>
          <w:szCs w:val="28"/>
          <w:rtl w:val="true"/>
          <w:lang w:bidi="fa-IR"/>
        </w:rPr>
        <w:t xml:space="preserve">روایته،و من هنا تمسّک بعض </w:t>
      </w:r>
      <w:r>
        <w:rPr>
          <w:rStyle w:val="FootnoteAnchor"/>
          <w:rtl w:val="true"/>
        </w:rPr>
        <w:footnoteReference w:id="921"/>
      </w:r>
      <w:r>
        <w:rPr>
          <w:rFonts w:ascii="IRNazanin" w:hAnsi="IRNazanin" w:eastAsia="IRNazanin"/>
          <w:color w:val="111111"/>
          <w:sz w:val="28"/>
          <w:sz w:val="28"/>
          <w:szCs w:val="28"/>
          <w:rtl w:val="true"/>
          <w:lang w:bidi="fa-IR"/>
        </w:rPr>
        <w:t xml:space="preserve">بمنطوق الآیة علی </w:t>
      </w:r>
      <w:bookmarkStart w:id="725" w:name="pg12977_114316"/>
    </w:p>
    <w:p>
      <w:pPr>
        <w:pStyle w:val="BookText"/>
        <w:rPr/>
      </w:pPr>
      <w:bookmarkEnd w:id="725"/>
      <w:r>
        <w:rPr>
          <w:rFonts w:ascii="IRNazanin" w:hAnsi="IRNazanin" w:eastAsia="IRNazanin"/>
          <w:color w:val="111111"/>
          <w:sz w:val="28"/>
          <w:sz w:val="28"/>
          <w:szCs w:val="28"/>
          <w:rtl w:val="true"/>
          <w:lang w:bidi="fa-IR"/>
        </w:rPr>
        <w:t>حجّیّة الخبر الضعیف المنجبر بالشهرة،و فی حکم الشهرة أمارة اخری غیر 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عمّم التبیّن للتبیّن الاجمالیّ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تحصیل الظنّ بصدق مخبره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خبر الفاسق المتحرّز عن الکذب؛فیدخل الموثّق و شبهه بل الحسن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ذکر،فیثبت من آیة النبأ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منطوقا و مفهوما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الأقسام الأربعة للخبر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الصحیح،و الحسن،و الموثّق،و الضعیف المحفوف بقرینة ظنّیّة</w:t>
      </w:r>
      <w:r>
        <w:rPr>
          <w:rFonts w:eastAsia="IRNazanin" w:cs="IRNazanin"/>
          <w:color w:val="111111"/>
          <w:sz w:val="28"/>
          <w:szCs w:val="28"/>
          <w:rtl w:val="true"/>
          <w:lang w:bidi="fa-IR"/>
        </w:rPr>
        <w:t>.</w:t>
      </w:r>
    </w:p>
    <w:p>
      <w:pPr>
        <w:pStyle w:val="Heading6"/>
        <w:numPr>
          <w:ilvl w:val="5"/>
          <w:numId w:val="1"/>
        </w:numPr>
        <w:rPr/>
      </w:pPr>
      <w:bookmarkStart w:id="726" w:name="__RefHeading___Toc5446989_3224264995"/>
      <w:bookmarkStart w:id="727" w:name="_Toc276"/>
      <w:bookmarkEnd w:id="726"/>
      <w:r>
        <w:rPr>
          <w:rtl w:val="true"/>
        </w:rPr>
        <w:t>المناقشة فی الاستدلال المذکور</w:t>
      </w:r>
      <w:r>
        <w:rPr>
          <w:rtl w:val="true"/>
        </w:rPr>
        <w:t>:</w:t>
      </w:r>
      <w:bookmarkEnd w:id="727"/>
    </w:p>
    <w:p>
      <w:pPr>
        <w:pStyle w:val="BookText"/>
        <w:rPr/>
      </w:pPr>
      <w:r>
        <w:rPr>
          <w:rFonts w:ascii="IRNazanin" w:hAnsi="IRNazanin" w:eastAsia="IRNazanin"/>
          <w:color w:val="111111"/>
          <w:sz w:val="28"/>
          <w:sz w:val="28"/>
          <w:szCs w:val="28"/>
          <w:rtl w:val="true"/>
          <w:lang w:bidi="fa-IR"/>
        </w:rPr>
        <w:t>و لکن فیه من الإشکال ما لا یخفی؛لأنّ التبیّن ظاهر فی العلمیّ؛ کیف و لو کان المراد مجرّد الظنّ لکان الأمر به فی خبر الفاسق لغوا،إذ العاقل لا یعمل بخبر إلاّ بعد رجحان صدقه علی 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یدفع اللغویّة بما ذکرنا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المقصود التنبیه و الارشاد علی أنّ الفاسق لا ینبغی أن یعتمد علیه،و أنّه لا یؤمن من کذبه و إن کان المظنون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التعلیل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آبیة عن </w:t>
      </w:r>
      <w:r>
        <w:rPr>
          <w:rStyle w:val="FootnoteAnchor"/>
          <w:rtl w:val="true"/>
        </w:rPr>
        <w:footnoteReference w:id="922"/>
      </w:r>
      <w:r>
        <w:rPr>
          <w:rFonts w:ascii="Amiri" w:hAnsi="Amiri" w:eastAsia="Amiri" w:cs="Amiri"/>
          <w:color w:val="111111"/>
          <w:sz w:val="28"/>
          <w:sz w:val="28"/>
          <w:szCs w:val="28"/>
          <w:rtl w:val="true"/>
          <w:lang w:bidi="ar-SA"/>
        </w:rPr>
        <w:t>إرادة مجرّد الظنّ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نعم،یمکن دعوی صدقه علی الاطمئنان الخارج عن التحیّر و التزلزل بحیث لا یعدّ فی العرف العمل به تعریضا للوقوع فی الندم؛ فحینئذ لا یبعد انجبار خبر الفاسق به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لکن،لو قلنا بظهور المنطوق فی ذلک کان دالا علی حجّیّة الظنّ </w:t>
      </w:r>
    </w:p>
    <w:p>
      <w:pPr>
        <w:pStyle w:val="BookText"/>
        <w:rPr/>
      </w:pPr>
      <w:r>
        <w:rPr>
          <w:rFonts w:ascii="IRNazanin" w:hAnsi="IRNazanin" w:eastAsia="IRNazanin"/>
          <w:color w:val="111111"/>
          <w:sz w:val="28"/>
          <w:sz w:val="28"/>
          <w:szCs w:val="28"/>
          <w:rtl w:val="true"/>
          <w:lang w:bidi="fa-IR"/>
        </w:rPr>
        <w:t>الاطمئنانیّ المذکور و إن لم یکن معه خبر فاسق؛نظرا إلی أنّ الظاهر من الآیة أنّ خبر الفاسق وجوده کعدمه،و أنّه لا بدّ من تبیّن الأمر من الخارج،و العمل علی ما یقتضیه التبیّن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نعم،ربما یکون نفس الخبر من الأمارات التی یحصل من مجموعها التبیّن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الحذر عن الوقوع فی مخالفة الواقع،فکلّما حصل الأمن منه جاز العمل،فلا فرق حینئذ بین خبر الفاسق المعتضد بالشهرة إذا حصل الاطمئنان بصدقه و بین الشهرة المجرّدة إذا حصل الاطمئنان بصدق مضمونها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الآیة تدلّ علی أنّ العمل یعتبر فیه التبیّن من دون مدخلیّة لوجود خبر الفاسق و عدمه،سواء قلنا بأنّ المراد منه العلم أو الاطمئنان أو مطلق الظنّ،حتّی أنّ من قال </w:t>
      </w:r>
      <w:r>
        <w:rPr>
          <w:rStyle w:val="FootnoteAnchor"/>
          <w:rtl w:val="true"/>
        </w:rPr>
        <w:footnoteReference w:id="923"/>
      </w:r>
      <w:r>
        <w:rPr>
          <w:rFonts w:ascii="Amiri" w:hAnsi="Amiri" w:eastAsia="Amiri" w:cs="Amiri"/>
          <w:color w:val="111111"/>
          <w:sz w:val="28"/>
          <w:sz w:val="28"/>
          <w:szCs w:val="28"/>
          <w:rtl w:val="true"/>
          <w:lang w:bidi="ar-SA"/>
        </w:rPr>
        <w:t xml:space="preserve">بأنّ </w:t>
      </w:r>
      <w:r>
        <w:rPr>
          <w:rStyle w:val="FootnoteAnchor"/>
          <w:rtl w:val="true"/>
        </w:rPr>
        <w:footnoteReference w:id="924"/>
      </w:r>
      <w:r>
        <w:rPr>
          <w:rFonts w:ascii="IRNazanin" w:hAnsi="IRNazanin" w:eastAsia="IRNazanin"/>
          <w:color w:val="111111"/>
          <w:sz w:val="28"/>
          <w:sz w:val="28"/>
          <w:szCs w:val="28"/>
          <w:rtl w:val="true"/>
          <w:lang w:bidi="fa-IR"/>
        </w:rPr>
        <w:t>خبر الفاسق یکفی فیه مجرّد الظنّ بمضمونه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لحسن </w:t>
      </w:r>
      <w:r>
        <w:rPr>
          <w:rStyle w:val="FootnoteAnchor"/>
          <w:rtl w:val="true"/>
        </w:rPr>
        <w:footnoteReference w:id="925"/>
      </w:r>
      <w:r>
        <w:rPr>
          <w:rFonts w:ascii="IRNazanin" w:hAnsi="IRNazanin" w:eastAsia="IRNazanin"/>
          <w:color w:val="111111"/>
          <w:sz w:val="28"/>
          <w:sz w:val="28"/>
          <w:szCs w:val="28"/>
          <w:rtl w:val="true"/>
          <w:lang w:bidi="fa-IR"/>
        </w:rPr>
        <w:t>أو توثیق أو غیرهما من صفات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فلازمه القول بدلالة الآیة علی حجّیّة مطلق الظنّ بالحکم الشرعیّ و إن لم یکن معه خبر أصلا،فافهم و اغتنم و استقم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لکن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حمل التبیّن علی تحصیل مطلق الظنّ أو الاطمئنان یوجب خروج مورد المنطوق،و هو الإخبار بالارتداد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 xml:space="preserve">. </w:t>
      </w:r>
      <w:bookmarkStart w:id="728" w:name="pg12977_114318"/>
    </w:p>
    <w:p>
      <w:pPr>
        <w:pStyle w:val="Heading6"/>
        <w:numPr>
          <w:ilvl w:val="5"/>
          <w:numId w:val="1"/>
        </w:numPr>
        <w:rPr/>
      </w:pPr>
      <w:bookmarkStart w:id="729" w:name="__RefHeading___Toc5446991_3224264995"/>
      <w:bookmarkStart w:id="730" w:name="_Toc277"/>
      <w:bookmarkEnd w:id="728"/>
      <w:bookmarkEnd w:id="729"/>
      <w:r>
        <w:rPr>
          <w:rtl w:val="true"/>
        </w:rPr>
        <w:t>الآیة الثانیة</w:t>
      </w:r>
      <w:r>
        <w:rPr>
          <w:rtl w:val="true"/>
        </w:rPr>
        <w:t>:</w:t>
      </w:r>
      <w:r>
        <w:rPr>
          <w:rtl w:val="true"/>
        </w:rPr>
        <w:t>آیة</w:t>
      </w:r>
      <w:r>
        <w:rPr>
          <w:rtl w:val="true"/>
        </w:rPr>
        <w:t>«</w:t>
      </w:r>
      <w:r>
        <w:rPr>
          <w:rtl w:val="true"/>
        </w:rPr>
        <w:t>النفر</w:t>
      </w:r>
      <w:r>
        <w:rPr>
          <w:rtl w:val="true"/>
        </w:rPr>
        <w:t>»</w:t>
      </w:r>
      <w:bookmarkEnd w:id="730"/>
    </w:p>
    <w:p>
      <w:pPr>
        <w:pStyle w:val="BookText"/>
        <w:rPr/>
      </w:pPr>
      <w:r>
        <w:rPr>
          <w:rFonts w:ascii="IRNazanin" w:hAnsi="IRNazanin" w:eastAsia="IRNazanin"/>
          <w:color w:val="111111"/>
          <w:sz w:val="28"/>
          <w:sz w:val="28"/>
          <w:szCs w:val="28"/>
          <w:rtl w:val="true"/>
          <w:lang w:bidi="fa-IR"/>
        </w:rPr>
        <w:t>و من جملة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 فی سورة براءة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لا نَفَرَ مِنْ کُلِّ فِرْقَةٍ مِنْهُمْ طائِفَةٌ لِیَتَفَقَّهُوا فِی الدِّینِ وَ لِیُنْذِرُوا قَوْمَهُمْ إِذا رَجَعُوا إِلَیْهِمْ لَعَلَّهُمْ یَحْذَرُونَ</w:t>
      </w:r>
    </w:p>
    <w:p>
      <w:pPr>
        <w:pStyle w:val="BookText"/>
        <w:rPr/>
      </w:pPr>
      <w:r>
        <w:rPr>
          <w:rStyle w:val="FootnoteAnchor"/>
          <w:rtl w:val="true"/>
        </w:rPr>
        <w:footnoteReference w:id="92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1" w:name="__RefHeading___Toc5446993_3224264995"/>
      <w:bookmarkStart w:id="732" w:name="_Toc278"/>
      <w:bookmarkEnd w:id="731"/>
      <w:r>
        <w:rPr>
          <w:rtl w:val="true"/>
        </w:rPr>
        <w:t>وجه الاستدلال بها</w:t>
      </w:r>
      <w:r>
        <w:rPr>
          <w:rtl w:val="true"/>
        </w:rPr>
        <w:t>:</w:t>
      </w:r>
      <w:bookmarkEnd w:id="732"/>
    </w:p>
    <w:p>
      <w:pPr>
        <w:pStyle w:val="BookText"/>
        <w:rPr/>
      </w:pPr>
      <w:r>
        <w:rPr>
          <w:rFonts w:ascii="IRNazanin" w:hAnsi="IRNazanin" w:eastAsia="IRNazanin"/>
          <w:color w:val="111111"/>
          <w:sz w:val="28"/>
          <w:sz w:val="28"/>
          <w:szCs w:val="28"/>
          <w:rtl w:val="true"/>
          <w:lang w:bidi="fa-IR"/>
        </w:rPr>
        <w:t>دلّت علی وجوب الحذر عند إنذار المنذرین،من دون اعتبار إفادة خبرهم العلم لتواتر أو قرینة،فیثبت وجوب العمل بخبر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وجوب الحذر،فمن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انسلاخها عن معنی الترجّی ظاهرة فی کون مدخولها محبوبا للمتکلّم،و إذا تحقّق حسن الحذر ثبت وجوبه؛ إمّا لما ذکره فی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أنّه لا معنی لندب الحذر؛إذ مع قیام المقتضی یجب و مع عدمه لا یحسن </w:t>
      </w:r>
      <w:r>
        <w:rPr>
          <w:rStyle w:val="FootnoteAnchor"/>
          <w:rtl w:val="true"/>
        </w:rPr>
        <w:footnoteReference w:id="928"/>
      </w:r>
      <w:r>
        <w:rPr>
          <w:rFonts w:ascii="IRNazanin" w:hAnsi="IRNazanin" w:eastAsia="IRNazanin"/>
          <w:color w:val="111111"/>
          <w:sz w:val="28"/>
          <w:sz w:val="28"/>
          <w:szCs w:val="28"/>
          <w:rtl w:val="true"/>
          <w:lang w:bidi="fa-IR"/>
        </w:rPr>
        <w:t>،و إمّا لأنّ رجحان العمل بخبر الواحد مستلزم لوجوبه بالإجماع المرکّب؛لأنّ کلّ من أجازه فقد أوجبه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الآیة وجوب الإنذار؛لوقوعه غایة للنفر الواجب بمقتضی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وجب الإنذار أفاد وجوب الحذر لوجهین</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 غایة للواجب؛فإنّ الغایة المترتّبة علی فعل الواجب ممّا لا یرضی الآمر بانتفائه،سواء کان من الأفعال المتعلّقة للتکلیف أم لا،کما فی 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 لعلّک تفلح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لعلّک تدخل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لَیِّناً لَعَلَّهُ یَتَذَکَّرُ أَوْ یَخْشی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وجب الإنذار ثبت وجوب القبول؛و إلاّ لغی الإنذار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نظیر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تمسّک به فی المسالک علی وجوب قبول قول المرأة و تصدیقها فی العدّة،من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یَحِلُّ لَهُنَّ أَنْ یَکْتُمْنَ ما خَلَقَ اللّهُ فِی أَرْحامِهِنَّ </w:t>
      </w:r>
      <w:r>
        <w:rPr>
          <w:rStyle w:val="FootnoteAnchor"/>
          <w:rtl w:val="true"/>
        </w:rPr>
        <w:footnoteReference w:id="930"/>
      </w:r>
      <w:r>
        <w:rPr>
          <w:rFonts w:ascii="IRNazanin" w:hAnsi="IRNazanin" w:eastAsia="IRNazanin"/>
          <w:color w:val="111111"/>
          <w:sz w:val="28"/>
          <w:sz w:val="28"/>
          <w:szCs w:val="28"/>
          <w:rtl w:val="true"/>
          <w:lang w:bidi="fa-IR"/>
        </w:rPr>
        <w:t xml:space="preserve">،فاستدلّ بتحریم الکتمان و وجوب الإظهار علیهنّ،علی قبول قولهنّ بالنسبة إلی ما فی الأرحام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بالنفر النفر إلی الجهاد،کما یظهر من صدر الآیة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الْمُؤْمِنُونَ لِیَنْفِرُوا کَافَّةً، و من المعلوم أنّ النفر إلی الجهاد لیس للتفقّه و الإنذار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ربما یترتّبان علیه،بناء علی ما قیل </w:t>
      </w:r>
      <w:r>
        <w:rPr>
          <w:rStyle w:val="FootnoteAnchor"/>
          <w:rtl w:val="true"/>
        </w:rPr>
        <w:footnoteReference w:id="9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المراد حصول البصیرة فی الدین من مشاهدة آیات اللّه و ظهور أولیائه علی أعدائه و سائر ما یتّفق فی حرب المسلمین مع الکفّار من آیات عظمة اللّه و حکمته،فیخبروا بذلک عند رجوعهم </w:t>
      </w:r>
      <w:r>
        <w:rPr>
          <w:rStyle w:val="FootnoteAnchor"/>
          <w:rtl w:val="true"/>
        </w:rPr>
        <w:footnoteReference w:id="933"/>
      </w:r>
      <w:r>
        <w:rPr>
          <w:rFonts w:ascii="IRNazanin" w:hAnsi="IRNazanin" w:eastAsia="IRNazanin"/>
          <w:color w:val="111111"/>
          <w:sz w:val="28"/>
          <w:sz w:val="28"/>
          <w:szCs w:val="28"/>
          <w:rtl w:val="true"/>
          <w:lang w:bidi="fa-IR"/>
        </w:rPr>
        <w:t>الفرقة المتخلّفة الباقیة فی المدینة؛فالتفقّه و الإنذار من قبیل الفائدة،لا الغایة حتّی تجب بوجوب ذیها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bookmarkStart w:id="733" w:name="pg12977_114320"/>
    </w:p>
    <w:p>
      <w:pPr>
        <w:pStyle w:val="BookText"/>
        <w:rPr/>
      </w:pPr>
      <w:bookmarkEnd w:id="733"/>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فی صدر الآیة دلالة علی أنّ المراد النفر إلی الجهاد،و ذکر الآیة فی آیات الجهاد لا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 أنّ المراد النفر إلی الجهاد،لکن لا یتعیّن أن یکون النفر من کلّ قوم طائفة لأجل مجرّد الجهاد؛بل لو کان لمحض الجهاد لم یتعیّن أن ینفر من کلّ قوم طائفة،فیمکن أن یکون التفقّه غایة لإیجاب النفر علی طائفة من کلّ قوم،لا لإیجاب أصل النفر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قد فسّر الآیة بأنّ المراد نهی المؤمنین عن نفر جمیعهم إلی الجهاد </w:t>
      </w:r>
      <w:r>
        <w:rPr>
          <w:rStyle w:val="FootnoteAnchor"/>
          <w:rtl w:val="true"/>
        </w:rPr>
        <w:footnoteReference w:id="934"/>
      </w:r>
      <w:r>
        <w:rPr>
          <w:rFonts w:ascii="Amiri" w:hAnsi="Amiri" w:eastAsia="Amiri" w:cs="Amiri"/>
          <w:color w:val="111111"/>
          <w:sz w:val="28"/>
          <w:sz w:val="28"/>
          <w:szCs w:val="28"/>
          <w:rtl w:val="true"/>
          <w:lang w:bidi="ar-SA"/>
        </w:rPr>
        <w:t>کما یظهر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الْمُؤْمِنُونَ لِیَنْفِرُوا کَافَّةً </w:t>
      </w:r>
      <w:r>
        <w:rPr>
          <w:rStyle w:val="FootnoteAnchor"/>
          <w:rtl w:val="true"/>
        </w:rPr>
        <w:footnoteReference w:id="935"/>
      </w:r>
      <w:r>
        <w:rPr>
          <w:rFonts w:ascii="IRNazanin" w:hAnsi="IRNazanin" w:eastAsia="IRNazanin"/>
          <w:color w:val="111111"/>
          <w:sz w:val="28"/>
          <w:sz w:val="28"/>
          <w:szCs w:val="28"/>
          <w:rtl w:val="true"/>
          <w:lang w:bidi="fa-IR"/>
        </w:rPr>
        <w:t>، و أمر بعضهم بأن یتخلّفوا عند النبیّ صلّی اللّه علیه و آله و لا یخلّوه وحده،فیتعلّموا مسائل حلالهم و حرامهم حتّی ینذروا قومهم النافرین إذا رجعوا إلیهم</w:t>
      </w:r>
      <w:r>
        <w:rPr>
          <w:rFonts w:eastAsia="IRNazanin" w:cs="IRNazanin"/>
          <w:color w:val="111111"/>
          <w:sz w:val="28"/>
          <w:szCs w:val="28"/>
          <w:rtl w:val="true"/>
          <w:lang w:bidi="fa-IR"/>
        </w:rPr>
        <w:t>.</w:t>
      </w:r>
    </w:p>
    <w:p>
      <w:pPr>
        <w:pStyle w:val="Heading6"/>
        <w:numPr>
          <w:ilvl w:val="5"/>
          <w:numId w:val="1"/>
        </w:numPr>
        <w:rPr/>
      </w:pPr>
      <w:bookmarkStart w:id="734" w:name="__RefHeading___Toc5446995_3224264995"/>
      <w:bookmarkStart w:id="735" w:name="_Toc279"/>
      <w:bookmarkEnd w:id="734"/>
      <w:r>
        <w:rPr>
          <w:rtl w:val="true"/>
        </w:rPr>
        <w:t>ظهور الآیة فی وجوب التفقّه و الإنذار</w:t>
      </w:r>
      <w:r>
        <w:rPr>
          <w:rtl w:val="true"/>
        </w:rPr>
        <w:t>:</w:t>
      </w:r>
      <w:bookmarkEnd w:id="735"/>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ظهور الآیة فی وجوب التفقّه و الإنذار ممّا لا ینکر، فلا محیص عن حمل الآیة علیه و إن لزم مخالفة الظاهر فی سیاق الآیة أو بعض ألفاظها</w:t>
      </w:r>
      <w:r>
        <w:rPr>
          <w:rFonts w:eastAsia="IRNazanin" w:cs="IRNazanin"/>
          <w:color w:val="111111"/>
          <w:sz w:val="28"/>
          <w:szCs w:val="28"/>
          <w:rtl w:val="true"/>
          <w:lang w:bidi="fa-IR"/>
        </w:rPr>
        <w:t>.</w:t>
      </w:r>
    </w:p>
    <w:p>
      <w:pPr>
        <w:pStyle w:val="Heading6"/>
        <w:numPr>
          <w:ilvl w:val="5"/>
          <w:numId w:val="1"/>
        </w:numPr>
        <w:rPr/>
      </w:pPr>
      <w:bookmarkStart w:id="736" w:name="__RefHeading___Toc5446997_3224264995"/>
      <w:bookmarkStart w:id="737" w:name="_Toc280"/>
      <w:bookmarkEnd w:id="736"/>
      <w:r>
        <w:rPr>
          <w:rtl w:val="true"/>
        </w:rPr>
        <w:t>الأخبار التی استشهد فیها الإمام علیه السّلام بآیة</w:t>
      </w:r>
      <w:r>
        <w:rPr>
          <w:rtl w:val="true"/>
        </w:rPr>
        <w:t>«</w:t>
      </w:r>
      <w:r>
        <w:rPr>
          <w:rtl w:val="true"/>
        </w:rPr>
        <w:t>النفر</w:t>
      </w:r>
      <w:r>
        <w:rPr>
          <w:rtl w:val="true"/>
        </w:rPr>
        <w:t>»</w:t>
      </w:r>
      <w:r>
        <w:rPr>
          <w:rtl w:val="true"/>
        </w:rPr>
        <w:t>علی وجوب التفقّه</w:t>
      </w:r>
      <w:bookmarkEnd w:id="737"/>
    </w:p>
    <w:p>
      <w:pPr>
        <w:pStyle w:val="BookText"/>
        <w:rPr/>
      </w:pPr>
      <w:r>
        <w:rPr>
          <w:rFonts w:ascii="IRNazanin" w:hAnsi="IRNazanin" w:eastAsia="IRNazanin"/>
          <w:color w:val="111111"/>
          <w:sz w:val="28"/>
          <w:sz w:val="28"/>
          <w:szCs w:val="28"/>
          <w:rtl w:val="true"/>
          <w:lang w:bidi="fa-IR"/>
        </w:rPr>
        <w:t>و ممّا یدلّ علی ظهور الآیة فی وجوب التفقّه و الإنذار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استشهاد الإمام بها علی وجوبه فی أخبار کثیرة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الفضل بن شاذان فی علله،عن الرضا علیه السّلام فی حدیث،قال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امروا بالحجّ؛لعلّة الوفادة إلی اللّه،و طلب الزیادة،و الخروج عن کلّ ما اقترف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لأجل </w:t>
      </w:r>
      <w:r>
        <w:rPr>
          <w:rStyle w:val="FootnoteAnchor"/>
          <w:rtl w:val="true"/>
        </w:rPr>
        <w:footnoteReference w:id="936"/>
      </w:r>
      <w:r>
        <w:rPr>
          <w:rFonts w:ascii="IRNazanin" w:hAnsi="IRNazanin" w:eastAsia="IRNazanin"/>
          <w:color w:val="111111"/>
          <w:sz w:val="28"/>
          <w:sz w:val="28"/>
          <w:szCs w:val="28"/>
          <w:rtl w:val="true"/>
          <w:lang w:bidi="fa-IR"/>
        </w:rPr>
        <w:t>ما فیه من التفقّه و نقل أخبار الأئمّة علیهم السّلام إلی کلّ صقع و ناحیة؛کما قال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لا نَفَرَ مِنْ کُلِّ فِرْقَةٍ مِنْهُمْ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فی دیباجة المعالم </w:t>
      </w:r>
      <w:r>
        <w:rPr>
          <w:rStyle w:val="FootnoteAnchor"/>
          <w:rtl w:val="true"/>
        </w:rPr>
        <w:footnoteReference w:id="9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روایة علیّ بن أبی حمزة،قال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تفقّهوا فی الدّین؛فإنّه من لم یتفقّه منکم فی الدین فهو أعرابیّ؛إنّ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لِیَتَفَقَّهُوا فِی الدِّینِ وَ لِیُنْذِرُوا قَوْمَهُمْ إِذا رَجَعُوا إِلَیْهِمْ لَعَلَّهُمْ یَحْذَرُونَ </w:t>
      </w:r>
      <w:r>
        <w:rPr>
          <w:rFonts w:eastAsia="Amiri" w:cs="Amiri" w:ascii="Amiri" w:hAnsi="Amiri"/>
          <w:color w:val="111111"/>
          <w:sz w:val="28"/>
          <w:szCs w:val="28"/>
          <w:rtl w:val="true"/>
          <w:lang w:bidi="ar-SA"/>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ما یجب علی الناس عند مضیّ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صحیحة یعقوب بن شعیب،قال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حدث علی الإمام حدث کیف یصنع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فی عذر ما داموا فی الطلب،و هؤلاء الذین ینتظرونهم فی عذر حتّی یرجع إلیهم أصحابهم</w:t>
      </w:r>
      <w:r>
        <w:rPr>
          <w:rFonts w:eastAsia="IRNazanin" w:cs="IRNazanin"/>
          <w:color w:val="111111"/>
          <w:sz w:val="28"/>
          <w:szCs w:val="28"/>
          <w:rtl w:val="true"/>
          <w:lang w:bidi="fa-IR"/>
        </w:rPr>
        <w:t xml:space="preserve">»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عبد الأعلی،قال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قول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لیس له إمام مات میتة جاهلیّة؟قال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اللّه،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إماما هلک،و رجل بخراسان لا یعلم من وصیّه،لم یسعه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یسعه؛إنّ الإمام إذا مات وقعت </w:t>
      </w:r>
      <w:r>
        <w:rPr>
          <w:rStyle w:val="FootnoteAnchor"/>
          <w:rtl w:val="true"/>
        </w:rPr>
        <w:footnoteReference w:id="941"/>
      </w:r>
      <w:r>
        <w:rPr>
          <w:rFonts w:ascii="Amiri" w:hAnsi="Amiri" w:eastAsia="Amiri" w:cs="Amiri"/>
          <w:color w:val="111111"/>
          <w:sz w:val="28"/>
          <w:sz w:val="28"/>
          <w:szCs w:val="28"/>
          <w:rtl w:val="true"/>
          <w:lang w:bidi="ar-SA"/>
        </w:rPr>
        <w:t>حجّة وصیّه علی من هو معه فی البلد،و حقّ النفر علی من لیس بحضرته إذا بلغهم؛إنّ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نَفَرَ مِنْ کُلِّ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محمّد بن مسلم،عن أبی عبد اللّه علیه السّلام،و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فیسع الناس إذا مات العالم أن لا یعرفوا الذی بعده؟فقال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أهل هذه البلدة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أهل 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غیرها من البلدان فبقدر مسیرهم؛إنّ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نَفَرَ مِنْ کُلِّ فِرْقَةٍ مِنْهُمْ طائِفَةٌ </w:t>
      </w:r>
      <w:r>
        <w:rPr>
          <w:rFonts w:eastAsia="Amiri" w:cs="Amiri" w:ascii="Amiri" w:hAnsi="Amiri"/>
          <w:color w:val="111111"/>
          <w:sz w:val="28"/>
          <w:szCs w:val="28"/>
          <w:rtl w:val="true"/>
          <w:lang w:bidi="ar-SA"/>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البزنطیّ المرویّة فی قرب الإسناد،عن أبی الحسن الرضا علیه السّلام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عبد المؤمن الأنصاریّ الواردة فی جواب من سأل عن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امّتی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اختلافهم رحمة </w:t>
      </w:r>
      <w:bookmarkStart w:id="738" w:name="pg12977_114323"/>
    </w:p>
    <w:p>
      <w:pPr>
        <w:pStyle w:val="BookText"/>
        <w:rPr/>
      </w:pPr>
      <w:bookmarkEnd w:id="738"/>
      <w:r>
        <w:rPr>
          <w:rFonts w:ascii="Amiri" w:hAnsi="Amiri" w:eastAsia="Amiri" w:cs="Amiri"/>
          <w:color w:val="111111"/>
          <w:sz w:val="28"/>
          <w:sz w:val="28"/>
          <w:szCs w:val="28"/>
          <w:rtl w:val="true"/>
          <w:lang w:bidi="ar-SA"/>
        </w:rPr>
        <w:t>فاتّفاقهم 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هذا یراد،إنّما یراد الاختلاف فی طلب العلم، علی 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نَفَرَ مِنْ کُلِّ فِرْقَةٍ مِنْهُمْ طائِفَةٌ </w:t>
      </w:r>
      <w:r>
        <w:rPr>
          <w:rFonts w:eastAsia="Amiri" w:cs="Amiri" w:ascii="Amiri" w:hAnsi="Amiri"/>
          <w:color w:val="111111"/>
          <w:sz w:val="28"/>
          <w:szCs w:val="28"/>
          <w:rtl w:val="true"/>
          <w:lang w:bidi="ar-SA"/>
        </w:rPr>
        <w:t xml:space="preserve">» </w:t>
      </w:r>
      <w:r>
        <w:rPr>
          <w:rStyle w:val="FootnoteAnchor"/>
          <w:rtl w:val="true"/>
        </w:rPr>
        <w:footnoteReference w:id="945"/>
      </w:r>
      <w:r>
        <w:rPr>
          <w:rFonts w:ascii="IRNazanin" w:hAnsi="IRNazanin" w:eastAsia="IRNazanin"/>
          <w:color w:val="111111"/>
          <w:sz w:val="28"/>
          <w:sz w:val="28"/>
          <w:szCs w:val="28"/>
          <w:rtl w:val="true"/>
          <w:lang w:bidi="fa-IR"/>
        </w:rPr>
        <w:t>، الحدیث منقول بالمعنی و لا یحضرنی ألفاظه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جمیع هذا هو السرّ فی استدلال أصحابنا بالآیة الشریفة علی وجوب تحصیل العلم و کونه کفائیّا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غایة ما قیل أو یقال فی توجیه الاستدلال بالآیة الشریفة</w:t>
      </w:r>
      <w:r>
        <w:rPr>
          <w:rFonts w:eastAsia="IRNazanin" w:cs="IRNazanin"/>
          <w:color w:val="111111"/>
          <w:sz w:val="28"/>
          <w:szCs w:val="28"/>
          <w:rtl w:val="true"/>
          <w:lang w:bidi="fa-IR"/>
        </w:rPr>
        <w:t>.</w:t>
      </w:r>
    </w:p>
    <w:p>
      <w:pPr>
        <w:pStyle w:val="Heading6"/>
        <w:numPr>
          <w:ilvl w:val="5"/>
          <w:numId w:val="1"/>
        </w:numPr>
        <w:rPr/>
      </w:pPr>
      <w:bookmarkStart w:id="739" w:name="__RefHeading___Toc5446999_3224264995"/>
      <w:bookmarkStart w:id="740" w:name="_Toc281"/>
      <w:bookmarkEnd w:id="739"/>
      <w:r>
        <w:rPr>
          <w:rtl w:val="true"/>
        </w:rPr>
        <w:t>المناقشة فی الاستدلال بهذه الآیة من وجوه</w:t>
      </w:r>
      <w:r>
        <w:rPr>
          <w:rtl w:val="true"/>
        </w:rPr>
        <w:t>:</w:t>
      </w:r>
      <w:bookmarkEnd w:id="740"/>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الاستدلال بها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یستفاد من الکلام إلاّ مطلوبیّة الحذر عقیب الإنذار بما یتفقّهون فی الجملة،لکن لیس فیها إطلاق وجوب الحذر،بل یمکن أن یتوقّف وجوبه علی حصول العلم،فالمعنی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یحصل لهم العلم فیحذروا،فالآیة مسوقة لبیان مطلوبیّة الإنذار بما یتفقّهون،و مطلوبیّة العمل من المنذرین بما انذروا،و هذا لا ینافی اعتبار العلم فی العمل؛ و لهذا صحّ ذلک فیما یطلب فیه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فی هذه الآیة تخصیص للأدلّة الناهیة عن العمل بما لم یعلم؛ و لذا استشهد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سمعت من الأخبار المتقدّمة </w:t>
      </w:r>
      <w:r>
        <w:rPr>
          <w:rStyle w:val="FootnoteAnchor"/>
          <w:rtl w:val="true"/>
        </w:rPr>
        <w:footnoteReference w:id="9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وجوب النفر فی معرفة الإمام علیه السّلام و إنذار النافرین للمتخلّفین،مع أنّ الإمامة لا تثبت إلاّ بالعلم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التفقّه الواجب لیس إلاّ معرفة الامور الواقعیّة من الدین،فالإنذار الواجب هو الإنذار بهذه الامور المتفقّه فیها،فالحذر </w:t>
      </w:r>
    </w:p>
    <w:p>
      <w:pPr>
        <w:pStyle w:val="BookText"/>
        <w:rPr/>
      </w:pPr>
      <w:r>
        <w:rPr>
          <w:rFonts w:ascii="IRNazanin" w:hAnsi="IRNazanin" w:eastAsia="IRNazanin"/>
          <w:color w:val="111111"/>
          <w:sz w:val="28"/>
          <w:sz w:val="28"/>
          <w:szCs w:val="28"/>
          <w:rtl w:val="true"/>
          <w:lang w:bidi="fa-IR"/>
        </w:rPr>
        <w:t>لا یجب إلاّ عقیب الإنذار بها،فإذا لم یعرف المنذر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الإنذار هل وقع بالامور الدینیّة الواقعیّة أو بغیرها خطأ أو تعمّدا من المنذر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 الحذر حینئذ،فانحصر وجوب الحذر فیما إذا علم المنذر صدق المنذر فی إنذاره بالأحکام الواقعیّة،فهو نظیر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 فلانا بأوامری لعلّه یمتثلها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الآیة </w:t>
      </w:r>
      <w:r>
        <w:rPr>
          <w:rStyle w:val="FootnoteAnchor"/>
          <w:rtl w:val="true"/>
        </w:rPr>
        <w:footnoteReference w:id="948"/>
      </w:r>
      <w:r>
        <w:rPr>
          <w:rFonts w:ascii="IRNazanin" w:hAnsi="IRNazanin" w:eastAsia="IRNazanin"/>
          <w:color w:val="111111"/>
          <w:sz w:val="28"/>
          <w:sz w:val="28"/>
          <w:szCs w:val="28"/>
          <w:rtl w:val="true"/>
          <w:lang w:bidi="fa-IR"/>
        </w:rPr>
        <w:t xml:space="preserve">نظیر ما ورد من الأمر </w:t>
      </w:r>
      <w:r>
        <w:rPr>
          <w:rStyle w:val="FootnoteAnchor"/>
          <w:rtl w:val="true"/>
        </w:rPr>
        <w:footnoteReference w:id="949"/>
      </w:r>
      <w:r>
        <w:rPr>
          <w:rFonts w:ascii="IRNazanin" w:hAnsi="IRNazanin" w:eastAsia="IRNazanin"/>
          <w:color w:val="111111"/>
          <w:sz w:val="28"/>
          <w:sz w:val="28"/>
          <w:szCs w:val="28"/>
          <w:rtl w:val="true"/>
          <w:lang w:bidi="fa-IR"/>
        </w:rPr>
        <w:t xml:space="preserve">بنقل الروایات </w:t>
      </w:r>
      <w:r>
        <w:rPr>
          <w:rStyle w:val="FootnoteAnchor"/>
          <w:rtl w:val="true"/>
        </w:rPr>
        <w:footnoteReference w:id="950"/>
      </w:r>
      <w:r>
        <w:rPr>
          <w:rFonts w:ascii="IRNazanin" w:hAnsi="IRNazanin" w:eastAsia="IRNazanin"/>
          <w:color w:val="111111"/>
          <w:sz w:val="28"/>
          <w:sz w:val="28"/>
          <w:szCs w:val="28"/>
          <w:rtl w:val="true"/>
          <w:lang w:bidi="fa-IR"/>
        </w:rPr>
        <w:t xml:space="preserve">فإنّ المقصود من هذا الکلام لیس إلاّ وجوب العمل بالامور الواقعیّة، لا وجوب تصدیقه فیما یحکی و لو </w:t>
      </w:r>
      <w:r>
        <w:rPr>
          <w:rStyle w:val="FootnoteAnchor"/>
          <w:rtl w:val="true"/>
        </w:rPr>
        <w:footnoteReference w:id="951"/>
      </w:r>
      <w:r>
        <w:rPr>
          <w:rFonts w:ascii="IRNazanin" w:hAnsi="IRNazanin" w:eastAsia="IRNazanin"/>
          <w:color w:val="111111"/>
          <w:sz w:val="28"/>
          <w:sz w:val="28"/>
          <w:szCs w:val="28"/>
          <w:rtl w:val="true"/>
          <w:lang w:bidi="fa-IR"/>
        </w:rPr>
        <w:t>لم یعلم مطابقته للواقع،و لا یعدّ هذا ضابطا لوجوب العمل بالخبر الظنّیّ الصادر من المخاطب فی الأمر الکذائیّ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ما ورد،من بیان الحقّ للناس و وجوب تبلیغه إلیهم؛فإنّ المقصود منه اهتداء الناس إلی الحقّ الواقعیّ،لا إنشاء حکم ظاهریّ لهم بقبول کلّ ما یخبرون به و إن لم یعلم مطابقته للواقع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الفرق بین هذا الإیراد و 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الإیراد مبنیّ علی أنّ الآیة ناطقة باختصاص مقصود المتکلّم بالحذر عن الامور الواقعیّة، المستلزم لعدم وجوبه إلاّ بعد إحراز کون الإنذار متعلّقا بالحکم الواقعیّ، و أمّا الإیراد الأوّل فهو مبنیّ علی سکوت الآیة عن التعرّض لکون الحذر واجبا علی الإطلاق أو بشرط حصول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سلّمنا دلالة الآیة علی وجوب الحذر مطلقا عند إنذار المنذر و لو لم یفد العلم،لکن لا تدلّ علی وجوب العمل بالخبر من حیث إنّه خبر؛لأنّ الإنذار هو الإبلاغ مع التخویف،فإنشاء التخویف مأخوذ فیه،و الحذر هو التخوّف الحاصل عقیب هذا التخویف الداعی إلی العمل بمقتضاه فعلا،و من المعلوم أنّ التخویف لا یجب إلاّ علی الوعّاظ فی مقام الإیعاد علی الامور التی یعلم المخاطبون بحکمها من الوجوب و الحرمة،کما یوعد علی شرب الخمر و فعل الزنا و ترک الصلاة، أو </w:t>
      </w:r>
      <w:r>
        <w:rPr>
          <w:rStyle w:val="FootnoteAnchor"/>
          <w:rtl w:val="true"/>
        </w:rPr>
        <w:footnoteReference w:id="952"/>
      </w:r>
      <w:r>
        <w:rPr>
          <w:rFonts w:ascii="IRNazanin" w:hAnsi="IRNazanin" w:eastAsia="IRNazanin"/>
          <w:color w:val="111111"/>
          <w:sz w:val="28"/>
          <w:sz w:val="28"/>
          <w:szCs w:val="28"/>
          <w:rtl w:val="true"/>
          <w:lang w:bidi="fa-IR"/>
        </w:rPr>
        <w:t xml:space="preserve">علی المرشدین فی مقام إرشاد الجهّال،فالتخوّف لا یجب إلاّ علی المتّعظ أو </w:t>
      </w:r>
      <w:r>
        <w:rPr>
          <w:rStyle w:val="FootnoteAnchor"/>
          <w:rtl w:val="true"/>
        </w:rPr>
        <w:footnoteReference w:id="953"/>
      </w:r>
      <w:r>
        <w:rPr>
          <w:rFonts w:ascii="IRNazanin" w:hAnsi="IRNazanin" w:eastAsia="IRNazanin"/>
          <w:color w:val="111111"/>
          <w:sz w:val="28"/>
          <w:sz w:val="28"/>
          <w:szCs w:val="28"/>
          <w:rtl w:val="true"/>
          <w:lang w:bidi="fa-IR"/>
        </w:rPr>
        <w:t>المسترشد،و من المعلوم أنّ تصدیق الحاکی فیما یحکیه من لفظ الخبر الذی هو محلّ الکلام خارج عن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المنذر إمّا أن ینذر و یخوّف علی وجه الإفتاء و نقل ما هو مدلول الخبر باجتهاده،و إمّا أن ینذر و یخوّف بلفظ الخبر حاکیا له عن الحجّة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الناس اتّقوا اللّه فی شرب العصیر؛ </w:t>
      </w:r>
    </w:p>
    <w:p>
      <w:pPr>
        <w:pStyle w:val="BookText"/>
        <w:rPr/>
      </w:pPr>
      <w:r>
        <w:rPr>
          <w:rFonts w:ascii="IRNazanin" w:hAnsi="IRNazanin" w:eastAsia="IRNazanin"/>
          <w:color w:val="111111"/>
          <w:sz w:val="28"/>
          <w:sz w:val="28"/>
          <w:szCs w:val="28"/>
          <w:rtl w:val="true"/>
          <w:lang w:bidi="fa-IR"/>
        </w:rPr>
        <w:t>فإنّ شربه یوجب المؤاخذة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الثانی،کأن یقول فی مقام التخویف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شرب العصیر فکأنّما 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الإنذار علی الوجه الأوّل،فلا یجب الحذر عقیبه إلاّ علی المقلّدین لهذا المفتی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الثانی،فله جهتان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جهة تخویف و إیعاد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جهة حکایة قول من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الجهة الاولی ترجع إلی الاجتهاد فی معنی الحکایة،فهی لیست حجّة إلاّ علی من هو مقلّد له؛إذ هو الذی یجب علیه التخوّف عند تخویفه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الجهة الثانیة،فهی التی تنفع المجتهد الآخر الذی یسمع منه هذه الحکایة،لکن وظیفته مجرّد تصدیقه فی صدور هذا الکلام عن الإمام علیه السّلام،و أمّا أنّ مدلوله متضمّن لما یوجب التحریم الموجب للتخوّف </w:t>
      </w:r>
      <w:r>
        <w:rPr>
          <w:rStyle w:val="FootnoteAnchor"/>
          <w:rtl w:val="true"/>
        </w:rPr>
        <w:footnoteReference w:id="955"/>
      </w:r>
      <w:r>
        <w:rPr>
          <w:rFonts w:ascii="IRNazanin" w:hAnsi="IRNazanin" w:eastAsia="IRNazanin"/>
          <w:color w:val="111111"/>
          <w:sz w:val="28"/>
          <w:sz w:val="28"/>
          <w:szCs w:val="28"/>
          <w:rtl w:val="true"/>
          <w:lang w:bidi="fa-IR"/>
        </w:rPr>
        <w:t>أو الکراهة،فهو ممّا لیس فهم المنذر حجّة فیه بالنسبة إلی هذا المجتهد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فالآیة الدالّة علی وجوب التخوّف عند تخویف المنذرین مختصّة بمن یجب علیه اتّباع المنذر فی مضمون الحکایة و هو المقلّد له؛للإجماع علی أنّه لا یجب علی المجتهد التخوّف عند إنذار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الکلام فی أنّه هل یجب علیه تصدیق غیره فی الألفاظ و الأصوات التی یحکیها عن المعصوم علیه السّلام أم لا؟و الآیة لا تدلّ علی وجوب ذلک علی من لا یجب </w:t>
      </w:r>
      <w:bookmarkStart w:id="741" w:name="pg12977_114327"/>
    </w:p>
    <w:p>
      <w:pPr>
        <w:pStyle w:val="BookText"/>
        <w:rPr/>
      </w:pPr>
      <w:bookmarkEnd w:id="741"/>
      <w:r>
        <w:rPr>
          <w:rFonts w:ascii="IRNazanin" w:hAnsi="IRNazanin" w:eastAsia="IRNazanin"/>
          <w:color w:val="111111"/>
          <w:sz w:val="28"/>
          <w:sz w:val="28"/>
          <w:szCs w:val="28"/>
          <w:rtl w:val="true"/>
          <w:lang w:bidi="fa-IR"/>
        </w:rPr>
        <w:t>علیه التخوّف عند التخویف</w:t>
      </w:r>
      <w:r>
        <w:rPr>
          <w:rFonts w:eastAsia="IRNazanin" w:cs="IRNazanin"/>
          <w:color w:val="111111"/>
          <w:sz w:val="28"/>
          <w:szCs w:val="28"/>
          <w:rtl w:val="true"/>
          <w:lang w:bidi="fa-IR"/>
        </w:rPr>
        <w:t>.</w:t>
      </w:r>
    </w:p>
    <w:p>
      <w:pPr>
        <w:pStyle w:val="Heading6"/>
        <w:numPr>
          <w:ilvl w:val="5"/>
          <w:numId w:val="1"/>
        </w:numPr>
        <w:rPr/>
      </w:pPr>
      <w:bookmarkStart w:id="742" w:name="__RefHeading___Toc5447001_3224264995"/>
      <w:bookmarkStart w:id="743" w:name="_Toc282"/>
      <w:bookmarkEnd w:id="742"/>
      <w:r>
        <w:rPr>
          <w:rtl w:val="true"/>
        </w:rPr>
        <w:t>الأولی الاستدلال بالآیة علی وجوب الاجتهاد و التقلید</w:t>
      </w:r>
      <w:r>
        <w:rPr>
          <w:rtl w:val="true"/>
        </w:rPr>
        <w:t>:</w:t>
      </w:r>
      <w:bookmarkEnd w:id="743"/>
    </w:p>
    <w:p>
      <w:pPr>
        <w:pStyle w:val="BookText"/>
        <w:rPr/>
      </w:pPr>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الاستدلال بالآیة علی وجوب الاجتهاد کفایة و وجوب التقلید علی العوامّ،أولی من الاستدلال بها علی وجوب العمل بالخبر</w:t>
      </w:r>
      <w:r>
        <w:rPr>
          <w:rFonts w:eastAsia="IRNazanin" w:cs="IRNazanin"/>
          <w:color w:val="111111"/>
          <w:sz w:val="28"/>
          <w:szCs w:val="28"/>
          <w:rtl w:val="true"/>
          <w:lang w:bidi="fa-IR"/>
        </w:rPr>
        <w:t>.</w:t>
      </w:r>
    </w:p>
    <w:p>
      <w:pPr>
        <w:pStyle w:val="Heading6"/>
        <w:numPr>
          <w:ilvl w:val="5"/>
          <w:numId w:val="1"/>
        </w:numPr>
        <w:rPr/>
      </w:pPr>
      <w:bookmarkStart w:id="744" w:name="__RefHeading___Toc5447003_3224264995"/>
      <w:bookmarkStart w:id="745" w:name="_Toc283"/>
      <w:bookmarkEnd w:id="744"/>
      <w:r>
        <w:rPr>
          <w:rtl w:val="true"/>
        </w:rPr>
        <w:t>کلام الشیخ البهائی</w:t>
      </w:r>
      <w:bookmarkEnd w:id="745"/>
    </w:p>
    <w:p>
      <w:pPr>
        <w:pStyle w:val="BookText"/>
        <w:rPr/>
      </w:pPr>
      <w:r>
        <w:rPr>
          <w:rFonts w:ascii="Amiri" w:hAnsi="Amiri" w:eastAsia="Amiri" w:cs="Amiri"/>
          <w:color w:val="111111"/>
          <w:sz w:val="28"/>
          <w:sz w:val="28"/>
          <w:szCs w:val="28"/>
          <w:rtl w:val="true"/>
          <w:lang w:bidi="ar-SA"/>
        </w:rPr>
        <w:t>و ذکر شیخنا البهائیّ قدّس سرّه فی أوّل أربعینه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الاستدلال بالنبویّ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علی أمّتی أربعین حدیثا بعثه اللّه یوم القیامة فقیها عالما</w:t>
      </w:r>
      <w:r>
        <w:rPr>
          <w:rFonts w:eastAsia="IRNazanin" w:cs="IRNazanin"/>
          <w:color w:val="111111"/>
          <w:sz w:val="28"/>
          <w:szCs w:val="28"/>
          <w:rtl w:val="true"/>
          <w:lang w:bidi="fa-IR"/>
        </w:rPr>
        <w:t xml:space="preserve">» </w:t>
      </w:r>
      <w:r>
        <w:rPr>
          <w:rStyle w:val="FootnoteAnchor"/>
          <w:rtl w:val="true"/>
        </w:rPr>
        <w:footnoteReference w:id="956"/>
      </w:r>
      <w:r>
        <w:rPr>
          <w:rFonts w:ascii="IRNazanin" w:hAnsi="IRNazanin" w:eastAsia="IRNazanin"/>
          <w:color w:val="111111"/>
          <w:sz w:val="28"/>
          <w:sz w:val="28"/>
          <w:szCs w:val="28"/>
          <w:rtl w:val="true"/>
          <w:lang w:bidi="fa-IR"/>
        </w:rPr>
        <w:t xml:space="preserve">علی حجّیّة الخبر،لا یقصر عن الاستدلال علیها بهذه الآیة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کأنّ فیه إشارة إلی ضعف الاستدلال بها؛لأنّ الاستدلال بالحدیث المذکور ضعیف جدّا،کما سیجیء </w:t>
      </w:r>
      <w:r>
        <w:rPr>
          <w:rStyle w:val="FootnoteAnchor"/>
          <w:rtl w:val="true"/>
        </w:rPr>
        <w:footnoteReference w:id="958"/>
      </w:r>
      <w:r>
        <w:rPr>
          <w:rFonts w:ascii="IRNazanin" w:hAnsi="IRNazanin" w:eastAsia="IRNazanin"/>
          <w:color w:val="111111"/>
          <w:sz w:val="28"/>
          <w:sz w:val="28"/>
          <w:szCs w:val="28"/>
          <w:rtl w:val="true"/>
          <w:lang w:bidi="fa-IR"/>
        </w:rPr>
        <w:t>إن شاء اللّه عند ذکر الأخبار</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هذا،و لکن ظاهر الروایة المتقدّمة </w:t>
      </w:r>
      <w:r>
        <w:rPr>
          <w:rStyle w:val="FootnoteAnchor"/>
          <w:rtl w:val="true"/>
        </w:rPr>
        <w:footnoteReference w:id="959"/>
      </w:r>
      <w:r>
        <w:rPr>
          <w:rFonts w:ascii="IRNazanin" w:hAnsi="IRNazanin" w:eastAsia="IRNazanin"/>
          <w:color w:val="111111"/>
          <w:sz w:val="28"/>
          <w:sz w:val="28"/>
          <w:szCs w:val="28"/>
          <w:rtl w:val="true"/>
          <w:lang w:bidi="fa-IR"/>
        </w:rPr>
        <w:t>عن علل الفضل یدفع هذا الإیراد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لکنّها من الآحاد؛فلا ینفع فی صرف الآیة عن ظاهرها فی مسألة حجّیّة الآحاد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إمکان منع دلالتها علی المدّعی؛لأنّ </w:t>
      </w:r>
      <w:r>
        <w:rPr>
          <w:rStyle w:val="FootnoteAnchor"/>
          <w:rtl w:val="true"/>
        </w:rPr>
        <w:footnoteReference w:id="960"/>
      </w:r>
      <w:r>
        <w:rPr>
          <w:rFonts w:ascii="IRNazanin" w:hAnsi="IRNazanin" w:eastAsia="IRNazanin"/>
          <w:color w:val="111111"/>
          <w:sz w:val="28"/>
          <w:sz w:val="28"/>
          <w:szCs w:val="28"/>
          <w:rtl w:val="true"/>
          <w:lang w:bidi="fa-IR"/>
        </w:rPr>
        <w:t xml:space="preserve">الغالب تعدّد من یخرج إلی الحجّ من کلّ صقع بحیث یکون الغالب حصول القطع من حکایتهم لحکم اللّه الواقعیّ عن الإمام علیه السّلام،و حینئذ فیجب </w:t>
      </w:r>
      <w:bookmarkStart w:id="746" w:name="pg12977_114328"/>
    </w:p>
    <w:p>
      <w:pPr>
        <w:pStyle w:val="BookText"/>
        <w:rPr/>
      </w:pPr>
      <w:bookmarkEnd w:id="746"/>
      <w:r>
        <w:rPr>
          <w:rFonts w:ascii="IRNazanin" w:hAnsi="IRNazanin" w:eastAsia="IRNazanin"/>
          <w:color w:val="111111"/>
          <w:sz w:val="28"/>
          <w:sz w:val="28"/>
          <w:szCs w:val="28"/>
          <w:rtl w:val="true"/>
          <w:lang w:bidi="fa-IR"/>
        </w:rPr>
        <w:t>الحذر عقیب إنذارهم،فإطلاق الروایة منزّل علی الغالب</w:t>
      </w:r>
      <w:r>
        <w:rPr>
          <w:rFonts w:eastAsia="IRNazanin" w:cs="IRNazanin"/>
          <w:color w:val="111111"/>
          <w:sz w:val="28"/>
          <w:szCs w:val="28"/>
          <w:rtl w:val="true"/>
          <w:lang w:bidi="fa-IR"/>
        </w:rPr>
        <w:t>.</w:t>
      </w:r>
    </w:p>
    <w:p>
      <w:pPr>
        <w:pStyle w:val="Heading6"/>
        <w:numPr>
          <w:ilvl w:val="5"/>
          <w:numId w:val="1"/>
        </w:numPr>
        <w:rPr/>
      </w:pPr>
      <w:bookmarkStart w:id="747" w:name="__RefHeading___Toc5447005_3224264995"/>
      <w:bookmarkStart w:id="748" w:name="_Toc284"/>
      <w:bookmarkEnd w:id="747"/>
      <w:r>
        <w:rPr>
          <w:rtl w:val="true"/>
        </w:rPr>
        <w:t>الآیة الثالثة</w:t>
      </w:r>
      <w:r>
        <w:rPr>
          <w:rtl w:val="true"/>
        </w:rPr>
        <w:t>:</w:t>
      </w:r>
      <w:r>
        <w:rPr>
          <w:rtl w:val="true"/>
        </w:rPr>
        <w:t>آیة</w:t>
      </w:r>
      <w:r>
        <w:rPr>
          <w:rtl w:val="true"/>
        </w:rPr>
        <w:t>«</w:t>
      </w:r>
      <w:r>
        <w:rPr>
          <w:rtl w:val="true"/>
        </w:rPr>
        <w:t>الکتمان</w:t>
      </w:r>
      <w:r>
        <w:rPr>
          <w:rtl w:val="true"/>
        </w:rPr>
        <w:t>»</w:t>
      </w:r>
      <w:bookmarkEnd w:id="748"/>
    </w:p>
    <w:p>
      <w:pPr>
        <w:pStyle w:val="BookText"/>
        <w:rPr/>
      </w:pPr>
      <w:r>
        <w:rPr>
          <w:rFonts w:ascii="IRNazanin" w:hAnsi="IRNazanin" w:eastAsia="IRNazanin"/>
          <w:color w:val="111111"/>
          <w:sz w:val="28"/>
          <w:sz w:val="28"/>
          <w:szCs w:val="28"/>
          <w:rtl w:val="true"/>
          <w:lang w:bidi="fa-IR"/>
        </w:rPr>
        <w:t xml:space="preserve">و من جملة الآیات التی استدلّ بها جماعة </w:t>
      </w:r>
      <w:r>
        <w:rPr>
          <w:rStyle w:val="FootnoteAnchor"/>
          <w:rtl w:val="true"/>
        </w:rPr>
        <w:footnoteReference w:id="9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تبعا للشیخ فی العدّة </w:t>
      </w:r>
      <w:r>
        <w:rPr>
          <w:rStyle w:val="FootnoteAnchor"/>
          <w:rtl w:val="true"/>
        </w:rPr>
        <w:footnoteReference w:id="9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حجّیّة الخبر،قوله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یَکْتُمُونَ ما أَنْزَلْنا مِنَ الْبَیِّناتِ وَ الْهُدی مِنْ بَعْدِ ما بَیَّنّاهُ لِلنّاسِ فِی الْکِتابِ أُولئِکَ یَلْعَنُهُمُ اللّهُ وَ یَلْعَنُهُمُ اللاّعِنُونَ</w:t>
      </w:r>
    </w:p>
    <w:p>
      <w:pPr>
        <w:pStyle w:val="BookText"/>
        <w:rPr/>
      </w:pPr>
      <w:r>
        <w:rPr>
          <w:rStyle w:val="FootnoteAnchor"/>
          <w:rtl w:val="true"/>
        </w:rPr>
        <w:footnoteReference w:id="96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9" w:name="__RefHeading___Toc5447007_3224264995"/>
      <w:bookmarkStart w:id="750" w:name="_Toc285"/>
      <w:bookmarkEnd w:id="749"/>
      <w:r>
        <w:rPr>
          <w:rtl w:val="true"/>
        </w:rPr>
        <w:t>وجه الاستدلال بها</w:t>
      </w:r>
      <w:r>
        <w:rPr>
          <w:rtl w:val="true"/>
        </w:rPr>
        <w:t>:</w:t>
      </w:r>
      <w:bookmarkEnd w:id="750"/>
    </w:p>
    <w:p>
      <w:pPr>
        <w:pStyle w:val="BookText"/>
        <w:rPr/>
      </w:pPr>
      <w:r>
        <w:rPr>
          <w:rFonts w:ascii="IRNazanin" w:hAnsi="IRNazanin" w:eastAsia="IRNazanin"/>
          <w:color w:val="111111"/>
          <w:sz w:val="28"/>
          <w:sz w:val="28"/>
          <w:szCs w:val="28"/>
          <w:rtl w:val="true"/>
          <w:lang w:bidi="fa-IR"/>
        </w:rPr>
        <w:t>و التقریب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ما بیّناه فی آیة النفر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حرمة الکتمان تستلزم وجوب القبول عند الإظهار</w:t>
      </w:r>
      <w:r>
        <w:rPr>
          <w:rFonts w:eastAsia="IRNazanin" w:cs="IRNazanin"/>
          <w:color w:val="111111"/>
          <w:sz w:val="28"/>
          <w:szCs w:val="28"/>
          <w:rtl w:val="true"/>
          <w:lang w:bidi="fa-IR"/>
        </w:rPr>
        <w:t>.</w:t>
      </w:r>
    </w:p>
    <w:p>
      <w:pPr>
        <w:pStyle w:val="Heading6"/>
        <w:numPr>
          <w:ilvl w:val="5"/>
          <w:numId w:val="1"/>
        </w:numPr>
        <w:rPr/>
      </w:pPr>
      <w:bookmarkStart w:id="751" w:name="__RefHeading___Toc5447009_3224264995"/>
      <w:bookmarkStart w:id="752" w:name="_Toc286"/>
      <w:bookmarkEnd w:id="751"/>
      <w:r>
        <w:rPr>
          <w:rtl w:val="true"/>
        </w:rPr>
        <w:t>المناقشة فی الاستدلال</w:t>
      </w:r>
      <w:r>
        <w:rPr>
          <w:rtl w:val="true"/>
        </w:rPr>
        <w:t>:</w:t>
      </w:r>
      <w:bookmarkEnd w:id="752"/>
    </w:p>
    <w:p>
      <w:pPr>
        <w:pStyle w:val="BookText"/>
        <w:rPr/>
      </w:pPr>
      <w:r>
        <w:rPr>
          <w:rFonts w:ascii="IRNazanin" w:hAnsi="IRNazanin" w:eastAsia="IRNazanin"/>
          <w:color w:val="111111"/>
          <w:sz w:val="28"/>
          <w:sz w:val="28"/>
          <w:szCs w:val="28"/>
          <w:rtl w:val="true"/>
          <w:lang w:bidi="fa-IR"/>
        </w:rPr>
        <w:t xml:space="preserve">و یرد علیها </w:t>
      </w:r>
      <w:r>
        <w:rPr>
          <w:rStyle w:val="FootnoteAnchor"/>
          <w:rtl w:val="true"/>
        </w:rPr>
        <w:footnoteReference w:id="9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 من الإیرادین الأوّلین فی آیة النفر،من سکوتها و عدم التعرّض فیها لوجوب القبول و إن لم یحصل العلم عقیب الاظهار،أو اختصاص وجوب القبول المستفاد منها بالأمر الذی یحرم کتمانه و یجب إظهاره؛فإنّ من أمر غیره بإظهار الحقّ للناس لیس مقصوده إلاّ عمل الناس بالحقّ،و لا یرید بمثل هذا الخطاب تأسیس حجّیّة قول المظهر تعبّدا و وجوب العمل بقوله و إن لم یطابق الحقّ</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مورد الآیة کتمان الیهود لعلامات النبیّ صلّی اللّه علیه و آله بعد ما بیّن اللّه لهم ذلک فی التوراة </w:t>
      </w:r>
      <w:r>
        <w:rPr>
          <w:rStyle w:val="FootnoteAnchor"/>
          <w:rtl w:val="true"/>
        </w:rPr>
        <w:footnoteReference w:id="965"/>
      </w:r>
      <w:r>
        <w:rPr>
          <w:rFonts w:ascii="IRNazanin" w:hAnsi="IRNazanin" w:eastAsia="IRNazanin"/>
          <w:color w:val="111111"/>
          <w:sz w:val="28"/>
          <w:sz w:val="28"/>
          <w:szCs w:val="28"/>
          <w:rtl w:val="true"/>
          <w:lang w:bidi="fa-IR"/>
        </w:rPr>
        <w:t xml:space="preserve">،و معلوم أنّ آیات </w:t>
      </w:r>
      <w:r>
        <w:rPr>
          <w:rStyle w:val="FootnoteAnchor"/>
          <w:rtl w:val="true"/>
        </w:rPr>
        <w:footnoteReference w:id="966"/>
      </w:r>
      <w:r>
        <w:rPr>
          <w:rFonts w:ascii="Amiri" w:hAnsi="Amiri" w:eastAsia="Amiri" w:cs="Amiri"/>
          <w:color w:val="111111"/>
          <w:sz w:val="28"/>
          <w:sz w:val="28"/>
          <w:szCs w:val="28"/>
          <w:rtl w:val="true"/>
          <w:lang w:bidi="ar-SA"/>
        </w:rPr>
        <w:t xml:space="preserve">النبوّة </w:t>
      </w:r>
      <w:bookmarkStart w:id="753" w:name="pg12977_114329"/>
    </w:p>
    <w:p>
      <w:pPr>
        <w:pStyle w:val="BookText"/>
        <w:rPr/>
      </w:pPr>
      <w:bookmarkEnd w:id="753"/>
      <w:r>
        <w:rPr>
          <w:rFonts w:ascii="IRNazanin" w:hAnsi="IRNazanin" w:eastAsia="IRNazanin"/>
          <w:color w:val="111111"/>
          <w:sz w:val="28"/>
          <w:sz w:val="28"/>
          <w:szCs w:val="28"/>
          <w:rtl w:val="true"/>
          <w:lang w:bidi="fa-IR"/>
        </w:rPr>
        <w:t>لا یکتفی فیها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وجب الإظهار علی من لا یفید قوله العلم غالبا أمکن جعل ذلک دلیلا علی أنّ المقصود العمل بقوله و إن لم یفد العلم؛لئلاّ یکون إلقاء هذا الکلام کاللغو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یمکن الاستدلال بما تقدّم </w:t>
      </w:r>
      <w:r>
        <w:rPr>
          <w:rStyle w:val="FootnoteAnchor"/>
          <w:rtl w:val="true"/>
        </w:rPr>
        <w:footnoteReference w:id="9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آیة تحریم کتمان ما فی الأرحام علی النساء علی وجوب تصدیقهنّ،و بآیة وجوب إقامة الشهادة </w:t>
      </w:r>
      <w:r>
        <w:rPr>
          <w:rStyle w:val="FootnoteAnchor"/>
          <w:rtl w:val="true"/>
        </w:rPr>
        <w:footnoteReference w:id="968"/>
      </w:r>
      <w:r>
        <w:rPr>
          <w:rFonts w:ascii="IRNazanin" w:hAnsi="IRNazanin" w:eastAsia="IRNazanin"/>
          <w:color w:val="111111"/>
          <w:sz w:val="28"/>
          <w:sz w:val="28"/>
          <w:szCs w:val="28"/>
          <w:rtl w:val="true"/>
          <w:lang w:bidi="fa-IR"/>
        </w:rPr>
        <w:t>علی وجوب قبولها بعد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إمکان کون وجوب الإظهار لأجل رجاء وضوح الحقّ من تعدّد المظهرین</w:t>
      </w:r>
      <w:r>
        <w:rPr>
          <w:rFonts w:eastAsia="IRNazanin" w:cs="IRNazanin"/>
          <w:color w:val="111111"/>
          <w:sz w:val="28"/>
          <w:szCs w:val="28"/>
          <w:rtl w:val="true"/>
          <w:lang w:bidi="fa-IR"/>
        </w:rPr>
        <w:t>.</w:t>
      </w:r>
    </w:p>
    <w:p>
      <w:pPr>
        <w:pStyle w:val="Heading6"/>
        <w:numPr>
          <w:ilvl w:val="5"/>
          <w:numId w:val="1"/>
        </w:numPr>
        <w:rPr/>
      </w:pPr>
      <w:bookmarkStart w:id="754" w:name="__RefHeading___Toc5447011_3224264995"/>
      <w:bookmarkStart w:id="755" w:name="_Toc287"/>
      <w:bookmarkEnd w:id="754"/>
      <w:r>
        <w:rPr>
          <w:rtl w:val="true"/>
        </w:rPr>
        <w:t>الآیة الرابعة</w:t>
      </w:r>
      <w:r>
        <w:rPr>
          <w:rtl w:val="true"/>
        </w:rPr>
        <w:t>:</w:t>
      </w:r>
      <w:r>
        <w:rPr>
          <w:rtl w:val="true"/>
        </w:rPr>
        <w:t>آیة</w:t>
      </w:r>
      <w:r>
        <w:rPr>
          <w:rtl w:val="true"/>
        </w:rPr>
        <w:t>«</w:t>
      </w:r>
      <w:r>
        <w:rPr>
          <w:rtl w:val="true"/>
        </w:rPr>
        <w:t>السؤال من أهل الذکر</w:t>
      </w:r>
      <w:r>
        <w:rPr>
          <w:rtl w:val="true"/>
        </w:rPr>
        <w:t>»</w:t>
      </w:r>
      <w:bookmarkEnd w:id="755"/>
    </w:p>
    <w:p>
      <w:pPr>
        <w:pStyle w:val="BookText"/>
        <w:rPr/>
      </w:pPr>
      <w:r>
        <w:rPr>
          <w:rFonts w:ascii="IRNazanin" w:hAnsi="IRNazanin" w:eastAsia="IRNazanin"/>
          <w:color w:val="111111"/>
          <w:sz w:val="28"/>
          <w:sz w:val="28"/>
          <w:szCs w:val="28"/>
          <w:rtl w:val="true"/>
          <w:lang w:bidi="fa-IR"/>
        </w:rPr>
        <w:t xml:space="preserve">و من جملة الآیات التی استدلّ بها بعض المعاصرین </w:t>
      </w:r>
      <w:r>
        <w:rPr>
          <w:rStyle w:val="FootnoteAnchor"/>
          <w:rtl w:val="true"/>
        </w:rPr>
        <w:footnoteReference w:id="969"/>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فَسْئَلُوا أَهْلَ الذِّکْرِ إِنْ کُنْتُمْ لا تَعْلَمُونَ</w:t>
      </w:r>
    </w:p>
    <w:p>
      <w:pPr>
        <w:pStyle w:val="BookText"/>
        <w:rPr/>
      </w:pPr>
      <w:r>
        <w:rPr>
          <w:rStyle w:val="FootnoteAnchor"/>
          <w:rtl w:val="true"/>
        </w:rPr>
        <w:footnoteReference w:id="97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6" w:name="__RefHeading___Toc5447013_3224264995"/>
      <w:bookmarkStart w:id="757" w:name="_Toc288"/>
      <w:bookmarkEnd w:id="756"/>
      <w:r>
        <w:rPr>
          <w:rtl w:val="true"/>
        </w:rPr>
        <w:t>وجه الاستدلال بها</w:t>
      </w:r>
      <w:r>
        <w:rPr>
          <w:rtl w:val="true"/>
        </w:rPr>
        <w:t>:</w:t>
      </w:r>
      <w:bookmarkEnd w:id="757"/>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أنّ وجوب السؤال یستلزم وجوب قبول الجواب؛و إلاّ لغی وجوب السؤال،و إذا وجب قبول الجواب وجب قبول کلّ ما یصحّ أن یسأل عنه و یقع جوابا له؛لأنّ خصوصیّة المسبوقیّة بالسؤال لا دخل فیه قطعا،فإذا سئل الراوی الذی هو من أهل العلم عمّا سمعه عن الإمام علیه السّلام فی خصوص الواقعة،فأجاب بأنّی سمعته یقول کذا،وجب القبول بحکم الآیة،فیجب قبول قوله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سمعت الإمام علیه السّلام </w:t>
      </w:r>
      <w:bookmarkStart w:id="758" w:name="pg12977_114330"/>
    </w:p>
    <w:p>
      <w:pPr>
        <w:pStyle w:val="BookText"/>
        <w:rPr/>
      </w:pPr>
      <w:bookmarkEnd w:id="758"/>
      <w:r>
        <w:rPr>
          <w:rFonts w:ascii="IRNazanin" w:hAnsi="IRNazanin" w:eastAsia="IRNazanin"/>
          <w:color w:val="111111"/>
          <w:sz w:val="28"/>
          <w:sz w:val="28"/>
          <w:szCs w:val="28"/>
          <w:rtl w:val="true"/>
          <w:lang w:bidi="fa-IR"/>
        </w:rPr>
        <w:t>یقول کذا؛لأنّ حجّیّة قوله هو الذی أوجب السؤال عنه،لا أنّ وجوب السؤال أوجب قبول قوله،کما لا یخفی</w:t>
      </w:r>
      <w:r>
        <w:rPr>
          <w:rFonts w:eastAsia="IRNazanin" w:cs="IRNazanin"/>
          <w:color w:val="111111"/>
          <w:sz w:val="28"/>
          <w:szCs w:val="28"/>
          <w:rtl w:val="true"/>
          <w:lang w:bidi="fa-IR"/>
        </w:rPr>
        <w:t>.</w:t>
      </w:r>
    </w:p>
    <w:p>
      <w:pPr>
        <w:pStyle w:val="Heading6"/>
        <w:numPr>
          <w:ilvl w:val="5"/>
          <w:numId w:val="1"/>
        </w:numPr>
        <w:rPr/>
      </w:pPr>
      <w:bookmarkStart w:id="759" w:name="__RefHeading___Toc5447015_3224264995"/>
      <w:bookmarkStart w:id="760" w:name="_Toc289"/>
      <w:bookmarkEnd w:id="759"/>
      <w:r>
        <w:rPr>
          <w:rtl w:val="true"/>
        </w:rPr>
        <w:t>المناقشة فی الاستدلال</w:t>
      </w:r>
      <w:r>
        <w:rPr>
          <w:rtl w:val="true"/>
        </w:rPr>
        <w:t>:</w:t>
      </w:r>
      <w:bookmarkEnd w:id="760"/>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Style w:val="FootnoteAnchor"/>
          <w:rtl w:val="true"/>
        </w:rPr>
        <w:footnoteReference w:id="9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الاستدلال إن کان بظاهر الآیة،فظاهرها بمقتضی السیاق إرادة علماء أهل الکتاب،کما عن ابن عباس و مجاهد </w:t>
      </w:r>
      <w:r>
        <w:rPr>
          <w:rStyle w:val="FootnoteAnchor"/>
          <w:rtl w:val="true"/>
        </w:rPr>
        <w:footnoteReference w:id="972"/>
      </w:r>
      <w:r>
        <w:rPr>
          <w:rFonts w:ascii="Amiri" w:hAnsi="Amiri" w:eastAsia="Amiri" w:cs="Amiri"/>
          <w:color w:val="111111"/>
          <w:sz w:val="28"/>
          <w:sz w:val="28"/>
          <w:szCs w:val="28"/>
          <w:rtl w:val="true"/>
          <w:lang w:bidi="ar-SA"/>
        </w:rPr>
        <w:t xml:space="preserve">و الحسن و قتادة </w:t>
      </w:r>
      <w:r>
        <w:rPr>
          <w:rStyle w:val="FootnoteAnchor"/>
          <w:rtl w:val="true"/>
        </w:rPr>
        <w:footnoteReference w:id="973"/>
      </w:r>
      <w:r>
        <w:rPr>
          <w:rFonts w:ascii="Amiri" w:hAnsi="Amiri" w:eastAsia="Amiri" w:cs="Amiri"/>
          <w:color w:val="111111"/>
          <w:sz w:val="28"/>
          <w:sz w:val="28"/>
          <w:szCs w:val="28"/>
          <w:rtl w:val="true"/>
          <w:lang w:bidi="ar-SA"/>
        </w:rPr>
        <w:t>فإنّ المذکور فی 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قَبْلِکَ إِلاّ رِجالاً نُوحِی إِلَیْهِمْ فَسْئَلُوا أَهْلَ الذِّکْرِ إِنْ کُنْتُمْ لا تَعْلَمُونَ بِالْبَیِّناتِ وَ الزُّبُرِ، و فی سورة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قَبْلَکَ إِلاّ رِجالاً نُوحِی إِلَیْهِمْ فَسْئَلُوا أَهْلَ الذِّکْرِ إِنْ کُنْتُمْ لا تَعْلَمُونَ</w:t>
      </w:r>
      <w:r>
        <w:rPr>
          <w:rFonts w:eastAsia="Amiri" w:cs="Amiri" w:ascii="Amiri" w:hAnsi="Amiri"/>
          <w:color w:val="111111"/>
          <w:sz w:val="28"/>
          <w:szCs w:val="28"/>
          <w:rtl w:val="true"/>
          <w:lang w:bidi="ar-SA"/>
        </w:rPr>
        <w:t>.</w:t>
      </w:r>
    </w:p>
    <w:p>
      <w:pPr>
        <w:pStyle w:val="Heading6"/>
        <w:numPr>
          <w:ilvl w:val="5"/>
          <w:numId w:val="1"/>
        </w:numPr>
        <w:rPr/>
      </w:pPr>
      <w:bookmarkStart w:id="761" w:name="__RefHeading___Toc5447017_3224264995"/>
      <w:bookmarkStart w:id="762" w:name="_Toc290"/>
      <w:bookmarkEnd w:id="761"/>
      <w:r>
        <w:rPr>
          <w:rtl w:val="true"/>
        </w:rPr>
        <w:t>من هم أهل الذکر؟</w:t>
      </w:r>
      <w:bookmarkEnd w:id="762"/>
    </w:p>
    <w:p>
      <w:pPr>
        <w:pStyle w:val="BookText"/>
        <w:rPr/>
      </w:pPr>
      <w:r>
        <w:rPr>
          <w:rFonts w:ascii="IRNazanin" w:hAnsi="IRNazanin" w:eastAsia="IRNazanin"/>
          <w:color w:val="111111"/>
          <w:sz w:val="28"/>
          <w:sz w:val="28"/>
          <w:szCs w:val="28"/>
          <w:rtl w:val="true"/>
          <w:lang w:bidi="fa-IR"/>
        </w:rPr>
        <w:t>و إن کان مع قطع النظر عن سیاقها،ففیه</w:t>
      </w:r>
      <w:r>
        <w:rPr>
          <w:rFonts w:eastAsia="IRNazanin" w:cs="IRNazanin"/>
          <w:color w:val="111111"/>
          <w:sz w:val="28"/>
          <w:szCs w:val="28"/>
          <w:rtl w:val="true"/>
          <w:lang w:bidi="fa-IR"/>
        </w:rPr>
        <w:t xml:space="preserve">: </w:t>
      </w:r>
      <w:r>
        <w:rPr>
          <w:rStyle w:val="FootnoteAnchor"/>
          <w:rtl w:val="true"/>
        </w:rPr>
        <w:footnoteReference w:id="974"/>
      </w:r>
      <w:r>
        <w:rPr>
          <w:rFonts w:ascii="IRNazanin" w:hAnsi="IRNazanin" w:eastAsia="IRNazanin"/>
          <w:color w:val="111111"/>
          <w:sz w:val="28"/>
          <w:sz w:val="28"/>
          <w:szCs w:val="28"/>
          <w:rtl w:val="true"/>
          <w:lang w:bidi="fa-IR"/>
        </w:rPr>
        <w:t>أنّه ورد فی الأخبار المستفیضة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أهل الذکر هم الأئمّة علیهم السّلام،و قد عقد فی اصول الکافی بابا لذلک </w:t>
      </w:r>
      <w:r>
        <w:rPr>
          <w:rStyle w:val="FootnoteAnchor"/>
          <w:rtl w:val="true"/>
        </w:rPr>
        <w:footnoteReference w:id="975"/>
      </w:r>
      <w:r>
        <w:rPr>
          <w:rFonts w:ascii="IRNazanin" w:hAnsi="IRNazanin" w:eastAsia="IRNazanin"/>
          <w:color w:val="111111"/>
          <w:sz w:val="28"/>
          <w:sz w:val="28"/>
          <w:szCs w:val="28"/>
          <w:rtl w:val="true"/>
          <w:lang w:bidi="fa-IR"/>
        </w:rPr>
        <w:t xml:space="preserve">،و أرسله فی المجمع عن علیّ علیه السّلام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ردّ بعض مشایخنا </w:t>
      </w:r>
      <w:r>
        <w:rPr>
          <w:rStyle w:val="FootnoteAnchor"/>
          <w:rtl w:val="true"/>
        </w:rPr>
        <w:footnoteReference w:id="977"/>
      </w:r>
      <w:r>
        <w:rPr>
          <w:rFonts w:ascii="IRNazanin" w:hAnsi="IRNazanin" w:eastAsia="IRNazanin"/>
          <w:color w:val="111111"/>
          <w:sz w:val="28"/>
          <w:sz w:val="28"/>
          <w:szCs w:val="28"/>
          <w:rtl w:val="true"/>
          <w:lang w:bidi="fa-IR"/>
        </w:rPr>
        <w:t>هذه الأخبار بضعف السند؛بناء علی اشتراک بعض الرواة فی بعضها و ضعف بعضها فی الباقی</w:t>
      </w:r>
      <w:r>
        <w:rPr>
          <w:rFonts w:eastAsia="IRNazanin" w:cs="IRNazanin"/>
          <w:color w:val="111111"/>
          <w:sz w:val="28"/>
          <w:szCs w:val="28"/>
          <w:rtl w:val="true"/>
          <w:lang w:bidi="fa-IR"/>
        </w:rPr>
        <w:t xml:space="preserve">. </w:t>
      </w:r>
      <w:bookmarkStart w:id="763" w:name="pg12977_114331"/>
    </w:p>
    <w:p>
      <w:pPr>
        <w:pStyle w:val="BookText"/>
        <w:rPr/>
      </w:pPr>
      <w:bookmarkEnd w:id="763"/>
      <w:r>
        <w:rPr>
          <w:rFonts w:ascii="IRNazanin" w:hAnsi="IRNazanin" w:eastAsia="IRNazanin"/>
          <w:color w:val="111111"/>
          <w:sz w:val="28"/>
          <w:sz w:val="28"/>
          <w:szCs w:val="28"/>
          <w:rtl w:val="true"/>
          <w:lang w:bidi="fa-IR"/>
        </w:rPr>
        <w:t xml:space="preserve">و فیه نظر؛لأنّ روایتین منها صحیحتان،و هما روایتا محمّد بن مسلم و الوشّاء </w:t>
      </w:r>
      <w:r>
        <w:rPr>
          <w:rStyle w:val="FootnoteAnchor"/>
          <w:rtl w:val="true"/>
        </w:rPr>
        <w:footnoteReference w:id="978"/>
      </w:r>
      <w:r>
        <w:rPr>
          <w:rFonts w:ascii="IRNazanin" w:hAnsi="IRNazanin" w:eastAsia="IRNazanin"/>
          <w:color w:val="111111"/>
          <w:sz w:val="28"/>
          <w:sz w:val="28"/>
          <w:szCs w:val="28"/>
          <w:rtl w:val="true"/>
          <w:lang w:bidi="fa-IR"/>
        </w:rPr>
        <w:t xml:space="preserve">،فلاحظ،و روایة أبی بکر الحضرمیّ </w:t>
      </w:r>
      <w:r>
        <w:rPr>
          <w:rStyle w:val="FootnoteAnchor"/>
          <w:rtl w:val="true"/>
        </w:rPr>
        <w:footnoteReference w:id="979"/>
      </w:r>
      <w:r>
        <w:rPr>
          <w:rFonts w:ascii="Amiri" w:hAnsi="Amiri" w:eastAsia="Amiri" w:cs="Amiri"/>
          <w:color w:val="111111"/>
          <w:sz w:val="28"/>
          <w:sz w:val="28"/>
          <w:szCs w:val="28"/>
          <w:rtl w:val="true"/>
          <w:lang w:bidi="ar-SA"/>
        </w:rPr>
        <w:t>حسنة أو موثّقة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ثلاث روایات أخر منها </w:t>
      </w:r>
      <w:r>
        <w:rPr>
          <w:rStyle w:val="FootnoteAnchor"/>
          <w:rtl w:val="true"/>
        </w:rPr>
        <w:footnoteReference w:id="980"/>
      </w:r>
      <w:r>
        <w:rPr>
          <w:rFonts w:ascii="IRNazanin" w:hAnsi="IRNazanin" w:eastAsia="IRNazanin"/>
          <w:color w:val="111111"/>
          <w:sz w:val="28"/>
          <w:sz w:val="28"/>
          <w:szCs w:val="28"/>
          <w:rtl w:val="true"/>
          <w:lang w:bidi="fa-IR"/>
        </w:rPr>
        <w:t>لا تخلو من ضعف،و لا تقدح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وجوب السؤال عند عدم العلم وجوب تحصیل العلم،لا وجوب السؤال للعمل بالجواب تعبّدا،کما یقال فی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إن کنت جاهلا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واردة فی اصول الدین و علامات النبیّ صلّی اللّه علیه و آله التی لا یؤخذ فیها بالتعبّد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 حمله علی إرادة وجوب السؤال للتعبّد بالجواب لا لحصول العلم منه،قلنا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المراد من أهل العلم لیس مطلق من علم و لو بسماع روایة من الإمام علیه السّلام؛و إلاّ لدلّ علی حجّیّة قول کلّ عالم بشیء و لو من طریق السمع و البصر،مع أنّه یصحّ سلب هذا العنوان عن </w:t>
      </w:r>
      <w:r>
        <w:rPr>
          <w:rStyle w:val="FootnoteAnchor"/>
          <w:rtl w:val="true"/>
        </w:rPr>
        <w:footnoteReference w:id="981"/>
      </w:r>
      <w:r>
        <w:rPr>
          <w:rFonts w:ascii="IRNazanin" w:hAnsi="IRNazanin" w:eastAsia="IRNazanin"/>
          <w:color w:val="111111"/>
          <w:sz w:val="28"/>
          <w:sz w:val="28"/>
          <w:szCs w:val="28"/>
          <w:rtl w:val="true"/>
          <w:lang w:bidi="fa-IR"/>
        </w:rPr>
        <w:t>مطلق من أحسّ شیئا بسمعه أو بصره،و المتبادر من وجوب سؤال أهل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إرادة التعبّد بجوابهم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سؤالهم عمّا هم عالمون به و یعدّون من أهل العلم فی مثله،فینحصر مدلول الآیة فی التقلید؛</w:t>
      </w:r>
    </w:p>
    <w:p>
      <w:pPr>
        <w:pStyle w:val="Heading6"/>
        <w:numPr>
          <w:ilvl w:val="5"/>
          <w:numId w:val="1"/>
        </w:numPr>
        <w:rPr/>
      </w:pPr>
      <w:bookmarkStart w:id="764" w:name="__RefHeading___Toc5447019_3224264995"/>
      <w:bookmarkStart w:id="765" w:name="_Toc291"/>
      <w:bookmarkEnd w:id="764"/>
      <w:r>
        <w:rPr>
          <w:rtl w:val="true"/>
        </w:rPr>
        <w:t>استدلال جماعة بالآیة علی وجوب التقلید</w:t>
      </w:r>
      <w:bookmarkEnd w:id="765"/>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تمسّک به جماعة </w:t>
      </w:r>
      <w:r>
        <w:rPr>
          <w:rStyle w:val="FootnoteAnchor"/>
          <w:rtl w:val="true"/>
        </w:rPr>
        <w:footnoteReference w:id="982"/>
      </w:r>
      <w:r>
        <w:rPr>
          <w:rFonts w:ascii="IRNazanin" w:hAnsi="IRNazanin" w:eastAsia="IRNazanin"/>
          <w:color w:val="111111"/>
          <w:sz w:val="28"/>
          <w:sz w:val="28"/>
          <w:szCs w:val="28"/>
          <w:rtl w:val="true"/>
          <w:lang w:bidi="fa-IR"/>
        </w:rPr>
        <w:t>علی وجوب التقلید علی العامّی</w:t>
      </w:r>
      <w:r>
        <w:rPr>
          <w:rFonts w:eastAsia="IRNazanin" w:cs="IRNazanin"/>
          <w:color w:val="111111"/>
          <w:sz w:val="28"/>
          <w:szCs w:val="28"/>
          <w:rtl w:val="true"/>
          <w:lang w:bidi="fa-IR"/>
        </w:rPr>
        <w:t xml:space="preserve">. </w:t>
      </w:r>
      <w:bookmarkStart w:id="766" w:name="pg12977_114332"/>
    </w:p>
    <w:p>
      <w:pPr>
        <w:pStyle w:val="BookText"/>
        <w:rPr/>
      </w:pPr>
      <w:bookmarkEnd w:id="766"/>
      <w:r>
        <w:rPr>
          <w:rFonts w:ascii="IRNazanin" w:hAnsi="IRNazanin" w:eastAsia="IRNazanin"/>
          <w:color w:val="111111"/>
          <w:sz w:val="28"/>
          <w:sz w:val="28"/>
          <w:szCs w:val="28"/>
          <w:rtl w:val="true"/>
          <w:lang w:bidi="fa-IR"/>
        </w:rPr>
        <w:t>و بما ذکرنا یندفع ما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أنّا نفرض الراوی من أهل العلم، فإذا وجب قبول روایته وجب قبول روایة من لیس من أهل العلم بالإجماع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وجه الاندفاع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سؤال أهل العلم عن الألفاظ التی سمعوها </w:t>
      </w:r>
      <w:r>
        <w:rPr>
          <w:rStyle w:val="FootnoteAnchor"/>
          <w:rtl w:val="true"/>
        </w:rPr>
        <w:footnoteReference w:id="983"/>
      </w:r>
      <w:r>
        <w:rPr>
          <w:rFonts w:ascii="IRNazanin" w:hAnsi="IRNazanin" w:eastAsia="IRNazanin"/>
          <w:color w:val="111111"/>
          <w:sz w:val="28"/>
          <w:sz w:val="28"/>
          <w:szCs w:val="28"/>
          <w:rtl w:val="true"/>
          <w:lang w:bidi="fa-IR"/>
        </w:rPr>
        <w:t xml:space="preserve">من الإمام علیه السّلام و التعبّد بقولهم </w:t>
      </w:r>
      <w:r>
        <w:rPr>
          <w:rStyle w:val="FootnoteAnchor"/>
          <w:rtl w:val="true"/>
        </w:rPr>
        <w:footnoteReference w:id="984"/>
      </w:r>
      <w:r>
        <w:rPr>
          <w:rFonts w:ascii="IRNazanin" w:hAnsi="IRNazanin" w:eastAsia="IRNazanin"/>
          <w:color w:val="111111"/>
          <w:sz w:val="28"/>
          <w:sz w:val="28"/>
          <w:szCs w:val="28"/>
          <w:rtl w:val="true"/>
          <w:lang w:bidi="fa-IR"/>
        </w:rPr>
        <w:t>فیها،لیس سؤالا من أهل العلم من حیث هم أهل العلم؛أ لا تری أنّه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الفقهاء إذا لم تعلم أو الأطبّاء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یحتمل أن یکون قد أراد ما یشمل المسموعات و المبصرات الخارجیّة من قیام زید و تکلّم عمرو،و غیر ذلک؟</w:t>
      </w:r>
    </w:p>
    <w:p>
      <w:pPr>
        <w:pStyle w:val="Heading6"/>
        <w:numPr>
          <w:ilvl w:val="5"/>
          <w:numId w:val="1"/>
        </w:numPr>
        <w:rPr/>
      </w:pPr>
      <w:bookmarkStart w:id="767" w:name="__RefHeading___Toc5447021_3224264995"/>
      <w:bookmarkStart w:id="768" w:name="_Toc292"/>
      <w:bookmarkEnd w:id="767"/>
      <w:r>
        <w:rPr>
          <w:rtl w:val="true"/>
        </w:rPr>
        <w:t>الآیة الخامسة</w:t>
      </w:r>
      <w:r>
        <w:rPr>
          <w:rtl w:val="true"/>
        </w:rPr>
        <w:t>:</w:t>
      </w:r>
      <w:r>
        <w:rPr>
          <w:rtl w:val="true"/>
        </w:rPr>
        <w:t>آیة</w:t>
      </w:r>
      <w:r>
        <w:rPr>
          <w:rtl w:val="true"/>
        </w:rPr>
        <w:t>«</w:t>
      </w:r>
      <w:r>
        <w:rPr>
          <w:rtl w:val="true"/>
        </w:rPr>
        <w:t>الاذن</w:t>
      </w:r>
      <w:r>
        <w:rPr>
          <w:rtl w:val="true"/>
        </w:rPr>
        <w:t>»</w:t>
      </w:r>
      <w:bookmarkEnd w:id="768"/>
    </w:p>
    <w:p>
      <w:pPr>
        <w:pStyle w:val="BookText"/>
        <w:rPr/>
      </w:pPr>
      <w:r>
        <w:rPr>
          <w:rFonts w:ascii="IRNazanin" w:hAnsi="IRNazanin" w:eastAsia="IRNazanin"/>
          <w:color w:val="111111"/>
          <w:sz w:val="28"/>
          <w:sz w:val="28"/>
          <w:szCs w:val="28"/>
          <w:rtl w:val="true"/>
          <w:lang w:bidi="fa-IR"/>
        </w:rPr>
        <w:t>و من جملة الآیات،قوله تعالی فی سورة براءة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الَّذِینَ یُؤْذُونَ النَّبِیَّ وَ یَقُولُونَ هُوَ أُذُنٌ قُلْ أُذُنُ خَیْرٍ لَکُمْ یُؤْمِنُ بِاللّهِ وَ یُؤْمِنُ لِلْمُؤْمِنِینَ</w:t>
      </w:r>
    </w:p>
    <w:p>
      <w:pPr>
        <w:pStyle w:val="BookText"/>
        <w:rPr/>
      </w:pPr>
      <w:r>
        <w:rPr>
          <w:rStyle w:val="FootnoteAnchor"/>
          <w:rtl w:val="true"/>
        </w:rPr>
        <w:footnoteReference w:id="98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9" w:name="__RefHeading___Toc5447023_3224264995"/>
      <w:bookmarkStart w:id="770" w:name="_Toc293"/>
      <w:bookmarkEnd w:id="769"/>
      <w:r>
        <w:rPr>
          <w:rtl w:val="true"/>
        </w:rPr>
        <w:t>وجه الاستدلال بها</w:t>
      </w:r>
      <w:r>
        <w:rPr>
          <w:rtl w:val="true"/>
        </w:rPr>
        <w:t>:</w:t>
      </w:r>
      <w:bookmarkEnd w:id="770"/>
    </w:p>
    <w:p>
      <w:pPr>
        <w:pStyle w:val="BookText"/>
        <w:rPr/>
      </w:pPr>
      <w:r>
        <w:rPr>
          <w:rFonts w:ascii="IRNazanin" w:hAnsi="IRNazanin" w:eastAsia="IRNazanin"/>
          <w:color w:val="111111"/>
          <w:sz w:val="28"/>
          <w:sz w:val="28"/>
          <w:szCs w:val="28"/>
          <w:rtl w:val="true"/>
          <w:lang w:bidi="fa-IR"/>
        </w:rPr>
        <w:t>مدح اللّه عزّ و جلّ رسوله صلّی اللّه علیه و آله بتصدیقه للمؤمنین،بل قرنه بالتصدیق باللّه جلّ ذکره،فإذا کان التصدیق حسنا یکون واجبا</w:t>
      </w:r>
      <w:r>
        <w:rPr>
          <w:rFonts w:eastAsia="IRNazanin" w:cs="IRNazanin"/>
          <w:color w:val="111111"/>
          <w:sz w:val="28"/>
          <w:szCs w:val="28"/>
          <w:rtl w:val="true"/>
          <w:lang w:bidi="fa-IR"/>
        </w:rPr>
        <w:t>.</w:t>
      </w:r>
    </w:p>
    <w:p>
      <w:pPr>
        <w:pStyle w:val="Heading6"/>
        <w:numPr>
          <w:ilvl w:val="5"/>
          <w:numId w:val="1"/>
        </w:numPr>
        <w:rPr/>
      </w:pPr>
      <w:bookmarkStart w:id="771" w:name="__RefHeading___Toc5447025_3224264995"/>
      <w:bookmarkStart w:id="772" w:name="_Toc294"/>
      <w:bookmarkEnd w:id="771"/>
      <w:r>
        <w:rPr>
          <w:rtl w:val="true"/>
        </w:rPr>
        <w:t>تأیید الاستدلال،بالروایة الواردة فی حکایة إسماعیل</w:t>
      </w:r>
      <w:bookmarkEnd w:id="772"/>
    </w:p>
    <w:p>
      <w:pPr>
        <w:pStyle w:val="BookText"/>
        <w:rPr/>
      </w:pPr>
      <w:r>
        <w:rPr>
          <w:rFonts w:ascii="IRNazanin" w:hAnsi="IRNazanin" w:eastAsia="IRNazanin"/>
          <w:color w:val="111111"/>
          <w:sz w:val="28"/>
          <w:sz w:val="28"/>
          <w:szCs w:val="28"/>
          <w:rtl w:val="true"/>
          <w:lang w:bidi="fa-IR"/>
        </w:rPr>
        <w:t>و یزید تقریب الاستدلال وضوحا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فی فروع الکافی فی الحسن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هاشم</w:t>
      </w:r>
      <w:r>
        <w:rPr>
          <w:rFonts w:eastAsia="IRNazanin" w:cs="IRNazanin"/>
          <w:color w:val="111111"/>
          <w:sz w:val="28"/>
          <w:szCs w:val="28"/>
          <w:rtl w:val="true"/>
          <w:lang w:bidi="fa-IR"/>
        </w:rPr>
        <w:t xml:space="preserve">" </w:t>
      </w:r>
      <w:r>
        <w:rPr>
          <w:rStyle w:val="FootnoteAnchor"/>
          <w:rtl w:val="true"/>
        </w:rPr>
        <w:footnoteReference w:id="986"/>
      </w:r>
      <w:r>
        <w:rPr>
          <w:rFonts w:ascii="IRNazanin" w:hAnsi="IRNazanin" w:eastAsia="IRNazanin"/>
          <w:color w:val="111111"/>
          <w:sz w:val="28"/>
          <w:sz w:val="28"/>
          <w:szCs w:val="28"/>
          <w:rtl w:val="true"/>
          <w:lang w:bidi="fa-IR"/>
        </w:rPr>
        <w:t>،أنّه کان لاسماعیل بن أبی عبد اللّه دنانیر، و أراد رجل من قریش أن یخرج إلی الیمن،فقال له أبو عبد اللّه علیه السّلام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أما بلغک أنّه یشرب الخمر؟قال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الناس یقولون، </w:t>
      </w:r>
      <w:bookmarkStart w:id="773" w:name="pg12977_114333"/>
    </w:p>
    <w:p>
      <w:pPr>
        <w:pStyle w:val="BookText"/>
        <w:rPr/>
      </w:pPr>
      <w:bookmarkEnd w:id="773"/>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یُؤْمِنُ بِاللّهِ وَ یُؤْمِنُ لِلْمُؤْمِنِینَ،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یصدّق اللّه و یصدّق للمؤمنین؛فإذا شهد عندک المسلمون فصدّقهم</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4" w:name="__RefHeading___Toc5447027_3224264995"/>
      <w:bookmarkStart w:id="775" w:name="_Toc295"/>
      <w:bookmarkEnd w:id="774"/>
      <w:r>
        <w:rPr>
          <w:rtl w:val="true"/>
        </w:rPr>
        <w:t>المناقشة فی الاستدلال</w:t>
      </w:r>
      <w:r>
        <w:rPr>
          <w:rtl w:val="true"/>
        </w:rPr>
        <w:t>:</w:t>
      </w:r>
      <w:bookmarkEnd w:id="775"/>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p>
    <w:p>
      <w:pPr>
        <w:pStyle w:val="Heading6"/>
        <w:numPr>
          <w:ilvl w:val="5"/>
          <w:numId w:val="1"/>
        </w:numPr>
        <w:rPr/>
      </w:pPr>
      <w:bookmarkStart w:id="776" w:name="__RefHeading___Toc5447029_3224264995"/>
      <w:bookmarkStart w:id="777" w:name="_Toc296"/>
      <w:bookmarkEnd w:id="776"/>
      <w:r>
        <w:rPr>
          <w:rtl w:val="true"/>
        </w:rPr>
        <w:t>أنّ المراد من الاذن</w:t>
      </w:r>
      <w:bookmarkEnd w:id="777"/>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بالاذن سریع التصدیق و الاعتقاد بکلّ ما یسمع ، لا من یعمل تعبّدا بما یسمع من دون حصول الاعتقاد بصدقه،فمدحه صلّی اللّه علیه و آله بذلک؛لحسن ظنّه بالمؤمنین و عدم اتّهامهم</w:t>
      </w:r>
      <w:r>
        <w:rPr>
          <w:rFonts w:eastAsia="IRNazanin" w:cs="IRNazanin"/>
          <w:color w:val="111111"/>
          <w:sz w:val="28"/>
          <w:szCs w:val="28"/>
          <w:rtl w:val="true"/>
          <w:lang w:bidi="fa-IR"/>
        </w:rPr>
        <w:t>.</w:t>
      </w:r>
    </w:p>
    <w:p>
      <w:pPr>
        <w:pStyle w:val="Heading6"/>
        <w:numPr>
          <w:ilvl w:val="5"/>
          <w:numId w:val="1"/>
        </w:numPr>
        <w:rPr/>
      </w:pPr>
      <w:bookmarkStart w:id="778" w:name="__RefHeading___Toc5447031_3224264995"/>
      <w:bookmarkStart w:id="779" w:name="_Toc297"/>
      <w:bookmarkEnd w:id="778"/>
      <w:r>
        <w:rPr>
          <w:rtl w:val="true"/>
        </w:rPr>
        <w:t>المراد من</w:t>
      </w:r>
      <w:r>
        <w:rPr>
          <w:rtl w:val="true"/>
        </w:rPr>
        <w:t>«</w:t>
      </w:r>
      <w:r>
        <w:rPr>
          <w:rtl w:val="true"/>
        </w:rPr>
        <w:t>تصدیق المؤمنین</w:t>
      </w:r>
      <w:bookmarkEnd w:id="77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المراد من التصدیق فی الآیة لیس جعل المخبر به واقعا و ترتیب جمیع آثاره علیه؛إذ لو کان المراد به ذلک لم یکن اذن خیر لجمیع الناس؛إذ لو أخبره أحد بزنا أحد،أو شربه،أو قذفه،أو ارتداده،فقتله النبیّ أو جلده،لم یکن فی سماعه </w:t>
      </w:r>
      <w:r>
        <w:rPr>
          <w:rStyle w:val="FootnoteAnchor"/>
          <w:rtl w:val="true"/>
        </w:rPr>
        <w:footnoteReference w:id="988"/>
      </w:r>
      <w:r>
        <w:rPr>
          <w:rFonts w:ascii="IRNazanin" w:hAnsi="IRNazanin" w:eastAsia="IRNazanin"/>
          <w:color w:val="111111"/>
          <w:sz w:val="28"/>
          <w:sz w:val="28"/>
          <w:szCs w:val="28"/>
          <w:rtl w:val="true"/>
          <w:lang w:bidi="fa-IR"/>
        </w:rPr>
        <w:t>ذلک الخبر خیر للمخبر عنه،بل کان محض الشرّ له،خصوصا مع عدم صدور الفعل منه 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نعم،یکون </w:t>
      </w:r>
      <w:r>
        <w:rPr>
          <w:rStyle w:val="FootnoteAnchor"/>
          <w:rtl w:val="true"/>
        </w:rPr>
        <w:footnoteReference w:id="989"/>
      </w:r>
      <w:r>
        <w:rPr>
          <w:rFonts w:ascii="IRNazanin" w:hAnsi="IRNazanin" w:eastAsia="IRNazanin"/>
          <w:color w:val="111111"/>
          <w:sz w:val="28"/>
          <w:sz w:val="28"/>
          <w:szCs w:val="28"/>
          <w:rtl w:val="true"/>
          <w:lang w:bidi="fa-IR"/>
        </w:rPr>
        <w:t>خیرا للمخبر من حیث متابعة قوله و إن کان منافقا مؤذیا للنبیّ صلّی اللّه علیه و آله؛علی ما یقتضیه الخطاب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فثبوت الخیر لکلّ من المخبر و المخبر عنه لا یکون إلاّ إذا صدّق المخبر، بمعنی إظهار القبول عنه و عدم تکذیبه و طرح قوله رأسا،مع العمل فی نفسه بما یقتضیه الاحتیاط التامّ بالنسبة إلی المخبر عنه،فإن کان المخبر به ممّا یتعلّق بسوء حاله لا یؤذیه </w:t>
      </w:r>
      <w:r>
        <w:rPr>
          <w:rStyle w:val="FootnoteAnchor"/>
          <w:rtl w:val="true"/>
        </w:rPr>
        <w:footnoteReference w:id="990"/>
      </w:r>
      <w:r>
        <w:rPr>
          <w:rFonts w:ascii="IRNazanin" w:hAnsi="IRNazanin" w:eastAsia="IRNazanin"/>
          <w:color w:val="111111"/>
          <w:sz w:val="28"/>
          <w:sz w:val="28"/>
          <w:szCs w:val="28"/>
          <w:rtl w:val="true"/>
          <w:lang w:bidi="fa-IR"/>
        </w:rPr>
        <w:t xml:space="preserve">فی الظاهر،لکن یکون علی حذر </w:t>
      </w:r>
    </w:p>
    <w:p>
      <w:pPr>
        <w:pStyle w:val="BookText"/>
        <w:rPr/>
      </w:pPr>
      <w:r>
        <w:rPr>
          <w:rFonts w:ascii="IRNazanin" w:hAnsi="IRNazanin" w:eastAsia="IRNazanin"/>
          <w:color w:val="111111"/>
          <w:sz w:val="28"/>
          <w:sz w:val="28"/>
          <w:szCs w:val="28"/>
          <w:rtl w:val="true"/>
          <w:lang w:bidi="fa-IR"/>
        </w:rPr>
        <w:t>منه فی الباطن،کما کان هو مقتضی المصلحة فی حکایة اسماعیل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تفسیر العیاشیّ،عن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أنّه یصدّق المؤمنین؛لأنّه صلّی اللّه علیه و آله کان رءوفا رحیما بالمؤمنین </w:t>
      </w:r>
      <w:r>
        <w:rPr>
          <w:rStyle w:val="FootnoteAnchor"/>
          <w:rtl w:val="true"/>
        </w:rPr>
        <w:footnoteReference w:id="991"/>
      </w:r>
      <w:r>
        <w:rPr>
          <w:rFonts w:ascii="IRNazanin" w:hAnsi="IRNazanin" w:eastAsia="IRNazanin"/>
          <w:color w:val="111111"/>
          <w:sz w:val="28"/>
          <w:sz w:val="28"/>
          <w:szCs w:val="28"/>
          <w:rtl w:val="true"/>
          <w:lang w:bidi="fa-IR"/>
        </w:rPr>
        <w:t xml:space="preserve">فإنّ تعلیل التصدیق بالرأفة و الرحمة علی کافّة المؤمنین ینافی إرادة قبول قول أحدهم علی الآخر بحیث یرتّب </w:t>
      </w:r>
      <w:r>
        <w:rPr>
          <w:rStyle w:val="FootnoteAnchor"/>
          <w:rtl w:val="true"/>
        </w:rPr>
        <w:footnoteReference w:id="992"/>
      </w:r>
      <w:r>
        <w:rPr>
          <w:rFonts w:ascii="IRNazanin" w:hAnsi="IRNazanin" w:eastAsia="IRNazanin"/>
          <w:color w:val="111111"/>
          <w:sz w:val="28"/>
          <w:sz w:val="28"/>
          <w:szCs w:val="28"/>
          <w:rtl w:val="true"/>
          <w:lang w:bidi="fa-IR"/>
        </w:rPr>
        <w:t xml:space="preserve">علیه آثاره و إن أنکر المخبر عنه وقوعه؛إذ مع الإنکار لا بدّ من تکذیب أحدهما،و هو مناف لکونه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رءوفا رحیما بالجمیع </w:t>
      </w:r>
      <w:r>
        <w:rPr>
          <w:rStyle w:val="FootnoteAnchor"/>
          <w:rtl w:val="true"/>
        </w:rPr>
        <w:footnoteReference w:id="993"/>
      </w:r>
      <w:r>
        <w:rPr>
          <w:rFonts w:ascii="IRNazanin" w:hAnsi="IRNazanin" w:eastAsia="IRNazanin"/>
          <w:color w:val="111111"/>
          <w:sz w:val="28"/>
          <w:sz w:val="28"/>
          <w:szCs w:val="28"/>
          <w:rtl w:val="true"/>
          <w:lang w:bidi="fa-IR"/>
        </w:rPr>
        <w:t>،فتعیّن إرادة التصدیق بالمعنی الذی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القمّی رحمه اللّه فی سبب نزول الآیة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نمّ منافق علی النبیّ صلّی اللّه علیه و آله،فأخبره اللّه بذلک </w:t>
      </w:r>
      <w:r>
        <w:rPr>
          <w:rStyle w:val="FootnoteAnchor"/>
          <w:rtl w:val="true"/>
        </w:rPr>
        <w:footnoteReference w:id="994"/>
      </w:r>
      <w:r>
        <w:rPr>
          <w:rFonts w:ascii="Amiri" w:hAnsi="Amiri" w:eastAsia="Amiri" w:cs="Amiri"/>
          <w:color w:val="111111"/>
          <w:sz w:val="28"/>
          <w:sz w:val="28"/>
          <w:szCs w:val="28"/>
          <w:rtl w:val="true"/>
          <w:lang w:bidi="ar-SA"/>
        </w:rPr>
        <w:t>،فأحضره النبیّ صلّی اللّه علیه و آله و سأله،فحلف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لم یکن شیء ممّا ینمّ </w:t>
      </w:r>
      <w:r>
        <w:rPr>
          <w:rStyle w:val="FootnoteAnchor"/>
          <w:rtl w:val="true"/>
        </w:rPr>
        <w:footnoteReference w:id="995"/>
      </w:r>
      <w:r>
        <w:rPr>
          <w:rFonts w:ascii="Amiri" w:hAnsi="Amiri" w:eastAsia="Amiri" w:cs="Amiri"/>
          <w:color w:val="111111"/>
          <w:sz w:val="28"/>
          <w:sz w:val="28"/>
          <w:szCs w:val="28"/>
          <w:rtl w:val="true"/>
          <w:lang w:bidi="ar-SA"/>
        </w:rPr>
        <w:t>علیه،فقبل منه النبیّ صلّی اللّه علیه و آله،فأخذ هذا الرجل بعد ذلک یطعن علی النبیّ صلی اللّه علیه و آله 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یقبل کلّ ما یسمع،أخبره اللّه أنّی أنمّ علیه و أنقل أخباره فقبل، و أخبرته أنّی لم أفعل فقبل،فردّه اللّه تعالی بقوله لنبیّه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أُذُنُ خَیْرٍ لَکُمْ </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 xml:space="preserve">. </w:t>
      </w:r>
      <w:bookmarkStart w:id="780" w:name="pg12977_114335"/>
    </w:p>
    <w:p>
      <w:pPr>
        <w:pStyle w:val="BookText"/>
        <w:rPr/>
      </w:pPr>
      <w:bookmarkEnd w:id="780"/>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تصدیقه صلّی اللّه علیه و آله للمنافق لم یکن بترتیب آثار الصدق علیه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التفسیر </w:t>
      </w:r>
      <w:r>
        <w:rPr>
          <w:rStyle w:val="FootnoteAnchor"/>
          <w:rtl w:val="true"/>
        </w:rPr>
        <w:footnoteReference w:id="997"/>
      </w:r>
      <w:r>
        <w:rPr>
          <w:rFonts w:ascii="IRNazanin" w:hAnsi="IRNazanin" w:eastAsia="IRNazanin"/>
          <w:color w:val="111111"/>
          <w:sz w:val="28"/>
          <w:sz w:val="28"/>
          <w:szCs w:val="28"/>
          <w:rtl w:val="true"/>
          <w:lang w:bidi="fa-IR"/>
        </w:rPr>
        <w:t>صریح فی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المقرّون </w:t>
      </w:r>
      <w:r>
        <w:rPr>
          <w:rStyle w:val="FootnoteAnchor"/>
          <w:rtl w:val="true"/>
        </w:rPr>
        <w:footnoteReference w:id="998"/>
      </w:r>
      <w:r>
        <w:rPr>
          <w:rFonts w:ascii="IRNazanin" w:hAnsi="IRNazanin" w:eastAsia="IRNazanin"/>
          <w:color w:val="111111"/>
          <w:sz w:val="28"/>
          <w:sz w:val="28"/>
          <w:szCs w:val="28"/>
          <w:rtl w:val="true"/>
          <w:lang w:bidi="fa-IR"/>
        </w:rPr>
        <w:t>بالإیمان من غیر اعتقاد،فیکون الإیمان لهم علی حسب إیمانهم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بتغایر معنی الإیمان فی الموضعین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تکرار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تعدیته فی الأوّل بالباء و فی الثانی باللام،فافهم</w:t>
      </w:r>
      <w:r>
        <w:rPr>
          <w:rFonts w:eastAsia="IRNazanin" w:cs="IRNazanin"/>
          <w:color w:val="111111"/>
          <w:sz w:val="28"/>
          <w:szCs w:val="28"/>
          <w:rtl w:val="true"/>
          <w:lang w:bidi="fa-IR"/>
        </w:rPr>
        <w:t>.</w:t>
      </w:r>
    </w:p>
    <w:p>
      <w:pPr>
        <w:pStyle w:val="Heading6"/>
        <w:numPr>
          <w:ilvl w:val="5"/>
          <w:numId w:val="1"/>
        </w:numPr>
        <w:rPr/>
      </w:pPr>
      <w:bookmarkStart w:id="781" w:name="__RefHeading___Toc5447033_3224264995"/>
      <w:bookmarkStart w:id="782" w:name="_Toc298"/>
      <w:bookmarkEnd w:id="781"/>
      <w:r>
        <w:rPr>
          <w:rtl w:val="true"/>
        </w:rPr>
        <w:t>توجیه روایة إسماعیل</w:t>
      </w:r>
      <w:r>
        <w:rPr>
          <w:rtl w:val="true"/>
        </w:rPr>
        <w:t>:</w:t>
      </w:r>
      <w:bookmarkEnd w:id="782"/>
    </w:p>
    <w:p>
      <w:pPr>
        <w:pStyle w:val="BookText"/>
        <w:rPr/>
      </w:pPr>
      <w:r>
        <w:rPr>
          <w:rFonts w:ascii="IRNazanin" w:hAnsi="IRNazanin" w:eastAsia="IRNazanin"/>
          <w:color w:val="111111"/>
          <w:sz w:val="28"/>
          <w:sz w:val="28"/>
          <w:szCs w:val="28"/>
          <w:rtl w:val="true"/>
          <w:lang w:bidi="fa-IR"/>
        </w:rPr>
        <w:t>و أمّا توجیه الروایة،فیحتاج إلی بیان معنی التصدیق،فنقول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المسلم إذا أخبر بشیء فلتصدیقه معنیان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یقتضیه أدلّة تنزیل </w:t>
      </w:r>
      <w:r>
        <w:rPr>
          <w:rStyle w:val="FootnoteAnchor"/>
          <w:rtl w:val="true"/>
        </w:rPr>
        <w:footnoteReference w:id="999"/>
      </w:r>
      <w:r>
        <w:rPr>
          <w:rFonts w:ascii="IRNazanin" w:hAnsi="IRNazanin" w:eastAsia="IRNazanin"/>
          <w:color w:val="111111"/>
          <w:sz w:val="28"/>
          <w:sz w:val="28"/>
          <w:szCs w:val="28"/>
          <w:rtl w:val="true"/>
          <w:lang w:bidi="fa-IR"/>
        </w:rPr>
        <w:t xml:space="preserve">فعل المسلم علی الصحیح و الأحسن؛فإنّ الإخبار من حیث إنّه فعل من أفعال المکلّفین،صحیحه ما کان مباحا،و فاسده ما کان نقیضه،کالکذب و الغیبة و نحوهما،فحمل الإخبار علی الصادق حمل </w:t>
      </w:r>
      <w:r>
        <w:rPr>
          <w:rStyle w:val="FootnoteAnchor"/>
          <w:rtl w:val="true"/>
        </w:rPr>
        <w:footnoteReference w:id="1000"/>
      </w:r>
      <w:r>
        <w:rPr>
          <w:rFonts w:ascii="IRNazanin" w:hAnsi="IRNazanin" w:eastAsia="IRNazanin"/>
          <w:color w:val="111111"/>
          <w:sz w:val="28"/>
          <w:sz w:val="28"/>
          <w:szCs w:val="28"/>
          <w:rtl w:val="true"/>
          <w:lang w:bidi="fa-IR"/>
        </w:rPr>
        <w:t>علی أحسنه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حمل إخباره من حیث إنّه لفظ دالّ علی معنی یحتمل مطابقته للواقع و عدمها،علی کونه مطابقا للواقع و ترتیب </w:t>
      </w:r>
      <w:r>
        <w:rPr>
          <w:rStyle w:val="FootnoteAnchor"/>
          <w:rtl w:val="true"/>
        </w:rPr>
        <w:footnoteReference w:id="1001"/>
      </w:r>
      <w:r>
        <w:rPr>
          <w:rFonts w:ascii="IRNazanin" w:hAnsi="IRNazanin" w:eastAsia="IRNazanin"/>
          <w:color w:val="111111"/>
          <w:sz w:val="28"/>
          <w:sz w:val="28"/>
          <w:szCs w:val="28"/>
          <w:rtl w:val="true"/>
          <w:lang w:bidi="fa-IR"/>
        </w:rPr>
        <w:t>آثار الواقع علیه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1002"/>
      </w:r>
      <w:r>
        <w:rPr>
          <w:rFonts w:ascii="IRNazanin" w:hAnsi="IRNazanin" w:eastAsia="IRNazanin"/>
          <w:color w:val="111111"/>
          <w:sz w:val="28"/>
          <w:sz w:val="28"/>
          <w:szCs w:val="28"/>
          <w:rtl w:val="true"/>
          <w:lang w:bidi="fa-IR"/>
        </w:rPr>
        <w:t>المعنی الثانی هو الذی یراد من العمل بخبر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المعنی </w:t>
      </w:r>
    </w:p>
    <w:p>
      <w:pPr>
        <w:pStyle w:val="BookText"/>
        <w:rPr/>
      </w:pPr>
      <w:r>
        <w:rPr>
          <w:rFonts w:ascii="IRNazanin" w:hAnsi="IRNazanin" w:eastAsia="IRNazanin"/>
          <w:color w:val="111111"/>
          <w:sz w:val="28"/>
          <w:sz w:val="28"/>
          <w:szCs w:val="28"/>
          <w:rtl w:val="true"/>
          <w:lang w:bidi="fa-IR"/>
        </w:rPr>
        <w:t>الأوّل،فهو الذی یقتضیه أدلّة حمل فعل المسلم علی الصحیح و الأحسن، و هو ظاهر الأخبار الواردة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من حقّ المؤمن علی المؤمن أن یصدّقه و لا یتّهمه </w:t>
      </w:r>
      <w:r>
        <w:rPr>
          <w:rStyle w:val="FootnoteAnchor"/>
          <w:rtl w:val="true"/>
        </w:rPr>
        <w:footnoteReference w:id="1003"/>
      </w:r>
      <w:r>
        <w:rPr>
          <w:rFonts w:ascii="IRNazanin" w:hAnsi="IRNazanin" w:eastAsia="IRNazanin"/>
          <w:color w:val="111111"/>
          <w:sz w:val="28"/>
          <w:sz w:val="28"/>
          <w:szCs w:val="28"/>
          <w:rtl w:val="true"/>
          <w:lang w:bidi="fa-IR"/>
        </w:rPr>
        <w:t>،خصوصا 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محمّد،کذّب سمعک و بصرک عن أخیک،فإن شهد عندک خمسون قسامة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قولا،و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أقله،فصدّقه و کذّبهم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تکذیب القسامة مع کونهم أیضا مؤمنین،لا یراد منه إلاّ عدم ترتیب آثار الواقع علی کلامهم،لا ما یقابل تصدیق المشهود علیه؛ فإنّه ترجیح بلا مرجّح،بل ترجیح المرجوح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نعم،خرج من ذلک مواضع </w:t>
      </w:r>
      <w:r>
        <w:rPr>
          <w:rStyle w:val="FootnoteAnchor"/>
          <w:rtl w:val="true"/>
        </w:rPr>
        <w:footnoteReference w:id="1005"/>
      </w:r>
      <w:r>
        <w:rPr>
          <w:rFonts w:ascii="IRNazanin" w:hAnsi="IRNazanin" w:eastAsia="IRNazanin"/>
          <w:color w:val="111111"/>
          <w:sz w:val="28"/>
          <w:sz w:val="28"/>
          <w:szCs w:val="28"/>
          <w:rtl w:val="true"/>
          <w:lang w:bidi="fa-IR"/>
        </w:rPr>
        <w:t>وجوب قبول شهادة المؤمن علی المؤمن و إن أنکر المشهود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أنت إذا تأمّلت هذه الروایة و لاحظتها مع الروایة المتقدّمة </w:t>
      </w:r>
      <w:r>
        <w:rPr>
          <w:rStyle w:val="FootnoteAnchor"/>
          <w:rtl w:val="true"/>
        </w:rPr>
        <w:footnoteReference w:id="1006"/>
      </w:r>
      <w:r>
        <w:rPr>
          <w:rFonts w:ascii="IRNazanin" w:hAnsi="IRNazanin" w:eastAsia="IRNazanin"/>
          <w:color w:val="111111"/>
          <w:sz w:val="28"/>
          <w:sz w:val="28"/>
          <w:szCs w:val="28"/>
          <w:rtl w:val="true"/>
          <w:lang w:bidi="fa-IR"/>
        </w:rPr>
        <w:t>فی حکایة إسماعیل،لم یکن لک بدّ من حمل التصدیق علی ما ذکرنا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أبیت إلاّ عن ظهور خبر إسماعیل فی وجوب التصدیق بمعنی ترتیب آثار الواقع،فنقول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الاستعانة بها علی دلالة الآیة خروج عن الاستدلال بالکتاب إلی السنّة،و المقصود هو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غایة الأمر کون هذه الروایة فی عداد الروایات الآتیة </w:t>
      </w:r>
      <w:r>
        <w:rPr>
          <w:rStyle w:val="FootnoteAnchor"/>
          <w:rtl w:val="true"/>
        </w:rPr>
        <w:footnoteReference w:id="1007"/>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bookmarkStart w:id="783" w:name="pg12977_114337"/>
    </w:p>
    <w:p>
      <w:pPr>
        <w:pStyle w:val="Heading6"/>
        <w:numPr>
          <w:ilvl w:val="5"/>
          <w:numId w:val="1"/>
        </w:numPr>
        <w:rPr/>
      </w:pPr>
      <w:bookmarkStart w:id="784" w:name="__RefHeading___Toc5447035_3224264995"/>
      <w:bookmarkStart w:id="785" w:name="_Toc299"/>
      <w:bookmarkEnd w:id="783"/>
      <w:bookmarkEnd w:id="784"/>
      <w:r>
        <w:rPr>
          <w:rtl w:val="true"/>
        </w:rPr>
        <w:t>مدلول الآیات المستدلّ بها علی حجیّة الخبر الواحد</w:t>
      </w:r>
      <w:bookmarkEnd w:id="785"/>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هذه الآیات،علی تقدیر تسلیم دلالة کلّ واحدة منها علی حجّیّة الخبر،إنّما 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تقیید المطلق منها الشامل لخبر العادل و غیره بمفهوم </w:t>
      </w:r>
      <w:r>
        <w:rPr>
          <w:rStyle w:val="FootnoteAnchor"/>
          <w:rtl w:val="true"/>
        </w:rPr>
        <w:footnoteReference w:id="1008"/>
      </w:r>
      <w:r>
        <w:rPr>
          <w:rFonts w:ascii="IRNazanin" w:hAnsi="IRNazanin" w:eastAsia="IRNazanin"/>
          <w:color w:val="111111"/>
          <w:sz w:val="28"/>
          <w:sz w:val="28"/>
          <w:szCs w:val="28"/>
          <w:rtl w:val="true"/>
          <w:lang w:bidi="fa-IR"/>
        </w:rPr>
        <w:t>آیة النبأ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حجّیّة خبر العادل الواقعیّ أو من أخبر عدل واقعیّ بعدالته،بل یمکن انصراف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بحکم الغلبة و شهادة التعلیل بمخافة الوقوع فی الندم </w:t>
      </w:r>
      <w:r>
        <w:rPr>
          <w:rStyle w:val="FootnoteAnchor"/>
          <w:rtl w:val="true"/>
        </w:rPr>
        <w:footnoteReference w:id="10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صورة إفادة خبر العادل الظنّ الاطمئنانیّ بالصدق،کما هو الغالب مع القطع بالعدالة؛فیصیر حاصل مدلول الآیات اعتبار خبر العادل الواقعیّ بشرط إفادته </w:t>
      </w:r>
      <w:r>
        <w:rPr>
          <w:rStyle w:val="FootnoteAnchor"/>
          <w:rtl w:val="true"/>
        </w:rPr>
        <w:footnoteReference w:id="1010"/>
      </w:r>
      <w:r>
        <w:rPr>
          <w:rFonts w:ascii="IRNazanin" w:hAnsi="IRNazanin" w:eastAsia="IRNazanin"/>
          <w:color w:val="111111"/>
          <w:sz w:val="28"/>
          <w:sz w:val="28"/>
          <w:szCs w:val="28"/>
          <w:rtl w:val="true"/>
          <w:lang w:bidi="fa-IR"/>
        </w:rPr>
        <w:t xml:space="preserve">الظنّ الاطمئنانیّ و الوثوق،بل هذا أیضا منصرف سائر الآیات،و إن لم یکن انصرافا موجبا لظهور عدم إرادة غیره حتّی لا یعارض </w:t>
      </w:r>
      <w:r>
        <w:rPr>
          <w:rStyle w:val="FootnoteAnchor"/>
          <w:rtl w:val="true"/>
        </w:rPr>
        <w:footnoteReference w:id="1011"/>
      </w:r>
      <w:r>
        <w:rPr>
          <w:rFonts w:ascii="IRNazanin" w:hAnsi="IRNazanin" w:eastAsia="IRNazanin"/>
          <w:color w:val="111111"/>
          <w:sz w:val="28"/>
          <w:sz w:val="28"/>
          <w:szCs w:val="28"/>
          <w:rtl w:val="true"/>
          <w:lang w:bidi="fa-IR"/>
        </w:rPr>
        <w:t xml:space="preserve">المنطوق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 xml:space="preserve">. </w:t>
      </w:r>
      <w:bookmarkStart w:id="786" w:name="pg12977_114338"/>
    </w:p>
    <w:p>
      <w:pPr>
        <w:pStyle w:val="BookText"/>
        <w:rPr/>
      </w:pPr>
      <w:bookmarkEnd w:id="7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Style w:val="FootnoteAnchor"/>
          <w:rtl w:val="true"/>
        </w:rPr>
        <w:footnoteReference w:id="1013"/>
      </w:r>
    </w:p>
    <w:p>
      <w:pPr>
        <w:pStyle w:val="Heading6"/>
        <w:numPr>
          <w:ilvl w:val="5"/>
          <w:numId w:val="1"/>
        </w:numPr>
        <w:rPr/>
      </w:pPr>
      <w:bookmarkStart w:id="787" w:name="__RefHeading___Toc5447037_3224264995"/>
      <w:bookmarkStart w:id="788" w:name="_Toc300"/>
      <w:bookmarkEnd w:id="787"/>
      <w:r>
        <w:rPr>
          <w:rtl w:val="true"/>
        </w:rPr>
        <w:t>الاستدلال علی حجیّة الخبر الواحد بطوائف من الأخبار</w:t>
      </w:r>
      <w:r>
        <w:rPr>
          <w:rtl w:val="true"/>
        </w:rPr>
        <w:t>:</w:t>
      </w:r>
      <w:bookmarkEnd w:id="788"/>
    </w:p>
    <w:p>
      <w:pPr>
        <w:pStyle w:val="BookText"/>
        <w:rPr/>
      </w:pPr>
      <w:r>
        <w:rPr>
          <w:rFonts w:ascii="Amiri" w:hAnsi="Amiri" w:eastAsia="Amiri" w:cs="Amiri"/>
          <w:color w:val="111111"/>
          <w:sz w:val="28"/>
          <w:sz w:val="28"/>
          <w:szCs w:val="28"/>
          <w:rtl w:val="true"/>
          <w:lang w:bidi="ar-SA"/>
        </w:rPr>
        <w:t>و أمّا السنّة،فطوائف من الأخبار</w:t>
      </w:r>
      <w:r>
        <w:rPr>
          <w:rFonts w:eastAsia="Amiri" w:cs="Amiri" w:ascii="Amiri" w:hAnsi="Amiri"/>
          <w:color w:val="111111"/>
          <w:sz w:val="28"/>
          <w:szCs w:val="28"/>
          <w:rtl w:val="true"/>
          <w:lang w:bidi="ar-SA"/>
        </w:rPr>
        <w:t>:</w:t>
      </w:r>
    </w:p>
    <w:p>
      <w:pPr>
        <w:pStyle w:val="Heading6"/>
        <w:numPr>
          <w:ilvl w:val="5"/>
          <w:numId w:val="1"/>
        </w:numPr>
        <w:rPr/>
      </w:pPr>
      <w:bookmarkStart w:id="789" w:name="__RefHeading___Toc5447039_3224264995"/>
      <w:bookmarkStart w:id="790" w:name="_Toc301"/>
      <w:bookmarkEnd w:id="789"/>
      <w:r>
        <w:rPr>
          <w:rtl w:val="true"/>
        </w:rPr>
        <w:t>ما ورد فی الخبرین المتعارضین</w:t>
      </w:r>
      <w:r>
        <w:rPr>
          <w:rtl w:val="true"/>
        </w:rPr>
        <w:t>:</w:t>
      </w:r>
      <w:bookmarkEnd w:id="790"/>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الخبرین المتعارضین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الأخذ بالأعدل و الأصدق </w:t>
      </w:r>
      <w:r>
        <w:rPr>
          <w:rStyle w:val="FootnoteAnchor"/>
          <w:rtl w:val="true"/>
        </w:rPr>
        <w:footnoteReference w:id="1014"/>
      </w:r>
      <w:r>
        <w:rPr>
          <w:rFonts w:ascii="IRNazanin" w:hAnsi="IRNazanin" w:eastAsia="IRNazanin"/>
          <w:color w:val="111111"/>
          <w:sz w:val="28"/>
          <w:sz w:val="28"/>
          <w:szCs w:val="28"/>
          <w:rtl w:val="true"/>
          <w:lang w:bidi="fa-IR"/>
        </w:rPr>
        <w:t xml:space="preserve">أو </w:t>
      </w:r>
      <w:r>
        <w:rPr>
          <w:rStyle w:val="FootnoteAnchor"/>
          <w:rtl w:val="true"/>
        </w:rPr>
        <w:footnoteReference w:id="1015"/>
      </w:r>
      <w:r>
        <w:rPr>
          <w:rFonts w:ascii="IRNazanin" w:hAnsi="IRNazanin" w:eastAsia="IRNazanin"/>
          <w:color w:val="111111"/>
          <w:sz w:val="28"/>
          <w:sz w:val="28"/>
          <w:szCs w:val="28"/>
          <w:rtl w:val="true"/>
          <w:lang w:bidi="fa-IR"/>
        </w:rPr>
        <w:t>المشهور،و التخییر عند التساوی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مقبولة عمر بن حنظلة، </w:t>
      </w:r>
      <w:r>
        <w:rPr>
          <w:rStyle w:val="FootnoteAnchor"/>
          <w:rtl w:val="true"/>
        </w:rPr>
        <w:footnoteReference w:id="1016"/>
      </w: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ما حکم به أعدلهما و أفقههما و أصدقهما فی الحدیث</w:t>
      </w:r>
      <w:r>
        <w:rPr>
          <w:rFonts w:eastAsia="IRNazanin" w:cs="IRNazanin"/>
          <w:color w:val="111111"/>
          <w:sz w:val="28"/>
          <w:szCs w:val="28"/>
          <w:rtl w:val="true"/>
          <w:lang w:bidi="fa-IR"/>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1" w:name="__RefHeading___Toc5447041_3224264995"/>
      <w:bookmarkStart w:id="792" w:name="_Toc302"/>
      <w:bookmarkEnd w:id="791"/>
      <w:r>
        <w:rPr>
          <w:rtl w:val="true"/>
        </w:rPr>
        <w:t>مقبولة ابن حنظلة</w:t>
      </w:r>
      <w:bookmarkEnd w:id="792"/>
    </w:p>
    <w:p>
      <w:pPr>
        <w:pStyle w:val="BookText"/>
        <w:rPr/>
      </w:pPr>
      <w:r>
        <w:rPr>
          <w:rFonts w:ascii="IRNazanin" w:hAnsi="IRNazanin" w:eastAsia="IRNazanin"/>
          <w:color w:val="111111"/>
          <w:sz w:val="28"/>
          <w:sz w:val="28"/>
          <w:szCs w:val="28"/>
          <w:rtl w:val="true"/>
          <w:lang w:bidi="fa-IR"/>
        </w:rPr>
        <w:t>و موردها و إن کان فی الحاکمین،إلاّ أنّ ملاحظة جمیع الروایة 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المراد بیان المرجّح للروایتین اللتین استند إلیهما الحاکمان</w:t>
      </w:r>
      <w:r>
        <w:rPr>
          <w:rFonts w:eastAsia="IRNazanin" w:cs="IRNazanin"/>
          <w:color w:val="111111"/>
          <w:sz w:val="28"/>
          <w:szCs w:val="28"/>
          <w:rtl w:val="true"/>
          <w:lang w:bidi="fa-IR"/>
        </w:rPr>
        <w:t>.</w:t>
      </w:r>
    </w:p>
    <w:p>
      <w:pPr>
        <w:pStyle w:val="Heading6"/>
        <w:numPr>
          <w:ilvl w:val="5"/>
          <w:numId w:val="1"/>
        </w:numPr>
        <w:rPr/>
      </w:pPr>
      <w:bookmarkStart w:id="793" w:name="__RefHeading___Toc5447043_3224264995"/>
      <w:bookmarkStart w:id="794" w:name="_Toc303"/>
      <w:bookmarkEnd w:id="793"/>
      <w:r>
        <w:rPr>
          <w:rtl w:val="true"/>
        </w:rPr>
        <w:t>مرفوعة زرارة</w:t>
      </w:r>
      <w:bookmarkEnd w:id="794"/>
    </w:p>
    <w:p>
      <w:pPr>
        <w:pStyle w:val="BookText"/>
        <w:rPr/>
      </w:pPr>
      <w:r>
        <w:rPr>
          <w:rFonts w:ascii="IRNazanin" w:hAnsi="IRNazanin" w:eastAsia="IRNazanin"/>
          <w:color w:val="111111"/>
          <w:sz w:val="28"/>
          <w:sz w:val="28"/>
          <w:szCs w:val="28"/>
          <w:rtl w:val="true"/>
          <w:lang w:bidi="fa-IR"/>
        </w:rPr>
        <w:t>و مثل روایة عوالی اللآلی المرویّة عن العلاّمة،المرفوعة إلی زرارة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عنکم الخبران أو الحدیثان المتعارضان،فبأیّهما آخذ؟قال</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خذ بما اشتهر بین أصحابک ودع الشاذّ النّادر،قلت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معا مشهوران؟قال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بأعدلهما عندک و أوثقهما فی نفسک</w:t>
      </w:r>
      <w:r>
        <w:rPr>
          <w:rFonts w:eastAsia="IRNazanin" w:cs="IRNazanin"/>
          <w:color w:val="111111"/>
          <w:sz w:val="28"/>
          <w:szCs w:val="28"/>
          <w:rtl w:val="true"/>
          <w:lang w:bidi="fa-IR"/>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 xml:space="preserve">. </w:t>
      </w:r>
      <w:bookmarkStart w:id="795" w:name="pg12977_114339"/>
    </w:p>
    <w:p>
      <w:pPr>
        <w:pStyle w:val="Heading6"/>
        <w:numPr>
          <w:ilvl w:val="5"/>
          <w:numId w:val="1"/>
        </w:numPr>
        <w:rPr/>
      </w:pPr>
      <w:bookmarkStart w:id="796" w:name="__RefHeading___Toc5447045_3224264995"/>
      <w:bookmarkStart w:id="797" w:name="_Toc304"/>
      <w:bookmarkEnd w:id="795"/>
      <w:bookmarkEnd w:id="796"/>
      <w:r>
        <w:rPr>
          <w:rtl w:val="true"/>
        </w:rPr>
        <w:t>روایة ابن ابی الجهم</w:t>
      </w:r>
      <w:bookmarkEnd w:id="797"/>
    </w:p>
    <w:p>
      <w:pPr>
        <w:pStyle w:val="BookText"/>
        <w:rPr/>
      </w:pPr>
      <w:r>
        <w:rPr>
          <w:rFonts w:ascii="IRNazanin" w:hAnsi="IRNazanin" w:eastAsia="IRNazanin"/>
          <w:color w:val="111111"/>
          <w:sz w:val="28"/>
          <w:sz w:val="28"/>
          <w:szCs w:val="28"/>
          <w:rtl w:val="true"/>
          <w:lang w:bidi="fa-IR"/>
        </w:rPr>
        <w:t xml:space="preserve">و مثل روایة ابن الجهم </w:t>
      </w:r>
      <w:r>
        <w:rPr>
          <w:rStyle w:val="FootnoteAnchor"/>
          <w:rtl w:val="true"/>
        </w:rPr>
        <w:footnoteReference w:id="1019"/>
      </w:r>
      <w:r>
        <w:rPr>
          <w:rFonts w:ascii="IRNazanin" w:hAnsi="IRNazanin" w:eastAsia="IRNazanin"/>
          <w:color w:val="111111"/>
          <w:sz w:val="28"/>
          <w:sz w:val="28"/>
          <w:szCs w:val="28"/>
          <w:rtl w:val="true"/>
          <w:lang w:bidi="fa-IR"/>
        </w:rPr>
        <w:t>عن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یجیئنا الرجلان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بحدیثین مختلفین،فلا نعلم أیّهما الحقّ،قال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تعلم فموسّع علیک بأیّهما أخذت</w:t>
      </w:r>
      <w:r>
        <w:rPr>
          <w:rFonts w:eastAsia="IRNazanin" w:cs="IRNazanin"/>
          <w:color w:val="111111"/>
          <w:sz w:val="28"/>
          <w:szCs w:val="28"/>
          <w:rtl w:val="true"/>
          <w:lang w:bidi="fa-IR"/>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8" w:name="__RefHeading___Toc5447047_3224264995"/>
      <w:bookmarkStart w:id="799" w:name="_Toc305"/>
      <w:bookmarkEnd w:id="798"/>
      <w:r>
        <w:rPr>
          <w:rtl w:val="true"/>
        </w:rPr>
        <w:t>روایة الحارث ابن المغیرة</w:t>
      </w:r>
      <w:bookmarkEnd w:id="799"/>
    </w:p>
    <w:p>
      <w:pPr>
        <w:pStyle w:val="BookText"/>
        <w:rPr/>
      </w:pPr>
      <w:r>
        <w:rPr>
          <w:rFonts w:ascii="IRNazanin" w:hAnsi="IRNazanin" w:eastAsia="IRNazanin"/>
          <w:color w:val="111111"/>
          <w:sz w:val="28"/>
          <w:sz w:val="28"/>
          <w:szCs w:val="28"/>
          <w:rtl w:val="true"/>
          <w:lang w:bidi="fa-IR"/>
        </w:rPr>
        <w:t>و روایة الحارث بن المغیرة عن الصادق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سمعت من أصحابک الحدیث و کلّهم ثقة،فموسّع علیک حتّی تری القائم</w:t>
      </w:r>
      <w:r>
        <w:rPr>
          <w:rFonts w:eastAsia="IRNazanin" w:cs="IRNazanin"/>
          <w:color w:val="111111"/>
          <w:sz w:val="28"/>
          <w:szCs w:val="28"/>
          <w:rtl w:val="true"/>
          <w:lang w:bidi="fa-IR"/>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غیرها من الأخبار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دلالتها علی اعتبار الخبر الغیر المقطوع الصدور واضحة،إلاّ أنّه لا إطلاق لها؛لأنّ السؤال عن الخبرین اللذین فرض السائل کلا منهما حجّة یتعیّن العمل بها لو لا المعارض؛کما یشهد به السؤال بلفظة </w:t>
      </w:r>
      <w:r>
        <w:rPr>
          <w:rStyle w:val="FootnoteAnchor"/>
          <w:rtl w:val="true"/>
        </w:rPr>
        <w:footnoteReference w:id="10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الدالّة علی السؤال عن المعیّن </w:t>
      </w:r>
      <w:r>
        <w:rPr>
          <w:rStyle w:val="FootnoteAnchor"/>
          <w:rtl w:val="true"/>
        </w:rPr>
        <w:footnoteReference w:id="1024"/>
      </w:r>
      <w:r>
        <w:rPr>
          <w:rFonts w:ascii="IRNazanin" w:hAnsi="IRNazanin" w:eastAsia="IRNazanin"/>
          <w:color w:val="111111"/>
          <w:sz w:val="28"/>
          <w:sz w:val="28"/>
          <w:szCs w:val="28"/>
          <w:rtl w:val="true"/>
          <w:lang w:bidi="fa-IR"/>
        </w:rPr>
        <w:t>مع العلم بالمبهم، فهو کما إذا سئل عن تعارض الشهود أو أئمّة الصلاة،فأجاب ببیان المرجّح،فإنّه لا یدلّ إلاّ علی أنّ المفروض تعارض من کان منهم مفروض القبول لو لا المعارض</w:t>
      </w:r>
      <w:r>
        <w:rPr>
          <w:rFonts w:eastAsia="IRNazanin" w:cs="IRNazanin"/>
          <w:color w:val="111111"/>
          <w:sz w:val="28"/>
          <w:szCs w:val="28"/>
          <w:rtl w:val="true"/>
          <w:lang w:bidi="fa-IR"/>
        </w:rPr>
        <w:t xml:space="preserve">. </w:t>
      </w:r>
      <w:bookmarkStart w:id="800" w:name="pg12977_114340"/>
    </w:p>
    <w:p>
      <w:pPr>
        <w:pStyle w:val="BookText"/>
        <w:rPr/>
      </w:pPr>
      <w:bookmarkEnd w:id="800"/>
      <w:r>
        <w:rPr>
          <w:rFonts w:ascii="IRNazanin" w:hAnsi="IRNazanin" w:eastAsia="IRNazanin"/>
          <w:color w:val="111111"/>
          <w:sz w:val="28"/>
          <w:sz w:val="28"/>
          <w:szCs w:val="28"/>
          <w:rtl w:val="true"/>
          <w:lang w:bidi="fa-IR"/>
        </w:rPr>
        <w:t xml:space="preserve">نعم،روایة ابن المغیرة </w:t>
      </w:r>
      <w:r>
        <w:rPr>
          <w:rStyle w:val="FootnoteAnchor"/>
          <w:rtl w:val="true"/>
        </w:rPr>
        <w:footnoteReference w:id="1025"/>
      </w:r>
      <w:r>
        <w:rPr>
          <w:rFonts w:ascii="IRNazanin" w:hAnsi="IRNazanin" w:eastAsia="IRNazanin"/>
          <w:color w:val="111111"/>
          <w:sz w:val="28"/>
          <w:sz w:val="28"/>
          <w:szCs w:val="28"/>
          <w:rtl w:val="true"/>
          <w:lang w:bidi="fa-IR"/>
        </w:rPr>
        <w:t>تدلّ علی اعتبار خبر کلّ ثقة،و بعد ملاحظة ذکر الأوثقیّة و الأعدلیّة فی المقبولة و المرفوعة یصیر الحاصل من المجموع اعتبار خبر الثقة،بل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مساق الروایة أنّ الغرض من العدالة حصول الوثاقة،فیکون العبرة بها</w:t>
      </w:r>
      <w:r>
        <w:rPr>
          <w:rFonts w:eastAsia="IRNazanin" w:cs="IRNazanin"/>
          <w:color w:val="111111"/>
          <w:sz w:val="28"/>
          <w:szCs w:val="28"/>
          <w:rtl w:val="true"/>
          <w:lang w:bidi="fa-IR"/>
        </w:rPr>
        <w:t>.</w:t>
      </w:r>
    </w:p>
    <w:p>
      <w:pPr>
        <w:pStyle w:val="Heading6"/>
        <w:numPr>
          <w:ilvl w:val="5"/>
          <w:numId w:val="1"/>
        </w:numPr>
        <w:rPr/>
      </w:pPr>
      <w:bookmarkStart w:id="801" w:name="__RefHeading___Toc5447049_3224264995"/>
      <w:bookmarkStart w:id="802" w:name="_Toc306"/>
      <w:bookmarkEnd w:id="801"/>
      <w:r>
        <w:rPr>
          <w:rtl w:val="true"/>
        </w:rPr>
        <w:t>ما دلّ علی إرجاع آحاد الرواة إلی آحاد أصحاب</w:t>
      </w:r>
      <w:bookmarkEnd w:id="802"/>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إرجاع آحاد الرواة إلی آحاد أصحابهم علیهم السلام، بحیث یظهر منه عدم الفرق بین الفتوی و الروایة،مثل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إرجاعه علیه السّلام إلی زرارة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حدیثا فعلیک بهذا الجالس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مشیرا إلی زرارة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3" w:name="__RefHeading___Toc5447051_3224264995"/>
      <w:bookmarkStart w:id="804" w:name="_Toc307"/>
      <w:bookmarkEnd w:id="803"/>
      <w:r>
        <w:rPr>
          <w:rtl w:val="true"/>
        </w:rPr>
        <w:t>الارجاع الی زرارة</w:t>
      </w:r>
      <w:bookmarkEnd w:id="804"/>
    </w:p>
    <w:p>
      <w:pPr>
        <w:pStyle w:val="BookText"/>
        <w:rPr/>
      </w:pPr>
      <w:r>
        <w:rPr>
          <w:rFonts w:ascii="IRNazanin" w:hAnsi="IRNazanin" w:eastAsia="IRNazanin"/>
          <w:color w:val="111111"/>
          <w:sz w:val="28"/>
          <w:sz w:val="28"/>
          <w:szCs w:val="28"/>
          <w:rtl w:val="true"/>
          <w:lang w:bidi="fa-IR"/>
        </w:rPr>
        <w:t>و قوله علیه السّلام فی روایة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رواه زرارة عن أبی علیه السّلام فلا یجوز ردّه</w:t>
      </w:r>
      <w:r>
        <w:rPr>
          <w:rFonts w:eastAsia="IRNazanin" w:cs="IRNazanin"/>
          <w:color w:val="111111"/>
          <w:sz w:val="28"/>
          <w:szCs w:val="28"/>
          <w:rtl w:val="true"/>
          <w:lang w:bidi="fa-IR"/>
        </w:rPr>
        <w:t xml:space="preserve">»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5" w:name="__RefHeading___Toc5447053_3224264995"/>
      <w:bookmarkStart w:id="806" w:name="_Toc308"/>
      <w:bookmarkEnd w:id="805"/>
      <w:r>
        <w:rPr>
          <w:rtl w:val="true"/>
        </w:rPr>
        <w:t>الارجاع الی محمد بن مسلم</w:t>
      </w:r>
      <w:bookmarkEnd w:id="806"/>
    </w:p>
    <w:p>
      <w:pPr>
        <w:pStyle w:val="BookText"/>
        <w:rPr/>
      </w:pPr>
      <w:r>
        <w:rPr>
          <w:rFonts w:ascii="IRNazanin" w:hAnsi="IRNazanin" w:eastAsia="IRNazanin"/>
          <w:color w:val="111111"/>
          <w:sz w:val="28"/>
          <w:sz w:val="28"/>
          <w:szCs w:val="28"/>
          <w:rtl w:val="true"/>
          <w:lang w:bidi="fa-IR"/>
        </w:rPr>
        <w:t>و قوله علیه السّلام لابن أبی یعفور بعد السؤال عمّن یرجع إلیه إذا احتاج أو سئل عن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یمنعک عن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سمع من أبی أحادیث،و کان عنده وجیها</w:t>
      </w:r>
      <w:r>
        <w:rPr>
          <w:rFonts w:eastAsia="IRNazanin" w:cs="IRNazanin"/>
          <w:color w:val="111111"/>
          <w:sz w:val="28"/>
          <w:szCs w:val="28"/>
          <w:rtl w:val="true"/>
          <w:lang w:bidi="fa-IR"/>
        </w:rPr>
        <w:t xml:space="preserve">»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7" w:name="__RefHeading___Toc5447055_3224264995"/>
      <w:bookmarkStart w:id="808" w:name="_Toc309"/>
      <w:bookmarkEnd w:id="807"/>
      <w:r>
        <w:rPr>
          <w:rtl w:val="true"/>
        </w:rPr>
        <w:t>لارجاع الی ابان بن تغاب</w:t>
      </w:r>
      <w:bookmarkEnd w:id="808"/>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عن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لسلمة بن أبی حبیبة </w:t>
      </w:r>
      <w:r>
        <w:rPr>
          <w:rStyle w:val="FootnoteAnchor"/>
          <w:rtl w:val="true"/>
        </w:rPr>
        <w:footnoteReference w:id="10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ائت أبان </w:t>
      </w:r>
      <w:bookmarkStart w:id="809" w:name="pg12977_114341"/>
    </w:p>
    <w:p>
      <w:pPr>
        <w:pStyle w:val="BookText"/>
        <w:rPr/>
      </w:pPr>
      <w:bookmarkEnd w:id="809"/>
      <w:r>
        <w:rPr>
          <w:rFonts w:ascii="IRNazanin" w:hAnsi="IRNazanin" w:eastAsia="IRNazanin"/>
          <w:color w:val="111111"/>
          <w:sz w:val="28"/>
          <w:sz w:val="28"/>
          <w:szCs w:val="28"/>
          <w:rtl w:val="true"/>
          <w:lang w:bidi="fa-IR"/>
        </w:rPr>
        <w:t>ابن تغلب؛فإنّه قد سمع منّی حدیثا کثیرا،فما روی لک عنّی فاروه عنّی</w:t>
      </w:r>
      <w:r>
        <w:rPr>
          <w:rFonts w:eastAsia="IRNazanin" w:cs="IRNazanin"/>
          <w:color w:val="111111"/>
          <w:sz w:val="28"/>
          <w:szCs w:val="28"/>
          <w:rtl w:val="true"/>
          <w:lang w:bidi="fa-IR"/>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10" w:name="__RefHeading___Toc5447057_3224264995"/>
      <w:bookmarkStart w:id="811" w:name="_Toc310"/>
      <w:bookmarkEnd w:id="810"/>
      <w:r>
        <w:rPr>
          <w:rtl w:val="true"/>
        </w:rPr>
        <w:t>لارجاع الی ابی بصیر</w:t>
      </w:r>
      <w:bookmarkEnd w:id="811"/>
    </w:p>
    <w:p>
      <w:pPr>
        <w:pStyle w:val="BookText"/>
        <w:rPr/>
      </w:pPr>
      <w:r>
        <w:rPr>
          <w:rFonts w:ascii="IRNazanin" w:hAnsi="IRNazanin" w:eastAsia="IRNazanin"/>
          <w:color w:val="111111"/>
          <w:sz w:val="28"/>
          <w:sz w:val="28"/>
          <w:szCs w:val="28"/>
          <w:rtl w:val="true"/>
          <w:lang w:bidi="fa-IR"/>
        </w:rPr>
        <w:t>و قوله علیه السّلام لشعیب العقرقوفیّ بعد السؤال عمّن یرجع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بالأسدیّ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أبا بصیر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12" w:name="__RefHeading___Toc5447059_3224264995"/>
      <w:bookmarkStart w:id="813" w:name="_Toc311"/>
      <w:bookmarkEnd w:id="812"/>
      <w:r>
        <w:rPr>
          <w:rtl w:val="true"/>
        </w:rPr>
        <w:t>لارجاع الی زکریا بن آدم</w:t>
      </w:r>
      <w:bookmarkEnd w:id="813"/>
    </w:p>
    <w:p>
      <w:pPr>
        <w:pStyle w:val="BookText"/>
        <w:rPr/>
      </w:pPr>
      <w:r>
        <w:rPr>
          <w:rFonts w:ascii="IRNazanin" w:hAnsi="IRNazanin" w:eastAsia="IRNazanin"/>
          <w:color w:val="111111"/>
          <w:sz w:val="28"/>
          <w:sz w:val="28"/>
          <w:szCs w:val="28"/>
          <w:rtl w:val="true"/>
          <w:lang w:bidi="fa-IR"/>
        </w:rPr>
        <w:t>و قوله علیه السّلام لعلیّ بن المسیّب بعد السؤال عمّن یأخذ عنه معالم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بزکریا بن آدم المأمون علی الدّین و الدّنیا</w:t>
      </w:r>
      <w:r>
        <w:rPr>
          <w:rFonts w:eastAsia="IRNazanin" w:cs="IRNazanin"/>
          <w:color w:val="111111"/>
          <w:sz w:val="28"/>
          <w:szCs w:val="28"/>
          <w:rtl w:val="true"/>
          <w:lang w:bidi="fa-IR"/>
        </w:rPr>
        <w:t xml:space="preserve">»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14" w:name="__RefHeading___Toc5447061_3224264995"/>
      <w:bookmarkStart w:id="815" w:name="_Toc312"/>
      <w:bookmarkEnd w:id="814"/>
      <w:r>
        <w:rPr>
          <w:rtl w:val="true"/>
        </w:rPr>
        <w:t>لارجاع الی یونس ابن عبد الرحمن</w:t>
      </w:r>
      <w:bookmarkEnd w:id="815"/>
    </w:p>
    <w:p>
      <w:pPr>
        <w:pStyle w:val="BookText"/>
        <w:rPr/>
      </w:pPr>
      <w:r>
        <w:rPr>
          <w:rFonts w:ascii="IRNazanin" w:hAnsi="IRNazanin" w:eastAsia="IRNazanin"/>
          <w:color w:val="111111"/>
          <w:sz w:val="28"/>
          <w:sz w:val="28"/>
          <w:szCs w:val="28"/>
          <w:rtl w:val="true"/>
          <w:lang w:bidi="fa-IR"/>
        </w:rPr>
        <w:t xml:space="preserve">و قوله علیه السّلام لمّا قال له عبد العزیز بن المهتدی </w:t>
      </w:r>
      <w:r>
        <w:rPr>
          <w:rStyle w:val="FootnoteAnchor"/>
          <w:rtl w:val="true"/>
        </w:rPr>
        <w:footnoteReference w:id="10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أحتاج و لست ألقاک فی کلّ وقت،أ فیونس بن عبد الرحمن ثقة آخذ عنه معالم دینی؟قال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قبول قول الثقة کان أمرا مفروغا عنه عند الراوی،فسأل عن وثاقة یونس،لیرتّب </w:t>
      </w:r>
      <w:r>
        <w:rPr>
          <w:rStyle w:val="FootnoteAnchor"/>
          <w:rtl w:val="true"/>
        </w:rPr>
        <w:footnoteReference w:id="1035"/>
      </w:r>
      <w:r>
        <w:rPr>
          <w:rFonts w:ascii="IRNazanin" w:hAnsi="IRNazanin" w:eastAsia="IRNazanin"/>
          <w:color w:val="111111"/>
          <w:sz w:val="28"/>
          <w:sz w:val="28"/>
          <w:szCs w:val="28"/>
          <w:rtl w:val="true"/>
          <w:lang w:bidi="fa-IR"/>
        </w:rPr>
        <w:t>علیه أخذ المعالم منه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فی إناطة وجوب القبول بالوثاقة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العمریّ و ابنه اللذین هما من النوّاب و السفراء،ففی الکافی فی باب النهی عن التسمیة،عن الحمیریّ،عن أحمد بن إسحاق،قال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الحسن علیه السّلام </w:t>
      </w:r>
      <w:bookmarkStart w:id="816" w:name="pg12977_114342"/>
    </w:p>
    <w:p>
      <w:pPr>
        <w:pStyle w:val="Heading6"/>
        <w:numPr>
          <w:ilvl w:val="5"/>
          <w:numId w:val="1"/>
        </w:numPr>
        <w:rPr/>
      </w:pPr>
      <w:bookmarkStart w:id="817" w:name="__RefHeading___Toc5447063_3224264995"/>
      <w:bookmarkStart w:id="818" w:name="_Toc313"/>
      <w:bookmarkEnd w:id="816"/>
      <w:bookmarkEnd w:id="817"/>
      <w:r>
        <w:rPr>
          <w:rtl w:val="true"/>
        </w:rPr>
        <w:t>لارجاع الی العمریّ وابنه</w:t>
      </w:r>
      <w:bookmarkEnd w:id="818"/>
    </w:p>
    <w:p>
      <w:pPr>
        <w:pStyle w:val="BookText"/>
        <w:rPr/>
      </w:pPr>
      <w:r>
        <w:rPr>
          <w:rFonts w:ascii="IRNazanin" w:hAnsi="IRNazanin" w:eastAsia="IRNazanin"/>
          <w:color w:val="111111"/>
          <w:sz w:val="28"/>
          <w:sz w:val="28"/>
          <w:szCs w:val="28"/>
          <w:rtl w:val="true"/>
          <w:lang w:bidi="fa-IR"/>
        </w:rPr>
        <w:t>و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اعامل،أو عمّن آخذ،و قول من أقبل؟فقال علیه السّلام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العمریّ ثقتی؛فما أدّی إلیک عنّی فعنّی یؤدّی،و ما قال لک عنّی فعنّی یقول،فاسمع له و أطع؛فإنّه الثقة المأمون</w:t>
      </w:r>
      <w:r>
        <w:rPr>
          <w:rFonts w:eastAsia="IRNazanin" w:cs="IRNazanin"/>
          <w:color w:val="111111"/>
          <w:sz w:val="28"/>
          <w:szCs w:val="28"/>
          <w:rtl w:val="true"/>
          <w:lang w:bidi="fa-IR"/>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أخبرنا أحمد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سأل أبا محمّد علیه السّلام عن مثل ذلک،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 و ابنه ثقتان،فما أدّیا إلیک عنّی فعنّی یؤدّیان،و ما قالا لک فعنّی یقولان،فاسمع لهما و أطعهما؛فإنّهما الثّقتان المأمونان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مشترکة مع الطائفة الاولی فی الدلالة علی اعتبار خبر الثقة المأمون</w:t>
      </w:r>
      <w:r>
        <w:rPr>
          <w:rFonts w:eastAsia="IRNazanin" w:cs="IRNazanin"/>
          <w:color w:val="111111"/>
          <w:sz w:val="28"/>
          <w:szCs w:val="28"/>
          <w:rtl w:val="true"/>
          <w:lang w:bidi="fa-IR"/>
        </w:rPr>
        <w:t>.</w:t>
      </w:r>
    </w:p>
    <w:p>
      <w:pPr>
        <w:pStyle w:val="Heading6"/>
        <w:numPr>
          <w:ilvl w:val="5"/>
          <w:numId w:val="1"/>
        </w:numPr>
        <w:rPr/>
      </w:pPr>
      <w:bookmarkStart w:id="819" w:name="__RefHeading___Toc5447065_3224264995"/>
      <w:bookmarkStart w:id="820" w:name="_Toc314"/>
      <w:bookmarkEnd w:id="819"/>
      <w:r>
        <w:rPr/>
        <w:t>3</w:t>
      </w:r>
      <w:r>
        <w:rPr>
          <w:rtl w:val="true"/>
        </w:rPr>
        <w:t>-</w:t>
      </w:r>
      <w:r>
        <w:rPr>
          <w:rtl w:val="true"/>
        </w:rPr>
        <w:t>ما دلّ علی وجوب الرجوع إلی الرواة و الثقات و العلماء</w:t>
      </w:r>
      <w:r>
        <w:rPr>
          <w:rtl w:val="true"/>
        </w:rPr>
        <w:t>:</w:t>
      </w:r>
      <w:r>
        <w:rPr>
          <w:rtl w:val="true"/>
        </w:rPr>
        <w:t>روایة اسحاق ابن یعقوب</w:t>
      </w:r>
      <w:bookmarkEnd w:id="820"/>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وجوب الرجوع إلی الرواة و الثقات و العلماء علی وجه یظهر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الفرق بین فتواهم بالنسبة إلی أهل الاستفتاء، و روایتهم بالنسبة إلی أهل العمل </w:t>
      </w:r>
      <w:r>
        <w:rPr>
          <w:rStyle w:val="FootnoteAnchor"/>
          <w:rtl w:val="true"/>
        </w:rPr>
        <w:footnoteReference w:id="1038"/>
      </w:r>
      <w:r>
        <w:rPr>
          <w:rFonts w:ascii="IRNazanin" w:hAnsi="IRNazanin" w:eastAsia="IRNazanin"/>
          <w:color w:val="111111"/>
          <w:sz w:val="28"/>
          <w:sz w:val="28"/>
          <w:szCs w:val="28"/>
          <w:rtl w:val="true"/>
          <w:lang w:bidi="fa-IR"/>
        </w:rPr>
        <w:t>بالروایة،مثل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الحجّة،عجّل اللّه فرجه،لإسحاق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فی کتاب الغیبة للشیخ،و کمال الدین </w:t>
      </w:r>
      <w:r>
        <w:rPr>
          <w:rStyle w:val="FootnoteAnchor"/>
          <w:rtl w:val="true"/>
        </w:rPr>
        <w:footnoteReference w:id="1039"/>
      </w:r>
      <w:r>
        <w:rPr>
          <w:rFonts w:ascii="IRNazanin" w:hAnsi="IRNazanin" w:eastAsia="IRNazanin"/>
          <w:color w:val="111111"/>
          <w:sz w:val="28"/>
          <w:sz w:val="28"/>
          <w:szCs w:val="28"/>
          <w:rtl w:val="true"/>
          <w:lang w:bidi="fa-IR"/>
        </w:rPr>
        <w:t>للصدوق،و الاحتجاج للطبرسی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الحوادث الواقعة فارجعوا فیها إلی رواة حدیثنا؛فإنّهم حجّتی علیکم،و أنا حجّة اللّه علیهم</w:t>
      </w:r>
      <w:r>
        <w:rPr>
          <w:rFonts w:eastAsia="IRNazanin" w:cs="IRNazanin"/>
          <w:color w:val="111111"/>
          <w:sz w:val="28"/>
          <w:szCs w:val="28"/>
          <w:rtl w:val="true"/>
          <w:lang w:bidi="fa-IR"/>
        </w:rPr>
        <w:t xml:space="preserve">»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 xml:space="preserve">. </w:t>
      </w:r>
      <w:bookmarkStart w:id="821" w:name="pg12977_114343"/>
    </w:p>
    <w:p>
      <w:pPr>
        <w:pStyle w:val="BookText"/>
        <w:rPr/>
      </w:pPr>
      <w:bookmarkEnd w:id="821"/>
      <w:r>
        <w:rPr>
          <w:rFonts w:ascii="IRNazanin" w:hAnsi="IRNazanin" w:eastAsia="IRNazanin"/>
          <w:color w:val="111111"/>
          <w:sz w:val="28"/>
          <w:sz w:val="28"/>
          <w:szCs w:val="28"/>
          <w:rtl w:val="true"/>
          <w:lang w:bidi="fa-IR"/>
        </w:rPr>
        <w:t>فإنّه لو سلّم أنّ ظاهر الصدر الاختصاص بالرجوع فی حکم الوقائع إلی الرواة أعنی الاستفتاء منهم،إلاّ أنّ التعلیل بأنّهم حجّته علیه السّلام یدلّ علی وجوب قبول خبرهم</w:t>
      </w:r>
      <w:r>
        <w:rPr>
          <w:rFonts w:eastAsia="IRNazanin" w:cs="IRNazanin"/>
          <w:color w:val="111111"/>
          <w:sz w:val="28"/>
          <w:szCs w:val="28"/>
          <w:rtl w:val="true"/>
          <w:lang w:bidi="fa-IR"/>
        </w:rPr>
        <w:t>.</w:t>
      </w:r>
    </w:p>
    <w:p>
      <w:pPr>
        <w:pStyle w:val="Heading6"/>
        <w:numPr>
          <w:ilvl w:val="5"/>
          <w:numId w:val="1"/>
        </w:numPr>
        <w:rPr/>
      </w:pPr>
      <w:bookmarkStart w:id="822" w:name="__RefHeading___Toc5447067_3224264995"/>
      <w:bookmarkStart w:id="823" w:name="_Toc315"/>
      <w:bookmarkEnd w:id="822"/>
      <w:r>
        <w:rPr>
          <w:rtl w:val="true"/>
        </w:rPr>
        <w:t>روایة العدة</w:t>
      </w:r>
      <w:bookmarkEnd w:id="823"/>
    </w:p>
    <w:p>
      <w:pPr>
        <w:pStyle w:val="BookText"/>
        <w:rPr/>
      </w:pPr>
      <w:r>
        <w:rPr>
          <w:rFonts w:ascii="IRNazanin" w:hAnsi="IRNazanin" w:eastAsia="IRNazanin"/>
          <w:color w:val="111111"/>
          <w:sz w:val="28"/>
          <w:sz w:val="28"/>
          <w:szCs w:val="28"/>
          <w:rtl w:val="true"/>
          <w:lang w:bidi="fa-IR"/>
        </w:rPr>
        <w:t>و مثل الروایة المحکیّة عن العدّة،من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نزلت بکم حادثة لا تجدون حکمها فیما روی عنّا،فانظروا إلی ما رووه عن علیّ علیه السّلام</w:t>
      </w:r>
      <w:r>
        <w:rPr>
          <w:rFonts w:eastAsia="IRNazanin" w:cs="IRNazanin"/>
          <w:color w:val="111111"/>
          <w:sz w:val="28"/>
          <w:szCs w:val="28"/>
          <w:rtl w:val="true"/>
          <w:lang w:bidi="fa-IR"/>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علی الأخذ بروایات الشیعة و روایات العامّة مع عدم وجود المعارض من روایات الخاصّة</w:t>
      </w:r>
      <w:r>
        <w:rPr>
          <w:rFonts w:eastAsia="IRNazanin" w:cs="IRNazanin"/>
          <w:color w:val="111111"/>
          <w:sz w:val="28"/>
          <w:szCs w:val="28"/>
          <w:rtl w:val="true"/>
          <w:lang w:bidi="fa-IR"/>
        </w:rPr>
        <w:t>.</w:t>
      </w:r>
    </w:p>
    <w:p>
      <w:pPr>
        <w:pStyle w:val="Heading6"/>
        <w:numPr>
          <w:ilvl w:val="5"/>
          <w:numId w:val="1"/>
        </w:numPr>
        <w:rPr/>
      </w:pPr>
      <w:bookmarkStart w:id="824" w:name="__RefHeading___Toc5447069_3224264995"/>
      <w:bookmarkStart w:id="825" w:name="_Toc316"/>
      <w:bookmarkEnd w:id="824"/>
      <w:r>
        <w:rPr>
          <w:rtl w:val="true"/>
        </w:rPr>
        <w:t>روایة الحتجاج فی تفسیرآیة و منهم امیون</w:t>
      </w:r>
      <w:r>
        <w:rPr>
          <w:rtl w:val="true"/>
        </w:rPr>
        <w:t>...</w:t>
      </w:r>
      <w:bookmarkEnd w:id="825"/>
    </w:p>
    <w:p>
      <w:pPr>
        <w:pStyle w:val="BookText"/>
        <w:rPr/>
      </w:pPr>
      <w:r>
        <w:rPr>
          <w:rFonts w:ascii="Amiri" w:hAnsi="Amiri" w:eastAsia="Amiri" w:cs="Amiri"/>
          <w:color w:val="111111"/>
          <w:sz w:val="28"/>
          <w:sz w:val="28"/>
          <w:szCs w:val="28"/>
          <w:rtl w:val="true"/>
          <w:lang w:bidi="ar-SA"/>
        </w:rPr>
        <w:t>و مثل ما فی الاحتجاج عن تفسیر العسکری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أُمِّیُّونَ لا یَعْلَمُونَ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10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قال رجل للصادق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هؤلاء القوم من الیهود و النصاری لا یعرفون الکتاب إلاّ بما یسمعون من علمائهم،لا سبیل لهم إلی غیره،فکیف ذمّهم بتقلیدهم و القبول من علمائهم؟و هل عوامّ الیهود إلاّ کعوامّنا یقلّدون علماءهم؟فإن لم یجز لاولئک القبول من علمائهم لم یجز لهؤلاء القبول من علمائهم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عوامّنا و علمائنا و بین عوامّ الیهود و علمائهم فرق من جهة و تسویة من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من حیث استووا؛فإنّ اللّه تعالی ذمّ </w:t>
      </w:r>
    </w:p>
    <w:p>
      <w:pPr>
        <w:pStyle w:val="BookText"/>
        <w:rPr/>
      </w:pPr>
      <w:r>
        <w:rPr>
          <w:rFonts w:ascii="IRNazanin" w:hAnsi="IRNazanin" w:eastAsia="IRNazanin"/>
          <w:color w:val="111111"/>
          <w:sz w:val="28"/>
          <w:sz w:val="28"/>
          <w:szCs w:val="28"/>
          <w:rtl w:val="true"/>
          <w:lang w:bidi="fa-IR"/>
        </w:rPr>
        <w:t>عوامنا بتقلیدهم علماءهم کما ذمّ عوامهم بتقلیدهم علماءهم،و أمّا من حیث افترقوا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لی یا بن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عوامّ الیهود قد عرفوا علماءهم بالکذب الصریح و بأکل الحرام و الرشاء،و بتغییر الأحکام عن وجهها بالشفاعات و النسابات و المصانعات،و عرفوهم بالتعصّب الشدید الذی یفارقون به أدیانهم، و أنّهم إذا تعصّبوا أزالوا حقوق من تعصّبوا علیه،و أعطوا ما لا یستحقّه من تعصّبوا له من أموال غیرهم و ظلموهم من أجلهم </w:t>
      </w:r>
      <w:r>
        <w:rPr>
          <w:rStyle w:val="FootnoteAnchor"/>
          <w:rtl w:val="true"/>
        </w:rPr>
        <w:footnoteReference w:id="1043"/>
      </w:r>
      <w:r>
        <w:rPr>
          <w:rFonts w:ascii="IRNazanin" w:hAnsi="IRNazanin" w:eastAsia="IRNazanin"/>
          <w:color w:val="111111"/>
          <w:sz w:val="28"/>
          <w:sz w:val="28"/>
          <w:szCs w:val="28"/>
          <w:rtl w:val="true"/>
          <w:lang w:bidi="fa-IR"/>
        </w:rPr>
        <w:t xml:space="preserve">،و علموهم یقارفون </w:t>
      </w:r>
      <w:r>
        <w:rPr>
          <w:rStyle w:val="FootnoteAnchor"/>
          <w:rtl w:val="true"/>
        </w:rPr>
        <w:footnoteReference w:id="1044"/>
      </w:r>
      <w:r>
        <w:rPr>
          <w:rFonts w:ascii="IRNazanin" w:hAnsi="IRNazanin" w:eastAsia="IRNazanin"/>
          <w:color w:val="111111"/>
          <w:sz w:val="28"/>
          <w:sz w:val="28"/>
          <w:szCs w:val="28"/>
          <w:rtl w:val="true"/>
          <w:lang w:bidi="fa-IR"/>
        </w:rPr>
        <w:t>المحرّمات،و اضطرّوا بمعارف قلوبهم إلی أنّ من فعل ما یفعلونه فهو فاسق،لا یجوز أن یصدّق علی اللّه تعالی و لا علی الوسائط بین الخلق و بین اللّه تعالی؛فلذلک ذمّهم لمّا قلّدوا من عرفوا و من علموا أنّه لا یجوز قبول خبره و لا تصدیقه و لا العمل بما یؤدّیه إلیهم عمّن لم یشاهدوه،و وجب علیهم النظر بأنفسهم فی أمر رسول اللّه صلّی اللّه علیه و آله؛ إذ کانت دلائله أوضح من أن تخفی،و أشهر من أن لا تظهر لهم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عوامّ امّتنا إذا عرفوا من فقهائهم الفسق الظاهر و العصبیّة الشدیدة و التکالب علی حطام الدنیا و حرامها،و إهلاک من یتعصّبون علیه و إن کان لإصلاح أمره مستحقّا،و الترفرف بالبرّ و الإحسان علی من تعصّبوا له و إن کان للإذلال و الإهانة مستحقّا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فمن قلّد من عوامّنا مثل هؤلاء الفقهاء،فهم مثل الیهود الذین ذمّهم اللّه تعالی بالتقلید لفسقة فقهائهم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کان من الفقهاء صائنا لنفسه،حافظا لدینه،مخالفا علی هواه،مطیعا لأمر مولاه،فللعوامّ أن یقلّدوه،و ذلک لا یکون إلاّ بعض فقهاء الشیعة،لا جمیعهم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رکب من القبائح و الفواحش مراکب فسقة فقهاء العامّة فلا تقبلوا منهم عنّا شیئا،و لا 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کثر التخلیط فیما یتحمّل عنّا أهل البیت لذلک </w:t>
      </w:r>
      <w:r>
        <w:rPr>
          <w:rStyle w:val="FootnoteAnchor"/>
          <w:rtl w:val="true"/>
        </w:rPr>
        <w:footnoteReference w:id="1045"/>
      </w:r>
      <w:r>
        <w:rPr>
          <w:rFonts w:ascii="IRNazanin" w:hAnsi="IRNazanin" w:eastAsia="IRNazanin"/>
          <w:color w:val="111111"/>
          <w:sz w:val="28"/>
          <w:sz w:val="28"/>
          <w:szCs w:val="28"/>
          <w:rtl w:val="true"/>
          <w:lang w:bidi="fa-IR"/>
        </w:rPr>
        <w:t xml:space="preserve">لأنّ الفسقة یتحمّلون عنّا فیحرّفونه بأسره لجهلهم،و یضعون الأشیاء علی غیر وجوهها لقلّة معرفتهم،و آخرون یتعمّدون الکذب علینا؛لیجرّوا من عرض الدنیا ما هو زادهم إلی نار جهنّم،و منهم قوم نصّاب لا یقدرون علی القدح فینا،فیتعلّمون بعض علومنا الصحیحة،فیتوجّهون به </w:t>
      </w:r>
      <w:r>
        <w:rPr>
          <w:rStyle w:val="FootnoteAnchor"/>
          <w:rtl w:val="true"/>
        </w:rPr>
        <w:footnoteReference w:id="1046"/>
      </w:r>
      <w:r>
        <w:rPr>
          <w:rFonts w:ascii="IRNazanin" w:hAnsi="IRNazanin" w:eastAsia="IRNazanin"/>
          <w:color w:val="111111"/>
          <w:sz w:val="28"/>
          <w:sz w:val="28"/>
          <w:szCs w:val="28"/>
          <w:rtl w:val="true"/>
          <w:lang w:bidi="fa-IR"/>
        </w:rPr>
        <w:t xml:space="preserve">عند شیعتنا،و ینتقصون </w:t>
      </w:r>
      <w:r>
        <w:rPr>
          <w:rStyle w:val="FootnoteAnchor"/>
          <w:rtl w:val="true"/>
        </w:rPr>
        <w:footnoteReference w:id="1047"/>
      </w:r>
      <w:r>
        <w:rPr>
          <w:rFonts w:ascii="IRNazanin" w:hAnsi="IRNazanin" w:eastAsia="IRNazanin"/>
          <w:color w:val="111111"/>
          <w:sz w:val="28"/>
          <w:sz w:val="28"/>
          <w:szCs w:val="28"/>
          <w:rtl w:val="true"/>
          <w:lang w:bidi="fa-IR"/>
        </w:rPr>
        <w:t>بنا عند أعدائنا،ثمّ یضعون إلیه أضعافه و أضعاف أضعافه من الأکاذیب علینا التی نحن براء منها،فیقبله المستسلمون من شیعتنا علی أنّه من علومنا،فضلّوا و أضلّوا،اولئک أضرّ علی ضعفاء شیعتنا من جیش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الحسین بن علیّ علیه السّلام</w:t>
      </w:r>
      <w:r>
        <w:rPr>
          <w:rFonts w:eastAsia="IRNazanin" w:cs="IRNazanin"/>
          <w:color w:val="111111"/>
          <w:sz w:val="28"/>
          <w:szCs w:val="28"/>
          <w:rtl w:val="true"/>
          <w:lang w:bidi="fa-IR"/>
        </w:rPr>
        <w:t xml:space="preserve">» </w:t>
      </w:r>
      <w:r>
        <w:rPr>
          <w:rStyle w:val="FootnoteAnchor"/>
          <w:rtl w:val="true"/>
        </w:rPr>
        <w:footnoteReference w:id="104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هذا الخبر الشریف اللائح منه آثار الصدق علی جواز قبول </w:t>
      </w:r>
      <w:bookmarkStart w:id="826" w:name="pg12977_114346"/>
    </w:p>
    <w:p>
      <w:pPr>
        <w:pStyle w:val="BookText"/>
        <w:rPr/>
      </w:pPr>
      <w:bookmarkEnd w:id="826"/>
      <w:r>
        <w:rPr>
          <w:rFonts w:ascii="IRNazanin" w:hAnsi="IRNazanin" w:eastAsia="IRNazanin"/>
          <w:color w:val="111111"/>
          <w:sz w:val="28"/>
          <w:sz w:val="28"/>
          <w:szCs w:val="28"/>
          <w:rtl w:val="true"/>
          <w:lang w:bidi="fa-IR"/>
        </w:rPr>
        <w:t>قول من عرف بالتحرّز عن الکذب و إن کان ظاهره اعتبار العدالة بل ما فوقها،لکنّ المستفاد من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المناط فی التصدیق هو التحرّز عن الکذب،فافهم</w:t>
      </w:r>
      <w:r>
        <w:rPr>
          <w:rFonts w:eastAsia="IRNazanin" w:cs="IRNazanin"/>
          <w:color w:val="111111"/>
          <w:sz w:val="28"/>
          <w:szCs w:val="28"/>
          <w:rtl w:val="true"/>
          <w:lang w:bidi="fa-IR"/>
        </w:rPr>
        <w:t>.</w:t>
      </w:r>
    </w:p>
    <w:p>
      <w:pPr>
        <w:pStyle w:val="Heading6"/>
        <w:numPr>
          <w:ilvl w:val="5"/>
          <w:numId w:val="1"/>
        </w:numPr>
        <w:rPr/>
      </w:pPr>
      <w:bookmarkStart w:id="827" w:name="__RefHeading___Toc5447071_3224264995"/>
      <w:bookmarkStart w:id="828" w:name="_Toc317"/>
      <w:bookmarkEnd w:id="827"/>
      <w:r>
        <w:rPr>
          <w:rtl w:val="true"/>
        </w:rPr>
        <w:t>روایة اخری</w:t>
      </w:r>
      <w:bookmarkEnd w:id="828"/>
    </w:p>
    <w:p>
      <w:pPr>
        <w:pStyle w:val="BookText"/>
        <w:rPr/>
      </w:pPr>
      <w:r>
        <w:rPr>
          <w:rFonts w:ascii="IRNazanin" w:hAnsi="IRNazanin" w:eastAsia="IRNazanin"/>
          <w:color w:val="111111"/>
          <w:sz w:val="28"/>
          <w:sz w:val="28"/>
          <w:szCs w:val="28"/>
          <w:rtl w:val="true"/>
          <w:lang w:bidi="fa-IR"/>
        </w:rPr>
        <w:t>و مثل ما عن أبی الحسن علیه السّلام فیما کتبه جوابا عن السؤال عمّن یعتمد علیه فی الدین،قال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اعتمدا فی دینکما علی کلّ مسنّ فی حبّنا،کثیر القدم فی أمرنا</w:t>
      </w:r>
      <w:r>
        <w:rPr>
          <w:rFonts w:eastAsia="IRNazanin" w:cs="IRNazanin"/>
          <w:color w:val="111111"/>
          <w:sz w:val="28"/>
          <w:szCs w:val="28"/>
          <w:rtl w:val="true"/>
          <w:lang w:bidi="fa-IR"/>
        </w:rPr>
        <w:t xml:space="preserve">»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 فی روایة 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تأخذنّ معالم دینک من غیر شیعتنا؛فإنّک إن تعدّیتهم أخذت دینک من الخائنین الذین خانوا اللّه و رسوله و خانوا أماناتهم؛إنّهم ائتمنوا علی کتاب اللّه فحرّفوه و بدّلوه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ظاهرهما </w:t>
      </w:r>
      <w:r>
        <w:rPr>
          <w:rStyle w:val="FootnoteAnchor"/>
          <w:rtl w:val="true"/>
        </w:rPr>
        <w:footnoteReference w:id="1051"/>
      </w:r>
      <w:r>
        <w:rPr>
          <w:rFonts w:ascii="IRNazanin" w:hAnsi="IRNazanin" w:eastAsia="IRNazanin"/>
          <w:color w:val="111111"/>
          <w:sz w:val="28"/>
          <w:sz w:val="28"/>
          <w:szCs w:val="28"/>
          <w:rtl w:val="true"/>
          <w:lang w:bidi="fa-IR"/>
        </w:rPr>
        <w:t xml:space="preserve">و إن کان الفتوی،إلاّ أنّ الإنصاف شمولهما </w:t>
      </w:r>
      <w:r>
        <w:rPr>
          <w:rStyle w:val="FootnoteAnchor"/>
          <w:rtl w:val="true"/>
        </w:rPr>
        <w:footnoteReference w:id="1052"/>
      </w:r>
      <w:r>
        <w:rPr>
          <w:rFonts w:ascii="IRNazanin" w:hAnsi="IRNazanin" w:eastAsia="IRNazanin"/>
          <w:color w:val="111111"/>
          <w:sz w:val="28"/>
          <w:sz w:val="28"/>
          <w:szCs w:val="28"/>
          <w:rtl w:val="true"/>
          <w:lang w:bidi="fa-IR"/>
        </w:rPr>
        <w:t xml:space="preserve">للروایة بعد التأمّل،کما تقدّم فی سابقیهما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29" w:name="__RefHeading___Toc5447073_3224264995"/>
      <w:bookmarkStart w:id="830" w:name="_Toc318"/>
      <w:bookmarkEnd w:id="829"/>
      <w:r>
        <w:rPr>
          <w:rtl w:val="true"/>
        </w:rPr>
        <w:t>روایة الحسین ابن روح</w:t>
      </w:r>
      <w:bookmarkEnd w:id="830"/>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 ما فی کتاب الغیبة بسنده الصحیح إلی عبد اللّه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الشیخ أبی القاسم الحسین بن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سأله أصحابه عن </w:t>
      </w:r>
      <w:bookmarkStart w:id="831" w:name="pg12977_114347"/>
    </w:p>
    <w:p>
      <w:pPr>
        <w:pStyle w:val="BookText"/>
        <w:rPr/>
      </w:pPr>
      <w:bookmarkEnd w:id="831"/>
      <w:r>
        <w:rPr>
          <w:rFonts w:ascii="IRNazanin" w:hAnsi="IRNazanin" w:eastAsia="IRNazanin"/>
          <w:color w:val="111111"/>
          <w:sz w:val="28"/>
          <w:sz w:val="28"/>
          <w:szCs w:val="28"/>
          <w:rtl w:val="true"/>
          <w:lang w:bidi="fa-IR"/>
        </w:rPr>
        <w:t>کتب الشلمغانیّ،فقال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فیها ما قاله العسکریّ علیه السّلام فی کتب بنی فضّال،حیث قالوا له </w:t>
      </w:r>
      <w:r>
        <w:rPr>
          <w:rStyle w:val="FootnoteAnchor"/>
          <w:rtl w:val="true"/>
        </w:rPr>
        <w:footnoteReference w:id="10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نصنع بکتبهم و بیوتنا منها ملاء؟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ما رووا و ذروا ما رأوا</w:t>
      </w:r>
      <w:r>
        <w:rPr>
          <w:rFonts w:eastAsia="IRNazanin" w:cs="IRNazanin"/>
          <w:color w:val="111111"/>
          <w:sz w:val="28"/>
          <w:szCs w:val="28"/>
          <w:rtl w:val="true"/>
          <w:lang w:bidi="fa-IR"/>
        </w:rPr>
        <w:t xml:space="preserve">»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دلّ بمورده علی جواز الأخذ بکتب بنی فضّال،و بعدم الفصل علی کتب غیرهم من الثقات و روایاتهم؛و لهذا أنّ الشیخ الجلیل المذکور الذی لا یظنّ به القول فی الدین بغیر السماع من الإمام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فی کتب الشلمغانیّ ما قاله العسکریّ علیه السّلام فی کتب بنی فضّال،مع أنّ هذا الکلام بظاهره قیاس باطل</w:t>
      </w:r>
      <w:r>
        <w:rPr>
          <w:rFonts w:eastAsia="IRNazanin" w:cs="IRNazanin"/>
          <w:color w:val="111111"/>
          <w:sz w:val="28"/>
          <w:szCs w:val="28"/>
          <w:rtl w:val="true"/>
          <w:lang w:bidi="fa-IR"/>
        </w:rPr>
        <w:t>.</w:t>
      </w:r>
    </w:p>
    <w:p>
      <w:pPr>
        <w:pStyle w:val="Heading6"/>
        <w:numPr>
          <w:ilvl w:val="5"/>
          <w:numId w:val="1"/>
        </w:numPr>
        <w:rPr/>
      </w:pPr>
      <w:bookmarkStart w:id="832" w:name="__RefHeading___Toc5447075_3224264995"/>
      <w:bookmarkStart w:id="833" w:name="_Toc319"/>
      <w:bookmarkEnd w:id="832"/>
      <w:r>
        <w:rPr>
          <w:rtl w:val="true"/>
        </w:rPr>
        <w:t>روایة المحاسن</w:t>
      </w:r>
      <w:bookmarkEnd w:id="833"/>
    </w:p>
    <w:p>
      <w:pPr>
        <w:pStyle w:val="BookText"/>
        <w:rPr/>
      </w:pPr>
      <w:r>
        <w:rPr>
          <w:rFonts w:ascii="IRNazanin" w:hAnsi="IRNazanin" w:eastAsia="IRNazanin"/>
          <w:color w:val="111111"/>
          <w:sz w:val="28"/>
          <w:sz w:val="28"/>
          <w:szCs w:val="28"/>
          <w:rtl w:val="true"/>
          <w:lang w:bidi="fa-IR"/>
        </w:rPr>
        <w:t>و مثل ما ورد مستفیضا فی المحاسن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واحد فی حلال و حرام تأخذه من صادق خیر لک من الدّنیا و ما فیها من ذهب و فضّة</w:t>
      </w:r>
      <w:r>
        <w:rPr>
          <w:rFonts w:eastAsia="IRNazanin" w:cs="IRNazanin"/>
          <w:color w:val="111111"/>
          <w:sz w:val="28"/>
          <w:szCs w:val="28"/>
          <w:rtl w:val="true"/>
          <w:lang w:bidi="fa-IR"/>
        </w:rPr>
        <w:t xml:space="preserve">» </w:t>
      </w:r>
      <w:r>
        <w:rPr>
          <w:rStyle w:val="FootnoteAnchor"/>
          <w:rtl w:val="true"/>
        </w:rPr>
        <w:footnoteReference w:id="10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صادق عن صادق</w:t>
      </w:r>
      <w:r>
        <w:rPr>
          <w:rFonts w:eastAsia="IRNazanin" w:cs="IRNazanin"/>
          <w:color w:val="111111"/>
          <w:sz w:val="28"/>
          <w:szCs w:val="28"/>
          <w:rtl w:val="true"/>
          <w:lang w:bidi="fa-IR"/>
        </w:rPr>
        <w:t xml:space="preserve">»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4" w:name="__RefHeading___Toc5447077_3224264995"/>
      <w:bookmarkStart w:id="835" w:name="_Toc320"/>
      <w:bookmarkEnd w:id="834"/>
      <w:r>
        <w:rPr>
          <w:rtl w:val="true"/>
        </w:rPr>
        <w:t>روایة الکشی</w:t>
      </w:r>
      <w:bookmarkEnd w:id="835"/>
    </w:p>
    <w:p>
      <w:pPr>
        <w:pStyle w:val="BookText"/>
        <w:rPr/>
      </w:pPr>
      <w:r>
        <w:rPr>
          <w:rFonts w:ascii="IRNazanin" w:hAnsi="IRNazanin" w:eastAsia="IRNazanin"/>
          <w:color w:val="111111"/>
          <w:sz w:val="28"/>
          <w:sz w:val="28"/>
          <w:szCs w:val="28"/>
          <w:rtl w:val="true"/>
          <w:lang w:bidi="fa-IR"/>
        </w:rPr>
        <w:t>و مثل ما فی الوسائل،عن الکشّیّ،من أنّه ورد توقیع علی القاسم بن العلاء،و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عذر لأحد من موالینا فی التّشکیک فیما یرویه عنّا ثقاتنا؛قد علموا أنّا نفاوضهم سرّنا و نحمله إلیهم</w:t>
      </w:r>
      <w:r>
        <w:rPr>
          <w:rFonts w:eastAsia="IRNazanin" w:cs="IRNazanin"/>
          <w:color w:val="111111"/>
          <w:sz w:val="28"/>
          <w:szCs w:val="28"/>
          <w:rtl w:val="true"/>
          <w:lang w:bidi="fa-IR"/>
        </w:rPr>
        <w:t xml:space="preserve">»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6" w:name="__RefHeading___Toc5447079_3224264995"/>
      <w:bookmarkStart w:id="837" w:name="_Toc321"/>
      <w:bookmarkEnd w:id="836"/>
      <w:r>
        <w:rPr>
          <w:rtl w:val="true"/>
        </w:rPr>
        <w:t>مرفوعة الکنانی</w:t>
      </w:r>
      <w:bookmarkEnd w:id="837"/>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مرفوعة الکنانیّ،عن الصادق علیه السّلام فی تفسیر قوله تعالی</w:t>
      </w:r>
      <w:r>
        <w:rPr>
          <w:rFonts w:eastAsia="IRNazanin" w:cs="IRNazanin"/>
          <w:color w:val="111111"/>
          <w:sz w:val="28"/>
          <w:szCs w:val="28"/>
          <w:rtl w:val="true"/>
          <w:lang w:bidi="fa-IR"/>
        </w:rPr>
        <w:t xml:space="preserve">: </w:t>
      </w:r>
      <w:bookmarkStart w:id="838" w:name="pg12977_114348"/>
    </w:p>
    <w:p>
      <w:pPr>
        <w:pStyle w:val="BookText"/>
        <w:rPr/>
      </w:pPr>
      <w:bookmarkEnd w:id="838"/>
      <w:r>
        <w:rPr>
          <w:rFonts w:ascii="Amiri" w:hAnsi="Amiri" w:eastAsia="Amiri" w:cs="Amiri"/>
          <w:color w:val="111111"/>
          <w:sz w:val="28"/>
          <w:sz w:val="28"/>
          <w:szCs w:val="28"/>
          <w:rtl w:val="true"/>
          <w:lang w:bidi="ar-SA"/>
        </w:rPr>
        <w:t>وَ مَنْ یَتَّقِ اللّهَ یَجْعَلْ لَهُ مَخْرَجاً وَ یَرْزُقْهُ مِنْ حَیْثُ لا یَحْتَسِبُ</w:t>
      </w:r>
    </w:p>
    <w:p>
      <w:pPr>
        <w:pStyle w:val="BookText"/>
        <w:rPr/>
      </w:pPr>
      <w:r>
        <w:rPr>
          <w:rStyle w:val="FootnoteAnchor"/>
          <w:rtl w:val="true"/>
        </w:rPr>
        <w:footnoteReference w:id="10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قوم من شیعتنا ضعفاء،و لیس عندهم ما یتحمّلون به إلینا فیسمعون حدیثنا و یفتّشون من علمنا،فیرحل قوم فوقهم و ینفقون أموالهم و یتعبون أبدانهم حتّی یدخلوا علینا و یسمعوا حدیثنا فینقلوا إلیهم،فیعیه اولئک و یضیّعه هؤلاء،فاولئک الذین یجعل اللّه لهم مخرجا و یرزقهم من حیث لا یحتسبون</w:t>
      </w:r>
      <w:r>
        <w:rPr>
          <w:rFonts w:eastAsia="IRNazanin" w:cs="IRNazanin"/>
          <w:color w:val="111111"/>
          <w:sz w:val="28"/>
          <w:szCs w:val="28"/>
          <w:rtl w:val="true"/>
          <w:lang w:bidi="fa-IR"/>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علی جواز العمل بالخبر و إن نقله من یضیّعه و لا یعمل به</w:t>
      </w:r>
      <w:r>
        <w:rPr>
          <w:rFonts w:eastAsia="IRNazanin" w:cs="IRNazanin"/>
          <w:color w:val="111111"/>
          <w:sz w:val="28"/>
          <w:szCs w:val="28"/>
          <w:rtl w:val="true"/>
          <w:lang w:bidi="fa-IR"/>
        </w:rPr>
        <w:t>.</w:t>
      </w:r>
    </w:p>
    <w:p>
      <w:pPr>
        <w:pStyle w:val="Heading6"/>
        <w:numPr>
          <w:ilvl w:val="5"/>
          <w:numId w:val="1"/>
        </w:numPr>
        <w:rPr/>
      </w:pPr>
      <w:bookmarkStart w:id="839" w:name="__RefHeading___Toc5447081_3224264995"/>
      <w:bookmarkStart w:id="840" w:name="_Toc322"/>
      <w:bookmarkEnd w:id="839"/>
      <w:r>
        <w:rPr/>
        <w:t>4</w:t>
      </w:r>
      <w:r>
        <w:rPr>
          <w:rtl w:val="true"/>
        </w:rPr>
        <w:t>-</w:t>
      </w:r>
      <w:r>
        <w:rPr>
          <w:rtl w:val="true"/>
        </w:rPr>
        <w:t>مایظهر منها جواز العمل بالخبر الواحد</w:t>
      </w:r>
      <w:bookmarkEnd w:id="840"/>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الکثیرة التی یظهر من مجموعها جواز العمل بخبر الواحد و إن کان فی دلالة کلّ واحد علی ذلک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النبویّ المستفیض بل المتواتر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حفظ علی امّتی أربعین حدیثا بعثه اللّه فقیها عالما یوم القیامة</w:t>
      </w:r>
      <w:r>
        <w:rPr>
          <w:rFonts w:eastAsia="IRNazanin" w:cs="IRNazanin"/>
          <w:color w:val="111111"/>
          <w:sz w:val="28"/>
          <w:szCs w:val="28"/>
          <w:rtl w:val="true"/>
          <w:lang w:bidi="fa-IR"/>
        </w:rPr>
        <w:t xml:space="preserve">»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شیخنا البهائیّ قدّس سرّه فی أوّل أربعینه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دلالة هذا الخبر علی حجّیّة خبر الواحد لا یقصر عن دلالة آیة النفر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 الأخبار الکثیرة الواردة فی الترغیب فی الروایة و الحثّ علیها،و إبلاغ ما فی کتب الشیعة </w:t>
      </w:r>
      <w:r>
        <w:rPr>
          <w:rStyle w:val="FootnoteAnchor"/>
          <w:rtl w:val="true"/>
        </w:rPr>
        <w:footnoteReference w:id="1063"/>
      </w:r>
      <w:r>
        <w:rPr>
          <w:rFonts w:ascii="IRNazanin" w:hAnsi="IRNazanin" w:eastAsia="IRNazanin"/>
          <w:color w:val="111111"/>
          <w:sz w:val="28"/>
          <w:sz w:val="28"/>
          <w:szCs w:val="28"/>
          <w:rtl w:val="true"/>
          <w:lang w:bidi="fa-IR"/>
        </w:rPr>
        <w:t xml:space="preserve">،مثل ما ورد فی شأن الکتب التی </w:t>
      </w:r>
    </w:p>
    <w:p>
      <w:pPr>
        <w:pStyle w:val="BookText"/>
        <w:rPr/>
      </w:pPr>
      <w:r>
        <w:rPr>
          <w:rFonts w:ascii="Amiri" w:hAnsi="Amiri" w:eastAsia="Amiri" w:cs="Amiri"/>
          <w:color w:val="111111"/>
          <w:sz w:val="28"/>
          <w:sz w:val="28"/>
          <w:szCs w:val="28"/>
          <w:rtl w:val="true"/>
          <w:lang w:bidi="ar-SA"/>
        </w:rPr>
        <w:t>دفنوها لشدّة التقیّة،فقال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حدّثوا بها فإنّها حقّ</w:t>
      </w:r>
      <w:r>
        <w:rPr>
          <w:rFonts w:eastAsia="Amiri" w:cs="Amiri" w:ascii="Amiri" w:hAnsi="Amiri"/>
          <w:color w:val="111111"/>
          <w:sz w:val="28"/>
          <w:szCs w:val="28"/>
          <w:rtl w:val="true"/>
          <w:lang w:bidi="ar-SA"/>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ما ورد فی مذاکرة الحدیث و الأمر بکتابته،مثل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و بثّ علمک فی بنی عمّک؛فإنّه یأتی زمان هرج، لا یأنسون إلاّ بکتبهم</w:t>
      </w:r>
      <w:r>
        <w:rPr>
          <w:rFonts w:eastAsia="IRNazanin" w:cs="IRNazanin"/>
          <w:color w:val="111111"/>
          <w:sz w:val="28"/>
          <w:szCs w:val="28"/>
          <w:rtl w:val="true"/>
          <w:lang w:bidi="fa-IR"/>
        </w:rPr>
        <w:t xml:space="preserve">»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ورد فی ترخیص النقل بالمعنی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ورد مستفیضا بل متواترا،من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اعرفوا منازل الرجال منّا بقدر روایتهم عنّا</w:t>
      </w:r>
      <w:r>
        <w:rPr>
          <w:rFonts w:eastAsia="IRNazanin" w:cs="IRNazanin"/>
          <w:color w:val="111111"/>
          <w:sz w:val="28"/>
          <w:szCs w:val="28"/>
          <w:rtl w:val="true"/>
          <w:lang w:bidi="fa-IR"/>
        </w:rPr>
        <w:t xml:space="preserve">»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ورد من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رجل منّا من یکذب علیه</w:t>
      </w:r>
      <w:r>
        <w:rPr>
          <w:rFonts w:eastAsia="IRNazanin" w:cs="IRNazanin"/>
          <w:color w:val="111111"/>
          <w:sz w:val="28"/>
          <w:szCs w:val="28"/>
          <w:rtl w:val="true"/>
          <w:lang w:bidi="fa-IR"/>
        </w:rPr>
        <w:t xml:space="preserve">»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ستکثر بعدی القالة،و إنّ من کذب علیّ فلیتبوّأ مقعده من النّار</w:t>
      </w:r>
      <w:r>
        <w:rPr>
          <w:rFonts w:eastAsia="IRNazanin" w:cs="IRNazanin"/>
          <w:color w:val="111111"/>
          <w:sz w:val="28"/>
          <w:szCs w:val="28"/>
          <w:rtl w:val="true"/>
          <w:lang w:bidi="fa-IR"/>
        </w:rPr>
        <w:t xml:space="preserve">»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أهل بیت صدّیقون،لا نخلو من </w:t>
      </w:r>
      <w:bookmarkStart w:id="841" w:name="pg12977_114350"/>
    </w:p>
    <w:p>
      <w:pPr>
        <w:pStyle w:val="BookText"/>
        <w:rPr/>
      </w:pPr>
      <w:bookmarkEnd w:id="841"/>
      <w:r>
        <w:rPr>
          <w:rFonts w:ascii="IRNazanin" w:hAnsi="IRNazanin" w:eastAsia="IRNazanin"/>
          <w:color w:val="111111"/>
          <w:sz w:val="28"/>
          <w:sz w:val="28"/>
          <w:szCs w:val="28"/>
          <w:rtl w:val="true"/>
          <w:lang w:bidi="fa-IR"/>
        </w:rPr>
        <w:t>کذّاب یکذب علینا</w:t>
      </w:r>
      <w:r>
        <w:rPr>
          <w:rFonts w:eastAsia="IRNazanin" w:cs="IRNazanin"/>
          <w:color w:val="111111"/>
          <w:sz w:val="28"/>
          <w:szCs w:val="28"/>
          <w:rtl w:val="true"/>
          <w:lang w:bidi="fa-IR"/>
        </w:rPr>
        <w:t xml:space="preserve">»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اولعوا بالکذب علینا،کأنّ اللّه افترض علیهم و لا یرید منهم غیره</w:t>
      </w:r>
      <w:r>
        <w:rPr>
          <w:rFonts w:eastAsia="IRNazanin" w:cs="IRNazanin"/>
          <w:color w:val="111111"/>
          <w:sz w:val="28"/>
          <w:szCs w:val="28"/>
          <w:rtl w:val="true"/>
          <w:lang w:bidi="fa-IR"/>
        </w:rPr>
        <w:t xml:space="preserve">»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منّا من یکذب علیه</w:t>
      </w:r>
      <w:r>
        <w:rPr>
          <w:rFonts w:eastAsia="IRNazanin" w:cs="IRNazanin"/>
          <w:color w:val="111111"/>
          <w:sz w:val="28"/>
          <w:szCs w:val="28"/>
          <w:rtl w:val="true"/>
          <w:lang w:bidi="fa-IR"/>
        </w:rPr>
        <w:t xml:space="preserve">»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بناء المسلمین لو کان علی الاقتصار علی المتواترات لم یکثر القالة و الکذّابة،و الاحتفاف بالقرینة القطعیّة فی غایة القلّة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الأخبار التی یستفاد من مجموعها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الأئمّة علیهم السّلام بالعمل بالخبر و إن لم یفد القطع</w:t>
      </w:r>
      <w:r>
        <w:rPr>
          <w:rFonts w:eastAsia="IRNazanin" w:cs="IRNazanin"/>
          <w:color w:val="111111"/>
          <w:sz w:val="28"/>
          <w:szCs w:val="28"/>
          <w:rtl w:val="true"/>
          <w:lang w:bidi="fa-IR"/>
        </w:rPr>
        <w:t>.</w:t>
      </w:r>
    </w:p>
    <w:p>
      <w:pPr>
        <w:pStyle w:val="Heading6"/>
        <w:numPr>
          <w:ilvl w:val="5"/>
          <w:numId w:val="1"/>
        </w:numPr>
        <w:rPr/>
      </w:pPr>
      <w:bookmarkStart w:id="842" w:name="__RefHeading___Toc5447083_3224264995"/>
      <w:bookmarkStart w:id="843" w:name="_Toc323"/>
      <w:bookmarkEnd w:id="842"/>
      <w:r>
        <w:rPr>
          <w:rtl w:val="true"/>
        </w:rPr>
        <w:t>القدر المتیقّن من الأخبار اعتبار الوثاقة</w:t>
      </w:r>
      <w:r>
        <w:rPr>
          <w:rtl w:val="true"/>
        </w:rPr>
        <w:t>:</w:t>
      </w:r>
      <w:bookmarkEnd w:id="843"/>
    </w:p>
    <w:p>
      <w:pPr>
        <w:pStyle w:val="BookText"/>
        <w:rPr/>
      </w:pPr>
      <w:r>
        <w:rPr>
          <w:rFonts w:ascii="IRNazanin" w:hAnsi="IRNazanin" w:eastAsia="IRNazanin"/>
          <w:color w:val="111111"/>
          <w:sz w:val="28"/>
          <w:sz w:val="28"/>
          <w:szCs w:val="28"/>
          <w:rtl w:val="true"/>
          <w:lang w:bidi="fa-IR"/>
        </w:rPr>
        <w:t xml:space="preserve">و قد ادّعی فی الوسائل تواتر الأخبار بالعمل بخبر الثقة </w:t>
      </w:r>
      <w:r>
        <w:rPr>
          <w:rStyle w:val="FootnoteAnchor"/>
          <w:rtl w:val="true"/>
        </w:rPr>
        <w:footnoteReference w:id="1073"/>
      </w:r>
      <w:r>
        <w:rPr>
          <w:rFonts w:ascii="IRNazanin" w:hAnsi="IRNazanin" w:eastAsia="IRNazanin"/>
          <w:color w:val="111111"/>
          <w:sz w:val="28"/>
          <w:sz w:val="28"/>
          <w:szCs w:val="28"/>
          <w:rtl w:val="true"/>
          <w:lang w:bidi="fa-IR"/>
        </w:rPr>
        <w:t>،إلاّ أنّ القدر المتیقّن منها هو خبر الثقة الذی یضعف فیه احتمال الکذب علی وجه لا یعتنی به العقلاء و یقبّحون التوقّف فیه لأجل ذلک الاحتمال؛کما دلّ علیه 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الواردة فی الأخبار المتقدّمة،و هی أیضا منصرف إطلاق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Heading6"/>
        <w:numPr>
          <w:ilvl w:val="5"/>
          <w:numId w:val="1"/>
        </w:numPr>
        <w:rPr/>
      </w:pPr>
      <w:bookmarkStart w:id="844" w:name="__RefHeading___Toc5447085_3224264995"/>
      <w:bookmarkStart w:id="845" w:name="_Toc324"/>
      <w:bookmarkEnd w:id="844"/>
      <w:r>
        <w:rPr>
          <w:rtl w:val="true"/>
        </w:rPr>
        <w:t>عدم اعتبار العدالة</w:t>
      </w:r>
      <w:r>
        <w:rPr>
          <w:rtl w:val="true"/>
        </w:rPr>
        <w:t>:</w:t>
      </w:r>
      <w:bookmarkEnd w:id="845"/>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العدالة،فأکثر الأخبار المتقدّمة خالیة عنها،بل فی کثیر منها التصریح بخلافه،مثل روایة العدّة الآمرة بالأخذ بما رووه عن علیّ علیه السّلام، و الواردة فی کتب بنی فضّال،و مرفوعة الکنانیّ و تالیها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نعم،فی غیر واحد منها حصر المعتمد فی أخذ معالم الدین فی الشیعة </w:t>
      </w:r>
      <w:r>
        <w:rPr>
          <w:rStyle w:val="FootnoteAnchor"/>
          <w:rtl w:val="true"/>
        </w:rPr>
        <w:footnoteReference w:id="1075"/>
      </w:r>
      <w:r>
        <w:rPr>
          <w:rFonts w:ascii="IRNazanin" w:hAnsi="IRNazanin" w:eastAsia="IRNazanin"/>
          <w:color w:val="111111"/>
          <w:sz w:val="28"/>
          <w:sz w:val="28"/>
          <w:szCs w:val="28"/>
          <w:rtl w:val="true"/>
          <w:lang w:bidi="fa-IR"/>
        </w:rPr>
        <w:t>،لکنّه محمول علی غیر الثقة أو علی أخذ الفتوی؛جمعا بینها و بین ما هو أکثر منها؛و فی روایة بنی فضّال شهادة علی هذا الجمع</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التعلیل للنهی فی ذیل الروایة بأنّهم ممّن خانوا اللّه و رسوله یدلّ علی انتفاء النهی عند انتفاء الخیانة المکشوف عنه بالوثاقة؛ فإنّ الغیر الإمامیّ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ابن فضّال و ابن 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لیسوا خائنین فی نقل الروایة،و سیأتی توضیحه عند ذکر الإجماع إن شاء اللّه</w:t>
      </w:r>
      <w:r>
        <w:rPr>
          <w:rFonts w:eastAsia="IRNazanin" w:cs="IRNazanin"/>
          <w:color w:val="111111"/>
          <w:sz w:val="28"/>
          <w:szCs w:val="28"/>
          <w:rtl w:val="true"/>
          <w:lang w:bidi="fa-IR"/>
        </w:rPr>
        <w:t xml:space="preserve">. </w:t>
      </w:r>
      <w:bookmarkStart w:id="846" w:name="pg12977_114352"/>
    </w:p>
    <w:p>
      <w:pPr>
        <w:pStyle w:val="BookText"/>
        <w:rPr/>
      </w:pPr>
      <w:bookmarkEnd w:id="8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Style w:val="FootnoteAnchor"/>
          <w:rtl w:val="true"/>
        </w:rPr>
        <w:footnoteReference w:id="1076"/>
      </w:r>
    </w:p>
    <w:p>
      <w:pPr>
        <w:pStyle w:val="Heading6"/>
        <w:numPr>
          <w:ilvl w:val="5"/>
          <w:numId w:val="1"/>
        </w:numPr>
        <w:rPr/>
      </w:pPr>
      <w:bookmarkStart w:id="847" w:name="__RefHeading___Toc5447087_3224264995"/>
      <w:bookmarkStart w:id="848" w:name="_Toc325"/>
      <w:bookmarkEnd w:id="847"/>
      <w:r>
        <w:rPr>
          <w:rtl w:val="true"/>
        </w:rPr>
        <w:t>الاستدلال علی حجیّة الخبر الواحد بالإجماع من وجوه</w:t>
      </w:r>
      <w:r>
        <w:rPr>
          <w:rtl w:val="true"/>
        </w:rPr>
        <w:t>:</w:t>
      </w:r>
      <w:bookmarkEnd w:id="848"/>
    </w:p>
    <w:p>
      <w:pPr>
        <w:pStyle w:val="BookText"/>
        <w:rPr/>
      </w:pPr>
      <w:r>
        <w:rPr>
          <w:rFonts w:ascii="IRNazanin" w:hAnsi="IRNazanin" w:eastAsia="IRNazanin"/>
          <w:color w:val="111111"/>
          <w:sz w:val="28"/>
          <w:sz w:val="28"/>
          <w:szCs w:val="28"/>
          <w:rtl w:val="true"/>
          <w:lang w:bidi="fa-IR"/>
        </w:rPr>
        <w:t>و أمّا الإجماع،فتقریره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علی حجّیّة خبر الواحد فی مقابل السیّد و أتباعه،</w:t>
      </w:r>
    </w:p>
    <w:p>
      <w:pPr>
        <w:pStyle w:val="BookText"/>
        <w:rPr/>
      </w:pPr>
      <w:r>
        <w:rPr>
          <w:rFonts w:ascii="IRNazanin" w:hAnsi="IRNazanin" w:eastAsia="IRNazanin"/>
          <w:color w:val="111111"/>
          <w:sz w:val="28"/>
          <w:sz w:val="28"/>
          <w:szCs w:val="28"/>
          <w:rtl w:val="true"/>
          <w:lang w:bidi="fa-IR"/>
        </w:rPr>
        <w:t>و طریق تحصیله أحد وجهین علی سبیل منع الخلوّ</w:t>
      </w:r>
      <w:r>
        <w:rPr>
          <w:rFonts w:eastAsia="IRNazanin" w:cs="IRNazanin"/>
          <w:color w:val="111111"/>
          <w:sz w:val="28"/>
          <w:szCs w:val="28"/>
          <w:rtl w:val="true"/>
          <w:lang w:bidi="fa-IR"/>
        </w:rPr>
        <w:t>:</w:t>
      </w:r>
    </w:p>
    <w:p>
      <w:pPr>
        <w:pStyle w:val="Heading6"/>
        <w:numPr>
          <w:ilvl w:val="5"/>
          <w:numId w:val="1"/>
        </w:numPr>
        <w:rPr/>
      </w:pPr>
      <w:bookmarkStart w:id="849" w:name="__RefHeading___Toc5447089_3224264995"/>
      <w:bookmarkStart w:id="850" w:name="_Toc326"/>
      <w:bookmarkEnd w:id="849"/>
      <w:r>
        <w:rPr/>
        <w:t>1</w:t>
      </w:r>
      <w:r>
        <w:rPr>
          <w:rtl w:val="true"/>
        </w:rPr>
        <w:t>-</w:t>
      </w:r>
      <w:r>
        <w:rPr>
          <w:rtl w:val="true"/>
        </w:rPr>
        <w:t>الاجماع فی مقابل السید و اتباعه و تحصیله بطریقین</w:t>
      </w:r>
      <w:bookmarkEnd w:id="850"/>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اقوال العلماء من زماننا الی الشیخین فیحصل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بالاتّفاق الکاشف عن رضا علیه السلام بالحکم او عن وجود نص معتبر فی المسالة</w:t>
      </w:r>
      <w:r>
        <w:rPr>
          <w:rFonts w:eastAsia="IRNazanin" w:cs="IRNazanin"/>
          <w:color w:val="111111"/>
          <w:sz w:val="28"/>
          <w:szCs w:val="28"/>
          <w:rtl w:val="true"/>
          <w:lang w:bidi="fa-IR"/>
        </w:rPr>
        <w:t>.</w:t>
      </w:r>
    </w:p>
    <w:p>
      <w:pPr>
        <w:pStyle w:val="Heading6"/>
        <w:numPr>
          <w:ilvl w:val="5"/>
          <w:numId w:val="1"/>
        </w:numPr>
        <w:rPr/>
      </w:pPr>
      <w:bookmarkStart w:id="851" w:name="__RefHeading___Toc5447091_3224264995"/>
      <w:bookmarkStart w:id="852" w:name="_Toc327"/>
      <w:bookmarkEnd w:id="851"/>
      <w:r>
        <w:rPr>
          <w:rtl w:val="true"/>
        </w:rPr>
        <w:t>أ</w:t>
      </w:r>
      <w:r>
        <w:rPr>
          <w:rtl w:val="true"/>
        </w:rPr>
        <w:t>:</w:t>
      </w:r>
      <w:r>
        <w:rPr>
          <w:rtl w:val="true"/>
        </w:rPr>
        <w:t>تتبّع أقوال العلماء</w:t>
      </w:r>
      <w:bookmarkEnd w:id="852"/>
    </w:p>
    <w:p>
      <w:pPr>
        <w:pStyle w:val="BookText"/>
        <w:rPr/>
      </w:pPr>
      <w:r>
        <w:rPr>
          <w:rFonts w:ascii="IRNazanin" w:hAnsi="IRNazanin" w:eastAsia="IRNazanin"/>
          <w:color w:val="111111"/>
          <w:sz w:val="28"/>
          <w:sz w:val="28"/>
          <w:szCs w:val="28"/>
          <w:rtl w:val="true"/>
          <w:lang w:bidi="fa-IR"/>
        </w:rPr>
        <w:t>من زماننا إلی زمان الشیخین فیحصل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بالاتّفاق الکاشف عن رضا الإمام علیه السّلام بالحکم،أو عن وجود نصّ معتبر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یعتنی بخلاف السیّد و أتباعه؛إمّا لکونهم معلومی </w:t>
      </w:r>
      <w:r>
        <w:rPr>
          <w:rStyle w:val="FootnoteAnchor"/>
          <w:rtl w:val="true"/>
        </w:rPr>
        <w:footnoteReference w:id="1077"/>
      </w:r>
      <w:r>
        <w:rPr>
          <w:rFonts w:ascii="IRNazanin" w:hAnsi="IRNazanin" w:eastAsia="IRNazanin"/>
          <w:color w:val="111111"/>
          <w:sz w:val="28"/>
          <w:sz w:val="28"/>
          <w:szCs w:val="28"/>
          <w:rtl w:val="true"/>
          <w:lang w:bidi="fa-IR"/>
        </w:rPr>
        <w:t xml:space="preserve">النسب کما ذکره الشیخ فی العدّة </w:t>
      </w:r>
      <w:r>
        <w:rPr>
          <w:rStyle w:val="FootnoteAnchor"/>
          <w:rtl w:val="true"/>
        </w:rPr>
        <w:footnoteReference w:id="1078"/>
      </w:r>
      <w:r>
        <w:rPr>
          <w:rFonts w:ascii="IRNazanin" w:hAnsi="IRNazanin" w:eastAsia="IRNazanin"/>
          <w:color w:val="111111"/>
          <w:sz w:val="28"/>
          <w:sz w:val="28"/>
          <w:szCs w:val="28"/>
          <w:rtl w:val="true"/>
          <w:lang w:bidi="fa-IR"/>
        </w:rPr>
        <w:t xml:space="preserve">،و إمّا للاطلاع علی أنّ ذلک لشبهة حصلت لهم، کما ذکره العلاّمة فی النهایة </w:t>
      </w:r>
      <w:r>
        <w:rPr>
          <w:rStyle w:val="FootnoteAnchor"/>
          <w:rtl w:val="true"/>
        </w:rPr>
        <w:footnoteReference w:id="1079"/>
      </w:r>
      <w:r>
        <w:rPr>
          <w:rFonts w:ascii="IRNazanin" w:hAnsi="IRNazanin" w:eastAsia="IRNazanin"/>
          <w:color w:val="111111"/>
          <w:sz w:val="28"/>
          <w:sz w:val="28"/>
          <w:szCs w:val="28"/>
          <w:rtl w:val="true"/>
          <w:lang w:bidi="fa-IR"/>
        </w:rPr>
        <w:t>و یمکن أن یستفاد من العدّة أیضا،و إمّا لعدم اعتبار اتّفاق الکلّ فی الإجماع علی طریق المتأخّرین المبنیّ علی الحدس</w:t>
      </w:r>
      <w:r>
        <w:rPr>
          <w:rFonts w:eastAsia="IRNazanin" w:cs="IRNazanin"/>
          <w:color w:val="111111"/>
          <w:sz w:val="28"/>
          <w:szCs w:val="28"/>
          <w:rtl w:val="true"/>
          <w:lang w:bidi="fa-IR"/>
        </w:rPr>
        <w:t>.</w:t>
      </w:r>
    </w:p>
    <w:p>
      <w:pPr>
        <w:pStyle w:val="Heading6"/>
        <w:numPr>
          <w:ilvl w:val="5"/>
          <w:numId w:val="1"/>
        </w:numPr>
        <w:rPr/>
      </w:pPr>
      <w:bookmarkStart w:id="853" w:name="__RefHeading___Toc5447093_3224264995"/>
      <w:bookmarkStart w:id="854" w:name="_Toc328"/>
      <w:bookmarkEnd w:id="853"/>
      <w:r>
        <w:rPr>
          <w:rtl w:val="true"/>
        </w:rPr>
        <w:t>ب</w:t>
      </w:r>
      <w:r>
        <w:rPr>
          <w:rtl w:val="true"/>
        </w:rPr>
        <w:t>:</w:t>
      </w:r>
      <w:r>
        <w:rPr>
          <w:rtl w:val="true"/>
        </w:rPr>
        <w:t>تتبّع الإجماعات المنقولة علی الحجیة</w:t>
      </w:r>
      <w:bookmarkEnd w:id="854"/>
    </w:p>
    <w:p>
      <w:pPr>
        <w:pStyle w:val="BookText"/>
        <w:rPr/>
      </w:pP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حکی عن الشیخ قدّس سرّه فی العدّة فی هذا المقام،حیث قال</w:t>
      </w:r>
      <w:r>
        <w:rPr>
          <w:rFonts w:eastAsia="IRNazanin" w:cs="IRNazanin"/>
          <w:color w:val="111111"/>
          <w:sz w:val="28"/>
          <w:szCs w:val="28"/>
          <w:rtl w:val="true"/>
          <w:lang w:bidi="fa-IR"/>
        </w:rPr>
        <w:t xml:space="preserve">: </w:t>
      </w:r>
      <w:bookmarkStart w:id="855" w:name="pg12977_114353"/>
    </w:p>
    <w:p>
      <w:pPr>
        <w:pStyle w:val="BookText"/>
        <w:rPr/>
      </w:pPr>
      <w:bookmarkEnd w:id="855"/>
      <w:r>
        <w:rPr>
          <w:rFonts w:ascii="IRNazanin" w:hAnsi="IRNazanin" w:eastAsia="IRNazanin"/>
          <w:color w:val="111111"/>
          <w:sz w:val="28"/>
          <w:sz w:val="28"/>
          <w:szCs w:val="28"/>
          <w:rtl w:val="true"/>
          <w:lang w:bidi="fa-IR"/>
        </w:rPr>
        <w:t>و أمّا ما اخترته من المذهب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خبر الواحد إذا کان واردا من طریق أصحابنا القائلین بالإمامة و کان ذلک مرویّا عن النبیّ صلّی اللّه علیه و آله أو عن أحد الأئمّة علیهم السّلام و کان ممّن لا یطعن فی روایته و یکون سدیدا فی نقله و لم یکن هناک قرینة تدلّ علی صحّة ما تضمّنه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إذا کان هناک قرینة تدلّ علی صحّة ذلک کان الاعتبار بالقرینة،و کان ذلک موجبا للعلم کما تقدّمت القرائن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العمل به</w:t>
      </w:r>
      <w:r>
        <w:rPr>
          <w:rFonts w:eastAsia="IRNazanin" w:cs="IRNazanin"/>
          <w:color w:val="111111"/>
          <w:sz w:val="28"/>
          <w:szCs w:val="28"/>
          <w:rtl w:val="true"/>
          <w:lang w:bidi="fa-IR"/>
        </w:rPr>
        <w:t>.</w:t>
      </w:r>
    </w:p>
    <w:p>
      <w:pPr>
        <w:pStyle w:val="Heading6"/>
        <w:numPr>
          <w:ilvl w:val="5"/>
          <w:numId w:val="1"/>
        </w:numPr>
        <w:rPr/>
      </w:pPr>
      <w:bookmarkStart w:id="856" w:name="__RefHeading___Toc5447095_3224264995"/>
      <w:bookmarkStart w:id="857" w:name="_Toc329"/>
      <w:bookmarkEnd w:id="856"/>
      <w:r>
        <w:rPr>
          <w:rtl w:val="true"/>
        </w:rPr>
        <w:t>دعوی الشیخ الطوسی الإجماع علی حجیّة الخبر الواحد</w:t>
      </w:r>
      <w:bookmarkEnd w:id="857"/>
    </w:p>
    <w:p>
      <w:pPr>
        <w:pStyle w:val="BookText"/>
        <w:rPr/>
      </w:pPr>
      <w:r>
        <w:rPr>
          <w:rFonts w:ascii="IRNazanin" w:hAnsi="IRNazanin" w:eastAsia="IRNazanin"/>
          <w:color w:val="111111"/>
          <w:sz w:val="28"/>
          <w:sz w:val="28"/>
          <w:szCs w:val="28"/>
          <w:rtl w:val="true"/>
          <w:lang w:bidi="fa-IR"/>
        </w:rPr>
        <w:t>و الذی یدلّ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الفرقة المحقّة؛فإنّی وجدتها مجمعة علی العمل بهذه الأخبار التی رووها فی تصانیفهم و دوّنوها فی اصولهم، لا یتناکرون ذلک و لا یتدافعون،حتّی أنّ واحدا منهم إذا أفتی بشیء لا یعرفونه،سألوه من أین قلت هذا؟فإذا أحالهم علی کتاب معروف أو أصل مشهور و کان راویه ثقة لا ینکر حدیثه،سکتوا و سلّموا الأمر و قبلوا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عادتهم و سجیّتهم من عهد النبیّ صلّی اللّه علیه و آله و من بعده من الأئمّة صلوات اللّه علیهم إلی زمان جعفر بن محمّد علیه السّلام الذی انتشر عنه العلم و کثرت الروایة من جهته،فلو لا أنّ العمل بهذه الأخبار کان جائزا لما أجمعوا علی ذلک؛لأنّ إجماعهم فیه معصوم لا یجوز علیه الغلط و السهو</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یکشف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لمّا کان العمل بالقیاس محظورا عندهم فی الشریعة لم یعملوا به أصلا،و إذا شذّ منهم واحد و </w:t>
      </w:r>
      <w:r>
        <w:rPr>
          <w:rStyle w:val="FootnoteAnchor"/>
          <w:rtl w:val="true"/>
        </w:rPr>
        <w:footnoteReference w:id="1080"/>
      </w:r>
      <w:r>
        <w:rPr>
          <w:rFonts w:ascii="IRNazanin" w:hAnsi="IRNazanin" w:eastAsia="IRNazanin"/>
          <w:color w:val="111111"/>
          <w:sz w:val="28"/>
          <w:sz w:val="28"/>
          <w:szCs w:val="28"/>
          <w:rtl w:val="true"/>
          <w:lang w:bidi="fa-IR"/>
        </w:rPr>
        <w:t xml:space="preserve">عمل به فی بعض المسائل أو استعمله علی وجه المحاجّة لخصمه و إن لم یکن اعتقاده،ردّوا قوله و أنکروا علیه و تبرّءوا من قوله،حتّی أنّهم یترکون </w:t>
      </w:r>
    </w:p>
    <w:p>
      <w:pPr>
        <w:pStyle w:val="BookText"/>
        <w:rPr/>
      </w:pPr>
      <w:r>
        <w:rPr>
          <w:rFonts w:ascii="IRNazanin" w:hAnsi="IRNazanin" w:eastAsia="IRNazanin"/>
          <w:color w:val="111111"/>
          <w:sz w:val="28"/>
          <w:sz w:val="28"/>
          <w:szCs w:val="28"/>
          <w:rtl w:val="true"/>
          <w:lang w:bidi="fa-IR"/>
        </w:rPr>
        <w:t>تصانیف من وصفناه و روایاته لمّا کان عاملا بالقیاس،فلو کان العمل بالخبر الواحد جری بذلک المجری لوجب فیه أیضا مثل ذلک،و قد علمنا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تدّعون إجماع الفرقة المحقّة علی العمل بخبر الواحد،و المعلوم من حالها أنّها لا تری العمل بخبر الواحد،کما أنّ المعلوم أنّها لا تری العمل بالقیاس،فإن جاز ادّعاء أحدهما جاز ادّعاء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المعلوم من حالها الذی لا ینکر،أنّهم لا یرون العمل بخبر الواحد الذی یرویه مخالفوهم فی الاعتقاد و یختصّون بطریقه،و أمّا </w:t>
      </w:r>
      <w:r>
        <w:rPr>
          <w:rStyle w:val="FootnoteAnchor"/>
          <w:rtl w:val="true"/>
        </w:rPr>
        <w:footnoteReference w:id="1081"/>
      </w:r>
      <w:r>
        <w:rPr>
          <w:rFonts w:ascii="IRNazanin" w:hAnsi="IRNazanin" w:eastAsia="IRNazanin"/>
          <w:color w:val="111111"/>
          <w:sz w:val="28"/>
          <w:sz w:val="28"/>
          <w:szCs w:val="28"/>
          <w:rtl w:val="true"/>
          <w:lang w:bidi="fa-IR"/>
        </w:rPr>
        <w:t>ما کان رواته منهم و طریقه أصحابهم،فقد بیّنّا أنّ المعلوم خلاف ذلک، و بیّنّا الفرق بین ذلک و بین القیاس،و أنّه لو کان معلوما حظر العمل بخبر الواحد لجری مجری العلم بحظر القیاس،و قد علم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شیوخکم لا یزالون یناظرون خصومهم فی أنّ خبر الواحد لا یعمل به،و یدفعونهم عن صحّة ذلک،حتّی أنّ منهم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ذلک عقلا،و منهم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ذلک لأنّ السمع لم یرد به،و ما رأینا أحدا تکلّم فی جواز ذلک،و لا صنّف فیه کتابا، و لا أملی فیه مسألة،فکیف أنتم تدّعون خلاف ذلک؟</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أشرت إلیهم من المنکرین لأخبار الآحاد،إنّما تکلّموا من خالفهم فی الاعتقاد،و دفعوهم عن وجوب العمل بما یروونه من الأخبار المتضمّنة للأحکام التی یروون خلافها،و ذلک صحیح علی </w:t>
      </w:r>
    </w:p>
    <w:p>
      <w:pPr>
        <w:pStyle w:val="BookText"/>
        <w:rPr/>
      </w:pPr>
      <w:r>
        <w:rPr>
          <w:rFonts w:ascii="IRNazanin" w:hAnsi="IRNazanin" w:eastAsia="IRNazanin"/>
          <w:color w:val="111111"/>
          <w:sz w:val="28"/>
          <w:sz w:val="28"/>
          <w:szCs w:val="28"/>
          <w:rtl w:val="true"/>
          <w:lang w:bidi="fa-IR"/>
        </w:rPr>
        <w:t>ما قدّمناه،و لم نجدهم اختلفوا فی ما بینهم و أنکر بعضهم علی بعض العمل بما یروونه،إلاّ مسائل دلّ الدلیل الموجب للعلم علی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خالفوهم فیها أنکروا علیهم؛لمکان الأدلّة الموجبة للعلم و الأخبار المتواترة بخلافه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أنّ الذین اشیر إلیهم فی السؤال أقوالهم متمیّزة بین أقوال الطائفة المحقّة،و قد علمنا أنّهم لم یکونوا أئمّة معصومین،و کلّ قول قد علم قائله و عرف نسبه و تمیّز من أقاویل سائر الفرقة المحقّة،لم یعتدّ بذلک القول؛لأنّ قول الطائفة إنّما کان حجّة من حیث کان فیهم معصوم،فإذا کان القول من غیر معصوم علم أنّ قول المعصوم داخل فی باقی الأقوال،و وجب المصیر إلیه علی ما بیّنته فی الإجماع </w:t>
      </w:r>
      <w:r>
        <w:rPr>
          <w:rStyle w:val="FootnoteAnchor"/>
          <w:rtl w:val="true"/>
        </w:rPr>
        <w:footnoteReference w:id="1083"/>
      </w:r>
      <w:r>
        <w:rPr>
          <w:rFonts w:ascii="IRNazanin" w:hAnsi="IRNazanin" w:eastAsia="IRNazanin"/>
          <w:color w:val="111111"/>
          <w:sz w:val="28"/>
          <w:sz w:val="28"/>
          <w:szCs w:val="28"/>
          <w:rtl w:val="true"/>
          <w:lang w:bidi="fa-IR"/>
        </w:rPr>
        <w:t>،انتهی موضع الحاجة 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العقل إذا جوّز التعبّد بخبر الواحد، و الشرع ورد به،فما الذی یحملکم علی الفرق بین ما یرویه الطائفة المحقّة و بین ما یرویه أصحاب الحدیث من العامّة؟</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أجاب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خبر الواحد إذا کان دلیلا شرعیّا فینبغی أن یستعمل بحسب ما قرّرته الشریعة،و الشارع یری العمل بخبر طائفة خاصّة،فلیس لنا التعدّی إلی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العدالة شرط فی الخبر بلا خلاف،و من خالف الحقّ لم یثبت عدالته،بل ثبت فسقه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أورد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العمل بخبر الواحد یوجب کون الحقّ فی جهتین عند تعارض 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بالنقض بلزوم ذلک عند من منع العمل بخبر الواحد إذا کان هناک خبران </w:t>
      </w:r>
      <w:r>
        <w:rPr>
          <w:rStyle w:val="FootnoteAnchor"/>
          <w:rtl w:val="true"/>
        </w:rPr>
        <w:footnoteReference w:id="1084"/>
      </w:r>
      <w:r>
        <w:rPr>
          <w:rFonts w:ascii="IRNazanin" w:hAnsi="IRNazanin" w:eastAsia="IRNazanin"/>
          <w:color w:val="111111"/>
          <w:sz w:val="28"/>
          <w:sz w:val="28"/>
          <w:szCs w:val="28"/>
          <w:rtl w:val="true"/>
          <w:lang w:bidi="fa-IR"/>
        </w:rPr>
        <w:t>متعارضان؛فإنّه یقول مع عدم الترجیح بالتخییر،فإذا اختار کلا منهما إنسان لزم کون الحقّ فی جهتین،و أیّد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قد سئل الصادق علیه السّلام عن اختلاف أصحابه فی المواقیت و غیرها،فقال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خالفت بینهم</w:t>
      </w:r>
      <w:r>
        <w:rPr>
          <w:rFonts w:eastAsia="IRNazanin" w:cs="IRNazanin"/>
          <w:color w:val="111111"/>
          <w:sz w:val="28"/>
          <w:szCs w:val="28"/>
          <w:rtl w:val="true"/>
          <w:lang w:bidi="fa-IR"/>
        </w:rPr>
        <w:t xml:space="preserve">» </w:t>
      </w:r>
      <w:r>
        <w:rPr>
          <w:rStyle w:val="FootnoteAnchor"/>
          <w:rtl w:val="true"/>
        </w:rPr>
        <w:footnoteReference w:id="10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تعملون بهذه الأخبار،و نحن نعلم أنّ رواتها کما رووها رووا أیضا أخبار الجبر و التفویض و غیر ذلک من الغلوّ و التناسخ و غیر ذلک من المناکیر،فکیف یجوز الاعتماد علی ما یرویه أمثال هؤلاء؟</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کلّ الثقات نقل حدیث الجبر و التشبیه،و لو صحّ أنّه نقل لم یدلّ علی أنّه کان معتقدا لما تضمّنه الخبر؛و لا یمتنع أن یکون إنّما رواه لیعلم أنّه لم یشذّ عنه شیء من الروایات،لا لأنّه معتقد ذلک،و نحن لم نعتمد علی مجرّد نقلهم،بل اعتمدنا علی العمل الصادر من جهتهم و ارتفاع النزاع فیما بینهم،و أمّا مجرّد الروایة فلا حجّیّة </w:t>
      </w:r>
      <w:r>
        <w:rPr>
          <w:rStyle w:val="FootnoteAnchor"/>
          <w:rtl w:val="true"/>
        </w:rPr>
        <w:footnoteReference w:id="1086"/>
      </w:r>
      <w:r>
        <w:rPr>
          <w:rFonts w:ascii="IRNazanin" w:hAnsi="IRNazanin" w:eastAsia="IRNazanin"/>
          <w:color w:val="111111"/>
          <w:sz w:val="28"/>
          <w:sz w:val="28"/>
          <w:szCs w:val="28"/>
          <w:rtl w:val="true"/>
          <w:lang w:bidi="fa-IR"/>
        </w:rPr>
        <w:t>فیه علی حال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تعوّلون علی هذه الروایات،و أکثر رواتها المجبرة و المشبّهة و المقلّدة و الغلاة و الواقفیّة و الفطحیّة و غیر هؤلاء من فرق الشیعة المخالفة للاعتقاد الصحیح،و من شرط خبر الواحد أن یکون راویه عدلا عند من أوجب العمل به؟</w:t>
      </w:r>
    </w:p>
    <w:p>
      <w:pPr>
        <w:pStyle w:val="BookText"/>
        <w:rPr/>
      </w:pPr>
      <w:r>
        <w:rPr>
          <w:rFonts w:ascii="IRNazanin" w:hAnsi="IRNazanin" w:eastAsia="IRNazanin"/>
          <w:color w:val="111111"/>
          <w:sz w:val="28"/>
          <w:sz w:val="28"/>
          <w:szCs w:val="28"/>
          <w:rtl w:val="true"/>
          <w:lang w:bidi="fa-IR"/>
        </w:rPr>
        <w:t>و إن عوّلتم علی عملهم دون روایتهم فقد وجدناهم عملوا بما طریقه هؤلاء الذین ذکرناهم،و ذلک یدلّ علی جواز العمل بأخبار الکفّار و الفسّاق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لسنا نقول إنّ جمیع أخبار الآحاد یجوز العمل بها،بل لها شرائط نذکرها فیما بعد،و نشیر هاهنا إلی جملة من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یرویه العلماء المعتقدون للحقّ فلا طعن علی ذلک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یرویه قوم من المقلّدة،فالصحیح الذی أعتقده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المقلّد للحقّ و إن کان مخطئا فی الأصل،معفوّ عنه،و لا أحکم فیه بحکم الفسّاق،و لا یلزم علی هذا ترک ما نقلوه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من أشاروا إلیه </w:t>
      </w:r>
      <w:r>
        <w:rPr>
          <w:rStyle w:val="FootnoteAnchor"/>
          <w:rtl w:val="true"/>
        </w:rPr>
        <w:footnoteReference w:id="1087"/>
      </w:r>
      <w:r>
        <w:rPr>
          <w:rFonts w:ascii="IRNazanin" w:hAnsi="IRNazanin" w:eastAsia="IRNazanin"/>
          <w:color w:val="111111"/>
          <w:sz w:val="28"/>
          <w:sz w:val="28"/>
          <w:szCs w:val="28"/>
          <w:rtl w:val="true"/>
          <w:lang w:bidi="fa-IR"/>
        </w:rPr>
        <w:t>لا نسلّم أنهم کلّهم مقلّدة،بل لا یمتنع أن یکونوا عالمین بالدلیل علی سبیل الجملة،کما یقوله جماعة أهل العدل فی کثیر من أهل الأسواق و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من حیث یتعذّر علیهم إیراد الحجج ینبغی أن یکونوا غیر عالمین؛لأنّ إیراد الحجج و المناظرة صناعة لیس یقف حصول المعرفة علی حصولها،کما قلنا فی أصحاب الجملة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لأحد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هؤلاء لیسوا من أصحاب الجملة؛لأنّهم </w:t>
      </w:r>
    </w:p>
    <w:p>
      <w:pPr>
        <w:pStyle w:val="BookText"/>
        <w:rPr/>
      </w:pPr>
      <w:r>
        <w:rPr>
          <w:rFonts w:ascii="IRNazanin" w:hAnsi="IRNazanin" w:eastAsia="IRNazanin"/>
          <w:color w:val="111111"/>
          <w:sz w:val="28"/>
          <w:sz w:val="28"/>
          <w:szCs w:val="28"/>
          <w:rtl w:val="true"/>
          <w:lang w:bidi="fa-IR"/>
        </w:rPr>
        <w:t>إذا سألوا عن التوحید أو العدل أو صفات الأئمّة أو صحّة النبوّة قالوا روینا کذا،و یروون فی ذلک کلّه الأخبار،و لیس هذا طریقة أصحاب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أنّه لیس یمتنع أن یکون هؤلاء أصحاب الجملة و قد حصل لهم المعارف باللّه،غیر أنّهم لمّا تعذّر علیهم إیراد الحجج فی ذلک أحالوا علی ما کان سهلا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یلزمهم أن یعلموا أنّ ذلک لا یصحّ أن یکون دلیلا إلاّ بعد أن یتقدّم منهم المعرفة باللّه،و إنّما الواجب علیهم أن یکونوا عالمین، و هم عالمون علی الجملة کما قرّرنا،فما یتفرّع علیه من الخطأ لا یوجب التکفیر و لا التضلیل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الفرق الذین أشار إلیهم من الواقفیّة و الفطحیّة و غیر ذلک، فعن ذلک جوابان،ثمّ ذکر الجوابین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الوثاقة فی العمل بالخبر؛و لهذا قبل خبر </w:t>
      </w:r>
      <w:r>
        <w:rPr>
          <w:rStyle w:val="FootnoteAnchor"/>
          <w:rtl w:val="true"/>
        </w:rPr>
        <w:footnoteReference w:id="1088"/>
      </w:r>
      <w:r>
        <w:rPr>
          <w:rFonts w:ascii="IRNazanin" w:hAnsi="IRNazanin" w:eastAsia="IRNazanin"/>
          <w:color w:val="111111"/>
          <w:sz w:val="28"/>
          <w:sz w:val="28"/>
          <w:szCs w:val="28"/>
          <w:rtl w:val="true"/>
          <w:lang w:bidi="fa-IR"/>
        </w:rPr>
        <w:t>ابن بکیر و بنی فضّال و بنی سماعة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نعمل بروایاتهم إلاّ إذا انضمّ إلیها روایة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الجواب الأخیر ذکر فی روایة الغلاة و من هو متّهم فی نقله، و ذکر الجوابین أیضا فی روایات المجبّرة و المشبّهة،بعد منع کونهم مجبّرة و مشبّهة؛لأنّ روایتهم لأخبار الجبر و التشبیه لا تدلّ علی ذهابهم إلیه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أنکرتم أن یکون الذین أشرتم إلیهم لم یعملوا بهذه الأخبار لمجرّدها،بل إنّما عملوا بها لقرائن اقترنت بها دلّتهم علی صحّتها،و لأجلها عملوا بها،و لو تجرّدت لما عملوا بها،و إذا جاز ذلک لم یمکن </w:t>
      </w:r>
      <w:r>
        <w:rPr>
          <w:rStyle w:val="FootnoteAnchor"/>
          <w:rtl w:val="true"/>
        </w:rPr>
        <w:footnoteReference w:id="1089"/>
      </w:r>
      <w:r>
        <w:rPr>
          <w:rFonts w:ascii="IRNazanin" w:hAnsi="IRNazanin" w:eastAsia="IRNazanin"/>
          <w:color w:val="111111"/>
          <w:sz w:val="28"/>
          <w:sz w:val="28"/>
          <w:szCs w:val="28"/>
          <w:rtl w:val="true"/>
          <w:lang w:bidi="fa-IR"/>
        </w:rPr>
        <w:t>الاعتماد علی عملهم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القرائن التی تقترن بالخبر و تدلّ علی صحّته أشیاء مخصوصة نذکرها فیما بعد من الکتاب و السنّة و الإجماع و التواتر،و نحن نعلم أنّه لیس فی جمیع المسائل التی استعملوا فیها أخبار الآحاد ذلک؛ لأنّها اکثر من أن تحصی موجودة فی کتبهم و تصانیفهم و فتاواهم؛لأنّه لیس فی جمیعها یمکن الاستدلال بالقرآن؛لعدم ذکر ذلک فی صریحه و فحواه و دلیله 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بالسنّة </w:t>
      </w:r>
      <w:r>
        <w:rPr>
          <w:rStyle w:val="FootnoteAnchor"/>
          <w:rtl w:val="true"/>
        </w:rPr>
        <w:footnoteReference w:id="1090"/>
      </w:r>
      <w:r>
        <w:rPr>
          <w:rFonts w:ascii="IRNazanin" w:hAnsi="IRNazanin" w:eastAsia="IRNazanin"/>
          <w:color w:val="111111"/>
          <w:sz w:val="28"/>
          <w:sz w:val="28"/>
          <w:szCs w:val="28"/>
          <w:rtl w:val="true"/>
          <w:lang w:bidi="fa-IR"/>
        </w:rPr>
        <w:t>المتواترة؛لعدم ذکر ذلک فی أکثر الأحکام،بل وجودها فی مسائل معدودة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بإجماع </w:t>
      </w:r>
      <w:r>
        <w:rPr>
          <w:rStyle w:val="FootnoteAnchor"/>
          <w:rtl w:val="true"/>
        </w:rPr>
        <w:footnoteReference w:id="1091"/>
      </w:r>
      <w:r>
        <w:rPr>
          <w:rFonts w:ascii="IRNazanin" w:hAnsi="IRNazanin" w:eastAsia="IRNazanin"/>
          <w:color w:val="111111"/>
          <w:sz w:val="28"/>
          <w:sz w:val="28"/>
          <w:szCs w:val="28"/>
          <w:rtl w:val="true"/>
          <w:lang w:bidi="fa-IR"/>
        </w:rPr>
        <w:t>لوجود الاختلاف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دعوی القرائن فی جمیع ذلک دعوی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ادّعی القرائن فی جمیع ما ذکرنا کان السبر بیننا و بینه،بل کان معوّلا علی ما یعلم ضرورة خلافه،و مدافعا لما یعلم من نفسه ضدّه و نقیضه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قال عند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متی عدمت شیئا من القرائن حکمت بما کان یقتضیه العقل،یلزمه أن یترک أکثر الأخبار و أکثر الأحکام و لا یحکم فیها بشیء ورد الشرع به،و هذا حدّ یرغب أهل العلم عنه، </w:t>
      </w:r>
    </w:p>
    <w:p>
      <w:pPr>
        <w:pStyle w:val="BookText"/>
        <w:rPr/>
      </w:pPr>
      <w:r>
        <w:rPr>
          <w:rFonts w:ascii="IRNazanin" w:hAnsi="IRNazanin" w:eastAsia="IRNazanin"/>
          <w:color w:val="111111"/>
          <w:sz w:val="28"/>
          <w:sz w:val="28"/>
          <w:szCs w:val="28"/>
          <w:rtl w:val="true"/>
          <w:lang w:bidi="fa-IR"/>
        </w:rPr>
        <w:t>و من صار إلیه لا یحسن مکالمته؛لأنّه یکون معوّلا علی ما یعلم ضرورة من الشرع خلافه،انتهی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فی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جواز العمل بهذه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بأنّا وجدنا أصحابنا مختلفین فی المسائل الکثیرة فی جمیع أبواب الفقه، و کلّ منهم یستدلّ ببعض هذه الأخبار،و لم یعهد من أحد منهم تفسیق صاحبه و قطع المودّة عنه،فدلّ ذلک علی جوازه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الطائفة وضعت الکتب لتمییز الرجال الناقلین لهذه الأخبار و بیان أحوالهم من حیث العدالة و الفسق، و الموافقة فی المذهب و المخالفة،و بیان من یعتمد علی حدیثه و من لا یعتمد،و استثنوا الرجال من جملة ما رووه فی التصانیف،و هذه عادتهم من قدیم الوقت إلی حدیثه،فلو لا جواز العمل بروایة من سلم عن الطعن لم یکن فائدة لذلک کلّه </w:t>
      </w:r>
      <w:r>
        <w:rPr>
          <w:rStyle w:val="FootnoteAnchor"/>
          <w:rtl w:val="true"/>
        </w:rPr>
        <w:footnoteReference w:id="1092"/>
      </w:r>
      <w:r>
        <w:rPr>
          <w:rFonts w:ascii="IRNazanin" w:hAnsi="IRNazanin" w:eastAsia="IRNazanin"/>
          <w:color w:val="111111"/>
          <w:sz w:val="28"/>
          <w:sz w:val="28"/>
          <w:szCs w:val="28"/>
          <w:rtl w:val="true"/>
          <w:lang w:bidi="fa-IR"/>
        </w:rPr>
        <w:t>،انتهی المقصود من کلامه،زاد اللّه فی علوّ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أتی فی الاستدلال علی هذا المطلب بما لا مزید علیه،حتّی أنّه أشار فی جملة </w:t>
      </w:r>
      <w:r>
        <w:rPr>
          <w:rStyle w:val="FootnoteAnchor"/>
          <w:rtl w:val="true"/>
        </w:rPr>
        <w:footnoteReference w:id="1093"/>
      </w:r>
      <w:r>
        <w:rPr>
          <w:rFonts w:ascii="IRNazanin" w:hAnsi="IRNazanin" w:eastAsia="IRNazanin"/>
          <w:color w:val="111111"/>
          <w:sz w:val="28"/>
          <w:sz w:val="28"/>
          <w:szCs w:val="28"/>
          <w:rtl w:val="true"/>
          <w:lang w:bidi="fa-IR"/>
        </w:rPr>
        <w:t>کلامه إلی دلیل الانسداد،و أنّه لو اقتصر علی الأدلّة العلمیّة و عمل بأصل البراءة فی غیرها،لزم ما علم ضرورة من الشرع خلافه،فشکر اللّه سعیه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من العجب أن غیر واحد من المتأخّرین </w:t>
      </w:r>
      <w:r>
        <w:rPr>
          <w:rStyle w:val="FootnoteAnchor"/>
          <w:rtl w:val="true"/>
        </w:rPr>
        <w:footnoteReference w:id="1094"/>
      </w:r>
      <w:r>
        <w:rPr>
          <w:rFonts w:ascii="IRNazanin" w:hAnsi="IRNazanin" w:eastAsia="IRNazanin"/>
          <w:color w:val="111111"/>
          <w:sz w:val="28"/>
          <w:sz w:val="28"/>
          <w:szCs w:val="28"/>
          <w:rtl w:val="true"/>
          <w:lang w:bidi="fa-IR"/>
        </w:rPr>
        <w:t xml:space="preserve">تبعوا صاحب </w:t>
      </w:r>
    </w:p>
    <w:p>
      <w:pPr>
        <w:pStyle w:val="BookText"/>
        <w:rPr/>
      </w:pPr>
      <w:r>
        <w:rPr>
          <w:rFonts w:ascii="IRNazanin" w:hAnsi="IRNazanin" w:eastAsia="IRNazanin"/>
          <w:color w:val="111111"/>
          <w:sz w:val="28"/>
          <w:sz w:val="28"/>
          <w:szCs w:val="28"/>
          <w:rtl w:val="true"/>
          <w:lang w:bidi="fa-IR"/>
        </w:rPr>
        <w:t>المعالم فی دعوی عدم دلالة کلام الشیخ علی حجّیّة الأخبار المجرّدة عن القرینة،قال فی المعالم علی ما حکی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لم یتّضح من حال الشیخ و أمثاله مخالفتهم للسیّد قدّس سرّه؛إذ کانت أخبار الأصحاب یومئذ قریبة العهد بزمان لقاء المعصوم علیه السّلام و استفادة الأحکام منه </w:t>
      </w:r>
      <w:r>
        <w:rPr>
          <w:rStyle w:val="FootnoteAnchor"/>
          <w:rtl w:val="true"/>
        </w:rPr>
        <w:footnoteReference w:id="1095"/>
      </w:r>
      <w:r>
        <w:rPr>
          <w:rFonts w:ascii="IRNazanin" w:hAnsi="IRNazanin" w:eastAsia="IRNazanin"/>
          <w:color w:val="111111"/>
          <w:sz w:val="28"/>
          <w:sz w:val="28"/>
          <w:szCs w:val="28"/>
          <w:rtl w:val="true"/>
          <w:lang w:bidi="fa-IR"/>
        </w:rPr>
        <w:t>،و کانت القرائن المعاضدة لها متیسّرة کما أشار إلیه السیّد قدّس سرّه،و لم یعلم أنّهم اعتمدوا علی الخبر المجرّد لیظهر مخالفتهم لرأیه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تفطّن المحقّق من کلام الشیخ لما قلناه، حیث قال فی المعارج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شیخنا أبو جعفر قدّس سرّه إلی العمل بخبر الواحد العدل من رواة أصحابنا،لکن لفظه و إن کان مطلقا فعند التحقیق یتبیّن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یعمل بالخبر مطلقا،بل بهذه الأخبار التی رویت عن الأئمّة علیهم السّلام و دوّنها الأصحاب،لا أنّ کلّ خبر یرویه عدل إمامیّ یجب العمل به،هذا هو الذی تبیّن لی 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یدعی إجماع الأصحاب علی العمل بهذه الأخبار،حتّی لو رواها غیر الإمامیّ و کان الخبر سلیما عن المعارض و اشتهر نقله فی هذه الکتب الدائرة بین الأصحاب،عمل به </w:t>
      </w:r>
      <w:r>
        <w:rPr>
          <w:rStyle w:val="FootnoteAnchor"/>
          <w:rtl w:val="true"/>
        </w:rPr>
        <w:footnoteReference w:id="109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بعد نقل هذا عن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فهمه المحقّق من کلام الشیخ هو الذی ینبغی أن یعتمد علیه،لا ما نسبه العلاّمة إلیه </w:t>
      </w:r>
      <w:r>
        <w:rPr>
          <w:rStyle w:val="FootnoteAnchor"/>
          <w:rtl w:val="true"/>
        </w:rPr>
        <w:footnoteReference w:id="1097"/>
      </w:r>
      <w:r>
        <w:rPr>
          <w:rFonts w:ascii="IRNazanin" w:hAnsi="IRNazanin" w:eastAsia="IRNazanin"/>
          <w:color w:val="111111"/>
          <w:sz w:val="28"/>
          <w:sz w:val="28"/>
          <w:szCs w:val="28"/>
          <w:rtl w:val="true"/>
          <w:lang w:bidi="fa-IR"/>
        </w:rPr>
        <w:t>،انتهی کلام صاحب المعالم</w:t>
      </w:r>
      <w:r>
        <w:rPr>
          <w:rFonts w:eastAsia="IRNazanin" w:cs="IRNazanin"/>
          <w:color w:val="111111"/>
          <w:sz w:val="28"/>
          <w:szCs w:val="28"/>
          <w:rtl w:val="true"/>
          <w:lang w:bidi="fa-IR"/>
        </w:rPr>
        <w:t xml:space="preserve">. </w:t>
      </w:r>
      <w:bookmarkStart w:id="858" w:name="pg12977_114362"/>
    </w:p>
    <w:p>
      <w:pPr>
        <w:pStyle w:val="Heading6"/>
        <w:numPr>
          <w:ilvl w:val="5"/>
          <w:numId w:val="1"/>
        </w:numPr>
        <w:rPr/>
      </w:pPr>
      <w:bookmarkStart w:id="859" w:name="__RefHeading___Toc5447097_3224264995"/>
      <w:bookmarkStart w:id="860" w:name="_Toc330"/>
      <w:bookmarkEnd w:id="858"/>
      <w:bookmarkEnd w:id="859"/>
      <w:r>
        <w:rPr>
          <w:rtl w:val="true"/>
        </w:rPr>
        <w:t>المناقشة فیما ذکره صاحب المعالم</w:t>
      </w:r>
      <w:bookmarkEnd w:id="860"/>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ما ذکره فی وجه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تیسّر القرائن و عدم اعتمادهم علی الخبر المجرّد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صرّح الشیخ فی عبارته المتقدّمة </w:t>
      </w:r>
      <w:r>
        <w:rPr>
          <w:rStyle w:val="FootnoteAnchor"/>
          <w:rtl w:val="true"/>
        </w:rPr>
        <w:footnoteReference w:id="1098"/>
      </w:r>
      <w:r>
        <w:rPr>
          <w:rFonts w:ascii="IRNazanin" w:hAnsi="IRNazanin" w:eastAsia="IRNazanin"/>
          <w:color w:val="111111"/>
          <w:sz w:val="28"/>
          <w:sz w:val="28"/>
          <w:szCs w:val="28"/>
          <w:rtl w:val="true"/>
          <w:lang w:bidi="fa-IR"/>
        </w:rPr>
        <w:t>ببداهة بطلانه؛حیث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دعوی القرائن فی جمیع ذلک دعوی محالة، و أنّ المدّعی لها معوّل علی ما یعلم ضرورة خلافه و یعلم من نفسه ضدّه و نقیضه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قدّس سرّه لم یکن عنده کتاب العدّة</w:t>
      </w:r>
      <w:r>
        <w:rPr>
          <w:rFonts w:eastAsia="IRNazanin" w:cs="IRNazanin"/>
          <w:color w:val="111111"/>
          <w:sz w:val="28"/>
          <w:szCs w:val="28"/>
          <w:rtl w:val="true"/>
          <w:lang w:bidi="fa-IR"/>
        </w:rPr>
        <w:t>.</w:t>
      </w:r>
    </w:p>
    <w:p>
      <w:pPr>
        <w:pStyle w:val="Heading6"/>
        <w:numPr>
          <w:ilvl w:val="5"/>
          <w:numId w:val="1"/>
        </w:numPr>
        <w:rPr/>
      </w:pPr>
      <w:bookmarkStart w:id="861" w:name="__RefHeading___Toc5447099_3224264995"/>
      <w:bookmarkStart w:id="862" w:name="_Toc331"/>
      <w:bookmarkEnd w:id="861"/>
      <w:r>
        <w:rPr>
          <w:rtl w:val="true"/>
        </w:rPr>
        <w:t>کلام المحدث الاسترابادی فی موافقة الشیخ السید المرتضی</w:t>
      </w:r>
      <w:bookmarkEnd w:id="862"/>
    </w:p>
    <w:p>
      <w:pPr>
        <w:pStyle w:val="BookText"/>
        <w:rPr/>
      </w:pPr>
      <w:r>
        <w:rPr>
          <w:rFonts w:ascii="IRNazanin" w:hAnsi="IRNazanin" w:eastAsia="IRNazanin"/>
          <w:color w:val="111111"/>
          <w:sz w:val="28"/>
          <w:sz w:val="28"/>
          <w:szCs w:val="28"/>
          <w:rtl w:val="true"/>
          <w:lang w:bidi="fa-IR"/>
        </w:rPr>
        <w:t>و قال المحدّث الأسترابادی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محکیّ الفوائد المدنیّة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الشیخ قدّس سرّه لا یجیز العمل إلاّ بالخبر المقطوع بصدوره عنهم،و ذلک هو مراد المرتضی قدّس سرّه،فصارت المناقشة لفظیّة،لا کما توهّمه العلاّمة و من تبعه </w:t>
      </w:r>
      <w:r>
        <w:rPr>
          <w:rStyle w:val="FootnoteAnchor"/>
          <w:rtl w:val="true"/>
        </w:rPr>
        <w:footnoteReference w:id="1099"/>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بعض من تأخّر عنه من الأخباریّین </w:t>
      </w:r>
      <w:r>
        <w:rPr>
          <w:rStyle w:val="FootnoteAnchor"/>
          <w:rtl w:val="true"/>
        </w:rPr>
        <w:footnoteReference w:id="1100"/>
      </w:r>
      <w:r>
        <w:rPr>
          <w:rFonts w:ascii="IRNazanin" w:hAnsi="IRNazanin" w:eastAsia="IRNazanin"/>
          <w:color w:val="111111"/>
          <w:sz w:val="28"/>
          <w:sz w:val="28"/>
          <w:szCs w:val="28"/>
          <w:rtl w:val="true"/>
          <w:lang w:bidi="fa-IR"/>
        </w:rPr>
        <w:t>فی رسالته،بعد ما استحسن ما ذکره صاحب المعالم</w:t>
      </w:r>
      <w:r>
        <w:rPr>
          <w:rFonts w:eastAsia="IRNazanin" w:cs="IRNazanin"/>
          <w:color w:val="111111"/>
          <w:sz w:val="28"/>
          <w:szCs w:val="28"/>
          <w:rtl w:val="true"/>
          <w:lang w:bidi="fa-IR"/>
        </w:rPr>
        <w:t>:</w:t>
      </w:r>
    </w:p>
    <w:p>
      <w:pPr>
        <w:pStyle w:val="Heading6"/>
        <w:numPr>
          <w:ilvl w:val="5"/>
          <w:numId w:val="1"/>
        </w:numPr>
        <w:rPr/>
      </w:pPr>
      <w:bookmarkStart w:id="863" w:name="__RefHeading___Toc5447101_3224264995"/>
      <w:bookmarkStart w:id="864" w:name="_Toc332"/>
      <w:bookmarkEnd w:id="863"/>
      <w:r>
        <w:rPr>
          <w:rtl w:val="true"/>
        </w:rPr>
        <w:t>کلام الشیخ حسین الکرکی فی ذلک ایضا</w:t>
      </w:r>
      <w:bookmarkEnd w:id="864"/>
    </w:p>
    <w:p>
      <w:pPr>
        <w:pStyle w:val="BookText"/>
        <w:rPr/>
      </w:pPr>
      <w:r>
        <w:rPr>
          <w:rFonts w:ascii="IRNazanin" w:hAnsi="IRNazanin" w:eastAsia="IRNazanin"/>
          <w:color w:val="111111"/>
          <w:sz w:val="28"/>
          <w:sz w:val="28"/>
          <w:szCs w:val="28"/>
          <w:rtl w:val="true"/>
          <w:lang w:bidi="fa-IR"/>
        </w:rPr>
        <w:t>و لقد أحسن النظر و فهم طریقة الشیخ و السیّد قدّس سرّهما من کلام المحقّق قدّس سرّه کما هو حقّه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یظهر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یر عدّة الاصول للشیخ،و إنّما فهم ذلک ممّا نقله المحقّق قدّس سرّه،و لو رآها لصدع بالحقّ أکثر 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له من تحقیق أبان به من غفلات المتأخّرین،کوالده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فیما ذکره کفایة لمن طلب الحقّ و عرفه؛و قد تقدّم کلام الشیخ،و هو صریح فیما فهمه </w:t>
      </w:r>
      <w:bookmarkStart w:id="865" w:name="pg12977_114363"/>
    </w:p>
    <w:p>
      <w:pPr>
        <w:pStyle w:val="BookText"/>
        <w:rPr/>
      </w:pPr>
      <w:bookmarkEnd w:id="865"/>
      <w:r>
        <w:rPr>
          <w:rFonts w:ascii="Amiri" w:hAnsi="Amiri" w:eastAsia="Amiri" w:cs="Amiri"/>
          <w:color w:val="111111"/>
          <w:sz w:val="28"/>
          <w:sz w:val="28"/>
          <w:szCs w:val="28"/>
          <w:rtl w:val="true"/>
          <w:lang w:bidi="ar-SA"/>
        </w:rPr>
        <w:t>المحقّق قدّس سرّه،و موافق لما یقوله السیّد قدّس سرّه،فلیراجع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أوقع العلاّمة فی هذا الوهم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الشیخ فی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یجوز العمل بخبر العدل الإمامیّ،و لم یتأمّل بقیّة الکلام کما تأمّله المحقّق،لیعلم أنّه إنّما یجوّز العمل بهذه الأخبار التی دوّنها الأصحاب و اجتمعوا علی جواز العمل بها،و ذلک ممّا یوجب العلم بصحّتها،لا أنّ کلّ خبر یرویه عدل إمامیّ یجب العمل به؛و إلاّ فکیف یظنّ بأکابر الفرقة الناجیة و أصحاب الأئمّة 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قدرتهم علی أخذ اصول الدین و فروعه منهم علیهم السّلام بطریق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یعوّلوا فیها علی أخبار الآحاد المجرّدة،مع أنّ مذهب العلاّمة </w:t>
      </w:r>
      <w:r>
        <w:rPr>
          <w:rStyle w:val="FootnoteAnchor"/>
          <w:rtl w:val="true"/>
        </w:rPr>
        <w:footnoteReference w:id="1101"/>
      </w:r>
      <w:r>
        <w:rPr>
          <w:rFonts w:ascii="IRNazanin" w:hAnsi="IRNazanin" w:eastAsia="IRNazanin"/>
          <w:color w:val="111111"/>
          <w:sz w:val="28"/>
          <w:sz w:val="28"/>
          <w:szCs w:val="28"/>
          <w:rtl w:val="true"/>
          <w:lang w:bidi="fa-IR"/>
        </w:rPr>
        <w:t xml:space="preserve">و غیره </w:t>
      </w:r>
      <w:r>
        <w:rPr>
          <w:rStyle w:val="FootnoteAnchor"/>
          <w:rtl w:val="true"/>
        </w:rPr>
        <w:footnoteReference w:id="1102"/>
      </w:r>
      <w:r>
        <w:rPr>
          <w:rFonts w:ascii="IRNazanin" w:hAnsi="IRNazanin" w:eastAsia="IRNazanin"/>
          <w:color w:val="111111"/>
          <w:sz w:val="28"/>
          <w:sz w:val="28"/>
          <w:szCs w:val="28"/>
          <w:rtl w:val="true"/>
          <w:lang w:bidi="fa-IR"/>
        </w:rPr>
        <w:t>أنّه لا بدّ فی اصول الدین من الدلیل القطعیّ،و أنّ المقلّد فی ذلک خارج عن ربقة الإسلام؟و للعلاّمة و غیره کثیر من هذه الغفلات؛لالفة أذهانهم باصول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تتبّع کتب القدماء و عرف أحوالهم،قطع بأنّ الأخباریّین من أصحابنا لم یکونوا یعوّلون فی عقائدهم إلاّ علی الأخبار المتواترة أو الآحاد المحفوفة بالقرائن المفیدة للعلم،و أمّا خبر الواحد فیوجب عندهم الاحتیاط دون القضاء و الافتاء،و اللّه الهادی </w:t>
      </w:r>
      <w:r>
        <w:rPr>
          <w:rStyle w:val="FootnoteAnchor"/>
          <w:rtl w:val="true"/>
        </w:rPr>
        <w:footnoteReference w:id="1103"/>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Heading6"/>
        <w:numPr>
          <w:ilvl w:val="5"/>
          <w:numId w:val="1"/>
        </w:numPr>
        <w:rPr/>
      </w:pPr>
      <w:bookmarkStart w:id="866" w:name="__RefHeading___Toc5447103_3224264995"/>
      <w:bookmarkStart w:id="867" w:name="_Toc333"/>
      <w:bookmarkEnd w:id="866"/>
      <w:r>
        <w:rPr>
          <w:rtl w:val="true"/>
        </w:rPr>
        <w:t>المناقشة ما افاده المحدث الاستر ابادی و الشیخ الکرکی</w:t>
      </w:r>
      <w:bookmarkEnd w:id="867"/>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دعوی دلالة کلام الشیخ فی العدّة علی عمله بالأخبار </w:t>
      </w:r>
    </w:p>
    <w:p>
      <w:pPr>
        <w:pStyle w:val="BookText"/>
        <w:rPr/>
      </w:pPr>
      <w:r>
        <w:rPr>
          <w:rFonts w:ascii="IRNazanin" w:hAnsi="IRNazanin" w:eastAsia="IRNazanin"/>
          <w:color w:val="111111"/>
          <w:sz w:val="28"/>
          <w:sz w:val="28"/>
          <w:szCs w:val="28"/>
          <w:rtl w:val="true"/>
          <w:lang w:bidi="fa-IR"/>
        </w:rPr>
        <w:t xml:space="preserve">المحفوفة بالقرائن العلمیّة دون المجرّدة عنها و أنّه لیس مخالفا للسیّد قدّس سرّهما، فهو کمصادمة الضرورة؛فإنّ فی العبارة المتقدّمة من العدّة </w:t>
      </w:r>
      <w:r>
        <w:rPr>
          <w:rStyle w:val="FootnoteAnchor"/>
          <w:rtl w:val="true"/>
        </w:rPr>
        <w:footnoteReference w:id="1104"/>
      </w:r>
      <w:r>
        <w:rPr>
          <w:rFonts w:ascii="IRNazanin" w:hAnsi="IRNazanin" w:eastAsia="IRNazanin"/>
          <w:color w:val="111111"/>
          <w:sz w:val="28"/>
          <w:sz w:val="28"/>
          <w:szCs w:val="28"/>
          <w:rtl w:val="true"/>
          <w:lang w:bidi="fa-IR"/>
        </w:rPr>
        <w:t>و غیرها ممّا لم نذکرها مواضع تدلّ علی مخالفة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نعم،یوافقه فی العمل بهذه الأخبار المدوّنة،إلاّ أنّ السیّد یدّعی تواترها له أو احتفافها بالقرینة المفیدة للعلم؛کما صرّح به فی محکیّ کلامه فی جواب المسائل التبّانیّات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أکثر أخبارنا المرویّة فی کتبنا معلومة مقطوع علی صحّتها،إمّا بالتواتر أو بأمارة و علامة تدلّ علی صحّتها و صدق رواتها،فهی موجبة للعلم مفیدة للقطع و إن وجدناها فی الکتب مودعة بسند مخصوص من طریق الآحاد </w:t>
      </w:r>
      <w:r>
        <w:rPr>
          <w:rStyle w:val="FootnoteAnchor"/>
          <w:rtl w:val="true"/>
        </w:rPr>
        <w:footnoteReference w:id="110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الشیخ یأبی عن احتفافها بها </w:t>
      </w:r>
      <w:r>
        <w:rPr>
          <w:rStyle w:val="FootnoteAnchor"/>
          <w:rtl w:val="true"/>
        </w:rPr>
        <w:footnoteReference w:id="1106"/>
      </w:r>
      <w:r>
        <w:rPr>
          <w:rFonts w:ascii="IRNazanin" w:hAnsi="IRNazanin" w:eastAsia="IRNazanin"/>
          <w:color w:val="111111"/>
          <w:sz w:val="28"/>
          <w:sz w:val="28"/>
          <w:szCs w:val="28"/>
          <w:rtl w:val="true"/>
          <w:lang w:bidi="fa-IR"/>
        </w:rPr>
        <w:t xml:space="preserve">،کما عرفت </w:t>
      </w:r>
      <w:r>
        <w:rPr>
          <w:rStyle w:val="FootnoteAnchor"/>
          <w:rtl w:val="true"/>
        </w:rPr>
        <w:footnoteReference w:id="1107"/>
      </w:r>
      <w:r>
        <w:rPr>
          <w:rFonts w:ascii="IRNazanin" w:hAnsi="IRNazanin" w:eastAsia="IRNazanin"/>
          <w:color w:val="111111"/>
          <w:sz w:val="28"/>
          <w:sz w:val="28"/>
          <w:szCs w:val="28"/>
          <w:rtl w:val="true"/>
          <w:lang w:bidi="fa-IR"/>
        </w:rPr>
        <w:t>کلامه السابق فی جواب ما أورده علی نفسه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أنکرتم أن یکون الذین أشرتم إلیهم لم یعملوا بهذه الأخبار بمجرّدها،بل إنّما عملوا بها لقرائن اقترنت بها دلّتهم علی صحّتها،إلی آخر ما ذکره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مجرّد عمل السیّد و الشیخ بخبر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لدعوی الأوّل تواتره، و الثانی کون خبر الواحد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یلزم منه توافقهما فی مسألة خبر الواحد؛فإنّ الخلاف فیها یثمر فی خبر یدّعی السیّد تواتره و لا یراه </w:t>
      </w:r>
    </w:p>
    <w:p>
      <w:pPr>
        <w:pStyle w:val="BookText"/>
        <w:rPr/>
      </w:pPr>
      <w:r>
        <w:rPr>
          <w:rFonts w:ascii="IRNazanin" w:hAnsi="IRNazanin" w:eastAsia="IRNazanin"/>
          <w:color w:val="111111"/>
          <w:sz w:val="28"/>
          <w:sz w:val="28"/>
          <w:szCs w:val="28"/>
          <w:rtl w:val="true"/>
          <w:lang w:bidi="fa-IR"/>
        </w:rPr>
        <w:t>الشیخ جامعا لشرائط الخبر المعتبر،و فی خبر یراه الشیخ جامعا و لم یحصل تواتره للسیّد؛إذ لیس جمیع ما دوّن فی الکتب متواترا عند السیّد و لا جامعا لشرائط الحجّیّة عند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إجماع الأصحاب الذی ادّعاه الشیخ علی العمل بهذه الأخبار لا یصیر قرینة لصحّتها بحیث تفید العلم،حتّی یکون حصول الإجماع للشیخ قرینة عامّة لجمیع هذه الأخبار؛کیف و قد عرفت </w:t>
      </w:r>
      <w:r>
        <w:rPr>
          <w:rStyle w:val="FootnoteAnchor"/>
          <w:rtl w:val="true"/>
        </w:rPr>
        <w:footnoteReference w:id="1109"/>
      </w:r>
      <w:r>
        <w:rPr>
          <w:rFonts w:ascii="IRNazanin" w:hAnsi="IRNazanin" w:eastAsia="IRNazanin"/>
          <w:color w:val="111111"/>
          <w:sz w:val="28"/>
          <w:sz w:val="28"/>
          <w:szCs w:val="28"/>
          <w:rtl w:val="true"/>
          <w:lang w:bidi="fa-IR"/>
        </w:rPr>
        <w:t xml:space="preserve">إنکاره للقرائن حتّی لنفس المجمعین؟و لو فرض کون الإجماع علی العمل قرینة،لکنّه غیر حاصل فی کلّ خبر بحیث یعلم أو یظنّ أنّ هذا الخبر بالخصوص و کذا ذاک و ذاک،ممّا اجتمع </w:t>
      </w:r>
      <w:r>
        <w:rPr>
          <w:rStyle w:val="FootnoteAnchor"/>
          <w:rtl w:val="true"/>
        </w:rPr>
        <w:footnoteReference w:id="1110"/>
      </w:r>
      <w:r>
        <w:rPr>
          <w:rFonts w:ascii="IRNazanin" w:hAnsi="IRNazanin" w:eastAsia="IRNazanin"/>
          <w:color w:val="111111"/>
          <w:sz w:val="28"/>
          <w:sz w:val="28"/>
          <w:szCs w:val="28"/>
          <w:rtl w:val="true"/>
          <w:lang w:bidi="fa-IR"/>
        </w:rPr>
        <w:t>علی العمل به،کما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المراد الإجماع علی الرجوع إلیها و العمل بها بعد حصول الوثوق من الراوی أو من القرائن؛و لذا استثنی القمیّون کثیرا من رجال نوادر الحکمة </w:t>
      </w:r>
      <w:r>
        <w:rPr>
          <w:rStyle w:val="FootnoteAnchor"/>
          <w:rtl w:val="true"/>
        </w:rPr>
        <w:footnoteReference w:id="1111"/>
      </w:r>
      <w:r>
        <w:rPr>
          <w:rFonts w:ascii="IRNazanin" w:hAnsi="IRNazanin" w:eastAsia="IRNazanin"/>
          <w:color w:val="111111"/>
          <w:sz w:val="28"/>
          <w:sz w:val="28"/>
          <w:szCs w:val="28"/>
          <w:rtl w:val="true"/>
          <w:lang w:bidi="fa-IR"/>
        </w:rPr>
        <w:t xml:space="preserve">مع کونه من الکتب المشهورة المجمع علی الرجوع إلیها،و استثنی ابن الولید </w:t>
      </w:r>
      <w:r>
        <w:rPr>
          <w:rStyle w:val="FootnoteAnchor"/>
          <w:rtl w:val="true"/>
        </w:rPr>
        <w:footnoteReference w:id="1112"/>
      </w:r>
      <w:r>
        <w:rPr>
          <w:rFonts w:ascii="IRNazanin" w:hAnsi="IRNazanin" w:eastAsia="IRNazanin"/>
          <w:color w:val="111111"/>
          <w:sz w:val="28"/>
          <w:sz w:val="28"/>
          <w:szCs w:val="28"/>
          <w:rtl w:val="true"/>
          <w:lang w:bidi="fa-IR"/>
        </w:rPr>
        <w:t xml:space="preserve">من روایات العبیدیّ ما یرویها عن یونس مع کونها فی </w:t>
      </w:r>
      <w:r>
        <w:rPr>
          <w:rStyle w:val="FootnoteAnchor"/>
          <w:rtl w:val="true"/>
        </w:rPr>
        <w:footnoteReference w:id="1113"/>
      </w:r>
      <w:r>
        <w:rPr>
          <w:rFonts w:ascii="IRNazanin" w:hAnsi="IRNazanin" w:eastAsia="IRNazanin"/>
          <w:color w:val="111111"/>
          <w:sz w:val="28"/>
          <w:sz w:val="28"/>
          <w:szCs w:val="28"/>
          <w:rtl w:val="true"/>
          <w:lang w:bidi="fa-IR"/>
        </w:rPr>
        <w:t>الکتب المشهورة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 الإجماع علی العمل بها عدم ردّها من جهة کونها أخبار آحاد،لا الإجماع علی العمل بکلّ خبر خبر منها</w:t>
      </w:r>
      <w:r>
        <w:rPr>
          <w:rFonts w:eastAsia="IRNazanin" w:cs="IRNazanin"/>
          <w:color w:val="111111"/>
          <w:sz w:val="28"/>
          <w:szCs w:val="28"/>
          <w:rtl w:val="true"/>
          <w:lang w:bidi="fa-IR"/>
        </w:rPr>
        <w:t xml:space="preserve">. </w:t>
      </w:r>
      <w:bookmarkStart w:id="868" w:name="pg12977_114366"/>
    </w:p>
    <w:p>
      <w:pPr>
        <w:pStyle w:val="Heading6"/>
        <w:numPr>
          <w:ilvl w:val="5"/>
          <w:numId w:val="1"/>
        </w:numPr>
        <w:rPr/>
      </w:pPr>
      <w:bookmarkStart w:id="869" w:name="__RefHeading___Toc5447105_3224264995"/>
      <w:bookmarkStart w:id="870" w:name="_Toc334"/>
      <w:bookmarkEnd w:id="868"/>
      <w:bookmarkEnd w:id="869"/>
      <w:r>
        <w:rPr>
          <w:rtl w:val="true"/>
        </w:rPr>
        <w:t>رجوع الی المناقشه فی کلام الشیخ الکرکی</w:t>
      </w:r>
      <w:bookmarkEnd w:id="870"/>
    </w:p>
    <w:p>
      <w:pPr>
        <w:pStyle w:val="BookText"/>
        <w:rPr/>
      </w:pPr>
      <w:r>
        <w:rPr>
          <w:rFonts w:ascii="Amiri" w:hAnsi="Amiri" w:eastAsia="Amiri" w:cs="Amiri"/>
          <w:color w:val="111111"/>
          <w:sz w:val="28"/>
          <w:sz w:val="28"/>
          <w:szCs w:val="28"/>
          <w:rtl w:val="true"/>
          <w:lang w:bidi="ar-SA"/>
        </w:rPr>
        <w:t xml:space="preserve">ثمّ إنّ ما ذکره </w:t>
      </w:r>
      <w:r>
        <w:rPr>
          <w:rStyle w:val="FootnoteAnchor"/>
          <w:rtl w:val="true"/>
        </w:rPr>
        <w:footnoteReference w:id="1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تمکّن أصحاب الأئمّة علیهم السّلام من أخذ الاصول و الفروع بطریق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ممنوعة واضحة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أقلّ ما یشهد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علم بالعین </w:t>
      </w:r>
      <w:r>
        <w:rPr>
          <w:rStyle w:val="FootnoteAnchor"/>
          <w:rtl w:val="true"/>
        </w:rPr>
        <w:footnoteReference w:id="1115"/>
      </w:r>
      <w:r>
        <w:rPr>
          <w:rFonts w:ascii="IRNazanin" w:hAnsi="IRNazanin" w:eastAsia="IRNazanin"/>
          <w:color w:val="111111"/>
          <w:sz w:val="28"/>
          <w:sz w:val="28"/>
          <w:szCs w:val="28"/>
          <w:rtl w:val="true"/>
          <w:lang w:bidi="fa-IR"/>
        </w:rPr>
        <w:t>و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اختلاف أصحابهم صلوات اللّه علیهم فی الاصول و الفروع؛و لذا شکا غیر واحد من أصحاب الأئمّة علیهم السّلام إلیهم اختلاف أصحابهم </w:t>
      </w:r>
      <w:r>
        <w:rPr>
          <w:rStyle w:val="FootnoteAnchor"/>
          <w:rtl w:val="true"/>
        </w:rPr>
        <w:footnoteReference w:id="1116"/>
      </w:r>
      <w:r>
        <w:rPr>
          <w:rFonts w:ascii="IRNazanin" w:hAnsi="IRNazanin" w:eastAsia="IRNazanin"/>
          <w:color w:val="111111"/>
          <w:sz w:val="28"/>
          <w:sz w:val="28"/>
          <w:szCs w:val="28"/>
          <w:rtl w:val="true"/>
          <w:lang w:bidi="fa-IR"/>
        </w:rPr>
        <w:t>،فأجابوهم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بأنّهم علیهم السّلام قد ألقوا الاختلاف بینهم حقنا لدمائهم،کما فی روایة حریز </w:t>
      </w:r>
      <w:r>
        <w:rPr>
          <w:rStyle w:val="FootnoteAnchor"/>
          <w:rtl w:val="true"/>
        </w:rPr>
        <w:footnoteReference w:id="1117"/>
      </w:r>
      <w:r>
        <w:rPr>
          <w:rFonts w:ascii="Amiri" w:hAnsi="Amiri" w:eastAsia="Amiri" w:cs="Amiri"/>
          <w:color w:val="111111"/>
          <w:sz w:val="28"/>
          <w:sz w:val="28"/>
          <w:szCs w:val="28"/>
          <w:rtl w:val="true"/>
          <w:lang w:bidi="ar-SA"/>
        </w:rPr>
        <w:t xml:space="preserve">و زرارة </w:t>
      </w:r>
      <w:r>
        <w:rPr>
          <w:rStyle w:val="FootnoteAnchor"/>
          <w:rtl w:val="true"/>
        </w:rPr>
        <w:footnoteReference w:id="1118"/>
      </w:r>
      <w:r>
        <w:rPr>
          <w:rFonts w:ascii="Amiri" w:hAnsi="Amiri" w:eastAsia="Amiri" w:cs="Amiri"/>
          <w:color w:val="111111"/>
          <w:sz w:val="28"/>
          <w:sz w:val="28"/>
          <w:szCs w:val="28"/>
          <w:rtl w:val="true"/>
          <w:lang w:bidi="ar-SA"/>
        </w:rPr>
        <w:t xml:space="preserve">و أبی أیّوب الخزّاز </w:t>
      </w:r>
      <w:r>
        <w:rPr>
          <w:rStyle w:val="FootnoteAnchor"/>
          <w:rtl w:val="true"/>
        </w:rPr>
        <w:footnoteReference w:id="1119"/>
      </w:r>
      <w:r>
        <w:rPr>
          <w:rFonts w:ascii="IRNazanin" w:hAnsi="IRNazanin" w:eastAsia="IRNazanin"/>
          <w:color w:val="111111"/>
          <w:sz w:val="28"/>
          <w:sz w:val="28"/>
          <w:szCs w:val="28"/>
          <w:rtl w:val="true"/>
          <w:lang w:bidi="fa-IR"/>
        </w:rPr>
        <w:t>،و اخری أجابوهم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ذلک من جهة الکذّابین، کما فی روایة الفیض بن المختار،قال</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جعلنی اللّه فداک،ما هذا الاختلاف الذی بین شیعتکم؟قال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الاختلاف یا فیض؟فقلت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أجلس فی حلقهم بالکوفة و أکاد أشکّ فی اختلافهم فی حدیثهم،حتّی أرجع إلی المفضّل بن عمر،فیوقفنی من ذلک علی ما تستریح به نفسی،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أجل </w:t>
      </w:r>
      <w:r>
        <w:rPr>
          <w:rStyle w:val="FootnoteAnchor"/>
          <w:rtl w:val="true"/>
        </w:rPr>
        <w:footnoteReference w:id="1120"/>
      </w:r>
      <w:r>
        <w:rPr>
          <w:rFonts w:ascii="IRNazanin" w:hAnsi="IRNazanin" w:eastAsia="IRNazanin"/>
          <w:color w:val="111111"/>
          <w:sz w:val="28"/>
          <w:sz w:val="28"/>
          <w:szCs w:val="28"/>
          <w:rtl w:val="true"/>
          <w:lang w:bidi="fa-IR"/>
        </w:rPr>
        <w:t xml:space="preserve">،کما ذکرت یا فیض،إنّ الناس قد اولعوا بالکذب علینا،کأنّ اللّه افترض علیهم و لا یرید منهم غیره،إنّی احدّث أحدهم </w:t>
      </w:r>
    </w:p>
    <w:p>
      <w:pPr>
        <w:pStyle w:val="BookText"/>
        <w:rPr/>
      </w:pPr>
      <w:r>
        <w:rPr>
          <w:rFonts w:ascii="IRNazanin" w:hAnsi="IRNazanin" w:eastAsia="IRNazanin"/>
          <w:color w:val="111111"/>
          <w:sz w:val="28"/>
          <w:sz w:val="28"/>
          <w:szCs w:val="28"/>
          <w:rtl w:val="true"/>
          <w:lang w:bidi="fa-IR"/>
        </w:rPr>
        <w:t xml:space="preserve">بحدیث،فلا یخرج من عندی حتّی یتأوّله </w:t>
      </w:r>
      <w:r>
        <w:rPr>
          <w:rStyle w:val="FootnoteAnchor"/>
          <w:rtl w:val="true"/>
        </w:rPr>
        <w:footnoteReference w:id="1121"/>
      </w:r>
      <w:r>
        <w:rPr>
          <w:rFonts w:ascii="IRNazanin" w:hAnsi="IRNazanin" w:eastAsia="IRNazanin"/>
          <w:color w:val="111111"/>
          <w:sz w:val="28"/>
          <w:sz w:val="28"/>
          <w:szCs w:val="28"/>
          <w:rtl w:val="true"/>
          <w:lang w:bidi="fa-IR"/>
        </w:rPr>
        <w:t>علی غیر تأویله؛و ذلک لأنّهم لا یطلبون بحدیثنا و بحبّنا ما عند اللّه تعالی،و کلّ یحبّ أن یدعی رأسا</w:t>
      </w:r>
      <w:r>
        <w:rPr>
          <w:rFonts w:eastAsia="IRNazanin" w:cs="IRNazanin"/>
          <w:color w:val="111111"/>
          <w:sz w:val="28"/>
          <w:szCs w:val="28"/>
          <w:rtl w:val="true"/>
          <w:lang w:bidi="fa-IR"/>
        </w:rPr>
        <w:t xml:space="preserve">» </w:t>
      </w:r>
      <w:r>
        <w:rPr>
          <w:rStyle w:val="FootnoteAnchor"/>
          <w:rtl w:val="true"/>
        </w:rPr>
        <w:footnoteReference w:id="1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داود بن سرحان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استثناء القمیّین کثیرا من رجال نوادر الحکمة معروف </w:t>
      </w:r>
      <w:r>
        <w:rPr>
          <w:rStyle w:val="FootnoteAnchor"/>
          <w:rtl w:val="true"/>
        </w:rPr>
        <w:footnoteReference w:id="1124"/>
      </w:r>
      <w:r>
        <w:rPr>
          <w:rFonts w:ascii="IRNazanin" w:hAnsi="IRNazanin" w:eastAsia="IRNazanin"/>
          <w:color w:val="111111"/>
          <w:sz w:val="28"/>
          <w:sz w:val="28"/>
          <w:szCs w:val="28"/>
          <w:rtl w:val="true"/>
          <w:lang w:bidi="fa-IR"/>
        </w:rPr>
        <w:t>،و قصّة ابن أبی العوجاء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عند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دسست فی کتبکم أربعة آلاف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مذکورة فی الرجال </w:t>
      </w:r>
      <w:r>
        <w:rPr>
          <w:rStyle w:val="FootnoteAnchor"/>
          <w:rtl w:val="true"/>
        </w:rPr>
        <w:footnoteReference w:id="1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ما ذکره یونس بن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أنّه أخذ أحادیث کثیرة من أصحاب الصادقین علیهما السّلام،ثمّ عرضها علی أبی الحسن الرضا علیه السّلام،فأنکر منها أحادیث کثیرة </w:t>
      </w:r>
      <w:r>
        <w:rPr>
          <w:rStyle w:val="FootnoteAnchor"/>
          <w:rtl w:val="true"/>
        </w:rPr>
        <w:footnoteReference w:id="1126"/>
      </w:r>
      <w:r>
        <w:rPr>
          <w:rFonts w:ascii="IRNazanin" w:hAnsi="IRNazanin" w:eastAsia="IRNazanin"/>
          <w:color w:val="111111"/>
          <w:sz w:val="28"/>
          <w:sz w:val="28"/>
          <w:szCs w:val="28"/>
          <w:rtl w:val="true"/>
          <w:lang w:bidi="fa-IR"/>
        </w:rPr>
        <w:t>،إلی غیر ذلک ممّا یشهد بخلاف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w:t>
      </w:r>
      <w:r>
        <w:rPr>
          <w:rStyle w:val="FootnoteAnchor"/>
          <w:rtl w:val="true"/>
        </w:rPr>
        <w:footnoteReference w:id="1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عمل الأخباریّین فی عقائدهم إلاّ علی الأخبار المتواترة و الآحاد العلمیّة،ففیه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الأظهر فی مذهب الأخباریّین ما ذکره العلاّمة </w:t>
      </w:r>
      <w:r>
        <w:rPr>
          <w:rStyle w:val="FootnoteAnchor"/>
          <w:rtl w:val="true"/>
        </w:rPr>
        <w:footnoteReference w:id="1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الأخباریّین لم یعوّلوا فی اصول الدین و فروعه إلاّ علی أخبار الآحاد</w:t>
      </w:r>
      <w:r>
        <w:rPr>
          <w:rFonts w:eastAsia="IRNazanin" w:cs="IRNazanin"/>
          <w:color w:val="111111"/>
          <w:sz w:val="28"/>
          <w:szCs w:val="28"/>
          <w:rtl w:val="true"/>
          <w:lang w:bidi="fa-IR"/>
        </w:rPr>
        <w:t xml:space="preserve">. </w:t>
      </w:r>
      <w:bookmarkStart w:id="871" w:name="pg12977_114368"/>
    </w:p>
    <w:p>
      <w:pPr>
        <w:pStyle w:val="BookText"/>
        <w:rPr/>
      </w:pPr>
      <w:bookmarkEnd w:id="871"/>
      <w:r>
        <w:rPr>
          <w:rFonts w:ascii="IRNazanin" w:hAnsi="IRNazanin" w:eastAsia="IRNazanin"/>
          <w:color w:val="111111"/>
          <w:sz w:val="28"/>
          <w:sz w:val="28"/>
          <w:szCs w:val="28"/>
          <w:rtl w:val="true"/>
          <w:lang w:bidi="fa-IR"/>
        </w:rPr>
        <w:t xml:space="preserve">و لعلّهم المعنیّون ممّا ذکره الشیخ فی کلامه السابق </w:t>
      </w:r>
      <w:r>
        <w:rPr>
          <w:rStyle w:val="FootnoteAnchor"/>
          <w:rtl w:val="true"/>
        </w:rPr>
        <w:footnoteReference w:id="1129"/>
      </w:r>
      <w:r>
        <w:rPr>
          <w:rFonts w:ascii="Amiri" w:hAnsi="Amiri" w:eastAsia="Amiri" w:cs="Amiri"/>
          <w:color w:val="111111"/>
          <w:sz w:val="28"/>
          <w:sz w:val="28"/>
          <w:szCs w:val="28"/>
          <w:rtl w:val="true"/>
          <w:lang w:bidi="ar-SA"/>
        </w:rPr>
        <w:t xml:space="preserve">فی المقلّدة </w:t>
      </w:r>
      <w:r>
        <w:rPr>
          <w:rStyle w:val="FootnoteAnchor"/>
          <w:rtl w:val="true"/>
        </w:rPr>
        <w:footnoteReference w:id="1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إذا سألوا عن التوحید و صفات الأئمّة و </w:t>
      </w:r>
      <w:r>
        <w:rPr>
          <w:rStyle w:val="FootnoteAnchor"/>
          <w:rtl w:val="true"/>
        </w:rPr>
        <w:footnoteReference w:id="1131"/>
      </w:r>
      <w:r>
        <w:rPr>
          <w:rFonts w:ascii="IRNazanin" w:hAnsi="IRNazanin" w:eastAsia="IRNazanin"/>
          <w:color w:val="111111"/>
          <w:sz w:val="28"/>
          <w:sz w:val="28"/>
          <w:szCs w:val="28"/>
          <w:rtl w:val="true"/>
          <w:lang w:bidi="fa-IR"/>
        </w:rPr>
        <w:t>النبوّة،قالوا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روینا کذا، و أنّهم یروون فی ذلک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فدعوی دلالة کلام الشیخ فی العدّة علی موافقة السیّد فی غایة الفساد،لکنّها غیر بعیدة ممّن یدّعی قطعیّة صدور أخبار الکتب الأربعة؛لأنّه إذا ادّعی القطع لنفسه بصدور الأخبار التی أودعها الشیخ فی کتابیه،فکیف یرضی للشیخ و من تقدّم علیه من المحدّثین أن یعملوا بالأخبار المجرّدة عن القرینة؟</w:t>
      </w:r>
    </w:p>
    <w:p>
      <w:pPr>
        <w:pStyle w:val="Heading6"/>
        <w:numPr>
          <w:ilvl w:val="5"/>
          <w:numId w:val="1"/>
        </w:numPr>
        <w:rPr/>
      </w:pPr>
      <w:bookmarkStart w:id="872" w:name="__RefHeading___Toc5447107_3224264995"/>
      <w:bookmarkStart w:id="873" w:name="_Toc335"/>
      <w:bookmarkEnd w:id="872"/>
      <w:r>
        <w:rPr>
          <w:rtl w:val="true"/>
        </w:rPr>
        <w:t>عذر صاحب المعالم</w:t>
      </w:r>
      <w:bookmarkEnd w:id="873"/>
    </w:p>
    <w:p>
      <w:pPr>
        <w:pStyle w:val="BookText"/>
        <w:rPr/>
      </w:pPr>
      <w:r>
        <w:rPr>
          <w:rFonts w:ascii="IRNazanin" w:hAnsi="IRNazanin" w:eastAsia="IRNazanin"/>
          <w:color w:val="111111"/>
          <w:sz w:val="28"/>
          <w:sz w:val="28"/>
          <w:szCs w:val="28"/>
          <w:rtl w:val="true"/>
          <w:lang w:bidi="fa-IR"/>
        </w:rPr>
        <w:t xml:space="preserve">و أمّا صاحب المعالم قدّس سرّه،فعذره أنّه لم یحضره عدّة الشیخ حین کتابة هذا الموضع،کما حکی عن بعض حواشیه </w:t>
      </w:r>
      <w:r>
        <w:rPr>
          <w:rStyle w:val="FootnoteAnchor"/>
          <w:rtl w:val="true"/>
        </w:rPr>
        <w:footnoteReference w:id="1132"/>
      </w:r>
      <w:r>
        <w:rPr>
          <w:rFonts w:ascii="IRNazanin" w:hAnsi="IRNazanin" w:eastAsia="IRNazanin"/>
          <w:color w:val="111111"/>
          <w:sz w:val="28"/>
          <w:sz w:val="28"/>
          <w:szCs w:val="28"/>
          <w:rtl w:val="true"/>
          <w:lang w:bidi="fa-IR"/>
        </w:rPr>
        <w:t xml:space="preserve">و اعترف به هذا الرجل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المحقّق قدّس سرّه،فلیس فی کلامه المتقدّم </w:t>
      </w:r>
      <w:r>
        <w:rPr>
          <w:rStyle w:val="FootnoteAnchor"/>
          <w:rtl w:val="true"/>
        </w:rPr>
        <w:footnoteReference w:id="1134"/>
      </w:r>
      <w:r>
        <w:rPr>
          <w:rFonts w:ascii="IRNazanin" w:hAnsi="IRNazanin" w:eastAsia="IRNazanin"/>
          <w:color w:val="111111"/>
          <w:sz w:val="28"/>
          <w:sz w:val="28"/>
          <w:szCs w:val="28"/>
          <w:rtl w:val="true"/>
          <w:lang w:bidi="fa-IR"/>
        </w:rPr>
        <w:t>منع دلالة کلام الشیخ علی حجّیّة خبر الواحد المجرّد مطلقا،و إنّما منع من دلالته علی الإیجاب الکلّیّ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کلّ خبر یرویه عدل إمامیّ یعمل به،و خصّ مدلوله </w:t>
      </w:r>
      <w:bookmarkStart w:id="874" w:name="pg12977_114369"/>
    </w:p>
    <w:p>
      <w:pPr>
        <w:pStyle w:val="BookText"/>
        <w:rPr/>
      </w:pPr>
      <w:bookmarkEnd w:id="874"/>
      <w:r>
        <w:rPr>
          <w:rFonts w:ascii="IRNazanin" w:hAnsi="IRNazanin" w:eastAsia="IRNazanin"/>
          <w:color w:val="111111"/>
          <w:sz w:val="28"/>
          <w:sz w:val="28"/>
          <w:szCs w:val="28"/>
          <w:rtl w:val="true"/>
          <w:lang w:bidi="fa-IR"/>
        </w:rPr>
        <w:t>بهذه الأخبار التی دوّنها الأصحاب،و جعله موافقا لما اختاره فی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التفصیل فی أخبار الآحاد المجرّدة بعد ذکر الأقوال فیها،و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 قبله الأصحاب أو دلّت القرائن علی صحّته عمل به،و ما أعرض الأصحاب عنه أو شذّ یجب اطّراحه </w:t>
      </w:r>
      <w:r>
        <w:rPr>
          <w:rStyle w:val="FootnoteAnchor"/>
          <w:rtl w:val="true"/>
        </w:rPr>
        <w:footnoteReference w:id="113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فهمه العلاّمة من إطلاق قول الشیخ بحجّیة خبر العدل الإمامیّ أظهر ممّا فهمه المحقّق من التقیید؛لأنّ الظاهر أنّ الشیخ إنّما یتمسّک بالإجماع علی العمل بالروایات المدونة فی کتب الأصحاب علی حجّیة مطلق خبر العدل الإمامیّ،بناء منه علی أنّ الوجه فی عملهم بها کونها أخبار عدول،و کذا ما ادّعاه من الإجماع علی العمل بروایات الطوائف الخاصّة من غیر الإمامیّة؛و إلاّ فلم یأخذه فی عنوان مختاره،و لم یشترط کون الخبر ممّا رواه الأصحاب و عملوا به،فراجع کلام الشیخ و تأمّله،و اللّه العالم و هو الهادی إلی الصواب</w:t>
      </w:r>
      <w:r>
        <w:rPr>
          <w:rFonts w:eastAsia="IRNazanin" w:cs="IRNazanin"/>
          <w:color w:val="111111"/>
          <w:sz w:val="28"/>
          <w:szCs w:val="28"/>
          <w:rtl w:val="true"/>
          <w:lang w:bidi="fa-IR"/>
        </w:rPr>
        <w:t>.</w:t>
      </w:r>
    </w:p>
    <w:p>
      <w:pPr>
        <w:pStyle w:val="Heading6"/>
        <w:numPr>
          <w:ilvl w:val="5"/>
          <w:numId w:val="1"/>
        </w:numPr>
        <w:rPr/>
      </w:pPr>
      <w:bookmarkStart w:id="875" w:name="__RefHeading___Toc5447109_3224264995"/>
      <w:bookmarkStart w:id="876" w:name="_Toc336"/>
      <w:bookmarkEnd w:id="875"/>
      <w:r>
        <w:rPr>
          <w:rtl w:val="true"/>
        </w:rPr>
        <w:t>التدافع بین دعوی السیّد و دعوی الشیخ</w:t>
      </w:r>
      <w:bookmarkEnd w:id="876"/>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یبعد وقوع مثل هذا التدافع بین دعوی السیّد و دعوی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کونهما معاصرین خبیرین بمذهب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العمل بخبر الواحد؛فکم من مسألة فرعیّة وقع الاختلاف بینهما فی دعوی الإجماع فیها،مع أنّ المسألة الفرعیّة أولی بعدم خفاء مذهب الأصحاب فیها علیهما؛لأنّ المسائل الفرعیّة معنونة فی الکتب مفتی بها غالبا بالخصوص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یتّفق دعوی الإجماع بملاحظة قواعد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المسائل الاصولیّة لم تکن معنونة فی کتبهم،إنّما المعلوم من حالهم أنّهم عملوا بأخبار و طرحوا أخبارا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فلعلّ وجه عملهم بما عملوا کونه متواترا أو محفوفا عندهم، بخلاف ما طرحوا،علی ما یدّعیه السیّد قدّس سرّه علی ما صرّح به فی کلامه المتقدّم </w:t>
      </w:r>
      <w:r>
        <w:rPr>
          <w:rStyle w:val="FootnoteAnchor"/>
          <w:rtl w:val="true"/>
        </w:rPr>
        <w:footnoteReference w:id="1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الأخبار المودعة فی الکتب بطریق الآحاد متواترة أو محفوفة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نصّ فی مقام آخر </w:t>
      </w:r>
      <w:r>
        <w:rPr>
          <w:rStyle w:val="FootnoteAnchor"/>
          <w:rtl w:val="true"/>
        </w:rPr>
        <w:footnoteReference w:id="1137"/>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معظم الأحکام یعلم بالضرورة و الأخبار المعلومة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الفارق بین ما عملوا و ما طرحوا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اشتراکهما فی عدم التواتر و الاحتفاف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شرط العمل فی أحدهما دون الآخر،علی ما یدّعیه الشیخ قدّس سرّه علی ما صرّح به فی کلامه المتقدّم </w:t>
      </w:r>
      <w:r>
        <w:rPr>
          <w:rStyle w:val="FootnoteAnchor"/>
          <w:rtl w:val="true"/>
        </w:rPr>
        <w:footnoteReference w:id="1138"/>
      </w:r>
      <w:r>
        <w:rPr>
          <w:rFonts w:ascii="IRNazanin" w:hAnsi="IRNazanin" w:eastAsia="IRNazanin"/>
          <w:color w:val="111111"/>
          <w:sz w:val="28"/>
          <w:sz w:val="28"/>
          <w:szCs w:val="28"/>
          <w:rtl w:val="true"/>
          <w:lang w:bidi="fa-IR"/>
        </w:rPr>
        <w:t>،من الجواب عن احتمال کون عملهم بالأخبار لاقترانها بالقرائن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یناسب ما ذکرنا من الوجه تصریح السیّد بأنّهم شدّدوا الإنکار علی العامل بخبر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الوجه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أشار إلیه الشیخ فی کلامه المتقدّم </w:t>
      </w:r>
      <w:r>
        <w:rPr>
          <w:rStyle w:val="FootnoteAnchor"/>
          <w:rtl w:val="true"/>
        </w:rPr>
        <w:footnoteReference w:id="1139"/>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إنّهم منعوا من الأخبار التی رواها المخالفون فی المسائل التی روی أصحابنا خلافها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استبعد هذا صاحب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حاشیة منه علی هامش المعالم، بعد ما حکاه عن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الاعتراف بإنکار عمل الإمامیّة بأخبار </w:t>
      </w:r>
      <w:bookmarkStart w:id="877" w:name="pg12977_114371"/>
    </w:p>
    <w:p>
      <w:pPr>
        <w:pStyle w:val="BookText"/>
        <w:rPr/>
      </w:pPr>
      <w:bookmarkEnd w:id="877"/>
      <w:r>
        <w:rPr>
          <w:rFonts w:ascii="IRNazanin" w:hAnsi="IRNazanin" w:eastAsia="IRNazanin"/>
          <w:color w:val="111111"/>
          <w:sz w:val="28"/>
          <w:sz w:val="28"/>
          <w:szCs w:val="28"/>
          <w:rtl w:val="true"/>
          <w:lang w:bidi="fa-IR"/>
        </w:rPr>
        <w:t xml:space="preserve">الآحاد لا یعقل صرفه إلی روایات مخالفیهم؛لأنّ اشتراط العدالة عندهم و انتفاءها فی غیرهم کاف فی الإضراب عنها،فلا وجه للمبالغة فی نفی العمل بخبر یروونه </w:t>
      </w:r>
      <w:r>
        <w:rPr>
          <w:rStyle w:val="FootnoteAnchor"/>
          <w:rtl w:val="true"/>
        </w:rPr>
        <w:footnoteReference w:id="114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یمکن أن یکون إظهار هذا المذهب و التجنّن به فی مقام لا یمکنهم التصریح بفسق الراوی،فاحتالوا فی ذلک بأنّا لا نعمل إلاّ بما حصل لنا القطع بصدقه بالتواتر أو </w:t>
      </w:r>
      <w:r>
        <w:rPr>
          <w:rStyle w:val="FootnoteAnchor"/>
          <w:rtl w:val="true"/>
        </w:rPr>
        <w:footnoteReference w:id="1142"/>
      </w:r>
      <w:r>
        <w:rPr>
          <w:rFonts w:ascii="IRNazanin" w:hAnsi="IRNazanin" w:eastAsia="IRNazanin"/>
          <w:color w:val="111111"/>
          <w:sz w:val="28"/>
          <w:sz w:val="28"/>
          <w:szCs w:val="28"/>
          <w:rtl w:val="true"/>
          <w:lang w:bidi="fa-IR"/>
        </w:rPr>
        <w:t xml:space="preserve">بالقرائن،و لا دلیل عندنا علی العمل بالخبر الظنّی و إن کان راویه غیر مطعون،و فی عبارة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المتقدّمة </w:t>
      </w:r>
      <w:r>
        <w:rPr>
          <w:rStyle w:val="FootnoteAnchor"/>
          <w:rtl w:val="true"/>
        </w:rPr>
        <w:footnoteReference w:id="1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ذلک؛حیث خصّ إنکار الشیوخ للعمل بالخبر المجرّد بصورة المناظرة مع خصومهم</w:t>
      </w:r>
      <w:r>
        <w:rPr>
          <w:rFonts w:eastAsia="IRNazanin" w:cs="IRNazanin"/>
          <w:color w:val="111111"/>
          <w:sz w:val="28"/>
          <w:szCs w:val="28"/>
          <w:rtl w:val="true"/>
          <w:lang w:bidi="fa-IR"/>
        </w:rPr>
        <w:t>.</w:t>
      </w:r>
    </w:p>
    <w:p>
      <w:pPr>
        <w:pStyle w:val="Heading6"/>
        <w:numPr>
          <w:ilvl w:val="5"/>
          <w:numId w:val="1"/>
        </w:numPr>
        <w:rPr/>
      </w:pPr>
      <w:bookmarkStart w:id="878" w:name="__RefHeading___Toc5447111_3224264995"/>
      <w:bookmarkStart w:id="879" w:name="_Toc337"/>
      <w:bookmarkEnd w:id="878"/>
      <w:r>
        <w:rPr>
          <w:rtl w:val="true"/>
        </w:rPr>
        <w:t>الجمع بین دعوی السیّد و الشیخ قدّس سرّهما</w:t>
      </w:r>
      <w:bookmarkEnd w:id="879"/>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الإجماع الذی ادّعاه السیّد قدّس سرّه قولیّ،و ما ادّعاه الشیخ قدّس سرّه إجماع عملیّ،و الجمع بینهما یمکن بحمل عملهم علی ما احتفّ بالقرینة عندهم،و بحمل قولهم علی ما ذکرنا من الاحتمال فی دفع الروایات الواردة فیما لا یرضونه من المطالب،و الحمل الثانی مخالف لظاهر القول،و الحمل الأوّل لیس مخالفا لظاهر العمل؛لأنّ العمل مجمل من أجل </w:t>
      </w:r>
      <w:r>
        <w:rPr>
          <w:rStyle w:val="FootnoteAnchor"/>
          <w:rtl w:val="true"/>
        </w:rPr>
        <w:footnoteReference w:id="1144"/>
      </w:r>
      <w:r>
        <w:rPr>
          <w:rFonts w:ascii="IRNazanin" w:hAnsi="IRNazanin" w:eastAsia="IRNazanin"/>
          <w:color w:val="111111"/>
          <w:sz w:val="28"/>
          <w:sz w:val="28"/>
          <w:szCs w:val="28"/>
          <w:rtl w:val="true"/>
          <w:lang w:bidi="fa-IR"/>
        </w:rPr>
        <w:t>الجهة التی وقع علیها</w:t>
      </w:r>
      <w:r>
        <w:rPr>
          <w:rFonts w:eastAsia="IRNazanin" w:cs="IRNazanin"/>
          <w:color w:val="111111"/>
          <w:sz w:val="28"/>
          <w:szCs w:val="28"/>
          <w:rtl w:val="true"/>
          <w:lang w:bidi="fa-IR"/>
        </w:rPr>
        <w:t>.</w:t>
      </w:r>
    </w:p>
    <w:p>
      <w:pPr>
        <w:pStyle w:val="Heading6"/>
        <w:numPr>
          <w:ilvl w:val="5"/>
          <w:numId w:val="1"/>
        </w:numPr>
        <w:rPr/>
      </w:pPr>
      <w:bookmarkStart w:id="880" w:name="__RefHeading___Toc5447113_3224264995"/>
      <w:bookmarkStart w:id="881" w:name="_Toc338"/>
      <w:bookmarkEnd w:id="880"/>
      <w:r>
        <w:rPr>
          <w:rtl w:val="true"/>
        </w:rPr>
        <w:t>عدم صحّة هذا الجمع</w:t>
      </w:r>
      <w:bookmarkEnd w:id="881"/>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القرائن تشهد بفساد الحمل الأوّل کما سیأتی </w:t>
      </w:r>
      <w:r>
        <w:rPr>
          <w:rStyle w:val="FootnoteAnchor"/>
          <w:rtl w:val="true"/>
        </w:rPr>
        <w:footnoteReference w:id="1145"/>
      </w:r>
      <w:r>
        <w:rPr>
          <w:rFonts w:ascii="IRNazanin" w:hAnsi="IRNazanin" w:eastAsia="IRNazanin"/>
          <w:color w:val="111111"/>
          <w:sz w:val="28"/>
          <w:sz w:val="28"/>
          <w:szCs w:val="28"/>
          <w:rtl w:val="true"/>
          <w:lang w:bidi="fa-IR"/>
        </w:rPr>
        <w:t xml:space="preserve">، </w:t>
      </w:r>
      <w:bookmarkStart w:id="882" w:name="pg12977_114372"/>
    </w:p>
    <w:p>
      <w:pPr>
        <w:pStyle w:val="BookText"/>
        <w:rPr/>
      </w:pPr>
      <w:bookmarkEnd w:id="882"/>
      <w:r>
        <w:rPr>
          <w:rFonts w:ascii="IRNazanin" w:hAnsi="IRNazanin" w:eastAsia="IRNazanin"/>
          <w:color w:val="111111"/>
          <w:sz w:val="28"/>
          <w:sz w:val="28"/>
          <w:szCs w:val="28"/>
          <w:rtl w:val="true"/>
          <w:lang w:bidi="fa-IR"/>
        </w:rPr>
        <w:t>فلا بدّ من حمل قول من حکی عنهم السیّد المنع،إمّا علی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إرادة دفع أخبار المخالفین التی لا یمکنهم ردّها بفسق الراوی،و إمّا علی ما ذکره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کونهم جماعة معلومی النسب لا یقدح مخالفتهم بالإجماع</w:t>
      </w:r>
      <w:r>
        <w:rPr>
          <w:rFonts w:eastAsia="IRNazanin" w:cs="IRNazanin"/>
          <w:color w:val="111111"/>
          <w:sz w:val="28"/>
          <w:szCs w:val="28"/>
          <w:rtl w:val="true"/>
          <w:lang w:bidi="fa-IR"/>
        </w:rPr>
        <w:t>.</w:t>
      </w:r>
    </w:p>
    <w:p>
      <w:pPr>
        <w:pStyle w:val="Heading6"/>
        <w:numPr>
          <w:ilvl w:val="5"/>
          <w:numId w:val="1"/>
        </w:numPr>
        <w:rPr/>
      </w:pPr>
      <w:bookmarkStart w:id="883" w:name="__RefHeading___Toc5447115_3224264995"/>
      <w:bookmarkStart w:id="884" w:name="_Toc339"/>
      <w:bookmarkEnd w:id="883"/>
      <w:r>
        <w:rPr>
          <w:rtl w:val="true"/>
        </w:rPr>
        <w:t>الجمع بوجه آخر</w:t>
      </w:r>
      <w:r>
        <w:rPr>
          <w:rtl w:val="true"/>
        </w:rPr>
        <w:t>:</w:t>
      </w:r>
      <w:bookmarkEnd w:id="884"/>
    </w:p>
    <w:p>
      <w:pPr>
        <w:pStyle w:val="BookText"/>
        <w:rPr/>
      </w:pPr>
      <w:r>
        <w:rPr>
          <w:rFonts w:ascii="IRNazanin" w:hAnsi="IRNazanin" w:eastAsia="IRNazanin"/>
          <w:color w:val="111111"/>
          <w:sz w:val="28"/>
          <w:sz w:val="28"/>
          <w:szCs w:val="28"/>
          <w:rtl w:val="true"/>
          <w:lang w:bidi="fa-IR"/>
        </w:rPr>
        <w:t xml:space="preserve">و یمکن الجمع بینهما بوجه آخر </w:t>
      </w:r>
      <w:r>
        <w:rPr>
          <w:rStyle w:val="FootnoteAnchor"/>
          <w:rtl w:val="true"/>
        </w:rPr>
        <w:footnoteReference w:id="1146"/>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مراد السیّد قدّس سرّه من العلم الذی ادّعاه فی صدق الأخبار هو مجرّد الاطمئنان؛فإنّ المحکیّ عنه قدّس سرّه فی تعریف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ما اقتضی سکون النفس </w:t>
      </w:r>
      <w:r>
        <w:rPr>
          <w:rStyle w:val="FootnoteAnchor"/>
          <w:rtl w:val="true"/>
        </w:rPr>
        <w:footnoteReference w:id="1147"/>
      </w:r>
      <w:r>
        <w:rPr>
          <w:rFonts w:ascii="IRNazanin" w:hAnsi="IRNazanin" w:eastAsia="IRNazanin"/>
          <w:color w:val="111111"/>
          <w:sz w:val="28"/>
          <w:sz w:val="28"/>
          <w:szCs w:val="28"/>
          <w:rtl w:val="true"/>
          <w:lang w:bidi="fa-IR"/>
        </w:rPr>
        <w:t xml:space="preserve">،و هو الذی ادّعی بعض الأخباریّین </w:t>
      </w:r>
      <w:r>
        <w:rPr>
          <w:rStyle w:val="FootnoteAnchor"/>
          <w:rtl w:val="true"/>
        </w:rPr>
        <w:footnoteReference w:id="1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مرادنا بالعلم بصدور الأخبار هو هذا المعنی،لا الیقین الذی لا یقبل الاحتمال رأسا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فمراد الشیخ من تجرّد هذه الأخبار عن القرائن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تجرّدها عن القرائن الأربع التی ذکرها أوّلا،و هی موافقة الکتاب أو السنّة أو الإجماع أو دلیل العقل،و مراد السیّد من القرائن التی ادّعی فی عبارته المتقدّمة </w:t>
      </w:r>
      <w:r>
        <w:rPr>
          <w:rStyle w:val="FootnoteAnchor"/>
          <w:rtl w:val="true"/>
        </w:rPr>
        <w:footnoteReference w:id="1149"/>
      </w:r>
      <w:r>
        <w:rPr>
          <w:rFonts w:ascii="IRNazanin" w:hAnsi="IRNazanin" w:eastAsia="IRNazanin"/>
          <w:color w:val="111111"/>
          <w:sz w:val="28"/>
          <w:sz w:val="28"/>
          <w:szCs w:val="28"/>
          <w:rtl w:val="true"/>
          <w:lang w:bidi="fa-IR"/>
        </w:rPr>
        <w:t>احتفاف أکثر الأخبار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الامور </w:t>
      </w:r>
      <w:r>
        <w:rPr>
          <w:rStyle w:val="FootnoteAnchor"/>
          <w:rtl w:val="true"/>
        </w:rPr>
        <w:footnoteReference w:id="1150"/>
      </w:r>
      <w:r>
        <w:rPr>
          <w:rFonts w:ascii="IRNazanin" w:hAnsi="IRNazanin" w:eastAsia="IRNazanin"/>
          <w:color w:val="111111"/>
          <w:sz w:val="28"/>
          <w:sz w:val="28"/>
          <w:szCs w:val="28"/>
          <w:rtl w:val="true"/>
          <w:lang w:bidi="fa-IR"/>
        </w:rPr>
        <w:t xml:space="preserve">الموجبة للوثوق بالراوی أو بالروایة،بمعنی سکون النفس بهما و رکونها إلیهما،و حینئذ فیحمل إنکار الإمامیّة للعمل بخبر الواحد علی إنکارهم للعمل به تعبّدا، أو </w:t>
      </w:r>
      <w:r>
        <w:rPr>
          <w:rStyle w:val="FootnoteAnchor"/>
          <w:rtl w:val="true"/>
        </w:rPr>
        <w:footnoteReference w:id="1151"/>
      </w:r>
      <w:r>
        <w:rPr>
          <w:rFonts w:ascii="IRNazanin" w:hAnsi="IRNazanin" w:eastAsia="IRNazanin"/>
          <w:color w:val="111111"/>
          <w:sz w:val="28"/>
          <w:sz w:val="28"/>
          <w:szCs w:val="28"/>
          <w:rtl w:val="true"/>
          <w:lang w:bidi="fa-IR"/>
        </w:rPr>
        <w:t>لمجرّد حصول رجحان بصدقه علی ما یقوله المخالفون</w:t>
      </w:r>
      <w:r>
        <w:rPr>
          <w:rFonts w:eastAsia="IRNazanin" w:cs="IRNazanin"/>
          <w:color w:val="111111"/>
          <w:sz w:val="28"/>
          <w:szCs w:val="28"/>
          <w:rtl w:val="true"/>
          <w:lang w:bidi="fa-IR"/>
        </w:rPr>
        <w:t xml:space="preserve">. </w:t>
      </w:r>
      <w:bookmarkStart w:id="885" w:name="pg12977_114373"/>
    </w:p>
    <w:p>
      <w:pPr>
        <w:pStyle w:val="BookText"/>
        <w:rPr/>
      </w:pPr>
      <w:bookmarkEnd w:id="885"/>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یتّضح من کلام الشیخ دعوی الإجماع علی أزید من الخبر الموجب لسکون النفس و لو بمجرّد وثاقة الراوی و کونه سدیدا فی نقله لم یطعن فی روایته</w:t>
      </w:r>
      <w:r>
        <w:rPr>
          <w:rFonts w:eastAsia="IRNazanin" w:cs="IRNazanin"/>
          <w:color w:val="111111"/>
          <w:sz w:val="28"/>
          <w:szCs w:val="28"/>
          <w:rtl w:val="true"/>
          <w:lang w:bidi="fa-IR"/>
        </w:rPr>
        <w:t>.</w:t>
      </w:r>
    </w:p>
    <w:p>
      <w:pPr>
        <w:pStyle w:val="Heading6"/>
        <w:numPr>
          <w:ilvl w:val="5"/>
          <w:numId w:val="1"/>
        </w:numPr>
        <w:rPr/>
      </w:pPr>
      <w:bookmarkStart w:id="886" w:name="__RefHeading___Toc5447117_3224264995"/>
      <w:bookmarkStart w:id="887" w:name="_Toc340"/>
      <w:bookmarkEnd w:id="886"/>
      <w:r>
        <w:rPr>
          <w:rtl w:val="true"/>
        </w:rPr>
        <w:t>هذا الوجه أحسن الوجوه</w:t>
      </w:r>
      <w:r>
        <w:rPr>
          <w:rtl w:val="true"/>
        </w:rPr>
        <w:t>:</w:t>
      </w:r>
      <w:bookmarkEnd w:id="887"/>
    </w:p>
    <w:p>
      <w:pPr>
        <w:pStyle w:val="BookText"/>
        <w:rPr/>
      </w:pPr>
      <w:r>
        <w:rPr>
          <w:rFonts w:ascii="IRNazanin" w:hAnsi="IRNazanin" w:eastAsia="IRNazanin"/>
          <w:color w:val="111111"/>
          <w:sz w:val="28"/>
          <w:sz w:val="28"/>
          <w:szCs w:val="28"/>
          <w:rtl w:val="true"/>
          <w:lang w:bidi="fa-IR"/>
        </w:rPr>
        <w:t xml:space="preserve">و لعلّ هذا الوجه أحسن وجوه الجمع بین کلامی </w:t>
      </w:r>
      <w:r>
        <w:rPr>
          <w:rStyle w:val="FootnoteAnchor"/>
          <w:rtl w:val="true"/>
        </w:rPr>
        <w:footnoteReference w:id="1152"/>
      </w:r>
      <w:r>
        <w:rPr>
          <w:rFonts w:ascii="IRNazanin" w:hAnsi="IRNazanin" w:eastAsia="IRNazanin"/>
          <w:color w:val="111111"/>
          <w:sz w:val="28"/>
          <w:sz w:val="28"/>
          <w:szCs w:val="28"/>
          <w:rtl w:val="true"/>
          <w:lang w:bidi="fa-IR"/>
        </w:rPr>
        <w:t xml:space="preserve">الشیخ و السیّد قدّس سرّهما، خصوصا مع ملاحظة تصریح السیّد قدّس سرّه فی کلامه بأنّ أکثر الأخبار متواترة أو محفوفة </w:t>
      </w:r>
      <w:r>
        <w:rPr>
          <w:rStyle w:val="FootnoteAnchor"/>
          <w:rtl w:val="true"/>
        </w:rPr>
        <w:footnoteReference w:id="1153"/>
      </w:r>
      <w:r>
        <w:rPr>
          <w:rFonts w:ascii="IRNazanin" w:hAnsi="IRNazanin" w:eastAsia="IRNazanin"/>
          <w:color w:val="111111"/>
          <w:sz w:val="28"/>
          <w:sz w:val="28"/>
          <w:szCs w:val="28"/>
          <w:rtl w:val="true"/>
          <w:lang w:bidi="fa-IR"/>
        </w:rPr>
        <w:t xml:space="preserve">،و تصریح الشیخ قدّس سرّه فی کلامه المتقدّم </w:t>
      </w:r>
      <w:r>
        <w:rPr>
          <w:rStyle w:val="FootnoteAnchor"/>
          <w:rtl w:val="true"/>
        </w:rPr>
        <w:footnoteReference w:id="1154"/>
      </w:r>
      <w:r>
        <w:rPr>
          <w:rFonts w:ascii="IRNazanin" w:hAnsi="IRNazanin" w:eastAsia="IRNazanin"/>
          <w:color w:val="111111"/>
          <w:sz w:val="28"/>
          <w:sz w:val="28"/>
          <w:szCs w:val="28"/>
          <w:rtl w:val="true"/>
          <w:lang w:bidi="fa-IR"/>
        </w:rPr>
        <w:t>بإنکار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نقل الإجماع علی حجّیّة أخبار الآحاد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الجلیل رضیّ الدین بن طاوس،حیث قال فی جملة کلام له یطعن فیه علی السیّد قدّس سرّه</w:t>
      </w:r>
      <w:r>
        <w:rPr>
          <w:rFonts w:eastAsia="IRNazanin" w:cs="IRNazanin"/>
          <w:color w:val="111111"/>
          <w:sz w:val="28"/>
          <w:szCs w:val="28"/>
          <w:rtl w:val="true"/>
          <w:lang w:bidi="fa-IR"/>
        </w:rPr>
        <w:t>:</w:t>
      </w:r>
    </w:p>
    <w:p>
      <w:pPr>
        <w:pStyle w:val="Heading6"/>
        <w:numPr>
          <w:ilvl w:val="5"/>
          <w:numId w:val="1"/>
        </w:numPr>
        <w:rPr/>
      </w:pPr>
      <w:bookmarkStart w:id="888" w:name="__RefHeading___Toc5447119_3224264995"/>
      <w:bookmarkStart w:id="889" w:name="_Toc341"/>
      <w:bookmarkEnd w:id="888"/>
      <w:r>
        <w:rPr>
          <w:rtl w:val="true"/>
        </w:rPr>
        <w:t>دعوی ابن طاووس الاجماع علی حجیة الخبر الواحد</w:t>
      </w:r>
      <w:bookmarkEnd w:id="889"/>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یکاد تعجّبی ینقضی کیف اشتبه علیه أنّ الشیعة تعمل </w:t>
      </w:r>
      <w:r>
        <w:rPr>
          <w:rStyle w:val="FootnoteAnchor"/>
          <w:rtl w:val="true"/>
        </w:rPr>
        <w:footnoteReference w:id="1155"/>
      </w:r>
      <w:r>
        <w:rPr>
          <w:rFonts w:ascii="IRNazanin" w:hAnsi="IRNazanin" w:eastAsia="IRNazanin"/>
          <w:color w:val="111111"/>
          <w:sz w:val="28"/>
          <w:sz w:val="28"/>
          <w:szCs w:val="28"/>
          <w:rtl w:val="true"/>
          <w:lang w:bidi="fa-IR"/>
        </w:rPr>
        <w:t xml:space="preserve">بأخبار الآحاد فی الامور الشرعیّة؟و من اطّلع علی التواریخ و الأخبار و شاهد عمل ذوی الاعتبار،وجد المسلمین و المرتضی </w:t>
      </w:r>
      <w:r>
        <w:rPr>
          <w:rStyle w:val="FootnoteAnchor"/>
          <w:rtl w:val="true"/>
        </w:rPr>
        <w:footnoteReference w:id="1156"/>
      </w:r>
      <w:r>
        <w:rPr>
          <w:rFonts w:ascii="IRNazanin" w:hAnsi="IRNazanin" w:eastAsia="IRNazanin"/>
          <w:color w:val="111111"/>
          <w:sz w:val="28"/>
          <w:sz w:val="28"/>
          <w:szCs w:val="28"/>
          <w:rtl w:val="true"/>
          <w:lang w:bidi="fa-IR"/>
        </w:rPr>
        <w:t xml:space="preserve">و علماء الشیعة الماضین </w:t>
      </w:r>
      <w:r>
        <w:rPr>
          <w:rStyle w:val="FootnoteAnchor"/>
          <w:rtl w:val="true"/>
        </w:rPr>
        <w:footnoteReference w:id="1157"/>
      </w:r>
      <w:r>
        <w:rPr>
          <w:rFonts w:ascii="IRNazanin" w:hAnsi="IRNazanin" w:eastAsia="IRNazanin"/>
          <w:color w:val="111111"/>
          <w:sz w:val="28"/>
          <w:sz w:val="28"/>
          <w:szCs w:val="28"/>
          <w:rtl w:val="true"/>
          <w:lang w:bidi="fa-IR"/>
        </w:rPr>
        <w:t xml:space="preserve">عاملین بأخبار الآحاد بغیر شبهة عند العارفین،کما ذکر محمّد ابن الحسن الطوسی فی کتاب العدّة،و غیره من المشغولین بتصفّح أخبار </w:t>
      </w:r>
      <w:bookmarkStart w:id="890" w:name="pg12977_114374"/>
    </w:p>
    <w:p>
      <w:pPr>
        <w:pStyle w:val="BookText"/>
        <w:rPr/>
      </w:pPr>
      <w:bookmarkEnd w:id="890"/>
      <w:r>
        <w:rPr>
          <w:rFonts w:ascii="IRNazanin" w:hAnsi="IRNazanin" w:eastAsia="IRNazanin"/>
          <w:color w:val="111111"/>
          <w:sz w:val="28"/>
          <w:sz w:val="28"/>
          <w:szCs w:val="28"/>
          <w:rtl w:val="true"/>
          <w:lang w:bidi="fa-IR"/>
        </w:rPr>
        <w:t xml:space="preserve">الشیعة و غیرهم من المصنّفین </w:t>
      </w:r>
      <w:r>
        <w:rPr>
          <w:rStyle w:val="FootnoteAnchor"/>
          <w:rtl w:val="true"/>
        </w:rPr>
        <w:footnoteReference w:id="115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دلالة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غیر الشیخ من العلماء أیضا ادّعی الإجماع علی عمل الشیعة بأخبار الآحاد</w:t>
      </w:r>
      <w:r>
        <w:rPr>
          <w:rFonts w:eastAsia="IRNazanin" w:cs="IRNazanin"/>
          <w:color w:val="111111"/>
          <w:sz w:val="28"/>
          <w:szCs w:val="28"/>
          <w:rtl w:val="true"/>
          <w:lang w:bidi="fa-IR"/>
        </w:rPr>
        <w:t>.</w:t>
      </w:r>
    </w:p>
    <w:p>
      <w:pPr>
        <w:pStyle w:val="Heading6"/>
        <w:numPr>
          <w:ilvl w:val="5"/>
          <w:numId w:val="1"/>
        </w:numPr>
        <w:rPr/>
      </w:pPr>
      <w:bookmarkStart w:id="891" w:name="__RefHeading___Toc5447121_3224264995"/>
      <w:bookmarkStart w:id="892" w:name="_Toc342"/>
      <w:bookmarkEnd w:id="891"/>
      <w:r>
        <w:rPr>
          <w:rtl w:val="true"/>
        </w:rPr>
        <w:t>دعوی العلامة الاجماع ایضا</w:t>
      </w:r>
      <w:bookmarkEnd w:id="892"/>
    </w:p>
    <w:p>
      <w:pPr>
        <w:pStyle w:val="BookText"/>
        <w:rPr/>
      </w:pPr>
      <w:r>
        <w:rPr>
          <w:rFonts w:ascii="IRNazanin" w:hAnsi="IRNazanin" w:eastAsia="IRNazanin"/>
          <w:color w:val="111111"/>
          <w:sz w:val="28"/>
          <w:sz w:val="28"/>
          <w:szCs w:val="28"/>
          <w:rtl w:val="true"/>
          <w:lang w:bidi="fa-IR"/>
        </w:rPr>
        <w:t>و ممّن نقل الإجماع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رحمه اللّه فی النهایة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الأخباریّین منهم لو یعوّلوا فی اصول الدین و فروعه إلاّ علی أخبار الآحاد،و الاصولیّین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کأبی جعفر الطوسیّ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وافقوا </w:t>
      </w:r>
      <w:r>
        <w:rPr>
          <w:rStyle w:val="FootnoteAnchor"/>
          <w:rtl w:val="true"/>
        </w:rPr>
        <w:footnoteReference w:id="1159"/>
      </w:r>
      <w:r>
        <w:rPr>
          <w:rFonts w:ascii="IRNazanin" w:hAnsi="IRNazanin" w:eastAsia="IRNazanin"/>
          <w:color w:val="111111"/>
          <w:sz w:val="28"/>
          <w:sz w:val="28"/>
          <w:szCs w:val="28"/>
          <w:rtl w:val="true"/>
          <w:lang w:bidi="fa-IR"/>
        </w:rPr>
        <w:t xml:space="preserve">علی قبول خبر الواحد،و لم ینکره سوی المرتضی و أتباعه؛لشبهة حصلت لهم </w:t>
      </w:r>
      <w:r>
        <w:rPr>
          <w:rStyle w:val="FootnoteAnchor"/>
          <w:rtl w:val="true"/>
        </w:rPr>
        <w:footnoteReference w:id="116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893" w:name="__RefHeading___Toc5447123_3224264995"/>
      <w:bookmarkStart w:id="894" w:name="_Toc343"/>
      <w:bookmarkEnd w:id="893"/>
      <w:r>
        <w:rPr>
          <w:rtl w:val="true"/>
        </w:rPr>
        <w:t>دعوی المحدث الاجماع کذلک</w:t>
      </w:r>
      <w:bookmarkEnd w:id="894"/>
    </w:p>
    <w:p>
      <w:pPr>
        <w:pStyle w:val="BookText"/>
        <w:rPr/>
      </w:pPr>
      <w:r>
        <w:rPr>
          <w:rFonts w:ascii="IRNazanin" w:hAnsi="IRNazanin" w:eastAsia="IRNazanin"/>
          <w:color w:val="111111"/>
          <w:sz w:val="28"/>
          <w:sz w:val="28"/>
          <w:szCs w:val="28"/>
          <w:rtl w:val="true"/>
          <w:lang w:bidi="fa-IR"/>
        </w:rPr>
        <w:t>و ممّن ادّعاه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المحدّث المجلسیّ قدّس سرّه فی بعض رسائله،حیث ادّعی تواتر الأخبار و عمل الشیعة فی جمیع الأعصار علی العمل بخبر الواحد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مراد العلاّمة قدّس سرّه من الأخباریّین،یمکن أن یکون مثل الصدوق </w:t>
      </w:r>
      <w:r>
        <w:rPr>
          <w:rStyle w:val="FootnoteAnchor"/>
          <w:rtl w:val="true"/>
        </w:rPr>
        <w:footnoteReference w:id="1162"/>
      </w:r>
      <w:r>
        <w:rPr>
          <w:rFonts w:ascii="Amiri" w:hAnsi="Amiri" w:eastAsia="Amiri" w:cs="Amiri"/>
          <w:color w:val="111111"/>
          <w:sz w:val="28"/>
          <w:sz w:val="28"/>
          <w:szCs w:val="28"/>
          <w:rtl w:val="true"/>
          <w:lang w:bidi="ar-SA"/>
        </w:rPr>
        <w:t xml:space="preserve">و شیخه قدّس سرّهما </w:t>
      </w:r>
      <w:r>
        <w:rPr>
          <w:rStyle w:val="FootnoteAnchor"/>
          <w:rtl w:val="true"/>
        </w:rPr>
        <w:footnoteReference w:id="1163"/>
      </w:r>
      <w:r>
        <w:rPr>
          <w:rFonts w:ascii="IRNazanin" w:hAnsi="IRNazanin" w:eastAsia="IRNazanin"/>
          <w:color w:val="111111"/>
          <w:sz w:val="28"/>
          <w:sz w:val="28"/>
          <w:szCs w:val="28"/>
          <w:rtl w:val="true"/>
          <w:lang w:bidi="fa-IR"/>
        </w:rPr>
        <w:t xml:space="preserve">حیث أثبتا السهو للنبیّ صلّی اللّه علیه و آله و الأئمّة علیهم السّلام؛ لبعض أخبار الآحاد،و زعما أنّ نفیه عنهم علیهم السّلام أوّل درجة فی الغلوّ، </w:t>
      </w:r>
      <w:bookmarkStart w:id="895" w:name="pg12977_114375"/>
    </w:p>
    <w:p>
      <w:pPr>
        <w:pStyle w:val="BookText"/>
        <w:rPr/>
      </w:pPr>
      <w:bookmarkEnd w:id="895"/>
      <w:r>
        <w:rPr>
          <w:rFonts w:ascii="IRNazanin" w:hAnsi="IRNazanin" w:eastAsia="IRNazanin"/>
          <w:color w:val="111111"/>
          <w:sz w:val="28"/>
          <w:sz w:val="28"/>
          <w:szCs w:val="28"/>
          <w:rtl w:val="true"/>
          <w:lang w:bidi="fa-IR"/>
        </w:rPr>
        <w:t xml:space="preserve">و یکون ما تقدّم فی کلام الشیخ </w:t>
      </w:r>
      <w:r>
        <w:rPr>
          <w:rStyle w:val="FootnoteAnchor"/>
          <w:rtl w:val="true"/>
        </w:rPr>
        <w:footnoteReference w:id="1164"/>
      </w:r>
      <w:r>
        <w:rPr>
          <w:rFonts w:ascii="IRNazanin" w:hAnsi="IRNazanin" w:eastAsia="IRNazanin"/>
          <w:color w:val="111111"/>
          <w:sz w:val="28"/>
          <w:sz w:val="28"/>
          <w:szCs w:val="28"/>
          <w:rtl w:val="true"/>
          <w:lang w:bidi="fa-IR"/>
        </w:rPr>
        <w:t>من المقلّدة الذین إذا سألوا عن التوحید و صفات النبیّ صلّی اللّه علیه و آله و الإمام علیه السّلام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روینا کذا،و رووا فی ذلک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نسب الشیخ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المقام من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بأخبار الآحاد فی اصول الدین إلی بعض غفلة أصحاب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یمکن أن یکون الشبهة التی ادّعی العلاّمة قدّس سرّه حصولها للسیّد و أتباعه،هو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الأخبار التی عمل بها الأصحاب و دوّنوها فی کتبهم محفوفة عندهم بالقرائن،أو أنّ من قال من شیوخهم بعدم حجّیّة أخبار الآحاد أراد بها مطلق الأخبار،حتّی الأخبار الواردة من طرق أصحابنا مع وثاقة الراوی،أو أنّ مخالفته لأصحابنا فی هذه المسألة لأجل شبهة حصلت له،فخالف المتّفق علیه بین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دعوی الإجماع </w:t>
      </w:r>
      <w:r>
        <w:rPr>
          <w:rStyle w:val="FootnoteAnchor"/>
          <w:rtl w:val="true"/>
        </w:rPr>
        <w:footnoteReference w:id="1165"/>
      </w:r>
      <w:r>
        <w:rPr>
          <w:rFonts w:ascii="IRNazanin" w:hAnsi="IRNazanin" w:eastAsia="IRNazanin"/>
          <w:color w:val="111111"/>
          <w:sz w:val="28"/>
          <w:sz w:val="28"/>
          <w:szCs w:val="28"/>
          <w:rtl w:val="true"/>
          <w:lang w:bidi="fa-IR"/>
        </w:rPr>
        <w:t xml:space="preserve">علی العمل بأخبار الآحاد،و إن لم نطّلع </w:t>
      </w:r>
      <w:r>
        <w:rPr>
          <w:rStyle w:val="FootnoteAnchor"/>
          <w:rtl w:val="true"/>
        </w:rPr>
        <w:footnoteReference w:id="1166"/>
      </w:r>
      <w:r>
        <w:rPr>
          <w:rFonts w:ascii="IRNazanin" w:hAnsi="IRNazanin" w:eastAsia="IRNazanin"/>
          <w:color w:val="111111"/>
          <w:sz w:val="28"/>
          <w:sz w:val="28"/>
          <w:szCs w:val="28"/>
          <w:rtl w:val="true"/>
          <w:lang w:bidi="fa-IR"/>
        </w:rPr>
        <w:t xml:space="preserve">علیها صریحة فی کلام غیر الشیخ و ابن طاوس و العلاّمة و المجلسی قدّست أسرارهم،إلاّ أنّ هذه الدعوی منهم مقرونة بقرائن تدلّ علی صحّتها و صدقها،فخرج عن الإجماع المنقول بخبر الواحد المجرّد عن القرینة،و یدخل فی المحفوف بالقرینة؛و بهذا الاعتبار یتمسّک به </w:t>
      </w:r>
      <w:r>
        <w:rPr>
          <w:rStyle w:val="FootnoteAnchor"/>
          <w:rtl w:val="true"/>
        </w:rPr>
        <w:footnoteReference w:id="1167"/>
      </w:r>
      <w:r>
        <w:rPr>
          <w:rFonts w:ascii="Amiri" w:hAnsi="Amiri" w:eastAsia="Amiri" w:cs="Amiri"/>
          <w:color w:val="111111"/>
          <w:sz w:val="28"/>
          <w:sz w:val="28"/>
          <w:szCs w:val="28"/>
          <w:rtl w:val="true"/>
          <w:lang w:bidi="ar-SA"/>
        </w:rPr>
        <w:t>علی حجّیّة الأخبار</w:t>
      </w:r>
      <w:r>
        <w:rPr>
          <w:rFonts w:eastAsia="Amiri" w:cs="Amiri" w:ascii="Amiri" w:hAnsi="Amiri"/>
          <w:color w:val="111111"/>
          <w:sz w:val="28"/>
          <w:szCs w:val="28"/>
          <w:rtl w:val="true"/>
          <w:lang w:bidi="ar-SA"/>
        </w:rPr>
        <w:t>.</w:t>
      </w:r>
    </w:p>
    <w:p>
      <w:pPr>
        <w:pStyle w:val="Heading6"/>
        <w:numPr>
          <w:ilvl w:val="5"/>
          <w:numId w:val="1"/>
        </w:numPr>
        <w:rPr/>
      </w:pPr>
      <w:bookmarkStart w:id="896" w:name="__RefHeading___Toc5447125_3224264995"/>
      <w:bookmarkStart w:id="897" w:name="_Toc344"/>
      <w:bookmarkEnd w:id="896"/>
      <w:r>
        <w:rPr>
          <w:rtl w:val="true"/>
        </w:rPr>
        <w:t>اعتراف السیّد بعمل الطائفة بأخبار الآحاد</w:t>
      </w:r>
      <w:r>
        <w:rPr>
          <w:rtl w:val="true"/>
        </w:rPr>
        <w:t>:</w:t>
      </w:r>
      <w:bookmarkEnd w:id="897"/>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السیّد قدّس سرّه قد اعترف فی بعض کلامه المحکیّ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منه</w:t>
      </w:r>
      <w:r>
        <w:rPr>
          <w:rFonts w:eastAsia="IRNazanin" w:cs="IRNazanin"/>
          <w:color w:val="111111"/>
          <w:sz w:val="28"/>
          <w:szCs w:val="28"/>
          <w:rtl w:val="true"/>
          <w:lang w:bidi="fa-IR"/>
        </w:rPr>
        <w:t xml:space="preserve">- </w:t>
      </w:r>
      <w:bookmarkStart w:id="898" w:name="pg12977_114376"/>
    </w:p>
    <w:p>
      <w:pPr>
        <w:pStyle w:val="BookText"/>
        <w:rPr/>
      </w:pPr>
      <w:bookmarkEnd w:id="898"/>
      <w:r>
        <w:rPr>
          <w:rFonts w:ascii="IRNazanin" w:hAnsi="IRNazanin" w:eastAsia="IRNazanin"/>
          <w:color w:val="111111"/>
          <w:sz w:val="28"/>
          <w:sz w:val="28"/>
          <w:szCs w:val="28"/>
          <w:rtl w:val="true"/>
          <w:lang w:bidi="fa-IR"/>
        </w:rPr>
        <w:t>بعمل الطائفة بأخبار الآحاد،إلاّ أنّه یدّعی أنّه لمّا کان من المعلوم عدم عملهم بالأخبار المجرّدة کعدم عملهم بالقیاس،فلا بدّ من حمل موارد عملهم علی الأخبار المحفوفة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الموصلیّات علی ما حکی عنه فی محکیّ السرائر</w:t>
      </w:r>
      <w:r>
        <w:rPr>
          <w:rFonts w:eastAsia="IRNazanin" w:cs="IRNazanin"/>
          <w:color w:val="111111"/>
          <w:sz w:val="28"/>
          <w:szCs w:val="28"/>
          <w:rtl w:val="true"/>
          <w:lang w:bidi="fa-IR"/>
        </w:rPr>
        <w:t>:</w:t>
      </w:r>
    </w:p>
    <w:p>
      <w:pPr>
        <w:pStyle w:val="Heading6"/>
        <w:numPr>
          <w:ilvl w:val="5"/>
          <w:numId w:val="1"/>
        </w:numPr>
        <w:rPr/>
      </w:pPr>
      <w:bookmarkStart w:id="899" w:name="__RefHeading___Toc5447127_3224264995"/>
      <w:bookmarkStart w:id="900" w:name="_Toc345"/>
      <w:bookmarkEnd w:id="899"/>
      <w:r>
        <w:rPr>
          <w:rtl w:val="true"/>
        </w:rPr>
        <w:t>کلام السید فی الموصلیات</w:t>
      </w:r>
      <w:bookmarkEnd w:id="900"/>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شیوخ هذه الطائفة عوّلوا فی کتبهم فی الأحکام الشرعیّة علی الأخبار التی رووها عن ثقاتهم و جعلوها العمدة و الحجّة فی الأحکام،حتّی رووا عن أئمّتهم علیهم السّلام فی ما یجیء مختلفا من الأخبار عند عدم الترجیح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یؤخذ منه ما هو أبعد من قول العامّة، و هذا یناقض ما قدّمتموه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ینبغی أن یرجع عن الامور المعلومة المشهورة المقطوع علیها بما هو </w:t>
      </w:r>
      <w:r>
        <w:rPr>
          <w:rStyle w:val="FootnoteAnchor"/>
          <w:rtl w:val="true"/>
        </w:rPr>
        <w:footnoteReference w:id="1168"/>
      </w:r>
      <w:r>
        <w:rPr>
          <w:rFonts w:ascii="IRNazanin" w:hAnsi="IRNazanin" w:eastAsia="IRNazanin"/>
          <w:color w:val="111111"/>
          <w:sz w:val="28"/>
          <w:sz w:val="28"/>
          <w:szCs w:val="28"/>
          <w:rtl w:val="true"/>
          <w:lang w:bidi="fa-IR"/>
        </w:rPr>
        <w:t xml:space="preserve">مشتبه و ملتبس مجمل،و قد علم کلّ موافق و مخالف أنّ الشیعة الإمامیّة تبطل القیاس فی الشریعة حیث لا یؤدّی إلی العلم، و کذلک نقول فی أخبار الآحاد </w:t>
      </w:r>
      <w:r>
        <w:rPr>
          <w:rStyle w:val="FootnoteAnchor"/>
          <w:rtl w:val="true"/>
        </w:rPr>
        <w:footnoteReference w:id="1169"/>
      </w:r>
      <w:r>
        <w:rPr>
          <w:rFonts w:ascii="IRNazanin" w:hAnsi="IRNazanin" w:eastAsia="IRNazanin"/>
          <w:color w:val="111111"/>
          <w:sz w:val="28"/>
          <w:sz w:val="28"/>
          <w:szCs w:val="28"/>
          <w:rtl w:val="true"/>
          <w:lang w:bidi="fa-IR"/>
        </w:rPr>
        <w:t>،انتهی المحکیّ عنه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اعتراف بما </w:t>
      </w:r>
      <w:r>
        <w:rPr>
          <w:rStyle w:val="FootnoteAnchor"/>
          <w:rtl w:val="true"/>
        </w:rPr>
        <w:footnoteReference w:id="1170"/>
      </w:r>
      <w:r>
        <w:rPr>
          <w:rFonts w:ascii="IRNazanin" w:hAnsi="IRNazanin" w:eastAsia="IRNazanin"/>
          <w:color w:val="111111"/>
          <w:sz w:val="28"/>
          <w:sz w:val="28"/>
          <w:szCs w:val="28"/>
          <w:rtl w:val="true"/>
          <w:lang w:bidi="fa-IR"/>
        </w:rPr>
        <w:t xml:space="preserve">یظهر منه عمل الشیوخ بأخبار الآحاد،إلاّ أنّه قدّس سرّه ادّعی معلومیّة خلافه من مذهب الإمامیّة، فترک هذا الظهور أخذا بالمقطوع،و نحن نأخذ بما ذکره أوّلا؛لاعتضاده بما یوجب الصدق،دون ما ذکره أخیرا؛لعدم ثبوته إلاّ من قبله،و کفی </w:t>
      </w:r>
      <w:bookmarkStart w:id="901" w:name="pg12977_114377"/>
    </w:p>
    <w:p>
      <w:pPr>
        <w:pStyle w:val="BookText"/>
        <w:rPr/>
      </w:pPr>
      <w:bookmarkEnd w:id="901"/>
      <w:r>
        <w:rPr>
          <w:rFonts w:ascii="IRNazanin" w:hAnsi="IRNazanin" w:eastAsia="IRNazanin"/>
          <w:color w:val="111111"/>
          <w:sz w:val="28"/>
          <w:sz w:val="28"/>
          <w:szCs w:val="28"/>
          <w:rtl w:val="true"/>
          <w:lang w:bidi="fa-IR"/>
        </w:rPr>
        <w:t>بذلک موهنا،</w:t>
      </w:r>
    </w:p>
    <w:p>
      <w:pPr>
        <w:pStyle w:val="Heading6"/>
        <w:numPr>
          <w:ilvl w:val="5"/>
          <w:numId w:val="1"/>
        </w:numPr>
        <w:rPr/>
      </w:pPr>
      <w:bookmarkStart w:id="902" w:name="__RefHeading___Toc5447129_3224264995"/>
      <w:bookmarkStart w:id="903" w:name="_Toc346"/>
      <w:bookmarkEnd w:id="902"/>
      <w:r>
        <w:rPr>
          <w:rtl w:val="true"/>
        </w:rPr>
        <w:t>القرائن علی صدق الإجماع المدّعی من الشیخ و العلامة</w:t>
      </w:r>
      <w:bookmarkEnd w:id="903"/>
    </w:p>
    <w:p>
      <w:pPr>
        <w:pStyle w:val="BookText"/>
        <w:rPr/>
      </w:pPr>
      <w:r>
        <w:rPr>
          <w:rFonts w:ascii="IRNazanin" w:hAnsi="IRNazanin" w:eastAsia="IRNazanin"/>
          <w:color w:val="111111"/>
          <w:sz w:val="28"/>
          <w:sz w:val="28"/>
          <w:szCs w:val="28"/>
          <w:rtl w:val="true"/>
          <w:lang w:bidi="fa-IR"/>
        </w:rPr>
        <w:t>بخلاف الإجماع المدّعی من الشیخ و العلاّمة؛فإنّه معتضد بقرائن کثیرة تدلّ علی صدق مضمونه و أنّ الأصحاب عملوا بالخبر الغیر العلمیّ فی الجملة</w:t>
      </w:r>
      <w:r>
        <w:rPr>
          <w:rFonts w:eastAsia="IRNazanin" w:cs="IRNazanin"/>
          <w:color w:val="111111"/>
          <w:sz w:val="28"/>
          <w:szCs w:val="28"/>
          <w:rtl w:val="true"/>
          <w:lang w:bidi="fa-IR"/>
        </w:rPr>
        <w:t>.</w:t>
      </w:r>
    </w:p>
    <w:p>
      <w:pPr>
        <w:pStyle w:val="Heading6"/>
        <w:numPr>
          <w:ilvl w:val="5"/>
          <w:numId w:val="1"/>
        </w:numPr>
        <w:rPr/>
      </w:pPr>
      <w:bookmarkStart w:id="904" w:name="__RefHeading___Toc5447131_3224264995"/>
      <w:bookmarkStart w:id="905" w:name="_Toc347"/>
      <w:bookmarkEnd w:id="904"/>
      <w:r>
        <w:rPr/>
        <w:t>1</w:t>
      </w:r>
      <w:r>
        <w:rPr>
          <w:rtl w:val="true"/>
        </w:rPr>
        <w:t>-</w:t>
      </w:r>
      <w:r>
        <w:rPr>
          <w:rtl w:val="true"/>
        </w:rPr>
        <w:t>ما ادعاه الکشی</w:t>
      </w:r>
      <w:bookmarkEnd w:id="905"/>
    </w:p>
    <w:p>
      <w:pPr>
        <w:pStyle w:val="BookText"/>
        <w:rPr/>
      </w:pPr>
      <w:r>
        <w:rPr>
          <w:rFonts w:ascii="IRNazanin" w:hAnsi="IRNazanin" w:eastAsia="IRNazanin"/>
          <w:color w:val="111111"/>
          <w:sz w:val="28"/>
          <w:sz w:val="28"/>
          <w:szCs w:val="28"/>
          <w:rtl w:val="true"/>
          <w:lang w:bidi="fa-IR"/>
        </w:rPr>
        <w:t>فمن تلک القرائن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ادّعاه الکشّیّ،من إجماع العصابة علی تصحیح ما یصحّ عن جماعة </w:t>
      </w:r>
      <w:r>
        <w:rPr>
          <w:rStyle w:val="FootnoteAnchor"/>
          <w:rtl w:val="true"/>
        </w:rPr>
        <w:footnoteReference w:id="1171"/>
      </w:r>
      <w:r>
        <w:rPr>
          <w:rFonts w:ascii="IRNazanin" w:hAnsi="IRNazanin" w:eastAsia="IRNazanin"/>
          <w:color w:val="111111"/>
          <w:sz w:val="28"/>
          <w:sz w:val="28"/>
          <w:szCs w:val="28"/>
          <w:rtl w:val="true"/>
          <w:lang w:bidi="fa-IR"/>
        </w:rPr>
        <w:t xml:space="preserve">فإنّ من المعلوم أنّ معنی التصحیح المجمع علیه هو عدّ خبره صحیحا بمعنی عملهم به،لا القطع بصدوره؛ إذ الإجماع وقع علی التصحیح لا علی الصحّة،مع أنّ الصحّة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صرّح به غیر واحد </w:t>
      </w:r>
      <w:r>
        <w:rPr>
          <w:rStyle w:val="FootnoteAnchor"/>
          <w:rtl w:val="true"/>
        </w:rPr>
        <w:footnoteReference w:id="1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الوثوق و الرکون،لا القطع و الیقین</w:t>
      </w:r>
      <w:r>
        <w:rPr>
          <w:rFonts w:eastAsia="IRNazanin" w:cs="IRNazanin"/>
          <w:color w:val="111111"/>
          <w:sz w:val="28"/>
          <w:szCs w:val="28"/>
          <w:rtl w:val="true"/>
          <w:lang w:bidi="fa-IR"/>
        </w:rPr>
        <w:t>.</w:t>
      </w:r>
    </w:p>
    <w:p>
      <w:pPr>
        <w:pStyle w:val="Heading6"/>
        <w:numPr>
          <w:ilvl w:val="5"/>
          <w:numId w:val="1"/>
        </w:numPr>
        <w:rPr/>
      </w:pPr>
      <w:bookmarkStart w:id="906" w:name="__RefHeading___Toc5447133_3224264995"/>
      <w:bookmarkStart w:id="907" w:name="_Toc348"/>
      <w:bookmarkEnd w:id="906"/>
      <w:r>
        <w:rPr/>
        <w:t>2</w:t>
      </w:r>
      <w:r>
        <w:rPr>
          <w:rtl w:val="true"/>
        </w:rPr>
        <w:t>-</w:t>
      </w:r>
      <w:r>
        <w:rPr>
          <w:rtl w:val="true"/>
        </w:rPr>
        <w:t>دعوی النجاشی</w:t>
      </w:r>
      <w:bookmarkEnd w:id="907"/>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دعوی النجاشیّ أنّ مراسیل ابن أبی عمیر مقبولة عند الأصحاب </w:t>
      </w:r>
      <w:r>
        <w:rPr>
          <w:rStyle w:val="FootnoteAnchor"/>
          <w:rtl w:val="true"/>
        </w:rPr>
        <w:footnoteReference w:id="1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العبارة تدلّ علی عمل الأصحاب بمراسیل مثل ابن أبی عمیر،لا من أجل القطع بالصدور،بل لعلمهم بأنّه لا یروی أو لا یرسل إلاّ عن ثقة؛فلو لا قبولهم لما یسنده الثقة إلی الثقة لم یکن وجه لقبول مراسیل ابن أبی عمیر الذی لا یروی إلاّ عن الثقة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الاتّفاق المذکور قد ادّعاه الشهید فی الذکری </w:t>
      </w:r>
      <w:r>
        <w:rPr>
          <w:rStyle w:val="FootnoteAnchor"/>
          <w:rtl w:val="true"/>
        </w:rPr>
        <w:footnoteReference w:id="1174"/>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w:t>
      </w:r>
      <w:bookmarkStart w:id="908" w:name="pg12977_114378"/>
    </w:p>
    <w:p>
      <w:pPr>
        <w:pStyle w:val="BookText"/>
        <w:rPr/>
      </w:pPr>
      <w:bookmarkEnd w:id="908"/>
      <w:r>
        <w:rPr>
          <w:rFonts w:ascii="IRNazanin" w:hAnsi="IRNazanin" w:eastAsia="IRNazanin"/>
          <w:color w:val="111111"/>
          <w:sz w:val="28"/>
          <w:sz w:val="28"/>
          <w:szCs w:val="28"/>
          <w:rtl w:val="true"/>
          <w:lang w:bidi="fa-IR"/>
        </w:rPr>
        <w:t>کاشف الرموز تلمیذ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الأصحاب عملوا بمراسیل البزنطی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09" w:name="__RefHeading___Toc5447135_3224264995"/>
      <w:bookmarkStart w:id="910" w:name="_Toc349"/>
      <w:bookmarkEnd w:id="909"/>
      <w:r>
        <w:rPr/>
        <w:t>3</w:t>
      </w:r>
      <w:r>
        <w:rPr>
          <w:rtl w:val="true"/>
        </w:rPr>
        <w:t>-</w:t>
      </w:r>
      <w:r>
        <w:rPr>
          <w:rtl w:val="true"/>
        </w:rPr>
        <w:t>ما ذکره ابن ادریس قدس سره</w:t>
      </w:r>
      <w:bookmarkEnd w:id="910"/>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رسالة خلاصة الاستدلال التی صنّفها فی مسألة فوریّة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دعوی الإجماع علی المضایقة، و أنّها ممّا أطبقت علیه الإمامیّة إلاّ نفر یسیر من الخراسانیّین،قال فی مقام تقریب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ابنی بابویه و الأشعریّین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کسعد بن عبد اللّه و سعد بن سعد و محمّد بن علیّ بن محبوب،و القمّیین أجمع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کعلیّ بن إبراهیم و محمّد بن الحسن بن الولید،عاملون بالأخبار المتضمّنة للمضایقة؛لأنّهم ذکروا أنّه لا یحلّ ردّ الخبر الموثوق برواته </w:t>
      </w:r>
      <w:r>
        <w:rPr>
          <w:rStyle w:val="FootnoteAnchor"/>
          <w:rtl w:val="true"/>
        </w:rPr>
        <w:footnoteReference w:id="117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استدلّ علی مذهب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بذکرهم لأخبار المضایقة و ذهابهم إلی العمل بروایة الثقة،فاستنتج من هاتین المقدّمتین ذهابهم إلی المضایقة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لیت 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ابن إدریس أنّ مذهب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أصحاب الأئمّة علیهم السّلام،و یحصل العلم بقول الإمام علیه السّلام من اتّفاقهم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العمل بروایة الثقة و أنّه لا یحلّ ترک العمل بها،فکیف تبع السیّد فی مسألة خبر الواحد؟</w:t>
      </w:r>
    </w:p>
    <w:p>
      <w:pPr>
        <w:pStyle w:val="BookText"/>
        <w:rPr/>
      </w:pPr>
      <w:r>
        <w:rPr>
          <w:rFonts w:ascii="IRNazanin" w:hAnsi="IRNazanin" w:eastAsia="IRNazanin"/>
          <w:color w:val="111111"/>
          <w:sz w:val="28"/>
          <w:sz w:val="28"/>
          <w:szCs w:val="28"/>
          <w:rtl w:val="true"/>
          <w:lang w:bidi="fa-IR"/>
        </w:rPr>
        <w:t>إلاّ أن یدّعی أنّ المراد بالثقة من یفید قوله القطع،و فیه ما لا یخفی</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یکون مراده و مراد السیّد قدّس سرّهما من الخبر العلمیّ ما یفید الوثوق و الاطمئنان لا ما یفید </w:t>
      </w:r>
      <w:r>
        <w:rPr>
          <w:rStyle w:val="FootnoteAnchor"/>
          <w:rtl w:val="true"/>
        </w:rPr>
        <w:footnoteReference w:id="1177"/>
      </w:r>
      <w:r>
        <w:rPr>
          <w:rFonts w:ascii="IRNazanin" w:hAnsi="IRNazanin" w:eastAsia="IRNazanin"/>
          <w:color w:val="111111"/>
          <w:sz w:val="28"/>
          <w:sz w:val="28"/>
          <w:szCs w:val="28"/>
          <w:rtl w:val="true"/>
          <w:lang w:bidi="fa-IR"/>
        </w:rPr>
        <w:t xml:space="preserve">الیقین،علی ما ذکرناه سابقا فی الجمع بین </w:t>
      </w:r>
      <w:bookmarkStart w:id="911" w:name="pg12977_114379"/>
    </w:p>
    <w:p>
      <w:pPr>
        <w:pStyle w:val="BookText"/>
        <w:rPr/>
      </w:pPr>
      <w:bookmarkEnd w:id="911"/>
      <w:r>
        <w:rPr>
          <w:rFonts w:ascii="Amiri" w:hAnsi="Amiri" w:eastAsia="Amiri" w:cs="Amiri"/>
          <w:color w:val="111111"/>
          <w:sz w:val="28"/>
          <w:sz w:val="28"/>
          <w:szCs w:val="28"/>
          <w:rtl w:val="true"/>
          <w:lang w:bidi="ar-SA"/>
        </w:rPr>
        <w:t xml:space="preserve">کلامی السیّد و الشیخ قدّس سرّهما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2" w:name="__RefHeading___Toc5447137_3224264995"/>
      <w:bookmarkStart w:id="913" w:name="_Toc350"/>
      <w:bookmarkEnd w:id="912"/>
      <w:r>
        <w:rPr/>
        <w:t>4</w:t>
      </w:r>
      <w:r>
        <w:rPr>
          <w:rtl w:val="true"/>
        </w:rPr>
        <w:t xml:space="preserve">- </w:t>
      </w:r>
      <w:r>
        <w:rPr>
          <w:rtl w:val="true"/>
        </w:rPr>
        <w:t>ما ذکره المحقق قدس سره</w:t>
      </w:r>
      <w:bookmarkEnd w:id="913"/>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المحقّق فی المعتبر فی مسألة خبر الواحد،حیث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أفرط الحشویّة فی العمل بخبر الواحد حتّی انقادوا لکلّ خبر،و ما فطنوا لما تحته من التناقض؛فإنّ من جملة الأخبار قول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ستکثر بعدی القالة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 رجل منّا رجلا یکذب علیه</w:t>
      </w:r>
      <w:r>
        <w:rPr>
          <w:rFonts w:eastAsia="IRNazanin" w:cs="IRNazanin"/>
          <w:color w:val="111111"/>
          <w:sz w:val="28"/>
          <w:szCs w:val="28"/>
          <w:rtl w:val="true"/>
          <w:lang w:bidi="fa-IR"/>
        </w:rPr>
        <w:t xml:space="preserve">»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اقتصر بعضهم من هذا الإفراط،فقال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سلیم السند یعمل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علم أنّ الکاذب قد یصدق،و لم یتنبّه علی أنّ ذلک طعن فی علماء الشیعة و قدح فی المذهب؛إذ ما من مصنّف إلاّ و هو یعمل بخبر المجروح کما یعمل بخبر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افرط آخرون فی طریق ردّ الخبر حتّی أحالوا استعماله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اقتصر آخرون،فلم یروا العقل مانعا،لکنّ الشرع لم یأذن فی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 هذه الأقوال منحرفة عن السنن،و التوسّط أقرب،فما قبله الأصحاب أو دلّت القرائن علی صحّته عمل به،و ما أعرض عنه الأصحاب أو شذّ یجب اطّراحه </w:t>
      </w:r>
      <w:r>
        <w:rPr>
          <w:rStyle w:val="FootnoteAnchor"/>
          <w:rtl w:val="true"/>
        </w:rPr>
        <w:footnoteReference w:id="118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علماء الشیعة قد یعملون بخبر </w:t>
      </w:r>
      <w:bookmarkStart w:id="914" w:name="pg12977_114380"/>
    </w:p>
    <w:p>
      <w:pPr>
        <w:pStyle w:val="BookText"/>
        <w:rPr/>
      </w:pPr>
      <w:bookmarkEnd w:id="914"/>
      <w:r>
        <w:rPr>
          <w:rFonts w:ascii="IRNazanin" w:hAnsi="IRNazanin" w:eastAsia="IRNazanin"/>
          <w:color w:val="111111"/>
          <w:sz w:val="28"/>
          <w:sz w:val="28"/>
          <w:szCs w:val="28"/>
          <w:rtl w:val="true"/>
          <w:lang w:bidi="fa-IR"/>
        </w:rPr>
        <w:t>المجروح کما یعملون بخبر العدل،و لیس المراد عملهم بخبر المجروح و العدل إذا أفاد العلم بصدقه؛لأنّ کلامه فی الخبر الغیر العلمیّ،و هو الذی أحال قوم استعماله عقلا و منعه آخرون شرعا</w:t>
      </w:r>
      <w:r>
        <w:rPr>
          <w:rFonts w:eastAsia="IRNazanin" w:cs="IRNazanin"/>
          <w:color w:val="111111"/>
          <w:sz w:val="28"/>
          <w:szCs w:val="28"/>
          <w:rtl w:val="true"/>
          <w:lang w:bidi="fa-IR"/>
        </w:rPr>
        <w:t>.</w:t>
      </w:r>
    </w:p>
    <w:p>
      <w:pPr>
        <w:pStyle w:val="Heading6"/>
        <w:numPr>
          <w:ilvl w:val="5"/>
          <w:numId w:val="1"/>
        </w:numPr>
        <w:rPr/>
      </w:pPr>
      <w:bookmarkStart w:id="915" w:name="__RefHeading___Toc5447139_3224264995"/>
      <w:bookmarkStart w:id="916" w:name="_Toc351"/>
      <w:bookmarkEnd w:id="915"/>
      <w:r>
        <w:rPr/>
        <w:t>5</w:t>
      </w:r>
      <w:r>
        <w:rPr>
          <w:rtl w:val="true"/>
        </w:rPr>
        <w:t>-</w:t>
      </w:r>
      <w:r>
        <w:rPr>
          <w:rtl w:val="true"/>
        </w:rPr>
        <w:t>ما ذکرة الشهید و المفید الثانی</w:t>
      </w:r>
      <w:bookmarkEnd w:id="916"/>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الشهید فی الذکری </w:t>
      </w:r>
      <w:r>
        <w:rPr>
          <w:rStyle w:val="FootnoteAnchor"/>
          <w:rtl w:val="true"/>
        </w:rPr>
        <w:footnoteReference w:id="1181"/>
      </w:r>
      <w:r>
        <w:rPr>
          <w:rFonts w:ascii="IRNazanin" w:hAnsi="IRNazanin" w:eastAsia="IRNazanin"/>
          <w:color w:val="111111"/>
          <w:sz w:val="28"/>
          <w:sz w:val="28"/>
          <w:szCs w:val="28"/>
          <w:rtl w:val="true"/>
          <w:lang w:bidi="fa-IR"/>
        </w:rPr>
        <w:t xml:space="preserve">و المفید الثانی ولد شیخنا الطوسی </w:t>
      </w:r>
      <w:r>
        <w:rPr>
          <w:rStyle w:val="FootnoteAnchor"/>
          <w:rtl w:val="true"/>
        </w:rPr>
        <w:footnoteReference w:id="1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الأصحاب قد عملوا بشرائع الشیخ أبی الحسن علیّ ابن بابویه عند إعواز النصوص؛تنزیلا لفتاواه منزلة روایاته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عمل الأصحاب بروایاته الغیر العلمیّة لم یکن وجه فی العمل بتلک الفتاوی عند عدم روایاته</w:t>
      </w:r>
      <w:r>
        <w:rPr>
          <w:rFonts w:eastAsia="IRNazanin" w:cs="IRNazanin"/>
          <w:color w:val="111111"/>
          <w:sz w:val="28"/>
          <w:szCs w:val="28"/>
          <w:rtl w:val="true"/>
          <w:lang w:bidi="fa-IR"/>
        </w:rPr>
        <w:t>.</w:t>
      </w:r>
    </w:p>
    <w:p>
      <w:pPr>
        <w:pStyle w:val="Heading6"/>
        <w:numPr>
          <w:ilvl w:val="5"/>
          <w:numId w:val="1"/>
        </w:numPr>
        <w:rPr/>
      </w:pPr>
      <w:bookmarkStart w:id="917" w:name="__RefHeading___Toc5447141_3224264995"/>
      <w:bookmarkStart w:id="918" w:name="_Toc352"/>
      <w:bookmarkEnd w:id="917"/>
      <w:r>
        <w:rPr/>
        <w:t>6</w:t>
      </w:r>
      <w:r>
        <w:rPr>
          <w:rtl w:val="true"/>
        </w:rPr>
        <w:t>-</w:t>
      </w:r>
      <w:r>
        <w:rPr>
          <w:rtl w:val="true"/>
        </w:rPr>
        <w:t>ما ذکره المحدث المجلسی</w:t>
      </w:r>
      <w:bookmarkEnd w:id="918"/>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المجلسی فی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تأویل بعض الأخبار التی تقدّم ذکرها فی دلیل السیّد و أتباعه ممّا دلّ علی المنع من العمل بالخبر الغیر المعلوم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عمل أصحاب الأئمّة علیهم السّلام بالخبر الغیر العلمیّ متواتر بالمعنی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شهادة مثل هذا المحدّث الخبیر الغوّاص فی بحار أنوار أخبار الأئمّة الأطهار بعمل أصحاب الأئمّة علیهم السّلام بالخبر الغیر العلمیّ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دعواه حصول القطع له بذلک من جهة التواتر،لا یقصر عن دعوی الشیخ و العلاّمة الإجماع علی العمل بأخبار الآحاد،و سیأتی أنّ المحدّث الحرّ العاملیّ فی الفصول المهمّة ادّعی أیضا تواتر الأخبار بذلک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 xml:space="preserve">. </w:t>
      </w:r>
      <w:bookmarkStart w:id="919" w:name="pg12977_114381"/>
    </w:p>
    <w:p>
      <w:pPr>
        <w:pStyle w:val="Heading6"/>
        <w:numPr>
          <w:ilvl w:val="5"/>
          <w:numId w:val="1"/>
        </w:numPr>
        <w:rPr/>
      </w:pPr>
      <w:bookmarkStart w:id="920" w:name="__RefHeading___Toc5447143_3224264995"/>
      <w:bookmarkStart w:id="921" w:name="_Toc353"/>
      <w:bookmarkEnd w:id="919"/>
      <w:bookmarkEnd w:id="920"/>
      <w:r>
        <w:rPr/>
        <w:t>7</w:t>
      </w:r>
      <w:r>
        <w:rPr>
          <w:rtl w:val="true"/>
        </w:rPr>
        <w:t>-</w:t>
      </w:r>
      <w:r>
        <w:rPr>
          <w:rtl w:val="true"/>
        </w:rPr>
        <w:t>ما ذکره الشیخ البهائی</w:t>
      </w:r>
      <w:bookmarkEnd w:id="921"/>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شیخنا البهائیّ فی مشرق الشمسین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الصحیح عند القدماء ما کان محفوفا بما یوجب رکون النفس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فیما یوجب الوثوق امورا لا تفید إلاّ الظنّ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معلوم أنّ الصحیح عندهم هو المعمول به،و لیس مثل الصحیح عند المتأخّرین فی أنّه قد لا یعمل به لإعراض الأصحاب عنه أو لخلل آخر؛فالمراد أنّ المقبول عندهم ما ترکن إلیه النفس و تثق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حضرنی من کلمات الأصحاب،الظاهرة فی دعوی الاتّفاق علی العمل بخبر الواحد الغیر العلمیّ فی الجملة،المؤیّدة لما ادّعاه الشیخ و العلاّمة</w:t>
      </w:r>
      <w:r>
        <w:rPr>
          <w:rFonts w:eastAsia="IRNazanin" w:cs="IRNazanin"/>
          <w:color w:val="111111"/>
          <w:sz w:val="28"/>
          <w:szCs w:val="28"/>
          <w:rtl w:val="true"/>
          <w:lang w:bidi="fa-IR"/>
        </w:rPr>
        <w:t>.</w:t>
      </w:r>
    </w:p>
    <w:p>
      <w:pPr>
        <w:pStyle w:val="Heading6"/>
        <w:numPr>
          <w:ilvl w:val="5"/>
          <w:numId w:val="1"/>
        </w:numPr>
        <w:rPr/>
      </w:pPr>
      <w:bookmarkStart w:id="922" w:name="__RefHeading___Toc5447145_3224264995"/>
      <w:bookmarkStart w:id="923" w:name="_Toc354"/>
      <w:bookmarkEnd w:id="922"/>
      <w:r>
        <w:rPr>
          <w:rtl w:val="true"/>
        </w:rPr>
        <w:t>ذهاب معظم الأصحاب إلی حجیّة الخبر الواحد</w:t>
      </w:r>
      <w:r>
        <w:rPr>
          <w:rtl w:val="true"/>
        </w:rPr>
        <w:t>:</w:t>
      </w:r>
      <w:bookmarkEnd w:id="923"/>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ضممت إلی ذلک کلّه ذهاب معظم الأصحاب بل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السیّد و أتباعه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زمان الصدوق إلی زماننا هذا،إلی حجّیّة الخبر الغیر العلمیّ،حتّی أنّ الصدوق تابع فی التصحیح و الردّ لشیخه ابن الولید،و أنّ ما صحّحه فهو صحیح و أنّ ما ردّه فهو مردود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صرّح به فی صلاة الغدیر </w:t>
      </w:r>
      <w:r>
        <w:rPr>
          <w:rStyle w:val="FootnoteAnchor"/>
          <w:rtl w:val="true"/>
        </w:rPr>
        <w:footnoteReference w:id="1186"/>
      </w:r>
      <w:r>
        <w:rPr>
          <w:rFonts w:ascii="IRNazanin" w:hAnsi="IRNazanin" w:eastAsia="IRNazanin"/>
          <w:color w:val="111111"/>
          <w:sz w:val="28"/>
          <w:sz w:val="28"/>
          <w:szCs w:val="28"/>
          <w:rtl w:val="true"/>
          <w:lang w:bidi="fa-IR"/>
        </w:rPr>
        <w:t xml:space="preserve">،و فی الخبر الذی رواه فی العیون عن کتاب الرحمة </w:t>
      </w:r>
      <w:r>
        <w:rPr>
          <w:rStyle w:val="FootnoteAnchor"/>
          <w:rtl w:val="true"/>
        </w:rPr>
        <w:footnoteReference w:id="1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ضممت إلی ذلک ظهور عبارة أهل الرجال فی تراجم کثیر من الرواة فی کون العمل بالخبر الغیر العلمیّ مسلّما عندهم،مثل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لا یعتمد علی ما ینفرد به،و فلان مسکون فی روایته، و فلان صحیح الحدیث،و الطعن فی بعض بأنّه یعتمد الضعفاء و المراسیل، </w:t>
      </w:r>
      <w:bookmarkStart w:id="924" w:name="pg12977_114382"/>
    </w:p>
    <w:p>
      <w:pPr>
        <w:pStyle w:val="BookText"/>
        <w:rPr/>
      </w:pPr>
      <w:bookmarkEnd w:id="924"/>
      <w:r>
        <w:rPr>
          <w:rFonts w:ascii="IRNazanin" w:hAnsi="IRNazanin" w:eastAsia="IRNazanin"/>
          <w:color w:val="111111"/>
          <w:sz w:val="28"/>
          <w:sz w:val="28"/>
          <w:szCs w:val="28"/>
          <w:rtl w:val="true"/>
          <w:lang w:bidi="fa-IR"/>
        </w:rPr>
        <w:t xml:space="preserve">و </w:t>
      </w:r>
      <w:r>
        <w:rPr>
          <w:rStyle w:val="FootnoteAnchor"/>
          <w:rtl w:val="true"/>
        </w:rPr>
        <w:footnoteReference w:id="1188"/>
      </w:r>
      <w:r>
        <w:rPr>
          <w:rFonts w:ascii="IRNazanin" w:hAnsi="IRNazanin" w:eastAsia="IRNazanin"/>
          <w:color w:val="111111"/>
          <w:sz w:val="28"/>
          <w:sz w:val="28"/>
          <w:szCs w:val="28"/>
          <w:rtl w:val="true"/>
          <w:lang w:bidi="fa-IR"/>
        </w:rPr>
        <w:t>غیر ذلک،و ضممت إلی ذلک ما یظهر من بعض أسئلة الروایات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العمل بالخبر الغیر العلمیّ کان مفروغا عنه عند الرواة، تعلم علما یقینیّا </w:t>
      </w:r>
      <w:r>
        <w:rPr>
          <w:rStyle w:val="FootnoteAnchor"/>
          <w:rtl w:val="true"/>
        </w:rPr>
        <w:footnoteReference w:id="1189"/>
      </w:r>
      <w:r>
        <w:rPr>
          <w:rFonts w:ascii="IRNazanin" w:hAnsi="IRNazanin" w:eastAsia="IRNazanin"/>
          <w:color w:val="111111"/>
          <w:sz w:val="28"/>
          <w:sz w:val="28"/>
          <w:szCs w:val="28"/>
          <w:rtl w:val="true"/>
          <w:lang w:bidi="fa-IR"/>
        </w:rPr>
        <w:t xml:space="preserve">صدق ما ادّعاه الشیخ من إجماع الطائفة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لم یحصل فی مسألة یدّعی فیها الإجماع من الإجماعات المنقولة و الشهرة العظیمة </w:t>
      </w:r>
      <w:r>
        <w:rPr>
          <w:rStyle w:val="FootnoteAnchor"/>
          <w:rtl w:val="true"/>
        </w:rPr>
        <w:footnoteReference w:id="1191"/>
      </w:r>
      <w:r>
        <w:rPr>
          <w:rFonts w:ascii="IRNazanin" w:hAnsi="IRNazanin" w:eastAsia="IRNazanin"/>
          <w:color w:val="111111"/>
          <w:sz w:val="28"/>
          <w:sz w:val="28"/>
          <w:szCs w:val="28"/>
          <w:rtl w:val="true"/>
          <w:lang w:bidi="fa-IR"/>
        </w:rPr>
        <w:t>و الأمارات الکثیرة الدالّة علی العمل،ما حصل فی هذه المسألة،فالشاکّ فی تحقّق الإجماع فی هذه المسألة لا أراه یحصل له الإجماع فی مسألة من المسائل الفقهیّة،اللهمّ إلاّ فی ضروریّات المذهب</w:t>
      </w:r>
      <w:r>
        <w:rPr>
          <w:rFonts w:eastAsia="IRNazanin" w:cs="IRNazanin"/>
          <w:color w:val="111111"/>
          <w:sz w:val="28"/>
          <w:szCs w:val="28"/>
          <w:rtl w:val="true"/>
          <w:lang w:bidi="fa-IR"/>
        </w:rPr>
        <w:t>.</w:t>
      </w:r>
    </w:p>
    <w:p>
      <w:pPr>
        <w:pStyle w:val="Heading6"/>
        <w:numPr>
          <w:ilvl w:val="5"/>
          <w:numId w:val="1"/>
        </w:numPr>
        <w:rPr/>
      </w:pPr>
      <w:bookmarkStart w:id="925" w:name="__RefHeading___Toc5447147_3224264995"/>
      <w:bookmarkStart w:id="926" w:name="_Toc355"/>
      <w:bookmarkEnd w:id="925"/>
      <w:r>
        <w:rPr>
          <w:rtl w:val="true"/>
        </w:rPr>
        <w:t>القدر المتیقّن هو الخبر المفید للاطمئنان</w:t>
      </w:r>
      <w:r>
        <w:rPr>
          <w:rtl w:val="true"/>
        </w:rPr>
        <w:t>:</w:t>
      </w:r>
      <w:bookmarkEnd w:id="926"/>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المتیقّن من هذا کلّه الخبر المفید للاطمئنان، لا مطلق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لعلّه مراد السیّد من العلم کما أشرنا إلیه آنفا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ظاهر کلام بعض احتمال أن یکون مراد السیّد قدّس سرّه من خبر الواحد غیر مراد الشیخ قدّس سرّه</w:t>
      </w:r>
      <w:r>
        <w:rPr>
          <w:rFonts w:eastAsia="IRNazanin" w:cs="IRNazanin"/>
          <w:color w:val="111111"/>
          <w:sz w:val="28"/>
          <w:szCs w:val="28"/>
          <w:rtl w:val="true"/>
          <w:lang w:bidi="fa-IR"/>
        </w:rPr>
        <w:t xml:space="preserve">. </w:t>
      </w:r>
      <w:bookmarkStart w:id="927" w:name="pg12977_114383"/>
    </w:p>
    <w:p>
      <w:pPr>
        <w:pStyle w:val="BookText"/>
        <w:rPr/>
      </w:pPr>
      <w:bookmarkEnd w:id="927"/>
      <w:r>
        <w:rPr>
          <w:rFonts w:ascii="IRNazanin" w:hAnsi="IRNazanin" w:eastAsia="IRNazanin"/>
          <w:color w:val="111111"/>
          <w:sz w:val="28"/>
          <w:sz w:val="28"/>
          <w:szCs w:val="28"/>
          <w:rtl w:val="true"/>
          <w:lang w:bidi="fa-IR"/>
        </w:rPr>
        <w:t>قال الفاضل القزوینی فی لسان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حکی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الکلمة أعنی 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یستفاد من تتبّع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تستعمل فی ثلاثة معان</w:t>
      </w:r>
      <w:r>
        <w:rPr>
          <w:rFonts w:eastAsia="IRNazanin" w:cs="IRNazanin"/>
          <w:color w:val="111111"/>
          <w:sz w:val="28"/>
          <w:szCs w:val="28"/>
          <w:rtl w:val="true"/>
          <w:lang w:bidi="fa-IR"/>
        </w:rPr>
        <w:t>:</w:t>
      </w:r>
    </w:p>
    <w:p>
      <w:pPr>
        <w:pStyle w:val="Heading6"/>
        <w:numPr>
          <w:ilvl w:val="5"/>
          <w:numId w:val="1"/>
        </w:numPr>
        <w:rPr/>
      </w:pPr>
      <w:bookmarkStart w:id="928" w:name="__RefHeading___Toc5447149_3224264995"/>
      <w:bookmarkStart w:id="929" w:name="_Toc356"/>
      <w:bookmarkEnd w:id="928"/>
      <w:r>
        <w:rPr>
          <w:rtl w:val="true"/>
        </w:rPr>
        <w:t>کلام الفاضل القزوینی فی تفسیر الخبر الواحد</w:t>
      </w:r>
      <w:bookmarkEnd w:id="929"/>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الشاذّ النادر الذی لم یعمل به أحد،أو ندر من یعمل به، و یقابله ما عمل به کثیرون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یقابل المأخوذ من الثّقات المحفوظ فی الاصول المعمولة عند جمیع خواصّ الطائفة،فیشمل الأوّل و مقابله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یقابل المتواتر القطعیّ الصدور،و هذا یشمل الأوّلین و ما یقابلهما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 نقل إجماع الشیعة علی إنکاره هو الأوّل،و ما انفرد السیّد قدّس سرّه بردّه هو الثانی،و أمّا الثالث،فلم یتحقّق من أحد نفیه علی الإطلاق </w:t>
      </w:r>
      <w:r>
        <w:rPr>
          <w:rStyle w:val="FootnoteAnchor"/>
          <w:rtl w:val="true"/>
        </w:rPr>
        <w:footnoteReference w:id="119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کلام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أحسن منه ما قدمناه </w:t>
      </w:r>
      <w:r>
        <w:rPr>
          <w:rStyle w:val="FootnoteAnchor"/>
          <w:rtl w:val="true"/>
        </w:rPr>
        <w:footnoteReference w:id="1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مراد السیّد من العلم ما یشمل الظنّ الاطمئنانیّ،کما یشهد به التفسیر المحکیّ عنه للعلم،بأنّه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اقتضی سکون النفس </w:t>
      </w:r>
      <w:r>
        <w:rPr>
          <w:rStyle w:val="FootnoteAnchor"/>
          <w:rtl w:val="true"/>
        </w:rPr>
        <w:footnoteReference w:id="1195"/>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6"/>
        <w:numPr>
          <w:ilvl w:val="5"/>
          <w:numId w:val="1"/>
        </w:numPr>
        <w:rPr/>
      </w:pPr>
      <w:bookmarkStart w:id="930" w:name="__RefHeading___Toc5447151_3224264995"/>
      <w:bookmarkStart w:id="931" w:name="_Toc357"/>
      <w:bookmarkEnd w:id="930"/>
      <w:r>
        <w:rPr>
          <w:rtl w:val="true"/>
        </w:rPr>
        <w:t>الثانی من وجوه تقریر الإجماع</w:t>
      </w:r>
      <w:r>
        <w:rPr>
          <w:rtl w:val="true"/>
        </w:rPr>
        <w:t xml:space="preserve">: </w:t>
      </w:r>
      <w:r>
        <w:rPr>
          <w:rtl w:val="true"/>
        </w:rPr>
        <w:t>الإجماع حتّی من السیّد و أتباعه علی العمل بخبر الواحد</w:t>
      </w:r>
      <w:bookmarkEnd w:id="931"/>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یدّعی الإجماع حتّی من السیّد و أتباعه علی وجوب العمل </w:t>
      </w:r>
      <w:bookmarkStart w:id="932" w:name="pg12977_114384"/>
    </w:p>
    <w:p>
      <w:pPr>
        <w:pStyle w:val="BookText"/>
        <w:rPr/>
      </w:pPr>
      <w:bookmarkEnd w:id="932"/>
      <w:r>
        <w:rPr>
          <w:rFonts w:ascii="IRNazanin" w:hAnsi="IRNazanin" w:eastAsia="IRNazanin"/>
          <w:color w:val="111111"/>
          <w:sz w:val="28"/>
          <w:sz w:val="28"/>
          <w:szCs w:val="28"/>
          <w:rtl w:val="true"/>
          <w:lang w:bidi="fa-IR"/>
        </w:rPr>
        <w:t>بالخبر الغیر العلمیّ فی زماننا هذا و شبهه ممّا انسدّ فیه باب القرائن المفیدة للعلم بصدق الخبر؛فإنّ الظاهر أنّ السیّد إنّما منع من ذلک لعدم الحاجة إلی خبر الواحد المجرّد،کما یظهر من کلامه المتضمّن للاعتراض علی نفسه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سددتم طریق العمل بأخبار الآحاد فعلی أیّ شیء تعوّلون فی الفقه کلّه؟</w:t>
      </w:r>
    </w:p>
    <w:p>
      <w:pPr>
        <w:pStyle w:val="BookText"/>
        <w:rPr/>
      </w:pPr>
      <w:r>
        <w:rPr>
          <w:rFonts w:ascii="IRNazanin" w:hAnsi="IRNazanin" w:eastAsia="IRNazanin"/>
          <w:color w:val="111111"/>
          <w:sz w:val="28"/>
          <w:sz w:val="28"/>
          <w:szCs w:val="28"/>
          <w:rtl w:val="true"/>
          <w:lang w:bidi="fa-IR"/>
        </w:rPr>
        <w:t>فأجاب بما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معظم الفقه یعلم بالضرورة و الإجماع و الأخبار العلمیّة،و ما یبقی من المسائل الخلافیّة یرجع فیها إلی التخییر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اعترف السیّد رحمه اللّه فی بعض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فی المعالم </w:t>
      </w:r>
      <w:r>
        <w:rPr>
          <w:rStyle w:val="FootnoteAnchor"/>
          <w:rtl w:val="true"/>
        </w:rPr>
        <w:footnoteReference w:id="1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و کذا الحلّی فی بعض کلامه </w:t>
      </w:r>
      <w:r>
        <w:rPr>
          <w:rStyle w:val="FootnoteAnchor"/>
          <w:rtl w:val="true"/>
        </w:rPr>
        <w:footnoteReference w:id="1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ببالی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العمل بالظنّ متعیّن فیما لا سبیل فیه إلی العلم</w:t>
      </w:r>
      <w:r>
        <w:rPr>
          <w:rFonts w:eastAsia="IRNazanin" w:cs="IRNazanin"/>
          <w:color w:val="111111"/>
          <w:sz w:val="28"/>
          <w:szCs w:val="28"/>
          <w:rtl w:val="true"/>
          <w:lang w:bidi="fa-IR"/>
        </w:rPr>
        <w:t>.</w:t>
      </w:r>
    </w:p>
    <w:p>
      <w:pPr>
        <w:pStyle w:val="Heading6"/>
        <w:numPr>
          <w:ilvl w:val="5"/>
          <w:numId w:val="1"/>
        </w:numPr>
        <w:rPr/>
      </w:pPr>
      <w:bookmarkStart w:id="933" w:name="__RefHeading___Toc5447153_3224264995"/>
      <w:bookmarkStart w:id="934" w:name="_Toc358"/>
      <w:bookmarkEnd w:id="933"/>
      <w:r>
        <w:rPr>
          <w:rtl w:val="true"/>
        </w:rPr>
        <w:t>الثالث من وجوه تقریر الإجماع</w:t>
      </w:r>
      <w:r>
        <w:rPr>
          <w:rtl w:val="true"/>
        </w:rPr>
        <w:t xml:space="preserve">: </w:t>
      </w:r>
      <w:r>
        <w:rPr>
          <w:rtl w:val="true"/>
        </w:rPr>
        <w:t>استقرار سیرة المسلمین علی العمل بخبر الواحد</w:t>
      </w:r>
      <w:bookmarkEnd w:id="934"/>
    </w:p>
    <w:p>
      <w:pPr>
        <w:pStyle w:val="BookText"/>
        <w:rPr/>
      </w:pPr>
      <w:r>
        <w:rPr>
          <w:rFonts w:ascii="IRNazanin" w:hAnsi="IRNazanin" w:eastAsia="IRNazanin"/>
          <w:color w:val="111111"/>
          <w:sz w:val="28"/>
          <w:sz w:val="28"/>
          <w:szCs w:val="28"/>
          <w:rtl w:val="true"/>
          <w:lang w:bidi="fa-IR"/>
        </w:rPr>
        <w:t>استقرار سیرة المسلمین طرّا علی استفادة الأحکام الشرعیّة من أخبار الثقات المتوسّطة بینهم و بین الإمام علیه السّلام أو المجتهد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المقلّدین یتوقّفون فی العمل بما یخبرهم الثقة عن المجتهد، أو الزوجة تتوقّف فیما یحکیه زوجها عن المجتهد فی مسائل حیضها و ما </w:t>
      </w:r>
      <w:bookmarkStart w:id="935" w:name="pg12977_114385"/>
    </w:p>
    <w:p>
      <w:pPr>
        <w:pStyle w:val="BookText"/>
        <w:rPr/>
      </w:pPr>
      <w:bookmarkEnd w:id="935"/>
      <w:r>
        <w:rPr>
          <w:rFonts w:ascii="IRNazanin" w:hAnsi="IRNazanin" w:eastAsia="IRNazanin"/>
          <w:color w:val="111111"/>
          <w:sz w:val="28"/>
          <w:sz w:val="28"/>
          <w:szCs w:val="28"/>
          <w:rtl w:val="true"/>
          <w:lang w:bidi="fa-IR"/>
        </w:rPr>
        <w:t>یتعلّق بها إلی أن یعلموا من المجتهد تجویز العمل بالخبر الغیر العلمیّ؟ و هذا ممّا لا 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القطع لهم فی جمیع الموارد،بعیدة عن الإنصاف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نعم،المتیقّن من ذلک صورة حصول الاطمئنان بحیث لا یعتنی باحتمال الخلاف</w:t>
      </w:r>
      <w:r>
        <w:rPr>
          <w:rFonts w:eastAsia="IRNazanin" w:cs="IRNazanin"/>
          <w:color w:val="111111"/>
          <w:sz w:val="28"/>
          <w:szCs w:val="28"/>
          <w:rtl w:val="true"/>
          <w:lang w:bidi="fa-IR"/>
        </w:rPr>
        <w:t>.</w:t>
      </w:r>
    </w:p>
    <w:p>
      <w:pPr>
        <w:pStyle w:val="Heading6"/>
        <w:numPr>
          <w:ilvl w:val="5"/>
          <w:numId w:val="1"/>
        </w:numPr>
        <w:rPr/>
      </w:pPr>
      <w:bookmarkStart w:id="936" w:name="__RefHeading___Toc5447155_3224264995"/>
      <w:bookmarkStart w:id="937" w:name="_Toc359"/>
      <w:bookmarkEnd w:id="936"/>
      <w:r>
        <w:rPr>
          <w:rtl w:val="true"/>
        </w:rPr>
        <w:t>کلام السید المرتضی قدس سره</w:t>
      </w:r>
      <w:bookmarkEnd w:id="937"/>
    </w:p>
    <w:p>
      <w:pPr>
        <w:pStyle w:val="BookText"/>
        <w:rPr/>
      </w:pPr>
      <w:r>
        <w:rPr>
          <w:rFonts w:ascii="IRNazanin" w:hAnsi="IRNazanin" w:eastAsia="IRNazanin"/>
          <w:color w:val="111111"/>
          <w:sz w:val="28"/>
          <w:sz w:val="28"/>
          <w:szCs w:val="28"/>
          <w:rtl w:val="true"/>
          <w:lang w:bidi="fa-IR"/>
        </w:rPr>
        <w:t xml:space="preserve">و قد حکی اعتراض السیّد قدّس سرّه علی نفسه </w:t>
      </w:r>
      <w:r>
        <w:rPr>
          <w:rStyle w:val="FootnoteAnchor"/>
          <w:rtl w:val="true"/>
        </w:rPr>
        <w:footnoteReference w:id="1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خلاف بین الامّة فی أنّ من و کلّ وکیلا أو استناب صدیقا فی ابتیاع أمة أو عقد علی امرأة فی بلده أو فی بلاد نائیة،فحمل إلیه الجاریة و زفّ إلیه المرأة، و أخبره أنّه أزاح العلّة فی ثمن الجاریة و مهر المرأة،و أنّه اشتری هذه و عقد علی 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 وطأها و الانتفاع بها فی کلّ ما یسوغ للمالک و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سبیله مع زوجته و أمته إذا أخبرته بطهرها و حیضها، و یرد الکتاب علی المرأة بطلاق زوجها أو بموته فتتزوّج،و علی الرجل بموت امرأته فیتزوّج اختها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خلاف بین الامّة فی أنّ للعالم أن یفتی و للعامیّ أن یأخذ منه،مع عدم علم أنّ ما أفتی به من شریعة الإسلام و أنّه مذهبه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 بما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إن کان الغرض من هذا الردّ علی من أحال التعبّد بخبر الواحد،فمتوجّه و لا محیص </w:t>
      </w:r>
      <w:r>
        <w:rPr>
          <w:rStyle w:val="FootnoteAnchor"/>
          <w:rtl w:val="true"/>
        </w:rPr>
        <w:footnoteReference w:id="1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الغرض الاحتجاج به علی وجوب العمل بأخبار الآحاد فی التحلیل و التحریم، فهذه مقامات ثبت فیها التعبّد بأخبار الآحاد من طرق علمیّة من </w:t>
      </w:r>
      <w:bookmarkStart w:id="938" w:name="pg12977_114386"/>
    </w:p>
    <w:p>
      <w:pPr>
        <w:pStyle w:val="BookText"/>
        <w:rPr/>
      </w:pPr>
      <w:bookmarkEnd w:id="938"/>
      <w:r>
        <w:rPr>
          <w:rFonts w:ascii="IRNazanin" w:hAnsi="IRNazanin" w:eastAsia="IRNazanin"/>
          <w:color w:val="111111"/>
          <w:sz w:val="28"/>
          <w:sz w:val="28"/>
          <w:szCs w:val="28"/>
          <w:rtl w:val="true"/>
          <w:lang w:bidi="fa-IR"/>
        </w:rPr>
        <w:t xml:space="preserve">إجماع و غیره علی أنحاء مختلفة،فی بعضها لا یقبل إلاّ إخبار أربعة،و فی بعضها لا یقبل إلاّ عدلان،و فی بعضها یکفی قول العدل الواحد </w:t>
      </w:r>
      <w:r>
        <w:rPr>
          <w:rStyle w:val="FootnoteAnchor"/>
          <w:rtl w:val="true"/>
        </w:rPr>
        <w:footnoteReference w:id="1201"/>
      </w:r>
      <w:r>
        <w:rPr>
          <w:rFonts w:ascii="IRNazanin" w:hAnsi="IRNazanin" w:eastAsia="IRNazanin"/>
          <w:color w:val="111111"/>
          <w:sz w:val="28"/>
          <w:sz w:val="28"/>
          <w:szCs w:val="28"/>
          <w:rtl w:val="true"/>
          <w:lang w:bidi="fa-IR"/>
        </w:rPr>
        <w:t xml:space="preserve">،و فی بعضها یکفی خبر الفاسق و الذمّی،کما فی الوکیل و مبتاع </w:t>
      </w:r>
      <w:r>
        <w:rPr>
          <w:rStyle w:val="FootnoteAnchor"/>
          <w:rtl w:val="true"/>
        </w:rPr>
        <w:footnoteReference w:id="1202"/>
      </w:r>
      <w:r>
        <w:rPr>
          <w:rFonts w:ascii="IRNazanin" w:hAnsi="IRNazanin" w:eastAsia="IRNazanin"/>
          <w:color w:val="111111"/>
          <w:sz w:val="28"/>
          <w:sz w:val="28"/>
          <w:szCs w:val="28"/>
          <w:rtl w:val="true"/>
          <w:lang w:bidi="fa-IR"/>
        </w:rPr>
        <w:t>الأمة و الزوجة فی الحیض و الطهر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کیف یقاس علی ذلک روایة الأخبار فی الأحکام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المعترض حیث ادّعی الإجماع علی العمل فی الموارد المذکورة،فقد لقّن الخصم طریق إلزامه و الردّ علیه بأنّ هذه الموارد للإجماع،و لو ادّعی استقرار سیرة المسلمین علی العمل فی الموارد المذکورة و إن لم یطّلعوا علی کون ذلک إجماعیّا عند العلماء،کان أبعد عن الردّ،فتأمّل</w:t>
      </w:r>
      <w:r>
        <w:rPr>
          <w:rFonts w:eastAsia="IRNazanin" w:cs="IRNazanin"/>
          <w:color w:val="111111"/>
          <w:sz w:val="28"/>
          <w:szCs w:val="28"/>
          <w:rtl w:val="true"/>
          <w:lang w:bidi="fa-IR"/>
        </w:rPr>
        <w:t>.</w:t>
      </w:r>
    </w:p>
    <w:p>
      <w:pPr>
        <w:pStyle w:val="Heading6"/>
        <w:numPr>
          <w:ilvl w:val="5"/>
          <w:numId w:val="1"/>
        </w:numPr>
        <w:rPr/>
      </w:pPr>
      <w:bookmarkStart w:id="939" w:name="__RefHeading___Toc5447157_3224264995"/>
      <w:bookmarkStart w:id="940" w:name="_Toc360"/>
      <w:bookmarkEnd w:id="939"/>
      <w:r>
        <w:rPr>
          <w:rtl w:val="true"/>
        </w:rPr>
        <w:t>الرابع</w:t>
      </w:r>
      <w:r>
        <w:rPr>
          <w:rtl w:val="true"/>
        </w:rPr>
        <w:t>:</w:t>
      </w:r>
      <w:r>
        <w:rPr>
          <w:rtl w:val="true"/>
        </w:rPr>
        <w:t>استقرار طریقة العقلاء علی العمل بخبر الواحد</w:t>
      </w:r>
      <w:bookmarkEnd w:id="940"/>
    </w:p>
    <w:p>
      <w:pPr>
        <w:pStyle w:val="BookText"/>
        <w:rPr/>
      </w:pPr>
      <w:r>
        <w:rPr>
          <w:rFonts w:ascii="IRNazanin" w:hAnsi="IRNazanin" w:eastAsia="IRNazanin"/>
          <w:color w:val="111111"/>
          <w:sz w:val="28"/>
          <w:sz w:val="28"/>
          <w:szCs w:val="28"/>
          <w:rtl w:val="true"/>
          <w:lang w:bidi="fa-IR"/>
        </w:rPr>
        <w:t>استقرار طریقة العقلاء طرّا علی الرجوع إلی خبر الثقة فی امورهم العادیّة،و منها الأوامر الجاریة من الموالی إلی العبید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الشارع إن اکتفی بذلک منهم فی الأحکام الشرعیّة فهو،و إلاّ وجب علیه ردعهم و تنبیههم علی بطلان سلوک هذا الطریق فی الأحکام الشرعیّة،کما ردع فی مواضع خاصّة،و حیث لم یردع علم منه رضاه بذلک؛لأنّ اللازم فی باب الإطاعة و المعصیة الأخذ بما یعدّ </w:t>
      </w:r>
    </w:p>
    <w:p>
      <w:pPr>
        <w:pStyle w:val="BookText"/>
        <w:rPr/>
      </w:pPr>
      <w:r>
        <w:rPr>
          <w:rFonts w:ascii="IRNazanin" w:hAnsi="IRNazanin" w:eastAsia="IRNazanin"/>
          <w:color w:val="111111"/>
          <w:sz w:val="28"/>
          <w:sz w:val="28"/>
          <w:szCs w:val="28"/>
          <w:rtl w:val="true"/>
          <w:lang w:bidi="fa-IR"/>
        </w:rPr>
        <w:t>طاعة فی العرف و ترک ما یعدّ معصیة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یکفی فی ردعهم الآیات المتکاثرة </w:t>
      </w:r>
      <w:r>
        <w:rPr>
          <w:rStyle w:val="FootnoteAnchor"/>
          <w:rtl w:val="true"/>
        </w:rPr>
        <w:footnoteReference w:id="1204"/>
      </w:r>
      <w:r>
        <w:rPr>
          <w:rFonts w:ascii="Amiri" w:hAnsi="Amiri" w:eastAsia="Amiri" w:cs="Amiri"/>
          <w:color w:val="111111"/>
          <w:sz w:val="28"/>
          <w:sz w:val="28"/>
          <w:szCs w:val="28"/>
          <w:rtl w:val="true"/>
          <w:lang w:bidi="ar-SA"/>
        </w:rPr>
        <w:t xml:space="preserve">و الأخبار المتظافرة بل المتواترة </w:t>
      </w:r>
      <w:r>
        <w:rPr>
          <w:rStyle w:val="FootnoteAnchor"/>
          <w:rtl w:val="true"/>
        </w:rPr>
        <w:footnoteReference w:id="1205"/>
      </w:r>
      <w:r>
        <w:rPr>
          <w:rFonts w:ascii="IRNazanin" w:hAnsi="IRNazanin" w:eastAsia="IRNazanin"/>
          <w:color w:val="111111"/>
          <w:sz w:val="28"/>
          <w:sz w:val="28"/>
          <w:szCs w:val="28"/>
          <w:rtl w:val="true"/>
          <w:lang w:bidi="fa-IR"/>
        </w:rPr>
        <w:t>علی حرمة العمل بما عدا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انحصار دلیل حرمة العمل بما عدا العلم فی أمرین،و أنّ الآیات و الأخبار راجعة إلی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العمل بالظنّ و التعبّد به من دون توقیف من الشارع تشریع محرّم بالأدلّة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فیه طرحا لأدلّة الاصول العملیّة و اللفظیّة التی اعتبرها الشارع عند عدم العلم بخلافها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شیء من هذین الوجهین لا یوجب ردعهم عن العمل؛لکون حرمة العمل بالظنّ من أجلهما مرکوزا فی ذهن العقلاء؛لأنّ حرمة التشریع ثابت عندهم،و الاصول العملیّة و اللفظیّة معتبرة عندهم مع عدم الدلیل علی الخلاف،و مع ذلک نجد </w:t>
      </w:r>
      <w:r>
        <w:rPr>
          <w:rStyle w:val="FootnoteAnchor"/>
          <w:rtl w:val="true"/>
        </w:rPr>
        <w:footnoteReference w:id="1206"/>
      </w:r>
      <w:r>
        <w:rPr>
          <w:rFonts w:ascii="IRNazanin" w:hAnsi="IRNazanin" w:eastAsia="IRNazanin"/>
          <w:color w:val="111111"/>
          <w:sz w:val="28"/>
          <w:sz w:val="28"/>
          <w:szCs w:val="28"/>
          <w:rtl w:val="true"/>
          <w:lang w:bidi="fa-IR"/>
        </w:rPr>
        <w:t>بناءهم علی العمل بالخبر الموجب للاطمئنان</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جریان الوجهین المذکورین بعد استقرار سیرة العقلاء علی العمل بالخبر؛لانتفاء تحقّق التشریع مع بنائهم علی سلوکه فی مقام الإطاعة و المعصیة؛فإنّ الملتزم بفعل ما أخبر الثقة بوجوبه و ترک ما أخبر بحرمته لا یعدّ مشرّعا،بل لا یشکّون فی کونه </w:t>
      </w:r>
      <w:bookmarkStart w:id="941" w:name="pg12977_114388"/>
    </w:p>
    <w:p>
      <w:pPr>
        <w:pStyle w:val="BookText"/>
        <w:rPr/>
      </w:pPr>
      <w:bookmarkEnd w:id="941"/>
      <w:r>
        <w:rPr>
          <w:rFonts w:ascii="IRNazanin" w:hAnsi="IRNazanin" w:eastAsia="IRNazanin"/>
          <w:color w:val="111111"/>
          <w:sz w:val="28"/>
          <w:sz w:val="28"/>
          <w:szCs w:val="28"/>
          <w:rtl w:val="true"/>
          <w:lang w:bidi="fa-IR"/>
        </w:rPr>
        <w:t xml:space="preserve">مطیعا؛و لذا یعوّلون علیه </w:t>
      </w:r>
      <w:r>
        <w:rPr>
          <w:rStyle w:val="FootnoteAnchor"/>
          <w:rtl w:val="true"/>
        </w:rPr>
        <w:footnoteReference w:id="1207"/>
      </w:r>
      <w:r>
        <w:rPr>
          <w:rFonts w:ascii="IRNazanin" w:hAnsi="IRNazanin" w:eastAsia="IRNazanin"/>
          <w:color w:val="111111"/>
          <w:sz w:val="28"/>
          <w:sz w:val="28"/>
          <w:szCs w:val="28"/>
          <w:rtl w:val="true"/>
          <w:lang w:bidi="fa-IR"/>
        </w:rPr>
        <w:t>فی أوامرهم العرفیّة من الموالی إلی العبید، مع أنّ قبح التشریع عند العقلاء لا یختصّ بالأحکام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الاصول المقابلة للخبر،فلا دلیل علی جریانها فی مقابل خبر الثقة؛لأنّ الاصول التی مدرکها حکم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الأخبار؛ لقصورها عن إفادة اعتبارها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کالبراءة و الاحتیاط و التخییر،لا إشکال فی عدم جریانها فی مقابل خبر الثقة بعد الاعتراف ببناء العقلاء علی العمل به فی أحکامهم العرفیّة؛لأنّ نسبة العقل فی حکمه بالعمل بالاصول المذکورة إلی الأحکام الشرعیّة و العرفیّة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الاستصحاب،فإن اخذ من العقل فلا إشکال فی أنّه لا یفید الظنّ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اخذ من الأخبار فغایة الأمر حصول الوثوق بصدورها دون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الاصول اللفظیّة کالإطلاق و العموم،فلیس بناء أهل اللسان علی اعتبارها حتّی فی مقام وجود الخبر الموثوق به فی مقابلها،فتأمّل</w:t>
      </w:r>
      <w:r>
        <w:rPr>
          <w:rFonts w:eastAsia="IRNazanin" w:cs="IRNazanin"/>
          <w:color w:val="111111"/>
          <w:sz w:val="28"/>
          <w:szCs w:val="28"/>
          <w:rtl w:val="true"/>
          <w:lang w:bidi="fa-IR"/>
        </w:rPr>
        <w:t>.</w:t>
      </w:r>
    </w:p>
    <w:p>
      <w:pPr>
        <w:pStyle w:val="Heading6"/>
        <w:numPr>
          <w:ilvl w:val="5"/>
          <w:numId w:val="1"/>
        </w:numPr>
        <w:rPr/>
      </w:pPr>
      <w:bookmarkStart w:id="942" w:name="__RefHeading___Toc5447159_3224264995"/>
      <w:bookmarkStart w:id="943" w:name="_Toc361"/>
      <w:bookmarkEnd w:id="942"/>
      <w:r>
        <w:rPr>
          <w:rtl w:val="true"/>
        </w:rPr>
        <w:t>الخامس</w:t>
      </w:r>
      <w:r>
        <w:rPr>
          <w:rtl w:val="true"/>
        </w:rPr>
        <w:t>:</w:t>
      </w:r>
      <w:r>
        <w:rPr>
          <w:rtl w:val="true"/>
        </w:rPr>
        <w:t>إجماع الصحابة علی العمل بخبر الواحد</w:t>
      </w:r>
      <w:bookmarkEnd w:id="943"/>
    </w:p>
    <w:p>
      <w:pPr>
        <w:pStyle w:val="BookText"/>
        <w:rPr/>
      </w:pPr>
      <w:r>
        <w:rPr>
          <w:rFonts w:ascii="IRNazanin" w:hAnsi="IRNazanin" w:eastAsia="IRNazanin"/>
          <w:color w:val="111111"/>
          <w:sz w:val="28"/>
          <w:sz w:val="28"/>
          <w:szCs w:val="28"/>
          <w:rtl w:val="true"/>
          <w:lang w:bidi="fa-IR"/>
        </w:rPr>
        <w:t>ما ذکره العلاّمة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إجماع الصحابة علی العمل بخبر الواحد من غیر نکیر،و قد ذکر فی النهایة مواضع کثیرة عمل فیها الصحابة بخبر الواحد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44" w:name="__RefHeading___Toc5447161_3224264995"/>
      <w:bookmarkStart w:id="945" w:name="_Toc362"/>
      <w:bookmarkEnd w:id="944"/>
      <w:r>
        <w:rPr>
          <w:rtl w:val="true"/>
        </w:rPr>
        <w:t>التأمّل فی هذا الوجه</w:t>
      </w:r>
      <w:r>
        <w:rPr>
          <w:rtl w:val="true"/>
        </w:rPr>
        <w:t>:</w:t>
      </w:r>
      <w:bookmarkEnd w:id="945"/>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الوجه لا یخلو من تأمّل؛لأنّه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ارید من الصحابة العاملین </w:t>
      </w:r>
      <w:bookmarkStart w:id="946" w:name="pg12977_114389"/>
    </w:p>
    <w:p>
      <w:pPr>
        <w:pStyle w:val="BookText"/>
        <w:rPr/>
      </w:pPr>
      <w:bookmarkEnd w:id="946"/>
      <w:r>
        <w:rPr>
          <w:rFonts w:ascii="IRNazanin" w:hAnsi="IRNazanin" w:eastAsia="IRNazanin"/>
          <w:color w:val="111111"/>
          <w:sz w:val="28"/>
          <w:sz w:val="28"/>
          <w:szCs w:val="28"/>
          <w:rtl w:val="true"/>
          <w:lang w:bidi="fa-IR"/>
        </w:rPr>
        <w:t>بالخبر من کان فی ذلک الزمان لا یصدر إلاّ عن رأی الحجّة علیه السّلام،فلم یثبت عمل أحد منهم بخبر الواحد،فضلا عن ثبوت تقریر الإمام علیه السّلام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به الهمج الرعاع الذین یصغون إلی کلّ ناعق،فمن المقطوع عدم کشف عملهم عن رضا الإمام علیه السّلام؛لعدم ارتداعهم بردعه فی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مراد السیّد قدّس سرّه،حیث أجاب عن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إنّما عمل بخبر الواحد المتأمّرون الذین یتحشّم </w:t>
      </w:r>
      <w:r>
        <w:rPr>
          <w:rStyle w:val="FootnoteAnchor"/>
          <w:rtl w:val="true"/>
        </w:rPr>
        <w:footnoteReference w:id="1209"/>
      </w:r>
      <w:r>
        <w:rPr>
          <w:rFonts w:ascii="IRNazanin" w:hAnsi="IRNazanin" w:eastAsia="IRNazanin"/>
          <w:color w:val="111111"/>
          <w:sz w:val="28"/>
          <w:sz w:val="28"/>
          <w:szCs w:val="28"/>
          <w:rtl w:val="true"/>
          <w:lang w:bidi="fa-IR"/>
        </w:rPr>
        <w:t xml:space="preserve">التصریح بخلافهم،و إمساک النکیر علیهم لا یدلّ علی الرضا بعملهم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کان عملهم منکرا لم یترک الإمام بل و لا أتباعه من الصحابة النکیر علی العاملین؛إظهارا للحقّ و إن لم یظنّوا الارتداع؛إذ لیست هذه المسألة بأعظم من مسألة الخلافة التی أنکرها علیهم من أنکر؛لإظهار الحقّ،و دفعا لتوهّم دلالة السکوت علی الرضا</w:t>
      </w:r>
      <w:r>
        <w:rPr>
          <w:rFonts w:eastAsia="IRNazanin" w:cs="IRNazanin"/>
          <w:color w:val="111111"/>
          <w:sz w:val="28"/>
          <w:szCs w:val="28"/>
          <w:rtl w:val="true"/>
          <w:lang w:bidi="fa-IR"/>
        </w:rPr>
        <w:t>.</w:t>
      </w:r>
    </w:p>
    <w:p>
      <w:pPr>
        <w:pStyle w:val="Heading6"/>
        <w:numPr>
          <w:ilvl w:val="5"/>
          <w:numId w:val="1"/>
        </w:numPr>
        <w:rPr/>
      </w:pPr>
      <w:bookmarkStart w:id="947" w:name="__RefHeading___Toc5447163_3224264995"/>
      <w:bookmarkStart w:id="948" w:name="_Toc363"/>
      <w:bookmarkEnd w:id="947"/>
      <w:r>
        <w:rPr>
          <w:rtl w:val="true"/>
        </w:rPr>
        <w:t>السادس</w:t>
      </w:r>
      <w:r>
        <w:rPr>
          <w:rtl w:val="true"/>
        </w:rPr>
        <w:t>:</w:t>
      </w:r>
      <w:r>
        <w:rPr>
          <w:rtl w:val="true"/>
        </w:rPr>
        <w:t>دعوی إجماع الإمامیّة علی وجوب الرجوع إلی الأخبار المدوّنة</w:t>
      </w:r>
      <w:bookmarkEnd w:id="948"/>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دعوی الإجماع من الإمامیّة حتّی السیّد و أتباعه،علی وجوب الرجوع إلی هذه الأخبار الموجودة فی أیدینا المودعة فی اصول الشیعة و کتبهم</w:t>
      </w:r>
      <w:r>
        <w:rPr>
          <w:rFonts w:eastAsia="IRNazanin" w:cs="IRNazanin"/>
          <w:color w:val="111111"/>
          <w:sz w:val="28"/>
          <w:szCs w:val="28"/>
          <w:rtl w:val="true"/>
          <w:lang w:bidi="fa-IR"/>
        </w:rPr>
        <w:t xml:space="preserve">. </w:t>
      </w:r>
      <w:bookmarkStart w:id="949" w:name="pg12977_114390"/>
    </w:p>
    <w:p>
      <w:pPr>
        <w:pStyle w:val="BookText"/>
        <w:rPr/>
      </w:pPr>
      <w:bookmarkEnd w:id="949"/>
      <w:r>
        <w:rPr>
          <w:rFonts w:ascii="Amiri" w:hAnsi="Amiri" w:eastAsia="Amiri" w:cs="Amiri"/>
          <w:color w:val="111111"/>
          <w:sz w:val="28"/>
          <w:sz w:val="28"/>
          <w:szCs w:val="28"/>
          <w:rtl w:val="true"/>
          <w:lang w:bidi="ar-SA"/>
        </w:rPr>
        <w:t xml:space="preserve">و لعلّ </w:t>
      </w:r>
      <w:r>
        <w:rPr>
          <w:rStyle w:val="FootnoteAnchor"/>
          <w:rtl w:val="true"/>
        </w:rPr>
        <w:footnoteReference w:id="1211"/>
      </w:r>
      <w:r>
        <w:rPr>
          <w:rFonts w:ascii="IRNazanin" w:hAnsi="IRNazanin" w:eastAsia="IRNazanin"/>
          <w:color w:val="111111"/>
          <w:sz w:val="28"/>
          <w:sz w:val="28"/>
          <w:szCs w:val="28"/>
          <w:rtl w:val="true"/>
          <w:lang w:bidi="fa-IR"/>
        </w:rPr>
        <w:t xml:space="preserve">هذا هو الذی فهمه بعض </w:t>
      </w:r>
      <w:r>
        <w:rPr>
          <w:rStyle w:val="FootnoteAnchor"/>
          <w:rtl w:val="true"/>
        </w:rPr>
        <w:footnoteReference w:id="1212"/>
      </w:r>
      <w:r>
        <w:rPr>
          <w:rFonts w:ascii="IRNazanin" w:hAnsi="IRNazanin" w:eastAsia="IRNazanin"/>
          <w:color w:val="111111"/>
          <w:sz w:val="28"/>
          <w:sz w:val="28"/>
          <w:szCs w:val="28"/>
          <w:rtl w:val="true"/>
          <w:lang w:bidi="fa-IR"/>
        </w:rPr>
        <w:t xml:space="preserve">من عبارة الشیخ المتقدّمة عن العدّة </w:t>
      </w:r>
      <w:r>
        <w:rPr>
          <w:rStyle w:val="FootnoteAnchor"/>
          <w:rtl w:val="true"/>
        </w:rPr>
        <w:footnoteReference w:id="1213"/>
      </w:r>
      <w:r>
        <w:rPr>
          <w:rFonts w:ascii="IRNazanin" w:hAnsi="IRNazanin" w:eastAsia="IRNazanin"/>
          <w:color w:val="111111"/>
          <w:sz w:val="28"/>
          <w:sz w:val="28"/>
          <w:szCs w:val="28"/>
          <w:rtl w:val="true"/>
          <w:lang w:bidi="fa-IR"/>
        </w:rPr>
        <w:t>،فحکم بعدم مخالفة الشیخ للسیّد قدّس سرّهما</w:t>
      </w:r>
      <w:r>
        <w:rPr>
          <w:rFonts w:eastAsia="IRNazanin" w:cs="IRNazanin"/>
          <w:color w:val="111111"/>
          <w:sz w:val="28"/>
          <w:szCs w:val="28"/>
          <w:rtl w:val="true"/>
          <w:lang w:bidi="fa-IR"/>
        </w:rPr>
        <w:t>.</w:t>
      </w:r>
    </w:p>
    <w:p>
      <w:pPr>
        <w:pStyle w:val="Heading6"/>
        <w:numPr>
          <w:ilvl w:val="5"/>
          <w:numId w:val="1"/>
        </w:numPr>
        <w:rPr/>
      </w:pPr>
      <w:bookmarkStart w:id="950" w:name="__RefHeading___Toc5447165_3224264995"/>
      <w:bookmarkStart w:id="951" w:name="_Toc364"/>
      <w:bookmarkEnd w:id="950"/>
      <w:r>
        <w:rPr>
          <w:rtl w:val="true"/>
        </w:rPr>
        <w:t>المناقشة فی هذا الوجه أیضا</w:t>
      </w:r>
      <w:bookmarkEnd w:id="951"/>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إن ارید ثبوت الاتّفاق علی العمل بکلّ واحد واحد </w:t>
      </w:r>
      <w:r>
        <w:rPr>
          <w:rStyle w:val="FootnoteAnchor"/>
          <w:rtl w:val="true"/>
        </w:rPr>
        <w:footnoteReference w:id="1214"/>
      </w:r>
      <w:r>
        <w:rPr>
          <w:rFonts w:ascii="IRNazanin" w:hAnsi="IRNazanin" w:eastAsia="IRNazanin"/>
          <w:color w:val="111111"/>
          <w:sz w:val="28"/>
          <w:sz w:val="28"/>
          <w:szCs w:val="28"/>
          <w:rtl w:val="true"/>
          <w:lang w:bidi="fa-IR"/>
        </w:rPr>
        <w:t>من أخبار هذه الکتب،فهو ممّا علم خلافه بالعیان،و إن ارید ثبوت الاتّفاق علی العمل بها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اختلاف العاملین فی شروط العمل،حتّی یجوز أن یکون المعمول به عند بعضهم مطروحا عند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لا ینفعنا إلاّ فی حجّیّة ما علم اتّفاق الفرقة علی العمل به بالخصوص،و لیس یوجد ذلک فی الأخبار إلاّ نادرا،خصوصا مع ما نری من ردّ بعض المشایخ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کالصدوق و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الأخبار المودعة </w:t>
      </w:r>
      <w:r>
        <w:rPr>
          <w:rStyle w:val="FootnoteAnchor"/>
          <w:rtl w:val="true"/>
        </w:rPr>
        <w:footnoteReference w:id="1215"/>
      </w:r>
      <w:r>
        <w:rPr>
          <w:rFonts w:ascii="IRNazanin" w:hAnsi="IRNazanin" w:eastAsia="IRNazanin"/>
          <w:color w:val="111111"/>
          <w:sz w:val="28"/>
          <w:sz w:val="28"/>
          <w:szCs w:val="28"/>
          <w:rtl w:val="true"/>
          <w:lang w:bidi="fa-IR"/>
        </w:rPr>
        <w:t>فی الکتب المعتبرة بضعف السند،أو بمخالفة الإجماع،أو نحوهما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 من الاتّفاق لا ینفع حتّی فی الخبر الذی علم اتّفاق الفرقة علی قبوله و العمل به؛لأنّ الشرط فی الاتّفاق العملیّ أن یکون وجه عمل المجمعین معلوما؛أ لا تری أنّه لو اتّفق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یعلم </w:t>
      </w:r>
      <w:r>
        <w:rPr>
          <w:rStyle w:val="FootnoteAnchor"/>
          <w:rtl w:val="true"/>
        </w:rPr>
        <w:footnoteReference w:id="1216"/>
      </w:r>
      <w:r>
        <w:rPr>
          <w:rFonts w:ascii="IRNazanin" w:hAnsi="IRNazanin" w:eastAsia="IRNazanin"/>
          <w:color w:val="111111"/>
          <w:sz w:val="28"/>
          <w:sz w:val="28"/>
          <w:szCs w:val="28"/>
          <w:rtl w:val="true"/>
          <w:lang w:bidi="fa-IR"/>
        </w:rPr>
        <w:t xml:space="preserve">برضا </w:t>
      </w:r>
      <w:r>
        <w:rPr>
          <w:rStyle w:val="FootnoteAnchor"/>
          <w:rtl w:val="true"/>
        </w:rPr>
        <w:footnoteReference w:id="1217"/>
      </w:r>
      <w:r>
        <w:rPr>
          <w:rFonts w:ascii="IRNazanin" w:hAnsi="IRNazanin" w:eastAsia="IRNazanin"/>
          <w:color w:val="111111"/>
          <w:sz w:val="28"/>
          <w:sz w:val="28"/>
          <w:szCs w:val="28"/>
          <w:rtl w:val="true"/>
          <w:lang w:bidi="fa-IR"/>
        </w:rPr>
        <w:t>الإمام علیه السّلام بعملهم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النظر إلی امرأة،لکن یعلم أو یحتمل </w:t>
      </w:r>
    </w:p>
    <w:p>
      <w:pPr>
        <w:pStyle w:val="BookText"/>
        <w:rPr/>
      </w:pPr>
      <w:r>
        <w:rPr>
          <w:rFonts w:ascii="IRNazanin" w:hAnsi="IRNazanin" w:eastAsia="IRNazanin"/>
          <w:color w:val="111111"/>
          <w:sz w:val="28"/>
          <w:sz w:val="28"/>
          <w:szCs w:val="28"/>
          <w:rtl w:val="true"/>
          <w:lang w:bidi="fa-IR"/>
        </w:rPr>
        <w:t>أن یکون وجه نظرهم کونها زوجة لبعضهم و امّا لآخر و بنتا لثالث و أمّ زوجة لرابع و بنت زوجة لخامس،و هکذا،فهل یجوز لغیرهم ممّن لا محرمیّة بینها و بینه أن ینظر إلیها من جهة اتّفاق الجماعة الکاشف عن رضا الإمام علیه السّلام؟بل لو رأی شخص الإمام علیه السّلام ینظر إلی امرأة، فهل یجوز لعاقل التأسّی به؟و لیس هذا کلّه إلاّ من جهة أنّ الفعل لا دلالة فیه علی الوجه الذی یقع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فی الاتّفاق العملیّ من العلم بالجهة و الحیثیّة التی اتّفق المجمعون علی إیقاع الفعل من تلک الجهة و الحیثیّة،و مرجع هذا إلی وجوب إحراز الموضوع فی الحکم الشرعیّ المستفاد من الفعل</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بأنّ بعض المجمعین یعملون بخبر من حیث علمه بصدوره بالتواتر أو بالقرینة،و بعضهم من حیث کونه ظانّا بصدوره قاطعا بحجّیة هذا الظنّ،فإذا لم یحصل لنا العلم بصدوره و لا العلم بحجّیة الظنّ الحاصل منه،أو علمنا بخطإ من یعمل به لأجل مطلق الظنّ،أو احتملنا خطأه،فلا یجوز لنا العمل بذلک الخبر تبعا للمجمعین</w:t>
      </w:r>
      <w:r>
        <w:rPr>
          <w:rFonts w:eastAsia="IRNazanin" w:cs="IRNazanin"/>
          <w:color w:val="111111"/>
          <w:sz w:val="28"/>
          <w:szCs w:val="28"/>
          <w:rtl w:val="true"/>
          <w:lang w:bidi="fa-IR"/>
        </w:rPr>
        <w:t xml:space="preserve">. </w:t>
      </w:r>
      <w:bookmarkStart w:id="952" w:name="pg12977_114392"/>
    </w:p>
    <w:p>
      <w:pPr>
        <w:pStyle w:val="BookText"/>
        <w:rPr/>
      </w:pPr>
      <w:bookmarkEnd w:id="952"/>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العقل</w:t>
      </w:r>
    </w:p>
    <w:p>
      <w:pPr>
        <w:pStyle w:val="Heading6"/>
        <w:numPr>
          <w:ilvl w:val="5"/>
          <w:numId w:val="1"/>
        </w:numPr>
        <w:rPr/>
      </w:pPr>
      <w:bookmarkStart w:id="953" w:name="__RefHeading___Toc5447167_3224264995"/>
      <w:bookmarkStart w:id="954" w:name="_Toc365"/>
      <w:bookmarkEnd w:id="953"/>
      <w:r>
        <w:rPr>
          <w:rtl w:val="true"/>
        </w:rPr>
        <w:t>الاستدلال بالدلیل العقلی علی حجیة خبر الواحد و هو من وجوه</w:t>
      </w:r>
      <w:bookmarkEnd w:id="954"/>
    </w:p>
    <w:p>
      <w:pPr>
        <w:pStyle w:val="BookText"/>
        <w:rPr/>
      </w:pPr>
      <w:r>
        <w:rPr>
          <w:rFonts w:ascii="IRNazanin" w:hAnsi="IRNazanin" w:eastAsia="IRNazanin"/>
          <w:color w:val="111111"/>
          <w:sz w:val="28"/>
          <w:sz w:val="28"/>
          <w:szCs w:val="28"/>
          <w:rtl w:val="true"/>
          <w:lang w:bidi="fa-IR"/>
        </w:rPr>
        <w:t>،بعضها یختصّ بإثبات حجّیة خبر الواحد، و بعضها یثبت حجّیة الظنّ مطلقا أو فی الجملة فیدخل فیه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الأوّل،فتقریره من وجوه</w:t>
      </w:r>
      <w:r>
        <w:rPr>
          <w:rFonts w:eastAsia="IRNazanin" w:cs="IRNazanin"/>
          <w:color w:val="111111"/>
          <w:sz w:val="28"/>
          <w:szCs w:val="28"/>
          <w:rtl w:val="true"/>
          <w:lang w:bidi="fa-IR"/>
        </w:rPr>
        <w:t>:</w:t>
      </w:r>
    </w:p>
    <w:p>
      <w:pPr>
        <w:pStyle w:val="Heading6"/>
        <w:numPr>
          <w:ilvl w:val="5"/>
          <w:numId w:val="1"/>
        </w:numPr>
        <w:rPr/>
      </w:pPr>
      <w:bookmarkStart w:id="955" w:name="__RefHeading___Toc5447169_3224264995"/>
      <w:bookmarkStart w:id="956" w:name="_Toc366"/>
      <w:bookmarkEnd w:id="955"/>
      <w:r>
        <w:rPr>
          <w:rtl w:val="true"/>
        </w:rPr>
        <w:t>الوجه الأوّل</w:t>
      </w:r>
      <w:r>
        <w:rPr>
          <w:rtl w:val="true"/>
        </w:rPr>
        <w:t>:</w:t>
      </w:r>
      <w:r>
        <w:rPr>
          <w:rtl w:val="true"/>
        </w:rPr>
        <w:t>العلم الإجمالی بصدور أکثر الأخبار عن الأئمّة علیهم السّلام</w:t>
      </w:r>
      <w:bookmarkEnd w:id="956"/>
    </w:p>
    <w:p>
      <w:pPr>
        <w:pStyle w:val="BookText"/>
        <w:rPr/>
      </w:pPr>
      <w:r>
        <w:rPr>
          <w:rFonts w:ascii="IRNazanin" w:hAnsi="IRNazanin" w:eastAsia="IRNazanin"/>
          <w:color w:val="111111"/>
          <w:sz w:val="28"/>
          <w:sz w:val="28"/>
          <w:szCs w:val="28"/>
          <w:rtl w:val="true"/>
          <w:lang w:bidi="fa-IR"/>
        </w:rPr>
        <w:t>ما اعتمدته سابقا،و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شکّ للمتتبّع فی أحوال الرواة المذکورة فی تراجمهم فی کون </w:t>
      </w:r>
      <w:r>
        <w:rPr>
          <w:rStyle w:val="FootnoteAnchor"/>
          <w:rtl w:val="true"/>
        </w:rPr>
        <w:footnoteReference w:id="1218"/>
      </w:r>
      <w:r>
        <w:rPr>
          <w:rFonts w:ascii="IRNazanin" w:hAnsi="IRNazanin" w:eastAsia="IRNazanin"/>
          <w:color w:val="111111"/>
          <w:sz w:val="28"/>
          <w:sz w:val="28"/>
          <w:szCs w:val="28"/>
          <w:rtl w:val="true"/>
          <w:lang w:bidi="fa-IR"/>
        </w:rPr>
        <w:t>أکثر الأخبار بل جلّها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شذّ و 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صادرة عن الأئمّة علیهم السّلام؛و هذا یظهر بعد التأمّل فی کیفیّة ورودها إلینا،و کیفیّة اهتمام أرباب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المشایخ الثلاثة و من تقدّمهم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تنقیح ما أودعوه </w:t>
      </w:r>
      <w:r>
        <w:rPr>
          <w:rStyle w:val="FootnoteAnchor"/>
          <w:rtl w:val="true"/>
        </w:rPr>
        <w:footnoteReference w:id="1219"/>
      </w:r>
      <w:r>
        <w:rPr>
          <w:rFonts w:ascii="IRNazanin" w:hAnsi="IRNazanin" w:eastAsia="IRNazanin"/>
          <w:color w:val="111111"/>
          <w:sz w:val="28"/>
          <w:sz w:val="28"/>
          <w:szCs w:val="28"/>
          <w:rtl w:val="true"/>
          <w:lang w:bidi="fa-IR"/>
        </w:rPr>
        <w:t xml:space="preserve">فی کتبهم،و عدم الاکتفاء بأخذ الروایة من کتاب و إیداعها فی تصانیفهم؛حذرا من کون ذلک الکتاب </w:t>
      </w:r>
      <w:r>
        <w:rPr>
          <w:rStyle w:val="FootnoteAnchor"/>
          <w:rtl w:val="true"/>
        </w:rPr>
        <w:footnoteReference w:id="1220"/>
      </w:r>
      <w:r>
        <w:rPr>
          <w:rFonts w:ascii="IRNazanin" w:hAnsi="IRNazanin" w:eastAsia="IRNazanin"/>
          <w:color w:val="111111"/>
          <w:sz w:val="28"/>
          <w:sz w:val="28"/>
          <w:szCs w:val="28"/>
          <w:rtl w:val="true"/>
          <w:lang w:bidi="fa-IR"/>
        </w:rPr>
        <w:t>مدسوسا فیه من بعض الکذّابین</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حکی عن أحمد بن محمد بن عیسی،أنّه جاء إلی الحسن بن علیّ الوشّاء و طلب إلیه </w:t>
      </w:r>
      <w:r>
        <w:rPr>
          <w:rStyle w:val="FootnoteAnchor"/>
          <w:rtl w:val="true"/>
        </w:rPr>
        <w:footnoteReference w:id="1221"/>
      </w:r>
      <w:r>
        <w:rPr>
          <w:rFonts w:ascii="IRNazanin" w:hAnsi="IRNazanin" w:eastAsia="IRNazanin"/>
          <w:color w:val="111111"/>
          <w:sz w:val="28"/>
          <w:sz w:val="28"/>
          <w:szCs w:val="28"/>
          <w:rtl w:val="true"/>
          <w:lang w:bidi="fa-IR"/>
        </w:rPr>
        <w:t xml:space="preserve">أن یخرج إلیه کتابا لعلاء بن رزین و کتابا </w:t>
      </w:r>
      <w:bookmarkStart w:id="957" w:name="pg12977_114393"/>
    </w:p>
    <w:p>
      <w:pPr>
        <w:pStyle w:val="BookText"/>
        <w:rPr/>
      </w:pPr>
      <w:bookmarkEnd w:id="957"/>
      <w:r>
        <w:rPr>
          <w:rFonts w:ascii="IRNazanin" w:hAnsi="IRNazanin" w:eastAsia="IRNazanin"/>
          <w:color w:val="111111"/>
          <w:sz w:val="28"/>
          <w:sz w:val="28"/>
          <w:szCs w:val="28"/>
          <w:rtl w:val="true"/>
          <w:lang w:bidi="fa-IR"/>
        </w:rPr>
        <w:t>لأبان بن عثمان الأحمر،فلمّا أخرجهما،قال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أن أسمعهما،فقال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رحمک اللّه ما أعجلک؟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اذهب،فاکتبهما و اسمع من بعد </w:t>
      </w:r>
      <w:r>
        <w:rPr>
          <w:rStyle w:val="FootnoteAnchor"/>
          <w:rtl w:val="true"/>
        </w:rPr>
        <w:footnoteReference w:id="1222"/>
      </w:r>
      <w:r>
        <w:rPr>
          <w:rFonts w:ascii="IRNazanin" w:hAnsi="IRNazanin" w:eastAsia="IRNazanin"/>
          <w:color w:val="111111"/>
          <w:sz w:val="28"/>
          <w:sz w:val="28"/>
          <w:szCs w:val="28"/>
          <w:rtl w:val="true"/>
          <w:lang w:bidi="fa-IR"/>
        </w:rPr>
        <w:t xml:space="preserve">،فقال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آمن الحدثان،فقال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علمت أنّ الحدیث یکون له هذا الطلب لاستکثرت منه،فإنّی قد أدرکت فی هذا المسجد تسعمائة شیخ </w:t>
      </w:r>
      <w:r>
        <w:rPr>
          <w:rStyle w:val="FootnoteAnchor"/>
          <w:rtl w:val="true"/>
        </w:rPr>
        <w:footnoteReference w:id="1224"/>
      </w:r>
      <w:r>
        <w:rPr>
          <w:rFonts w:ascii="Amiri" w:hAnsi="Amiri" w:eastAsia="Amiri" w:cs="Amiri"/>
          <w:color w:val="111111"/>
          <w:sz w:val="28"/>
          <w:sz w:val="28"/>
          <w:szCs w:val="28"/>
          <w:rtl w:val="true"/>
          <w:lang w:bidi="ar-SA"/>
        </w:rPr>
        <w:t>،کلّ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حدّثنی جعفر بن محمّد علیهما السّلام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حمدویه،عن أیّوب بن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دفع </w:t>
      </w:r>
      <w:r>
        <w:rPr>
          <w:rStyle w:val="FootnoteAnchor"/>
          <w:rtl w:val="true"/>
        </w:rPr>
        <w:footnoteReference w:id="1226"/>
      </w:r>
      <w:r>
        <w:rPr>
          <w:rFonts w:ascii="IRNazanin" w:hAnsi="IRNazanin" w:eastAsia="IRNazanin"/>
          <w:color w:val="111111"/>
          <w:sz w:val="28"/>
          <w:sz w:val="28"/>
          <w:szCs w:val="28"/>
          <w:rtl w:val="true"/>
          <w:lang w:bidi="fa-IR"/>
        </w:rPr>
        <w:t>إلیه دفترا فیه أحادیث محمّد بن سنان،فقال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شئتم أن تکتبوا ذلک فافعلوا </w:t>
      </w:r>
      <w:r>
        <w:rPr>
          <w:rStyle w:val="FootnoteAnchor"/>
          <w:rtl w:val="true"/>
        </w:rPr>
        <w:footnoteReference w:id="1227"/>
      </w:r>
      <w:r>
        <w:rPr>
          <w:rFonts w:ascii="IRNazanin" w:hAnsi="IRNazanin" w:eastAsia="IRNazanin"/>
          <w:color w:val="111111"/>
          <w:sz w:val="28"/>
          <w:sz w:val="28"/>
          <w:szCs w:val="28"/>
          <w:rtl w:val="true"/>
          <w:lang w:bidi="fa-IR"/>
        </w:rPr>
        <w:t>فإنّی کتبت عن محمّد بن سنان،و لکن لا أروی لکم عنه شیئا؛فإنّه قال قبل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ما حدّثتکم فلیس بسماع و لا بروایة،و إنّما وجدته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58" w:name="__RefHeading___Toc5447171_3224264995"/>
      <w:bookmarkStart w:id="959" w:name="_Toc367"/>
      <w:bookmarkEnd w:id="958"/>
      <w:r>
        <w:rPr>
          <w:rtl w:val="true"/>
        </w:rPr>
        <w:t>شدّة اهتمام الأصحاب بتنقیح الأخبار</w:t>
      </w:r>
      <w:bookmarkEnd w:id="959"/>
    </w:p>
    <w:p>
      <w:pPr>
        <w:pStyle w:val="BookText"/>
        <w:rPr/>
      </w:pPr>
      <w:r>
        <w:rPr>
          <w:rFonts w:ascii="IRNazanin" w:hAnsi="IRNazanin" w:eastAsia="IRNazanin"/>
          <w:color w:val="111111"/>
          <w:sz w:val="28"/>
          <w:sz w:val="28"/>
          <w:szCs w:val="28"/>
          <w:rtl w:val="true"/>
          <w:lang w:bidi="fa-IR"/>
        </w:rPr>
        <w:t>فانظر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احتاطوا فی الروایة عمّن لم یسمع من الثقات و إنّما وجد فی الکتب</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کفاک شاهدا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علیّ بن </w:t>
      </w:r>
      <w:r>
        <w:rPr>
          <w:rStyle w:val="FootnoteAnchor"/>
          <w:rtl w:val="true"/>
        </w:rPr>
        <w:footnoteReference w:id="1229"/>
      </w:r>
      <w:r>
        <w:rPr>
          <w:rFonts w:ascii="IRNazanin" w:hAnsi="IRNazanin" w:eastAsia="IRNazanin"/>
          <w:color w:val="111111"/>
          <w:sz w:val="28"/>
          <w:sz w:val="28"/>
          <w:szCs w:val="28"/>
          <w:rtl w:val="true"/>
          <w:lang w:bidi="fa-IR"/>
        </w:rPr>
        <w:t xml:space="preserve">الحسن بن فضّال لم یرو کتب أبیه </w:t>
      </w:r>
    </w:p>
    <w:p>
      <w:pPr>
        <w:pStyle w:val="BookText"/>
        <w:rPr/>
      </w:pPr>
      <w:r>
        <w:rPr>
          <w:rFonts w:ascii="IRNazanin" w:hAnsi="IRNazanin" w:eastAsia="IRNazanin"/>
          <w:color w:val="111111"/>
          <w:sz w:val="28"/>
          <w:sz w:val="28"/>
          <w:szCs w:val="28"/>
          <w:rtl w:val="true"/>
          <w:lang w:bidi="fa-IR"/>
        </w:rPr>
        <w:t xml:space="preserve">الحسن عنه مع مقابلتها علیه،و إنّما یرویها عن أخویه أحمد و محمّد،عن أبیه،و اعتذر عن ذلک بأنّه یوم مقابلته الحدیث مع أبیه کان صغیر السنّ،لیس له کثیر معرفة بالروایات،فقرأها علی أخویه ثانیا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انحصار مدارهم علی إیداع ما سمعوه من صاحب الکتاب أو ممّن سمعه منه،فلم یکونوا یودعون إلاّ ما سمعوا و لو بوسائط من صاحب الکتاب و لو کان معلوم الانتساب،مع اطمئنانهم بالوسائط و شدّة وثوقهم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أنّه ربما کانوا یتبعونهم فی تصحیح الحدیث و ردّه،کما اتّفق للصدوق بالنسبة إلی شیخه ابن الولید قدّس سرّهما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کانوا لا یثقون بمن یوجد فیه قدح بعید المدخلیّة فی الصدق؛و لذا حکی عن جماعة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التحرّز عن الروایة عمّن یروی عن الضعفاء و یعتمد المراسیل و إن کان ثقة فی نفسه،کما اتّفق بالنسبة إلی البرقیّ </w:t>
      </w:r>
      <w:r>
        <w:rPr>
          <w:rStyle w:val="FootnoteAnchor"/>
          <w:rtl w:val="true"/>
        </w:rPr>
        <w:footnoteReference w:id="1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یتحرّزون </w:t>
      </w:r>
      <w:r>
        <w:rPr>
          <w:rStyle w:val="FootnoteAnchor"/>
          <w:rtl w:val="true"/>
        </w:rPr>
        <w:footnoteReference w:id="1233"/>
      </w:r>
      <w:r>
        <w:rPr>
          <w:rFonts w:ascii="IRNazanin" w:hAnsi="IRNazanin" w:eastAsia="IRNazanin"/>
          <w:color w:val="111111"/>
          <w:sz w:val="28"/>
          <w:sz w:val="28"/>
          <w:szCs w:val="28"/>
          <w:rtl w:val="true"/>
          <w:lang w:bidi="fa-IR"/>
        </w:rPr>
        <w:t>عن الروایة عمّن یعمل بالقیاس،مع أنّ عمله لا دخل له بروایته،کما اتّفق بالنسبة إلی الإسکافیّ؛حیث ذکر فی ترجمته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کان یری القیاس،فترک روایاته لأجل ذلک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کانوا یتوقّفون فی روایات من کان علی الحقّ فعدل عنه و إن </w:t>
      </w:r>
      <w:bookmarkStart w:id="960" w:name="pg12977_114395"/>
    </w:p>
    <w:p>
      <w:pPr>
        <w:pStyle w:val="BookText"/>
        <w:rPr/>
      </w:pPr>
      <w:bookmarkEnd w:id="960"/>
      <w:r>
        <w:rPr>
          <w:rFonts w:ascii="IRNazanin" w:hAnsi="IRNazanin" w:eastAsia="IRNazanin"/>
          <w:color w:val="111111"/>
          <w:sz w:val="28"/>
          <w:sz w:val="28"/>
          <w:szCs w:val="28"/>
          <w:rtl w:val="true"/>
          <w:lang w:bidi="fa-IR"/>
        </w:rPr>
        <w:t>کانت کتبه و روایاته حال الاستقامة،حتّی أذن لهم الإمام علیه السّلام أو نائبه،کما سألوا العسکری علیه السّلام عن کتب بنی فضّال،و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بیوتنا منها ملاء </w:t>
      </w:r>
      <w:r>
        <w:rPr>
          <w:rStyle w:val="FootnoteAnchor"/>
          <w:rtl w:val="true"/>
        </w:rPr>
        <w:footnoteReference w:id="1235"/>
      </w:r>
      <w:r>
        <w:rPr>
          <w:rFonts w:ascii="IRNazanin" w:hAnsi="IRNazanin" w:eastAsia="IRNazanin"/>
          <w:color w:val="111111"/>
          <w:sz w:val="28"/>
          <w:sz w:val="28"/>
          <w:szCs w:val="28"/>
          <w:rtl w:val="true"/>
          <w:lang w:bidi="fa-IR"/>
        </w:rPr>
        <w:t xml:space="preserve">،فأذن علیه السّلام لهم </w:t>
      </w:r>
      <w:r>
        <w:rPr>
          <w:rStyle w:val="FootnoteAnchor"/>
          <w:rtl w:val="true"/>
        </w:rPr>
        <w:footnoteReference w:id="1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سألوا الشیخ أبا القاسم بن روح عن کتب ابن أبی عزاقر </w:t>
      </w:r>
      <w:r>
        <w:rPr>
          <w:rStyle w:val="FootnoteAnchor"/>
          <w:rtl w:val="true"/>
        </w:rPr>
        <w:footnoteReference w:id="1237"/>
      </w:r>
      <w:r>
        <w:rPr>
          <w:rFonts w:ascii="IRNazanin" w:hAnsi="IRNazanin" w:eastAsia="IRNazanin"/>
          <w:color w:val="111111"/>
          <w:sz w:val="28"/>
          <w:sz w:val="28"/>
          <w:szCs w:val="28"/>
          <w:rtl w:val="true"/>
          <w:lang w:bidi="fa-IR"/>
        </w:rPr>
        <w:t xml:space="preserve">التی صنّفها قبل الارتداد عن مذهب الشیعة، حتّی أذن لهم الشیخ فی العمل بها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الأمارات الکاشفة عن اهتمام أصحابنا فی تنقیح الأخبار فی الأزمنة المتأخّرة عن زمان الرضا علیه السّلام أکثر من أن تحصی، و یظهر </w:t>
      </w:r>
      <w:r>
        <w:rPr>
          <w:rStyle w:val="FootnoteAnchor"/>
          <w:rtl w:val="true"/>
        </w:rPr>
        <w:footnoteReference w:id="1239"/>
      </w:r>
      <w:r>
        <w:rPr>
          <w:rFonts w:ascii="Amiri" w:hAnsi="Amiri" w:eastAsia="Amiri" w:cs="Amiri"/>
          <w:color w:val="111111"/>
          <w:sz w:val="28"/>
          <w:sz w:val="28"/>
          <w:szCs w:val="28"/>
          <w:rtl w:val="true"/>
          <w:lang w:bidi="ar-SA"/>
        </w:rPr>
        <w:t>للمتتبّع</w:t>
      </w:r>
      <w:r>
        <w:rPr>
          <w:rFonts w:eastAsia="Amiri" w:cs="Amiri" w:ascii="Amiri" w:hAnsi="Amiri"/>
          <w:color w:val="111111"/>
          <w:sz w:val="28"/>
          <w:szCs w:val="28"/>
          <w:rtl w:val="true"/>
          <w:lang w:bidi="ar-SA"/>
        </w:rPr>
        <w:t>.</w:t>
      </w:r>
    </w:p>
    <w:p>
      <w:pPr>
        <w:pStyle w:val="Heading6"/>
        <w:numPr>
          <w:ilvl w:val="5"/>
          <w:numId w:val="1"/>
        </w:numPr>
        <w:rPr/>
      </w:pPr>
      <w:bookmarkStart w:id="961" w:name="__RefHeading___Toc5447173_3224264995"/>
      <w:bookmarkStart w:id="962" w:name="_Toc368"/>
      <w:bookmarkEnd w:id="961"/>
      <w:r>
        <w:rPr>
          <w:rtl w:val="true"/>
        </w:rPr>
        <w:t>الداعی إلی هذا الاهتمام</w:t>
      </w:r>
      <w:bookmarkEnd w:id="962"/>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الداعی إلی شدّة الاهتمام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کون تلک الروایات أساس الدین و بها قوام شریعة سیّد المرسلین صلّی اللّه علیه و آله،و لذا قال الإمام علیه السّلام فی شأن جماعة من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هؤلاء لاندرست آثار النبوّة</w:t>
      </w:r>
      <w:r>
        <w:rPr>
          <w:rFonts w:eastAsia="IRNazanin" w:cs="IRNazanin"/>
          <w:color w:val="111111"/>
          <w:sz w:val="28"/>
          <w:szCs w:val="28"/>
          <w:rtl w:val="true"/>
          <w:lang w:bidi="fa-IR"/>
        </w:rPr>
        <w:t xml:space="preserve">» </w:t>
      </w:r>
      <w:r>
        <w:rPr>
          <w:rStyle w:val="FootnoteAnchor"/>
          <w:rtl w:val="true"/>
        </w:rPr>
        <w:footnoteReference w:id="1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الناس لا یرضون بنقل ما لا یوثق به فی کتبهم المؤلّفة فی التواریخ التی </w:t>
      </w:r>
      <w:bookmarkStart w:id="963" w:name="pg12977_114396"/>
    </w:p>
    <w:p>
      <w:pPr>
        <w:pStyle w:val="BookText"/>
        <w:rPr/>
      </w:pPr>
      <w:bookmarkEnd w:id="963"/>
      <w:r>
        <w:rPr>
          <w:rFonts w:ascii="IRNazanin" w:hAnsi="IRNazanin" w:eastAsia="IRNazanin"/>
          <w:color w:val="111111"/>
          <w:sz w:val="28"/>
          <w:sz w:val="28"/>
          <w:szCs w:val="28"/>
          <w:rtl w:val="true"/>
          <w:lang w:bidi="fa-IR"/>
        </w:rPr>
        <w:t xml:space="preserve">لا یترتّب علی وقوع الکذب فیها أثر دینیّ،بل </w:t>
      </w:r>
      <w:r>
        <w:rPr>
          <w:rStyle w:val="FootnoteAnchor"/>
          <w:rtl w:val="true"/>
        </w:rPr>
        <w:footnoteReference w:id="1241"/>
      </w:r>
      <w:r>
        <w:rPr>
          <w:rFonts w:ascii="IRNazanin" w:hAnsi="IRNazanin" w:eastAsia="IRNazanin"/>
          <w:color w:val="111111"/>
          <w:sz w:val="28"/>
          <w:sz w:val="28"/>
          <w:szCs w:val="28"/>
          <w:rtl w:val="true"/>
          <w:lang w:bidi="fa-IR"/>
        </w:rPr>
        <w:t>و لا دنیویّ،فکیف فی کتبهم المؤلّفة لرجوع من یأتی إلیها فی امور الدین،علی ما أخبرهم الإمام علیه السّلام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یأتی علی الناس زمان هرج لا یأنسون إلاّ بکتبهم</w:t>
      </w:r>
      <w:r>
        <w:rPr>
          <w:rFonts w:eastAsia="IRNazanin" w:cs="IRNazanin"/>
          <w:color w:val="111111"/>
          <w:sz w:val="28"/>
          <w:szCs w:val="28"/>
          <w:rtl w:val="true"/>
          <w:lang w:bidi="fa-IR"/>
        </w:rPr>
        <w:t xml:space="preserve">» </w:t>
      </w:r>
      <w:r>
        <w:rPr>
          <w:rStyle w:val="FootnoteAnchor"/>
          <w:rtl w:val="true"/>
        </w:rPr>
        <w:footnoteReference w:id="1242"/>
      </w:r>
      <w:r>
        <w:rPr>
          <w:rFonts w:ascii="IRNazanin" w:hAnsi="IRNazanin" w:eastAsia="IRNazanin"/>
          <w:color w:val="111111"/>
          <w:sz w:val="28"/>
          <w:sz w:val="28"/>
          <w:szCs w:val="28"/>
          <w:rtl w:val="true"/>
          <w:lang w:bidi="fa-IR"/>
        </w:rPr>
        <w:t>،</w:t>
      </w:r>
    </w:p>
    <w:p>
      <w:pPr>
        <w:pStyle w:val="Heading6"/>
        <w:numPr>
          <w:ilvl w:val="5"/>
          <w:numId w:val="1"/>
        </w:numPr>
        <w:rPr/>
      </w:pPr>
      <w:bookmarkStart w:id="964" w:name="__RefHeading___Toc5447175_3224264995"/>
      <w:bookmarkStart w:id="965" w:name="_Toc369"/>
      <w:bookmarkEnd w:id="964"/>
      <w:r>
        <w:rPr>
          <w:rtl w:val="true"/>
        </w:rPr>
        <w:t>دسّ الأخبار المکذوبة فی کتب أصحاب الأئمّة علیهم السلام</w:t>
      </w:r>
      <w:bookmarkEnd w:id="965"/>
    </w:p>
    <w:p>
      <w:pPr>
        <w:pStyle w:val="BookText"/>
        <w:rPr/>
      </w:pPr>
      <w:r>
        <w:rPr>
          <w:rFonts w:ascii="IRNazanin" w:hAnsi="IRNazanin" w:eastAsia="IRNazanin"/>
          <w:color w:val="111111"/>
          <w:sz w:val="28"/>
          <w:sz w:val="28"/>
          <w:szCs w:val="28"/>
          <w:rtl w:val="true"/>
          <w:lang w:bidi="fa-IR"/>
        </w:rPr>
        <w:t>و علی ما ذکره الکلینیّ قدّس سرّه فی دیباجة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کتابه مرجعا لجمیع من یأتی بعد ذلک</w:t>
      </w:r>
      <w:r>
        <w:rPr>
          <w:rFonts w:eastAsia="IRNazanin" w:cs="IRNazanin"/>
          <w:color w:val="111111"/>
          <w:sz w:val="28"/>
          <w:szCs w:val="28"/>
          <w:rtl w:val="true"/>
          <w:lang w:bidi="fa-IR"/>
        </w:rPr>
        <w:t xml:space="preserve">-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تنبّهوا له و نبّههم علیه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الکذّابة کانوا یدسّون الأخبار المکذوبة فی کتب أصحاب الأئمّة علیهم السّلام؛کما یظهر من الروایات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عرض یونس بن عبد الرحمن علی سیّدنا أبی الحسن الرضا علیه السّلام کتب جماعة من أصحاب الباقر و الصادق علیهما السّلام،فأنکر منها أحادیث کثیرة أن تکون من أحادیث أبی عبد اللّه علیه السّلام،و قال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الخطّاب کذب علی أبی عبد اللّه علیه السّلام،و کذلک أصحاب أبی الخطّاب یدسّون هذه الأحادیث إلی یومنا هذا فی کتب أصحاب أبی عبد اللّه علیه السّلام</w:t>
      </w:r>
      <w:r>
        <w:rPr>
          <w:rFonts w:eastAsia="IRNazanin" w:cs="IRNazanin"/>
          <w:color w:val="111111"/>
          <w:sz w:val="28"/>
          <w:szCs w:val="28"/>
          <w:rtl w:val="true"/>
          <w:lang w:bidi="fa-IR"/>
        </w:rPr>
        <w:t xml:space="preserve">»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هشام بن الحکم أنّه سمع أبا عبد اللّه علیه السّلام یقول</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المغیرة بن سعد لعنه اللّه یتعمّد الکذب علی أبی،و یأخذ کتب أصحابه،و کان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المستترون بأصحاب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یأخذون الکتب من </w:t>
      </w:r>
    </w:p>
    <w:p>
      <w:pPr>
        <w:pStyle w:val="BookText"/>
        <w:rPr/>
      </w:pPr>
      <w:r>
        <w:rPr>
          <w:rFonts w:ascii="IRNazanin" w:hAnsi="IRNazanin" w:eastAsia="IRNazanin"/>
          <w:color w:val="111111"/>
          <w:sz w:val="28"/>
          <w:sz w:val="28"/>
          <w:szCs w:val="28"/>
          <w:rtl w:val="true"/>
          <w:lang w:bidi="fa-IR"/>
        </w:rPr>
        <w:t>أصحاب أبی فیدفعونها إلی المغیرة لعنه اللّه،فکان یدسّ فیها الکفر و الزندقة و یسندها إلی أبی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روایة الفیض بن المختار المتقدّمة </w:t>
      </w:r>
      <w:r>
        <w:rPr>
          <w:rStyle w:val="FootnoteAnchor"/>
          <w:rtl w:val="true"/>
        </w:rPr>
        <w:footnoteReference w:id="1246"/>
      </w:r>
      <w:r>
        <w:rPr>
          <w:rFonts w:ascii="IRNazanin" w:hAnsi="IRNazanin" w:eastAsia="IRNazanin"/>
          <w:color w:val="111111"/>
          <w:sz w:val="28"/>
          <w:sz w:val="28"/>
          <w:szCs w:val="28"/>
          <w:rtl w:val="true"/>
          <w:lang w:bidi="fa-IR"/>
        </w:rPr>
        <w:t xml:space="preserve">فی ذیل کلام الشیخ،إلی غیر ذلک من الروایات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ظهر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علم إجمالا من الأخبار الکثیرة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وجود الکذّابین و وضع الأحادیث </w:t>
      </w:r>
      <w:r>
        <w:rPr>
          <w:rStyle w:val="FootnoteAnchor"/>
          <w:rtl w:val="true"/>
        </w:rPr>
        <w:footnoteReference w:id="1248"/>
      </w:r>
      <w:r>
        <w:rPr>
          <w:rFonts w:ascii="IRNazanin" w:hAnsi="IRNazanin" w:eastAsia="IRNazanin"/>
          <w:color w:val="111111"/>
          <w:sz w:val="28"/>
          <w:sz w:val="28"/>
          <w:szCs w:val="28"/>
          <w:rtl w:val="true"/>
          <w:lang w:bidi="fa-IR"/>
        </w:rPr>
        <w:t>،فهو إنّما کان قبل زمان مقابلة الحدیث و تدوین علمی الحدیث و الرجال بین أصحاب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العلم بوجود الأخبار المکذوبة إنّما ینافی دعوی القطع بصدور الکلّ التی تنسب إلی بعض الأخباریّین </w:t>
      </w:r>
      <w:r>
        <w:rPr>
          <w:rStyle w:val="FootnoteAnchor"/>
          <w:rtl w:val="true"/>
        </w:rPr>
        <w:footnoteReference w:id="1249"/>
      </w:r>
      <w:r>
        <w:rPr>
          <w:rFonts w:ascii="IRNazanin" w:hAnsi="IRNazanin" w:eastAsia="IRNazanin"/>
          <w:color w:val="111111"/>
          <w:sz w:val="28"/>
          <w:sz w:val="28"/>
          <w:szCs w:val="28"/>
          <w:rtl w:val="true"/>
          <w:lang w:bidi="fa-IR"/>
        </w:rPr>
        <w:t xml:space="preserve">،أو دعوی الظنّ بصدور جمیعها </w:t>
      </w:r>
      <w:r>
        <w:rPr>
          <w:rStyle w:val="FootnoteAnchor"/>
          <w:rtl w:val="true"/>
        </w:rPr>
        <w:footnoteReference w:id="1250"/>
      </w:r>
      <w:r>
        <w:rPr>
          <w:rFonts w:ascii="IRNazanin" w:hAnsi="IRNazanin" w:eastAsia="IRNazanin"/>
          <w:color w:val="111111"/>
          <w:sz w:val="28"/>
          <w:sz w:val="28"/>
          <w:szCs w:val="28"/>
          <w:rtl w:val="true"/>
          <w:lang w:bidi="fa-IR"/>
        </w:rPr>
        <w:t xml:space="preserve">،و لا ینافی </w:t>
      </w:r>
      <w:r>
        <w:rPr>
          <w:rStyle w:val="FootnoteAnchor"/>
          <w:rtl w:val="true"/>
        </w:rPr>
        <w:footnoteReference w:id="1251"/>
      </w:r>
      <w:r>
        <w:rPr>
          <w:rFonts w:ascii="IRNazanin" w:hAnsi="IRNazanin" w:eastAsia="IRNazanin"/>
          <w:color w:val="111111"/>
          <w:sz w:val="28"/>
          <w:sz w:val="28"/>
          <w:szCs w:val="28"/>
          <w:rtl w:val="true"/>
          <w:lang w:bidi="fa-IR"/>
        </w:rPr>
        <w:t>ما نحن بصدده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دعوی العلم الإجمالیّ بصدور أکثرها أو کثیر منها،بل هذه دعوی بدیهیّة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المقصود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ما ربما یکابره المتعسّف الخالی عن التتبّع،من منع هذا العلم الإجمالیّ</w:t>
      </w:r>
      <w:r>
        <w:rPr>
          <w:rFonts w:eastAsia="IRNazanin" w:cs="IRNazanin"/>
          <w:color w:val="111111"/>
          <w:sz w:val="28"/>
          <w:szCs w:val="28"/>
          <w:rtl w:val="true"/>
          <w:lang w:bidi="fa-IR"/>
        </w:rPr>
        <w:t xml:space="preserve">. </w:t>
      </w:r>
      <w:bookmarkStart w:id="966" w:name="pg12977_114398"/>
    </w:p>
    <w:p>
      <w:pPr>
        <w:pStyle w:val="BookText"/>
        <w:rPr/>
      </w:pPr>
      <w:bookmarkEnd w:id="966"/>
      <w:r>
        <w:rPr>
          <w:rFonts w:ascii="IRNazanin" w:hAnsi="IRNazanin" w:eastAsia="IRNazanin"/>
          <w:color w:val="111111"/>
          <w:sz w:val="28"/>
          <w:sz w:val="28"/>
          <w:szCs w:val="28"/>
          <w:rtl w:val="true"/>
          <w:lang w:bidi="fa-IR"/>
        </w:rPr>
        <w:t xml:space="preserve">ثمّ إنّ هذا العلم الإجمالیّ إنّما هو متعلّق بالأخبار المخالفة للأصل المجرّدة عن القرینة،و إلاّ فالعلم بوجود مطلق الصادر </w:t>
      </w:r>
      <w:r>
        <w:rPr>
          <w:rStyle w:val="FootnoteAnchor"/>
          <w:rtl w:val="true"/>
        </w:rPr>
        <w:footnoteReference w:id="1252"/>
      </w:r>
      <w:r>
        <w:rPr>
          <w:rFonts w:ascii="IRNazanin" w:hAnsi="IRNazanin" w:eastAsia="IRNazanin"/>
          <w:color w:val="111111"/>
          <w:sz w:val="28"/>
          <w:sz w:val="28"/>
          <w:szCs w:val="28"/>
          <w:rtl w:val="true"/>
          <w:lang w:bidi="fa-IR"/>
        </w:rPr>
        <w:t>لا ینفع،فإذا ثبت العلم الإجمالیّ بوجود الأخبار الصادرة،فیجب بحکم العقل العمل بکلّ خبر مظنون الصدور؛لأنّ تحصیل الواقع الذی یجب العمل به إذا لم یمکن علی وجه العلم تعیّن المصیر إلی الظنّ فی تعیینه؛توصّلا إلی العمل بالأخبار الصادرة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ربما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العمل بکلّ واحد منها مع عدم المعارض، و العمل بمظنون الصدور أو بمظنون المطابقة للواقع من المتعارضین</w:t>
      </w:r>
      <w:r>
        <w:rPr>
          <w:rFonts w:eastAsia="IRNazanin" w:cs="IRNazanin"/>
          <w:color w:val="111111"/>
          <w:sz w:val="28"/>
          <w:szCs w:val="28"/>
          <w:rtl w:val="true"/>
          <w:lang w:bidi="fa-IR"/>
        </w:rPr>
        <w:t>.</w:t>
      </w:r>
    </w:p>
    <w:p>
      <w:pPr>
        <w:pStyle w:val="Heading6"/>
        <w:numPr>
          <w:ilvl w:val="5"/>
          <w:numId w:val="1"/>
        </w:numPr>
        <w:rPr/>
      </w:pPr>
      <w:bookmarkStart w:id="967" w:name="__RefHeading___Toc5447177_3224264995"/>
      <w:bookmarkStart w:id="968" w:name="_Toc370"/>
      <w:bookmarkEnd w:id="967"/>
      <w:r>
        <w:rPr>
          <w:rtl w:val="true"/>
        </w:rPr>
        <w:t>المناقشة فی الوجه الأوّل</w:t>
      </w:r>
      <w:bookmarkEnd w:id="968"/>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وجوب العمل بالأخبار الصادرة إنّما هو لأجل وجوب امتثال أحکام اللّه الواقعیّة المدلول علیها بتلک الأخبار،فالعمل بالخبر الصادر عن الإمام علیه السّلام إنّما یجب من حیث کشفه عن حکم اللّه تعالی </w:t>
      </w:r>
      <w:r>
        <w:rPr>
          <w:rStyle w:val="FootnoteAnchor"/>
          <w:rtl w:val="true"/>
        </w:rPr>
        <w:footnoteReference w:id="1253"/>
      </w: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العلم الإجمالیّ لیس مختصّا بهذه الأخبار،بل نعلم إجمالا بصدور أحکام کثیرة عن الأئمّة علیهم السّلام؛لوجود </w:t>
      </w:r>
      <w:r>
        <w:rPr>
          <w:rStyle w:val="FootnoteAnchor"/>
          <w:rtl w:val="true"/>
        </w:rPr>
        <w:footnoteReference w:id="1254"/>
      </w:r>
      <w:r>
        <w:rPr>
          <w:rFonts w:ascii="IRNazanin" w:hAnsi="IRNazanin" w:eastAsia="IRNazanin"/>
          <w:color w:val="111111"/>
          <w:sz w:val="28"/>
          <w:sz w:val="28"/>
          <w:szCs w:val="28"/>
          <w:rtl w:val="true"/>
          <w:lang w:bidi="fa-IR"/>
        </w:rPr>
        <w:t>تکالیف کثیرة،و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فاللازم أوّلا الاحتیاط،و مع تعذّره أو تعسّره أو قیام الدلیل علی عدم وجوبه یرجع إلی ما أفاد الظنّ بصدور الحکم الشرعیّ التکلیفیّ عن الحجّة علیه السّلام،سواء کان المفید للظنّ خبرا أو شهرة أو غیرهما،فهذا الدلیل لا یفید حجّیّة خصوص الخبر،و إنّما یفید حجّیّة </w:t>
      </w:r>
    </w:p>
    <w:p>
      <w:pPr>
        <w:pStyle w:val="BookText"/>
        <w:rPr/>
      </w:pPr>
      <w:r>
        <w:rPr>
          <w:rFonts w:ascii="IRNazanin" w:hAnsi="IRNazanin" w:eastAsia="IRNazanin"/>
          <w:color w:val="111111"/>
          <w:sz w:val="28"/>
          <w:sz w:val="28"/>
          <w:szCs w:val="28"/>
          <w:rtl w:val="true"/>
          <w:lang w:bidi="fa-IR"/>
        </w:rPr>
        <w:t>کلّ ما ظنّ منه بصدور الحکم عن الحجّة و إن لم یکن خبرا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المعلوم صدور کثیر من هذه الأخبار التی بأیدینا، و أمّا صدور الأحکام المخالفة للاصول غیر مضمون هذه الأخبار فهو غیر معلوم لنا و لا مظنون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Style w:val="FootnoteAnchor"/>
          <w:rtl w:val="true"/>
        </w:rPr>
        <w:footnoteReference w:id="1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الإجمالیّ و إن کان حاصلا فی خصوص هذه الروایات </w:t>
      </w:r>
      <w:r>
        <w:rPr>
          <w:rStyle w:val="FootnoteAnchor"/>
          <w:rtl w:val="true"/>
        </w:rPr>
        <w:footnoteReference w:id="1256"/>
      </w:r>
      <w:r>
        <w:rPr>
          <w:rFonts w:ascii="IRNazanin" w:hAnsi="IRNazanin" w:eastAsia="IRNazanin"/>
          <w:color w:val="111111"/>
          <w:sz w:val="28"/>
          <w:sz w:val="28"/>
          <w:szCs w:val="28"/>
          <w:rtl w:val="true"/>
          <w:lang w:bidi="fa-IR"/>
        </w:rPr>
        <w:t>التی بأیدینا،إلاّ أنّ العلم الإجمالیّ حاصل أیضا فی مجموع ما بأیدینا من الأخبار و من الأمارات الأخر المجرّدة عن الخبر التی بأیدینا المفیدة للظنّ بصدور الحکم عن الإمام علیه السّلام،و لیست هذه الأمارات خارجة عن أطراف العلم الإجمالیّ الحاصل فی المجموع بحیث یکون العلم الإجمالیّ فی المجموع مستندا إلی بعضها و هی الأخبار؛و لذا لو فرضنا عزل طائفة من هذه الأخبار و ضممنا إلی الباقی مجموع الأمارات الأخر،کان العلم الإجمالیّ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علم إجمالیّ حاصل فی الأخبار،و علم إجمالیّ حاصل بملاحظة مجموع الأخبار و سائر الأمارات المجرّدة عن الخبر؛فالواجب مراعاة العلم الإجمالیّ الثانی و عدم الاقتصار علی مراعاة الأوّل</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إذا علمنا إجمالا بوجود شیاه </w:t>
      </w:r>
      <w:r>
        <w:rPr>
          <w:rStyle w:val="FootnoteAnchor"/>
          <w:rtl w:val="true"/>
        </w:rPr>
        <w:footnoteReference w:id="1257"/>
      </w:r>
      <w:r>
        <w:rPr>
          <w:rFonts w:ascii="IRNazanin" w:hAnsi="IRNazanin" w:eastAsia="IRNazanin"/>
          <w:color w:val="111111"/>
          <w:sz w:val="28"/>
          <w:sz w:val="28"/>
          <w:szCs w:val="28"/>
          <w:rtl w:val="true"/>
          <w:lang w:bidi="fa-IR"/>
        </w:rPr>
        <w:t xml:space="preserve">محرّمة فی قطیع غنم بحیث یکون نسبته إلی کلّ بعض منها کنسبته إلی البعض الآخر، </w:t>
      </w:r>
      <w:bookmarkStart w:id="969" w:name="pg12977_114400"/>
    </w:p>
    <w:p>
      <w:pPr>
        <w:pStyle w:val="BookText"/>
        <w:rPr/>
      </w:pPr>
      <w:bookmarkEnd w:id="969"/>
      <w:r>
        <w:rPr>
          <w:rFonts w:ascii="IRNazanin" w:hAnsi="IRNazanin" w:eastAsia="IRNazanin"/>
          <w:color w:val="111111"/>
          <w:sz w:val="28"/>
          <w:sz w:val="28"/>
          <w:szCs w:val="28"/>
          <w:rtl w:val="true"/>
          <w:lang w:bidi="fa-IR"/>
        </w:rPr>
        <w:t>و علمنا أیضا بوجود شیاه محرّمة فی خصوص طائفة خاصّة من تلک الغنم بحیث لو لم یکن من الغنم إلاّ هذه علم إجمالا بوجود الحرام فیها أیضا؛و الکاشف عن ثبوت العلم الإجمالیّ فی المجموع ما أشرنا إلیه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لو عزلنا من هذه الطائفة الخاصّة التی علم بوجود الحرام فیها قطعة توجب انتفاء العلم الإجمالیّ فیها و ضممنا إلیها مکانها باقی الغنم،حصل العلم الإجمالیّ بوجود الحرام فیها أیضا،و حینئذ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بدّ </w:t>
      </w:r>
      <w:r>
        <w:rPr>
          <w:rStyle w:val="FootnoteAnchor"/>
          <w:rtl w:val="true"/>
        </w:rPr>
        <w:footnoteReference w:id="1258"/>
      </w:r>
      <w:r>
        <w:rPr>
          <w:rFonts w:ascii="IRNazanin" w:hAnsi="IRNazanin" w:eastAsia="IRNazanin"/>
          <w:color w:val="111111"/>
          <w:sz w:val="28"/>
          <w:sz w:val="28"/>
          <w:szCs w:val="28"/>
          <w:rtl w:val="true"/>
          <w:lang w:bidi="fa-IR"/>
        </w:rPr>
        <w:t xml:space="preserve">من أن نجری </w:t>
      </w:r>
      <w:r>
        <w:rPr>
          <w:rStyle w:val="FootnoteAnchor"/>
          <w:rtl w:val="true"/>
        </w:rPr>
        <w:footnoteReference w:id="1259"/>
      </w:r>
      <w:r>
        <w:rPr>
          <w:rFonts w:ascii="IRNazanin" w:hAnsi="IRNazanin" w:eastAsia="IRNazanin"/>
          <w:color w:val="111111"/>
          <w:sz w:val="28"/>
          <w:sz w:val="28"/>
          <w:szCs w:val="28"/>
          <w:rtl w:val="true"/>
          <w:lang w:bidi="fa-IR"/>
        </w:rPr>
        <w:t>حکم العلم الإجمالیّ فی تمام الغنم إمّا بالاحتیاط، أو بالعمل بالمظنّة لو بطل وجوب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نحن فیه من هذا القبیل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سائر الأمارات المجرّدة لا مدخل لها فی العلم الإجمالیّ،و أنّ هنا علما إجمالیّا واحدا بثبوت الواقع بین الأخبار، خلاف الانصاف</w:t>
      </w:r>
      <w:r>
        <w:rPr>
          <w:rFonts w:eastAsia="IRNazanin" w:cs="IRNazanin"/>
          <w:color w:val="111111"/>
          <w:sz w:val="28"/>
          <w:szCs w:val="28"/>
          <w:rtl w:val="true"/>
          <w:lang w:bidi="fa-IR"/>
        </w:rPr>
        <w:t>.</w:t>
      </w:r>
    </w:p>
    <w:p>
      <w:pPr>
        <w:pStyle w:val="Heading6"/>
        <w:numPr>
          <w:ilvl w:val="5"/>
          <w:numId w:val="1"/>
        </w:numPr>
        <w:rPr/>
      </w:pPr>
      <w:bookmarkStart w:id="970" w:name="__RefHeading___Toc5447179_3224264995"/>
      <w:bookmarkStart w:id="971" w:name="_Toc371"/>
      <w:bookmarkEnd w:id="970"/>
      <w:r>
        <w:rPr>
          <w:rtl w:val="true"/>
        </w:rPr>
        <w:t>المناقشة الثانیة فی الوجه الأول</w:t>
      </w:r>
      <w:r>
        <w:rPr>
          <w:rtl w:val="true"/>
        </w:rPr>
        <w:t>:</w:t>
      </w:r>
      <w:bookmarkEnd w:id="971"/>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اللازم من ذلک العلم الإجمالیّ هو العمل بالظنّ فی مضمون تلک الأخبار؛لما عرفت </w:t>
      </w:r>
      <w:r>
        <w:rPr>
          <w:rStyle w:val="FootnoteAnchor"/>
          <w:rtl w:val="true"/>
        </w:rPr>
        <w:footnoteReference w:id="1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العمل بالخبر الصادر إنّما هو باعتبار کون مضمونه حکم اللّه الذی یجب العمل به،و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فکلّما ظنّ بمضمون خبر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من جهة الشهرة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یؤخذ به،و کلّ خبر لم یحصل الظنّ </w:t>
      </w:r>
      <w:r>
        <w:rPr>
          <w:rStyle w:val="FootnoteAnchor"/>
          <w:rtl w:val="true"/>
        </w:rPr>
        <w:footnoteReference w:id="1261"/>
      </w:r>
      <w:r>
        <w:rPr>
          <w:rFonts w:ascii="IRNazanin" w:hAnsi="IRNazanin" w:eastAsia="IRNazanin"/>
          <w:color w:val="111111"/>
          <w:sz w:val="28"/>
          <w:sz w:val="28"/>
          <w:szCs w:val="28"/>
          <w:rtl w:val="true"/>
          <w:lang w:bidi="fa-IR"/>
        </w:rPr>
        <w:t>بکون مضمونه حکم اللّه لا یؤخذ به و لو کان مظنون الصدور،فالعبرة بظنّ مطابقة الخبر للواقع،لا بظنّ الصدور</w:t>
      </w:r>
      <w:r>
        <w:rPr>
          <w:rFonts w:eastAsia="IRNazanin" w:cs="IRNazanin"/>
          <w:color w:val="111111"/>
          <w:sz w:val="28"/>
          <w:szCs w:val="28"/>
          <w:rtl w:val="true"/>
          <w:lang w:bidi="fa-IR"/>
        </w:rPr>
        <w:t xml:space="preserve">. </w:t>
      </w:r>
      <w:bookmarkStart w:id="972" w:name="pg12977_114401"/>
    </w:p>
    <w:p>
      <w:pPr>
        <w:pStyle w:val="Heading6"/>
        <w:numPr>
          <w:ilvl w:val="5"/>
          <w:numId w:val="1"/>
        </w:numPr>
        <w:rPr/>
      </w:pPr>
      <w:bookmarkStart w:id="973" w:name="__RefHeading___Toc5447181_3224264995"/>
      <w:bookmarkStart w:id="974" w:name="_Toc372"/>
      <w:bookmarkEnd w:id="972"/>
      <w:bookmarkEnd w:id="973"/>
      <w:r>
        <w:rPr>
          <w:rtl w:val="true"/>
        </w:rPr>
        <w:t>المناقشة الثالثة فی الوجه الأوّل ایضا</w:t>
      </w:r>
      <w:bookmarkEnd w:id="974"/>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هذا الدلیل وجوب العمل بالخبر المقتضی للتکلیف؛لأنّه الذی یجب العمل به،و أمّا الأخبار الصادرة النافیة للتکلیف فلا یجب العمل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نعم،یجب الإذعان بمضمونها و إن لم تعرف بعینها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لا یثبت به حجّیّة الأخبار علی وجه ینهض لصرف ظواهر الکتاب و السنّة القطعیّة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 حجّیّة الخبر کونه دلیلا متّبعا فی مخالفة الاصول العملیّة و الاصول اللفظیّة مطلقا،و هذا المعنی لا یثبت بالدلیل المذکور،کما لا یثبت بأکثر ما سیأتی من الوجوه العقلیّة بل کلّها، فانتظر</w:t>
      </w:r>
      <w:r>
        <w:rPr>
          <w:rFonts w:eastAsia="IRNazanin" w:cs="IRNazanin"/>
          <w:color w:val="111111"/>
          <w:sz w:val="28"/>
          <w:szCs w:val="28"/>
          <w:rtl w:val="true"/>
          <w:lang w:bidi="fa-IR"/>
        </w:rPr>
        <w:t xml:space="preserve">. </w:t>
      </w:r>
      <w:bookmarkStart w:id="975" w:name="pg12977_114402"/>
    </w:p>
    <w:p>
      <w:pPr>
        <w:pStyle w:val="Heading6"/>
        <w:numPr>
          <w:ilvl w:val="5"/>
          <w:numId w:val="1"/>
        </w:numPr>
        <w:rPr/>
      </w:pPr>
      <w:bookmarkStart w:id="976" w:name="__RefHeading___Toc5447183_3224264995"/>
      <w:bookmarkStart w:id="977" w:name="_Toc373"/>
      <w:bookmarkEnd w:id="975"/>
      <w:bookmarkEnd w:id="976"/>
      <w:r>
        <w:rPr>
          <w:rtl w:val="true"/>
        </w:rPr>
        <w:t>الوجه الثانی علی حجیة خبر الواحد</w:t>
      </w:r>
      <w:r>
        <w:rPr>
          <w:rtl w:val="true"/>
        </w:rPr>
        <w:t>:</w:t>
      </w:r>
      <w:r>
        <w:rPr>
          <w:rtl w:val="true"/>
        </w:rPr>
        <w:t>ما ذکره الفاضل التونی</w:t>
      </w:r>
      <w:bookmarkEnd w:id="977"/>
    </w:p>
    <w:p>
      <w:pPr>
        <w:pStyle w:val="BookText"/>
        <w:rPr/>
      </w:pPr>
      <w:r>
        <w:rPr>
          <w:rFonts w:ascii="IRNazanin" w:hAnsi="IRNazanin" w:eastAsia="IRNazanin"/>
          <w:color w:val="111111"/>
          <w:sz w:val="28"/>
          <w:sz w:val="28"/>
          <w:szCs w:val="28"/>
          <w:rtl w:val="true"/>
          <w:lang w:bidi="fa-IR"/>
        </w:rPr>
        <w:t>ما ذکره فی الوافیة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مستدلا علی حجّیّة الخبر الموجود فی الکتب المعتمدة للشیعة کالکتب الأربعة مع عمل جمع به من غیر ردّ ظاهر، بوجوه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نقطع ببقاء التکلیف إلی یوم القیامة سیّما بالاصول الضروریّة،کالصلاة و الزکاة و الصوم و الحجّ و المتاجر و الأنکحة و نحوها، مع أنّ جلّ أجزائها و شرائطها و موانعها إنّما یثبت بالخبر الغیر القطعیّ، بحیث یقطع بخروج حقائق هذه الامور عن کونها هذه الامور عند ترک العمل بخبر الواحد،و من أنکر فإنّما ینکر باللسان و قلبه مطمئنّ بالإیمان </w:t>
      </w:r>
      <w:r>
        <w:rPr>
          <w:rStyle w:val="FootnoteAnchor"/>
          <w:rtl w:val="true"/>
        </w:rPr>
        <w:footnoteReference w:id="126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978" w:name="__RefHeading___Toc5447185_3224264995"/>
      <w:bookmarkStart w:id="979" w:name="_Toc374"/>
      <w:bookmarkEnd w:id="978"/>
      <w:r>
        <w:rPr>
          <w:rtl w:val="true"/>
        </w:rPr>
        <w:t>المناقشة فیما أفاده الفاضل التونی</w:t>
      </w:r>
      <w:bookmarkEnd w:id="979"/>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العلم الإجمالیّ حاصل بوجود الأجزاء و الشرائط بین جمیع الأخبار،لا خصوص الأخبار المشروطة بما ذکره،و مجرّد وجود العلم الإجمالیّ فی تلک الطائفة الخاصّة لا یوجب خروج غیرها عن أطراف العلم الإجمالیّ،کما عرفت فی الجواب الأوّل عن الوجه الأوّل </w:t>
      </w:r>
      <w:r>
        <w:rPr>
          <w:rStyle w:val="FootnoteAnchor"/>
          <w:rtl w:val="true"/>
        </w:rPr>
        <w:footnoteReference w:id="1264"/>
      </w:r>
      <w:r>
        <w:rPr>
          <w:rFonts w:ascii="Amiri" w:hAnsi="Amiri" w:eastAsia="Amiri" w:cs="Amiri"/>
          <w:color w:val="111111"/>
          <w:sz w:val="28"/>
          <w:sz w:val="28"/>
          <w:szCs w:val="28"/>
          <w:rtl w:val="true"/>
          <w:lang w:bidi="ar-SA"/>
        </w:rPr>
        <w:t xml:space="preserve">و إلاّ </w:t>
      </w:r>
      <w:r>
        <w:rPr>
          <w:rStyle w:val="FootnoteAnchor"/>
          <w:rtl w:val="true"/>
        </w:rPr>
        <w:footnoteReference w:id="1265"/>
      </w:r>
      <w:r>
        <w:rPr>
          <w:rFonts w:ascii="IRNazanin" w:hAnsi="IRNazanin" w:eastAsia="IRNazanin"/>
          <w:color w:val="111111"/>
          <w:sz w:val="28"/>
          <w:sz w:val="28"/>
          <w:szCs w:val="28"/>
          <w:rtl w:val="true"/>
          <w:lang w:bidi="fa-IR"/>
        </w:rPr>
        <w:t>أمکن إخراج بعض هذه الطائفة الخاصّة و دعوی العلم الإجمالیّ فی الباقی،کأخبار العدول مثلا؛فاللازم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الاحتیاط </w:t>
      </w:r>
    </w:p>
    <w:p>
      <w:pPr>
        <w:pStyle w:val="BookText"/>
        <w:rPr/>
      </w:pPr>
      <w:r>
        <w:rPr>
          <w:rFonts w:ascii="Amiri" w:hAnsi="Amiri" w:eastAsia="Amiri" w:cs="Amiri"/>
          <w:color w:val="111111"/>
          <w:sz w:val="28"/>
          <w:sz w:val="28"/>
          <w:szCs w:val="28"/>
          <w:rtl w:val="true"/>
          <w:lang w:bidi="ar-SA"/>
        </w:rPr>
        <w:t>و العمل بکلّ خبر دلّ علی جزئیّة شیء أو شرطیّته،و إمّا العمل بکلّ خبر ظنّ صدوره ممّا دلّ علی الجزئیّة أو الشرطیّة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المظنون الصدور من الأخبار هو الجامع لما ذکر من الشروط</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هذا الدلیل وجوب العمل بالأخبار الدالّة علی الشرائط و الأجزاء دون الأخبار الدالّة علی عدمهما،خصوصا إذا اقتضی الأصل الشرطیّة و الجزئیّة</w:t>
      </w:r>
      <w:r>
        <w:rPr>
          <w:rFonts w:eastAsia="IRNazanin" w:cs="IRNazanin"/>
          <w:color w:val="111111"/>
          <w:sz w:val="28"/>
          <w:szCs w:val="28"/>
          <w:rtl w:val="true"/>
          <w:lang w:bidi="fa-IR"/>
        </w:rPr>
        <w:t xml:space="preserve">. </w:t>
      </w:r>
      <w:bookmarkStart w:id="980" w:name="pg12977_114404"/>
    </w:p>
    <w:p>
      <w:pPr>
        <w:pStyle w:val="Heading6"/>
        <w:numPr>
          <w:ilvl w:val="5"/>
          <w:numId w:val="1"/>
        </w:numPr>
        <w:rPr/>
      </w:pPr>
      <w:bookmarkStart w:id="981" w:name="__RefHeading___Toc5447187_3224264995"/>
      <w:bookmarkStart w:id="982" w:name="_Toc375"/>
      <w:bookmarkEnd w:id="980"/>
      <w:bookmarkEnd w:id="981"/>
      <w:r>
        <w:rPr>
          <w:rtl w:val="true"/>
        </w:rPr>
        <w:t>الوجه الثالث</w:t>
      </w:r>
      <w:r>
        <w:rPr>
          <w:rtl w:val="true"/>
        </w:rPr>
        <w:t>:</w:t>
      </w:r>
      <w:r>
        <w:rPr>
          <w:rtl w:val="true"/>
        </w:rPr>
        <w:t>ما ذکره صاحب هدایة المسترشدین</w:t>
      </w:r>
      <w:bookmarkEnd w:id="982"/>
    </w:p>
    <w:p>
      <w:pPr>
        <w:pStyle w:val="BookText"/>
        <w:rPr/>
      </w:pPr>
      <w:r>
        <w:rPr>
          <w:rFonts w:ascii="IRNazanin" w:hAnsi="IRNazanin" w:eastAsia="IRNazanin"/>
          <w:color w:val="111111"/>
          <w:sz w:val="28"/>
          <w:sz w:val="28"/>
          <w:szCs w:val="28"/>
          <w:rtl w:val="true"/>
          <w:lang w:bidi="fa-IR"/>
        </w:rPr>
        <w:t xml:space="preserve">ما ذکره بعض المحقّقین من المعاصرین </w:t>
      </w:r>
      <w:r>
        <w:rPr>
          <w:rStyle w:val="FootnoteAnchor"/>
          <w:rtl w:val="true"/>
        </w:rPr>
        <w:footnoteReference w:id="1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حاشیته علی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حجّیّة الظنّ الحاصل من الخبر لا مطلقا،و قد لخّصناه لطوله، و ملخّصه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وجوب العمل بالکتاب و السنّة ثابت بالإجماع،بل الضرورة و الأخبار المتواترة،و بقاء هذا التکلیف أیضا بالنسبة إلینا ثابت بالأدلّة المذکورة،و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أمکن الرجوع إلیهما علی وجه یحصل العلم بهما بحکم أو الظنّ الخاصّ به فهو،و إلاّ فالمتّبع هو الرجوع إلیهما علی وجه یحصل الظنّ منهما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حاصله،و قد أطال قدّس سرّه فی النقض و الإبرام بذکر الإیرادات و الأجوبة علی هذا المطلب</w:t>
      </w:r>
      <w:r>
        <w:rPr>
          <w:rFonts w:eastAsia="IRNazanin" w:cs="IRNazanin"/>
          <w:color w:val="111111"/>
          <w:sz w:val="28"/>
          <w:szCs w:val="28"/>
          <w:rtl w:val="true"/>
          <w:lang w:bidi="fa-IR"/>
        </w:rPr>
        <w:t>.</w:t>
      </w:r>
    </w:p>
    <w:p>
      <w:pPr>
        <w:pStyle w:val="Heading6"/>
        <w:numPr>
          <w:ilvl w:val="5"/>
          <w:numId w:val="1"/>
        </w:numPr>
        <w:rPr/>
      </w:pPr>
      <w:bookmarkStart w:id="983" w:name="__RefHeading___Toc5447189_3224264995"/>
      <w:bookmarkStart w:id="984" w:name="_Toc376"/>
      <w:bookmarkEnd w:id="983"/>
      <w:r>
        <w:rPr>
          <w:rtl w:val="true"/>
        </w:rPr>
        <w:t>المناقشة فیما أفاده صاحب الهدایة</w:t>
      </w:r>
      <w:bookmarkEnd w:id="984"/>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هذا الدلیل بظاهره عبارة اخری عن دلیل الانسداد الذی ذکروه لحجّیّة الظنّ فی الجملة أو مطلقا؛و ذلک لأنّ المراد بالسنّة هو </w:t>
      </w:r>
      <w:r>
        <w:rPr>
          <w:rStyle w:val="FootnoteAnchor"/>
          <w:rtl w:val="true"/>
        </w:rPr>
        <w:footnoteReference w:id="1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الحجّة أو فعله أو تقریره،فإذا وجب علینا الرجوع إلی مدلول </w:t>
      </w:r>
      <w:r>
        <w:rPr>
          <w:rStyle w:val="FootnoteAnchor"/>
          <w:rtl w:val="true"/>
        </w:rPr>
        <w:footnoteReference w:id="1269"/>
      </w:r>
      <w:r>
        <w:rPr>
          <w:rFonts w:ascii="IRNazanin" w:hAnsi="IRNazanin" w:eastAsia="IRNazanin"/>
          <w:color w:val="111111"/>
          <w:sz w:val="28"/>
          <w:sz w:val="28"/>
          <w:szCs w:val="28"/>
          <w:rtl w:val="true"/>
          <w:lang w:bidi="fa-IR"/>
        </w:rPr>
        <w:t>الکتاب و السنّة و لم نتمکّن من الرجوع إلی ما علم أنّه مدلول الکتاب أو السنّة،تعیّن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باعتراف المستدلّ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ما </w:t>
      </w:r>
    </w:p>
    <w:p>
      <w:pPr>
        <w:pStyle w:val="BookText"/>
        <w:rPr/>
      </w:pPr>
      <w:r>
        <w:rPr>
          <w:rFonts w:ascii="Amiri" w:hAnsi="Amiri" w:eastAsia="Amiri" w:cs="Amiri"/>
          <w:color w:val="111111"/>
          <w:sz w:val="28"/>
          <w:sz w:val="28"/>
          <w:szCs w:val="28"/>
          <w:rtl w:val="true"/>
          <w:lang w:bidi="ar-SA"/>
        </w:rPr>
        <w:t xml:space="preserve">یظنّ </w:t>
      </w:r>
      <w:r>
        <w:rPr>
          <w:rStyle w:val="FootnoteAnchor"/>
          <w:rtl w:val="true"/>
        </w:rPr>
        <w:footnoteReference w:id="1270"/>
      </w:r>
      <w:r>
        <w:rPr>
          <w:rFonts w:ascii="IRNazanin" w:hAnsi="IRNazanin" w:eastAsia="IRNazanin"/>
          <w:color w:val="111111"/>
          <w:sz w:val="28"/>
          <w:sz w:val="28"/>
          <w:szCs w:val="28"/>
          <w:rtl w:val="true"/>
          <w:lang w:bidi="fa-IR"/>
        </w:rPr>
        <w:t>کونه مدلولا لأحدهما،فإذا ظننّا أنّ مؤدّی الشهرة أو معقد الإجماع المنقول مدلول للکتاب أو لقول الحجّة أو فعله أو تقریره، وجب الأخذ به،و لا اختصاص للحجّیّة بما یظنّ کونه مدلولا لأحد هذه الثلاثة من جهة حکایة أحدها التی تسمّی خبرا و حدیثا فی 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نعم،یخرج عن مقتضی هذا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الظنّ الحاصل بحکم اللّه من أمارة لا یظنّ کونه </w:t>
      </w:r>
      <w:r>
        <w:rPr>
          <w:rStyle w:val="FootnoteAnchor"/>
          <w:rtl w:val="true"/>
        </w:rPr>
        <w:footnoteReference w:id="1271"/>
      </w:r>
      <w:r>
        <w:rPr>
          <w:rFonts w:ascii="IRNazanin" w:hAnsi="IRNazanin" w:eastAsia="IRNazanin"/>
          <w:color w:val="111111"/>
          <w:sz w:val="28"/>
          <w:sz w:val="28"/>
          <w:szCs w:val="28"/>
          <w:rtl w:val="true"/>
          <w:lang w:bidi="fa-IR"/>
        </w:rPr>
        <w:t>مدلولا لأحد الثلاثة،کما إذا ظنّ بالأولویّة العقلیّة أو الاستقراء أنّ الحکم کذا عند اللّه و لم یظنّ بصدوره عن الحجّة،أو قطعنا بعدم صدوره عنه علیه السّلام؛إذ ربّ حکم واقعیّ لم یصدر عنهم و بقی مخزونا عندهم لمصلحة من المصالح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هذا نادر جدّا؛للعلم العادیّ بأنّ هذه المسائل العامّة البلوی قد صدر حکمها فی الکتاب أو ببیان الحجّة قولا أو فعلا أو تقریرا، فکلّ ما ظنّ من أمارة بحکم اللّه تعالی فقد ظنّ بصدور ذلک الحکم عنهم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مطلق الظنّ بحکم اللّه ظنّ بالکتاب أو السنّة، و یدلّ علی اعتباره ما دلّ علی اعتبار الکتاب و السنّة الظنّیّة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بالسنّة الأخبار و الأحادیث،و المراد أنّه یجب الرجوع إلی الأخبار المحکیّة عنهم،فإن تمکّن من الرجوع إلیها علی </w:t>
      </w:r>
    </w:p>
    <w:p>
      <w:pPr>
        <w:pStyle w:val="BookText"/>
        <w:rPr/>
      </w:pPr>
      <w:r>
        <w:rPr>
          <w:rFonts w:ascii="IRNazanin" w:hAnsi="IRNazanin" w:eastAsia="IRNazanin"/>
          <w:color w:val="111111"/>
          <w:sz w:val="28"/>
          <w:sz w:val="28"/>
          <w:szCs w:val="28"/>
          <w:rtl w:val="true"/>
          <w:lang w:bidi="fa-IR"/>
        </w:rPr>
        <w:t>وجه یفید العلم فهو،و إلاّ وجب الرجوع إلیها علی وجه یظنّ منه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السنّة فی الاصطلاح عبارة عن نفس قول الحجّة أو فعله أو تقریره،لا حکایة أحدها،یرد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الأمر بالعمل بالأخبار المحکیّة المفیدة للقطع بصدورها ثابت بما دلّ علی الرجوع إلی قول الحجّة،و هو الإجماع و الضرورة الثابتة من الدین أو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الرجوع إلی الأخبار المحکیّة التی لا تفید القطع بصدورها </w:t>
      </w:r>
      <w:r>
        <w:rPr>
          <w:rStyle w:val="FootnoteAnchor"/>
          <w:rtl w:val="true"/>
        </w:rPr>
        <w:footnoteReference w:id="1273"/>
      </w:r>
      <w:r>
        <w:rPr>
          <w:rFonts w:ascii="IRNazanin" w:hAnsi="IRNazanin" w:eastAsia="IRNazanin"/>
          <w:color w:val="111111"/>
          <w:sz w:val="28"/>
          <w:sz w:val="28"/>
          <w:szCs w:val="28"/>
          <w:rtl w:val="true"/>
          <w:lang w:bidi="fa-IR"/>
        </w:rPr>
        <w:t xml:space="preserve">عن الحجّة،فلم یثبت ذلک بالإجماع و الضرورة من الدین التی ادّعاها المستدلّ؛فإنّ غایة الأمر دعوی إجماع الإمامیّة علیه فی الجملة،کما ادّعاه الشیخ و العلاّمة </w:t>
      </w:r>
      <w:r>
        <w:rPr>
          <w:rStyle w:val="FootnoteAnchor"/>
          <w:rtl w:val="true"/>
        </w:rPr>
        <w:footnoteReference w:id="1274"/>
      </w:r>
      <w:r>
        <w:rPr>
          <w:rFonts w:ascii="IRNazanin" w:hAnsi="IRNazanin" w:eastAsia="IRNazanin"/>
          <w:color w:val="111111"/>
          <w:sz w:val="28"/>
          <w:sz w:val="28"/>
          <w:szCs w:val="28"/>
          <w:rtl w:val="true"/>
          <w:lang w:bidi="fa-IR"/>
        </w:rPr>
        <w:t>فی مقابل السیّد و أتباعه قدّست أسرارهم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الضرورة من الدین و الأخبار المتواترة کما ادّعاها المستدلّ،فلیست فی محلّها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هذه الدعوی قرینة علی أنّ مراده من السنّة نفس قول المعصوم أو فعله أو تقریره،لا حکایتها التی لا توصل إلیها علی وجه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ادّعی الضرورة علی وجوب الرجوع إلی تلک الحکایات الغیر العلمیّة؛لأجل لزوم الخروج عن الدین لو طرحت بالکلّیّة،یرد علیه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إن أراد لزوم الخروج عن الدین من جهة العلم بمطابقة کثیر </w:t>
      </w:r>
      <w:bookmarkStart w:id="985" w:name="pg12977_114407"/>
    </w:p>
    <w:p>
      <w:pPr>
        <w:pStyle w:val="BookText"/>
        <w:rPr/>
      </w:pPr>
      <w:bookmarkEnd w:id="985"/>
      <w:r>
        <w:rPr>
          <w:rFonts w:ascii="IRNazanin" w:hAnsi="IRNazanin" w:eastAsia="IRNazanin"/>
          <w:color w:val="111111"/>
          <w:sz w:val="28"/>
          <w:sz w:val="28"/>
          <w:szCs w:val="28"/>
          <w:rtl w:val="true"/>
          <w:lang w:bidi="fa-IR"/>
        </w:rPr>
        <w:t>منها للتکالیف الواقعیّة التی یعلم بعدم جواز رفع الید عنها عند الجهل بها تفصیلا،فهذا یرجع إلی دلیل الانسداد الذی ذکروه لحجّیة الظنّ، و مفاده لیس إلاّ حجّیة کلّ أمارة کاشفة عن التکلیف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لزومه من جهة خصوص العلم الإجمالیّ بصدور أکثر هذه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یثبت به غیر الخبر الظنّیّ من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لیصیر دلیلا عقلیّا علی حجّیة خصوص </w:t>
      </w:r>
      <w:r>
        <w:rPr>
          <w:rStyle w:val="FootnoteAnchor"/>
          <w:rtl w:val="true"/>
        </w:rPr>
        <w:footnoteReference w:id="1275"/>
      </w:r>
      <w:r>
        <w:rPr>
          <w:rFonts w:ascii="IRNazanin" w:hAnsi="IRNazanin" w:eastAsia="IRNazanin"/>
          <w:color w:val="111111"/>
          <w:sz w:val="28"/>
          <w:sz w:val="28"/>
          <w:szCs w:val="28"/>
          <w:rtl w:val="true"/>
          <w:lang w:bidi="fa-IR"/>
        </w:rPr>
        <w:t xml:space="preserve">الخبر،فهذا الوجه یرجع إلی الوجه الأوّل الذی قدّمناه و قدّمنا الجواب عنه،فراجع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تمام الکلام فی الأدلّة التی أقاموها علی حجّیة الخبر،و قد علمت دلالة بعضها و عدم دلالة البعض الآخر</w:t>
      </w:r>
      <w:r>
        <w:rPr>
          <w:rFonts w:eastAsia="IRNazanin" w:cs="IRNazanin"/>
          <w:color w:val="111111"/>
          <w:sz w:val="28"/>
          <w:szCs w:val="28"/>
          <w:rtl w:val="true"/>
          <w:lang w:bidi="fa-IR"/>
        </w:rPr>
        <w:t>.</w:t>
      </w:r>
    </w:p>
    <w:p>
      <w:pPr>
        <w:pStyle w:val="Heading6"/>
        <w:numPr>
          <w:ilvl w:val="5"/>
          <w:numId w:val="1"/>
        </w:numPr>
        <w:rPr/>
      </w:pPr>
      <w:bookmarkStart w:id="986" w:name="__RefHeading___Toc5447191_3224264995"/>
      <w:bookmarkStart w:id="987" w:name="_Toc377"/>
      <w:bookmarkEnd w:id="986"/>
      <w:r>
        <w:rPr>
          <w:rtl w:val="true"/>
        </w:rPr>
        <w:t>حاصل الکلام فی أدلّة حجیّة الخبر الواحد</w:t>
      </w:r>
      <w:bookmarkEnd w:id="987"/>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الدالّ منها لم یدلّ إلاّ علی وجوب العمل بما یفید الوثوق و الاطمئنان بمؤدّاه،و هو الذی فسّر به الصحیح فی مصطلح القدماء </w:t>
      </w:r>
      <w:r>
        <w:rPr>
          <w:rStyle w:val="FootnoteAnchor"/>
          <w:rtl w:val="true"/>
        </w:rPr>
        <w:footnoteReference w:id="1277"/>
      </w:r>
      <w:r>
        <w:rPr>
          <w:rFonts w:ascii="IRNazanin" w:hAnsi="IRNazanin" w:eastAsia="IRNazanin"/>
          <w:color w:val="111111"/>
          <w:sz w:val="28"/>
          <w:sz w:val="28"/>
          <w:szCs w:val="28"/>
          <w:rtl w:val="true"/>
          <w:lang w:bidi="fa-IR"/>
        </w:rPr>
        <w:t>،و المعیار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احتمال مخالفته للواقع بعیدا،بحیث لا یعتنی به العقلاء و لا یکون عندهم موجبا للتحیّر و التردّد الذی لا ینافی حصول مسمّی الرجحان،کما نشاهد فی الظنون الحاصلة بعد التروّی فی شکوک الصلاة،فافهم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علی ذکر منک؛لینفعک فیما بعد</w:t>
      </w:r>
      <w:r>
        <w:rPr>
          <w:rFonts w:eastAsia="IRNazanin" w:cs="IRNazanin"/>
          <w:color w:val="111111"/>
          <w:sz w:val="28"/>
          <w:szCs w:val="28"/>
          <w:rtl w:val="true"/>
          <w:lang w:bidi="fa-IR"/>
        </w:rPr>
        <w:t xml:space="preserve">. </w:t>
      </w:r>
      <w:bookmarkStart w:id="988" w:name="pg12977_114408"/>
    </w:p>
    <w:p>
      <w:pPr>
        <w:pStyle w:val="BookText"/>
        <w:rPr/>
      </w:pPr>
      <w:bookmarkEnd w:id="9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حجّیة مطلق الظن</w:t>
      </w:r>
      <w:r>
        <w:rPr>
          <w:rFonts w:eastAsia="Amiri" w:cs="Amiri" w:ascii="Amiri" w:hAnsi="Amiri"/>
          <w:color w:val="111111"/>
          <w:sz w:val="28"/>
          <w:szCs w:val="28"/>
          <w:rtl w:val="true"/>
          <w:lang w:bidi="ar-SA"/>
        </w:rPr>
        <w:t xml:space="preserve">] </w:t>
      </w:r>
      <w:r>
        <w:rPr>
          <w:rStyle w:val="FootnoteAnchor"/>
          <w:rtl w:val="true"/>
        </w:rPr>
        <w:footnoteReference w:id="1278"/>
      </w:r>
    </w:p>
    <w:p>
      <w:pPr>
        <w:pStyle w:val="Heading6"/>
        <w:numPr>
          <w:ilvl w:val="5"/>
          <w:numId w:val="1"/>
        </w:numPr>
        <w:rPr/>
      </w:pPr>
      <w:bookmarkStart w:id="989" w:name="__RefHeading___Toc5447193_3224264995"/>
      <w:bookmarkStart w:id="990" w:name="_Toc378"/>
      <w:bookmarkEnd w:id="989"/>
      <w:r>
        <w:rPr>
          <w:rtl w:val="true"/>
        </w:rPr>
        <w:t>الدلیل العقلی علی حجیّة مطلق الظنّ من وجوه أیضا</w:t>
      </w:r>
      <w:r>
        <w:rPr>
          <w:rtl w:val="true"/>
        </w:rPr>
        <w:t>:</w:t>
      </w:r>
      <w:bookmarkEnd w:id="990"/>
    </w:p>
    <w:p>
      <w:pPr>
        <w:pStyle w:val="BookText"/>
        <w:rPr/>
      </w:pPr>
      <w:r>
        <w:rPr>
          <w:rFonts w:ascii="IRNazanin" w:hAnsi="IRNazanin" w:eastAsia="IRNazanin"/>
          <w:color w:val="111111"/>
          <w:sz w:val="28"/>
          <w:sz w:val="28"/>
          <w:szCs w:val="28"/>
          <w:rtl w:val="true"/>
          <w:lang w:bidi="fa-IR"/>
        </w:rPr>
        <w:t xml:space="preserve">فلنشرع فی الأدلّة التی أقاموها علی حجّیّة الظنّ من غیر خصوصیّة للخبر یقتضیها نفس الدلیل،و إن اقتضاها أمر </w:t>
      </w:r>
      <w:r>
        <w:rPr>
          <w:rStyle w:val="FootnoteAnchor"/>
          <w:rtl w:val="true"/>
        </w:rPr>
        <w:footnoteReference w:id="1279"/>
      </w:r>
      <w:r>
        <w:rPr>
          <w:rFonts w:ascii="IRNazanin" w:hAnsi="IRNazanin" w:eastAsia="IRNazanin"/>
          <w:color w:val="111111"/>
          <w:sz w:val="28"/>
          <w:sz w:val="28"/>
          <w:szCs w:val="28"/>
          <w:rtl w:val="true"/>
          <w:lang w:bidi="fa-IR"/>
        </w:rPr>
        <w:t>آخر،و هو کون الخبر مطلقا أو خصوص قسم منه متیقّن الثبوت من ذلک الدلیل إذا فرض أنّه لا یثبت إلاّ الظنّ فی الجملة و لا یثبته کلیّة،و هی أربعة</w:t>
      </w:r>
      <w:r>
        <w:rPr>
          <w:rFonts w:eastAsia="IRNazanin" w:cs="IRNazanin"/>
          <w:color w:val="111111"/>
          <w:sz w:val="28"/>
          <w:szCs w:val="28"/>
          <w:rtl w:val="true"/>
          <w:lang w:bidi="fa-IR"/>
        </w:rPr>
        <w:t>:</w:t>
      </w:r>
    </w:p>
    <w:p>
      <w:pPr>
        <w:pStyle w:val="Heading6"/>
        <w:numPr>
          <w:ilvl w:val="5"/>
          <w:numId w:val="1"/>
        </w:numPr>
        <w:rPr/>
      </w:pPr>
      <w:bookmarkStart w:id="991" w:name="__RefHeading___Toc5447195_3224264995"/>
      <w:bookmarkStart w:id="992" w:name="_Toc379"/>
      <w:bookmarkEnd w:id="991"/>
      <w:r>
        <w:rPr>
          <w:rtl w:val="true"/>
        </w:rPr>
        <w:t>الوجه الأوّل</w:t>
      </w:r>
      <w:r>
        <w:rPr>
          <w:rtl w:val="true"/>
        </w:rPr>
        <w:t xml:space="preserve">: </w:t>
      </w:r>
      <w:r>
        <w:rPr>
          <w:rtl w:val="true"/>
        </w:rPr>
        <w:t>وجوب دفع الضرر المظنون</w:t>
      </w:r>
      <w:bookmarkEnd w:id="992"/>
    </w:p>
    <w:p>
      <w:pPr>
        <w:pStyle w:val="BookText"/>
        <w:rPr/>
      </w:pPr>
      <w:r>
        <w:rPr>
          <w:rFonts w:ascii="IRNazanin" w:hAnsi="IRNazanin" w:eastAsia="IRNazanin"/>
          <w:color w:val="111111"/>
          <w:sz w:val="28"/>
          <w:sz w:val="28"/>
          <w:szCs w:val="28"/>
          <w:rtl w:val="true"/>
          <w:lang w:bidi="fa-IR"/>
        </w:rPr>
        <w:t xml:space="preserve">أنّ فی مخالفة المجتهد لما ظنّه من الحکم الوجوبیّ أو التحریمیّ مظنّة للضرر،و دفع الضرر المظنون لازم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الصغری؛فلأنّ الظنّ بالوجوب ظنّ باستحقاق العقاب علی الترک،کما أنّ الظنّ بالحرمة ظنّ باستحقاق العقاب علی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لأنّ </w:t>
      </w:r>
      <w:bookmarkStart w:id="993" w:name="pg12977_114409"/>
    </w:p>
    <w:p>
      <w:pPr>
        <w:pStyle w:val="BookText"/>
        <w:rPr/>
      </w:pPr>
      <w:bookmarkEnd w:id="993"/>
      <w:r>
        <w:rPr>
          <w:rFonts w:ascii="IRNazanin" w:hAnsi="IRNazanin" w:eastAsia="IRNazanin"/>
          <w:color w:val="111111"/>
          <w:sz w:val="28"/>
          <w:sz w:val="28"/>
          <w:szCs w:val="28"/>
          <w:rtl w:val="true"/>
          <w:lang w:bidi="fa-IR"/>
        </w:rPr>
        <w:t>الظنّ بالوجوب ظنّ بوجود المفسدة فی الترک،کما أنّ الظنّ بالحرمة ظنّ بالمفسدة فی الفعل،بناء علی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بتبعیّة الأحکام للمصالح و المفاسد،و قد جعل فی النهایة </w:t>
      </w:r>
      <w:r>
        <w:rPr>
          <w:rStyle w:val="FootnoteAnchor"/>
          <w:rtl w:val="true"/>
        </w:rPr>
        <w:footnoteReference w:id="1281"/>
      </w:r>
      <w:r>
        <w:rPr>
          <w:rFonts w:ascii="IRNazanin" w:hAnsi="IRNazanin" w:eastAsia="IRNazanin"/>
          <w:color w:val="111111"/>
          <w:sz w:val="28"/>
          <w:sz w:val="28"/>
          <w:szCs w:val="28"/>
          <w:rtl w:val="true"/>
          <w:lang w:bidi="fa-IR"/>
        </w:rPr>
        <w:t xml:space="preserve">کلاّ من الضررین </w:t>
      </w:r>
      <w:r>
        <w:rPr>
          <w:rStyle w:val="FootnoteAnchor"/>
          <w:rtl w:val="true"/>
        </w:rPr>
        <w:footnoteReference w:id="1282"/>
      </w:r>
      <w:r>
        <w:rPr>
          <w:rFonts w:ascii="IRNazanin" w:hAnsi="IRNazanin" w:eastAsia="IRNazanin"/>
          <w:color w:val="111111"/>
          <w:sz w:val="28"/>
          <w:sz w:val="28"/>
          <w:szCs w:val="28"/>
          <w:rtl w:val="true"/>
          <w:lang w:bidi="fa-IR"/>
        </w:rPr>
        <w:t>دلیلا مستقلا علی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بوجوه</w:t>
      </w:r>
      <w:r>
        <w:rPr>
          <w:rFonts w:eastAsia="IRNazanin" w:cs="IRNazanin"/>
          <w:color w:val="111111"/>
          <w:sz w:val="28"/>
          <w:szCs w:val="28"/>
          <w:rtl w:val="true"/>
          <w:lang w:bidi="fa-IR"/>
        </w:rPr>
        <w:t>:</w:t>
      </w:r>
    </w:p>
    <w:p>
      <w:pPr>
        <w:pStyle w:val="Heading6"/>
        <w:numPr>
          <w:ilvl w:val="5"/>
          <w:numId w:val="1"/>
        </w:numPr>
        <w:rPr/>
      </w:pPr>
      <w:bookmarkStart w:id="994" w:name="__RefHeading___Toc5447197_3224264995"/>
      <w:bookmarkStart w:id="995" w:name="_Toc380"/>
      <w:bookmarkEnd w:id="994"/>
      <w:r>
        <w:rPr>
          <w:rtl w:val="true"/>
        </w:rPr>
        <w:t>جواب الحاجی عن هذا الوجه</w:t>
      </w:r>
      <w:bookmarkEnd w:id="995"/>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الحاجبی </w:t>
      </w:r>
      <w:r>
        <w:rPr>
          <w:rStyle w:val="FootnoteAnchor"/>
          <w:rtl w:val="true"/>
        </w:rPr>
        <w:footnoteReference w:id="1283"/>
      </w:r>
      <w:r>
        <w:rPr>
          <w:rFonts w:ascii="IRNazanin" w:hAnsi="IRNazanin" w:eastAsia="IRNazanin"/>
          <w:color w:val="111111"/>
          <w:sz w:val="28"/>
          <w:sz w:val="28"/>
          <w:szCs w:val="28"/>
          <w:rtl w:val="true"/>
          <w:lang w:bidi="fa-IR"/>
        </w:rPr>
        <w:t xml:space="preserve">،و تبعه غیره </w:t>
      </w:r>
      <w:r>
        <w:rPr>
          <w:rStyle w:val="FootnoteAnchor"/>
          <w:rtl w:val="true"/>
        </w:rPr>
        <w:footnoteReference w:id="1284"/>
      </w:r>
      <w:r>
        <w:rPr>
          <w:rFonts w:ascii="IRNazanin" w:hAnsi="IRNazanin" w:eastAsia="IRNazanin"/>
          <w:color w:val="111111"/>
          <w:sz w:val="28"/>
          <w:sz w:val="28"/>
          <w:szCs w:val="28"/>
          <w:rtl w:val="true"/>
          <w:lang w:bidi="fa-IR"/>
        </w:rPr>
        <w:t>،من منع الکبری،و أنّ دفع الضرر المظنون إذا قلنا بالتحسین و التقبیح العقلیّین احتیاط مستحسن،لا واجب</w:t>
      </w:r>
      <w:r>
        <w:rPr>
          <w:rFonts w:eastAsia="IRNazanin" w:cs="IRNazanin"/>
          <w:color w:val="111111"/>
          <w:sz w:val="28"/>
          <w:szCs w:val="28"/>
          <w:rtl w:val="true"/>
          <w:lang w:bidi="fa-IR"/>
        </w:rPr>
        <w:t>.</w:t>
      </w:r>
    </w:p>
    <w:p>
      <w:pPr>
        <w:pStyle w:val="Heading6"/>
        <w:numPr>
          <w:ilvl w:val="5"/>
          <w:numId w:val="1"/>
        </w:numPr>
        <w:rPr/>
      </w:pPr>
      <w:bookmarkStart w:id="996" w:name="__RefHeading___Toc5447199_3224264995"/>
      <w:bookmarkStart w:id="997" w:name="_Toc381"/>
      <w:bookmarkEnd w:id="996"/>
      <w:r>
        <w:rPr>
          <w:rtl w:val="true"/>
        </w:rPr>
        <w:t>المنقاشة فی هذا الجواب</w:t>
      </w:r>
      <w:bookmarkEnd w:id="997"/>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فاسد؛لأنّ الحکم المذکور حکم إلزامیّ أطبق العقلاء علی الالتزام به فی جمیع امورهم و ذمّ من خالفه </w:t>
      </w:r>
      <w:r>
        <w:rPr>
          <w:rStyle w:val="FootnoteAnchor"/>
          <w:rtl w:val="true"/>
        </w:rPr>
        <w:footnoteReference w:id="1285"/>
      </w:r>
      <w:r>
        <w:rPr>
          <w:rFonts w:ascii="IRNazanin" w:hAnsi="IRNazanin" w:eastAsia="IRNazanin"/>
          <w:color w:val="111111"/>
          <w:sz w:val="28"/>
          <w:sz w:val="28"/>
          <w:szCs w:val="28"/>
          <w:rtl w:val="true"/>
          <w:lang w:bidi="fa-IR"/>
        </w:rPr>
        <w:t xml:space="preserve">و لذا استدلّ به المتکلّمون </w:t>
      </w:r>
      <w:r>
        <w:rPr>
          <w:rStyle w:val="FootnoteAnchor"/>
          <w:rtl w:val="true"/>
        </w:rPr>
        <w:footnoteReference w:id="1286"/>
      </w:r>
      <w:r>
        <w:rPr>
          <w:rFonts w:ascii="IRNazanin" w:hAnsi="IRNazanin" w:eastAsia="IRNazanin"/>
          <w:color w:val="111111"/>
          <w:sz w:val="28"/>
          <w:sz w:val="28"/>
          <w:szCs w:val="28"/>
          <w:rtl w:val="true"/>
          <w:lang w:bidi="fa-IR"/>
        </w:rPr>
        <w:t xml:space="preserve">فی </w:t>
      </w:r>
      <w:r>
        <w:rPr>
          <w:rStyle w:val="FootnoteAnchor"/>
          <w:rtl w:val="true"/>
        </w:rPr>
        <w:footnoteReference w:id="1287"/>
      </w:r>
      <w:r>
        <w:rPr>
          <w:rFonts w:ascii="IRNazanin" w:hAnsi="IRNazanin" w:eastAsia="IRNazanin"/>
          <w:color w:val="111111"/>
          <w:sz w:val="28"/>
          <w:sz w:val="28"/>
          <w:szCs w:val="28"/>
          <w:rtl w:val="true"/>
          <w:lang w:bidi="fa-IR"/>
        </w:rPr>
        <w:t xml:space="preserve">وجوب شکر المنعم </w:t>
      </w:r>
      <w:r>
        <w:rPr>
          <w:rStyle w:val="FootnoteAnchor"/>
          <w:rtl w:val="true"/>
        </w:rPr>
        <w:footnoteReference w:id="1288"/>
      </w:r>
      <w:r>
        <w:rPr>
          <w:rFonts w:ascii="IRNazanin" w:hAnsi="IRNazanin" w:eastAsia="IRNazanin"/>
          <w:color w:val="111111"/>
          <w:sz w:val="28"/>
          <w:sz w:val="28"/>
          <w:szCs w:val="28"/>
          <w:rtl w:val="true"/>
          <w:lang w:bidi="fa-IR"/>
        </w:rPr>
        <w:t xml:space="preserve">الذی هو مبنی وجوب معرفة اللّه تعالی، و لولاه لم یثبت وجوب النظر فی المعجزة،و لم یکن للّه علی غیر الناظر حجّة؛و لذا خصّوا النزاع فی الحظر و الإباحة فی غیر المستقلاّت العقلیّة </w:t>
      </w:r>
    </w:p>
    <w:p>
      <w:pPr>
        <w:pStyle w:val="BookText"/>
        <w:rPr/>
      </w:pPr>
      <w:r>
        <w:rPr>
          <w:rFonts w:ascii="IRNazanin" w:hAnsi="IRNazanin" w:eastAsia="IRNazanin"/>
          <w:color w:val="111111"/>
          <w:sz w:val="28"/>
          <w:sz w:val="28"/>
          <w:szCs w:val="28"/>
          <w:rtl w:val="true"/>
          <w:lang w:bidi="fa-IR"/>
        </w:rPr>
        <w:t>بما کان مشتملا علی منفعة و خالیا عن أمارة المفسدة؛فإنّ هذا التقیید یکشف عن أنّ ما فیه أمارة المضرّة لا نزاع فی قبحه،بل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صرّح به الشیخ فی العدّة فی مسألة الإباحة و الحظر </w:t>
      </w:r>
      <w:r>
        <w:rPr>
          <w:rStyle w:val="FootnoteAnchor"/>
          <w:rtl w:val="true"/>
        </w:rPr>
        <w:footnoteReference w:id="1289"/>
      </w:r>
      <w:r>
        <w:rPr>
          <w:rFonts w:ascii="IRNazanin" w:hAnsi="IRNazanin" w:eastAsia="IRNazanin"/>
          <w:color w:val="111111"/>
          <w:sz w:val="28"/>
          <w:sz w:val="28"/>
          <w:szCs w:val="28"/>
          <w:rtl w:val="true"/>
          <w:lang w:bidi="fa-IR"/>
        </w:rPr>
        <w:t xml:space="preserve">،و السیّد فی الغنیة </w:t>
      </w:r>
      <w:r>
        <w:rPr>
          <w:rStyle w:val="FootnoteAnchor"/>
          <w:rtl w:val="true"/>
        </w:rPr>
        <w:footnoteReference w:id="1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دفع الضرر المحتمل،و ببالی أنّه تمسّک فی العدّة بعد العقل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ابتناء الکبری علی التحسین و التقبیح العقلیّین،غیر ظاهر؛لأنّ تحریم تعریض النفس للمهالک و المضارّ الدنیویّة و الاخرویّة ممّا دلّ علیه الکتاب و السنّة،مثل التعلیل فی آیة النبأ </w:t>
      </w:r>
      <w:r>
        <w:rPr>
          <w:rStyle w:val="FootnoteAnchor"/>
          <w:rtl w:val="true"/>
        </w:rPr>
        <w:footnoteReference w:id="1292"/>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تُلْقُوا بِأَیْدِیکُمْ إِلَی التَّهْلُکَةِ </w:t>
      </w:r>
      <w:r>
        <w:rPr>
          <w:rStyle w:val="FootnoteAnchor"/>
          <w:rtl w:val="true"/>
        </w:rPr>
        <w:footnoteReference w:id="1293"/>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فَلْیَحْذَرِ الَّذِینَ یُخالِفُونَ عَنْ أَمْرِهِ أَنْ تُصِیبَهُمْ فِتْنَةٌ أَوْ یُصِیبَهُمْ عَذابٌ أَلِیمٌ</w:t>
      </w:r>
    </w:p>
    <w:p>
      <w:pPr>
        <w:pStyle w:val="BookText"/>
        <w:rPr/>
      </w:pPr>
      <w:r>
        <w:rPr>
          <w:rStyle w:val="FootnoteAnchor"/>
          <w:rtl w:val="true"/>
        </w:rPr>
        <w:footnoteReference w:id="1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المراد العذاب و الفتنة الدنیویّان،و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فِتْنَةً لا تُصِیبَنَّ الَّذِینَ ظَلَمُوا مِنْکُمْ خَاصَّةً</w:t>
      </w:r>
    </w:p>
    <w:p>
      <w:pPr>
        <w:pStyle w:val="BookText"/>
        <w:rPr/>
      </w:pPr>
      <w:r>
        <w:rPr>
          <w:rStyle w:val="FootnoteAnchor"/>
          <w:rtl w:val="true"/>
        </w:rPr>
        <w:footnoteReference w:id="1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یُحَذِّرُکُمُ اللّهُ نَفْسَهُ</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 الَّذِینَ مَکَرُوا </w:t>
      </w:r>
      <w:bookmarkStart w:id="998" w:name="pg12977_114411"/>
    </w:p>
    <w:p>
      <w:pPr>
        <w:pStyle w:val="BookText"/>
        <w:rPr/>
      </w:pPr>
      <w:bookmarkEnd w:id="998"/>
      <w:r>
        <w:rPr>
          <w:rFonts w:ascii="Amiri" w:hAnsi="Amiri" w:eastAsia="Amiri" w:cs="Amiri"/>
          <w:color w:val="111111"/>
          <w:sz w:val="28"/>
          <w:sz w:val="28"/>
          <w:szCs w:val="28"/>
          <w:rtl w:val="true"/>
          <w:lang w:bidi="ar-SA"/>
        </w:rPr>
        <w:t xml:space="preserve">اَلسَّیِّئاتِ </w:t>
      </w:r>
      <w:r>
        <w:rPr>
          <w:rStyle w:val="FootnoteAnchor"/>
          <w:rtl w:val="true"/>
        </w:rPr>
        <w:footnoteReference w:id="1297"/>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نعم،التمسّک فی سند الکبری بالأدلّة الشرعیّة یخرج الدلیل المذکور عن الأدلّة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الظاهر أنّ مراد الحاجبیّ منع أصل الکبری، لا مجرّد منع استقلال العقل بلزومه،و لا یبعد عن الحاجبیّ أن یشتبه علیه حکم العقل الإلزامیّ بغیره،بعد أن اشتبه علیه أصل حکم العقل بالحسن و القبح،و المکابرة فی الأوّل لیس بأعظم منها فی الثانی</w:t>
      </w:r>
      <w:r>
        <w:rPr>
          <w:rFonts w:eastAsia="IRNazanin" w:cs="IRNazanin"/>
          <w:color w:val="111111"/>
          <w:sz w:val="28"/>
          <w:szCs w:val="28"/>
          <w:rtl w:val="true"/>
          <w:lang w:bidi="fa-IR"/>
        </w:rPr>
        <w:t>.</w:t>
      </w:r>
    </w:p>
    <w:p>
      <w:pPr>
        <w:pStyle w:val="Heading6"/>
        <w:numPr>
          <w:ilvl w:val="5"/>
          <w:numId w:val="1"/>
        </w:numPr>
        <w:rPr/>
      </w:pPr>
      <w:bookmarkStart w:id="999" w:name="__RefHeading___Toc5447201_3224264995"/>
      <w:bookmarkStart w:id="1000" w:name="_Toc382"/>
      <w:bookmarkEnd w:id="999"/>
      <w:r>
        <w:rPr>
          <w:rtl w:val="true"/>
        </w:rPr>
        <w:t>جواب اخر عن هذا الوجه</w:t>
      </w:r>
      <w:bookmarkEnd w:id="1000"/>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آخر عن هذا الوجه،و المناقشة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یظهر من العدّة </w:t>
      </w:r>
      <w:r>
        <w:rPr>
          <w:rStyle w:val="FootnoteAnchor"/>
          <w:rtl w:val="true"/>
        </w:rPr>
        <w:footnoteReference w:id="1298"/>
      </w:r>
      <w:r>
        <w:rPr>
          <w:rFonts w:ascii="IRNazanin" w:hAnsi="IRNazanin" w:eastAsia="IRNazanin"/>
          <w:color w:val="111111"/>
          <w:sz w:val="28"/>
          <w:sz w:val="28"/>
          <w:szCs w:val="28"/>
          <w:rtl w:val="true"/>
          <w:lang w:bidi="fa-IR"/>
        </w:rPr>
        <w:t xml:space="preserve">و الغنیة </w:t>
      </w:r>
      <w:r>
        <w:rPr>
          <w:rStyle w:val="FootnoteAnchor"/>
          <w:rtl w:val="true"/>
        </w:rPr>
        <w:footnoteReference w:id="1299"/>
      </w:r>
      <w:r>
        <w:rPr>
          <w:rFonts w:ascii="IRNazanin" w:hAnsi="IRNazanin" w:eastAsia="IRNazanin"/>
          <w:color w:val="111111"/>
          <w:sz w:val="28"/>
          <w:sz w:val="28"/>
          <w:szCs w:val="28"/>
          <w:rtl w:val="true"/>
          <w:lang w:bidi="fa-IR"/>
        </w:rPr>
        <w:t xml:space="preserve">و غیرهما </w:t>
      </w:r>
      <w:r>
        <w:rPr>
          <w:rStyle w:val="FootnoteAnchor"/>
          <w:rtl w:val="true"/>
        </w:rPr>
        <w:footnoteReference w:id="1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الحکم المذکور مختصّ بالامور الدنیویّة،فلا یجری فی الاخرویّة مثل العقاب</w:t>
      </w:r>
      <w:r>
        <w:rPr>
          <w:rFonts w:eastAsia="IRNazanin" w:cs="IRNazanin"/>
          <w:color w:val="111111"/>
          <w:sz w:val="28"/>
          <w:szCs w:val="28"/>
          <w:rtl w:val="true"/>
          <w:lang w:bidi="fa-IR"/>
        </w:rPr>
        <w:t>.</w:t>
      </w:r>
    </w:p>
    <w:p>
      <w:pPr>
        <w:pStyle w:val="Heading6"/>
        <w:numPr>
          <w:ilvl w:val="5"/>
          <w:numId w:val="1"/>
        </w:numPr>
        <w:rPr/>
      </w:pPr>
      <w:bookmarkStart w:id="1001" w:name="__RefHeading___Toc5447203_3224264995"/>
      <w:bookmarkStart w:id="1002" w:name="_Toc383"/>
      <w:bookmarkEnd w:id="1001"/>
      <w:r>
        <w:rPr>
          <w:rtl w:val="true"/>
        </w:rPr>
        <w:t>المناقشة فی هذا الجواب ایضا</w:t>
      </w:r>
      <w:bookmarkEnd w:id="1002"/>
    </w:p>
    <w:p>
      <w:pPr>
        <w:pStyle w:val="BookText"/>
        <w:rPr/>
      </w:pPr>
      <w:r>
        <w:rPr>
          <w:rFonts w:ascii="IRNazanin" w:hAnsi="IRNazanin" w:eastAsia="IRNazanin"/>
          <w:color w:val="111111"/>
          <w:sz w:val="28"/>
          <w:sz w:val="28"/>
          <w:szCs w:val="28"/>
          <w:rtl w:val="true"/>
          <w:lang w:bidi="fa-IR"/>
        </w:rPr>
        <w:t>و هذا کسابقه فی الضعف؛فإنّ المعیار هو التضرّر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المضارّ الاخرویّة أعظم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إلاّ أن یرید المجیب ما سیجیء </w:t>
      </w:r>
      <w:r>
        <w:rPr>
          <w:rStyle w:val="FootnoteAnchor"/>
          <w:rtl w:val="true"/>
        </w:rPr>
        <w:footnoteReference w:id="1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العقاب مأمون علی ما لم ینصب الشارع دلیلا علی التکلیف به،بخلاف المضارّ الدنیویّة التابعة لنفس الفعل أو الترک،علم حرمته أو لم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یرید أنّ المضارّ الغیر الدنیویّة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تکن خصوص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دلّ العقل و النقل علی وجوب إعلامها علی الحکیم،و هو الباعث له علی التکلیف و البعثة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 xml:space="preserve">. </w:t>
      </w:r>
      <w:bookmarkStart w:id="1003" w:name="pg12977_114412"/>
    </w:p>
    <w:p>
      <w:pPr>
        <w:pStyle w:val="BookText"/>
        <w:rPr/>
      </w:pPr>
      <w:bookmarkEnd w:id="1003"/>
      <w:r>
        <w:rPr>
          <w:rFonts w:ascii="IRNazanin" w:hAnsi="IRNazanin" w:eastAsia="IRNazanin"/>
          <w:color w:val="111111"/>
          <w:sz w:val="28"/>
          <w:sz w:val="28"/>
          <w:szCs w:val="28"/>
          <w:rtl w:val="true"/>
          <w:lang w:bidi="fa-IR"/>
        </w:rPr>
        <w:t>لکنّ هذا الجواب راجع إلی منع الصغری،لا الکبری</w:t>
      </w:r>
      <w:r>
        <w:rPr>
          <w:rFonts w:eastAsia="IRNazanin" w:cs="IRNazanin"/>
          <w:color w:val="111111"/>
          <w:sz w:val="28"/>
          <w:szCs w:val="28"/>
          <w:rtl w:val="true"/>
          <w:lang w:bidi="fa-IR"/>
        </w:rPr>
        <w:t>.</w:t>
      </w:r>
    </w:p>
    <w:p>
      <w:pPr>
        <w:pStyle w:val="Heading6"/>
        <w:numPr>
          <w:ilvl w:val="5"/>
          <w:numId w:val="1"/>
        </w:numPr>
        <w:rPr/>
      </w:pPr>
      <w:bookmarkStart w:id="1004" w:name="__RefHeading___Toc5447205_3224264995"/>
      <w:bookmarkStart w:id="1005" w:name="_Toc384"/>
      <w:bookmarkEnd w:id="1004"/>
      <w:r>
        <w:rPr>
          <w:rtl w:val="true"/>
        </w:rPr>
        <w:t>ثالثها</w:t>
      </w:r>
      <w:r>
        <w:rPr>
          <w:rtl w:val="true"/>
        </w:rPr>
        <w:t xml:space="preserve">: </w:t>
      </w:r>
      <w:r>
        <w:rPr>
          <w:rtl w:val="true"/>
        </w:rPr>
        <w:t>جواب ثالث عن هذا الوجه</w:t>
      </w:r>
      <w:bookmarkEnd w:id="1005"/>
    </w:p>
    <w:p>
      <w:pPr>
        <w:pStyle w:val="BookText"/>
        <w:rPr/>
      </w:pPr>
      <w:r>
        <w:rPr>
          <w:rFonts w:ascii="IRNazanin" w:hAnsi="IRNazanin" w:eastAsia="IRNazanin"/>
          <w:color w:val="111111"/>
          <w:sz w:val="28"/>
          <w:sz w:val="28"/>
          <w:szCs w:val="28"/>
          <w:rtl w:val="true"/>
          <w:lang w:bidi="fa-IR"/>
        </w:rPr>
        <w:t xml:space="preserve">النقض بالأمارات التی قام الدلیل القطعیّ علی عدم اعتبارها،کخبر الفاسق و القیاس علی مذهب الإمامیّة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اجیب عنه </w:t>
      </w:r>
      <w:r>
        <w:rPr>
          <w:rStyle w:val="FootnoteAnchor"/>
          <w:rtl w:val="true"/>
        </w:rPr>
        <w:footnoteReference w:id="1304"/>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التزام حرمة العمل بالظنّ عند انسداد باب العلم</w:t>
      </w:r>
      <w:r>
        <w:rPr>
          <w:rFonts w:eastAsia="Amiri" w:cs="Amiri" w:ascii="Amiri" w:hAnsi="Amiri"/>
          <w:color w:val="111111"/>
          <w:sz w:val="28"/>
          <w:szCs w:val="28"/>
          <w:rtl w:val="true"/>
          <w:lang w:bidi="ar-SA"/>
        </w:rPr>
        <w:t>.</w:t>
      </w:r>
    </w:p>
    <w:p>
      <w:pPr>
        <w:pStyle w:val="Heading6"/>
        <w:numPr>
          <w:ilvl w:val="5"/>
          <w:numId w:val="1"/>
        </w:numPr>
        <w:rPr/>
      </w:pPr>
      <w:bookmarkStart w:id="1006" w:name="__RefHeading___Toc5447207_3224264995"/>
      <w:bookmarkStart w:id="1007" w:name="_Toc385"/>
      <w:bookmarkEnd w:id="1006"/>
      <w:r>
        <w:rPr>
          <w:rtl w:val="true"/>
        </w:rPr>
        <w:t>ما اجیب به عن هذا الجواب</w:t>
      </w:r>
      <w:bookmarkEnd w:id="1007"/>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الشارع إذا ألغی ظنّا تبیّن أنّ فی العمل به ضررا أعظم من ضرر ترک العمل به</w:t>
      </w:r>
      <w:r>
        <w:rPr>
          <w:rFonts w:eastAsia="IRNazanin" w:cs="IRNazanin"/>
          <w:color w:val="111111"/>
          <w:sz w:val="28"/>
          <w:szCs w:val="28"/>
          <w:rtl w:val="true"/>
          <w:lang w:bidi="fa-IR"/>
        </w:rPr>
        <w:t>.</w:t>
      </w:r>
    </w:p>
    <w:p>
      <w:pPr>
        <w:pStyle w:val="Heading6"/>
        <w:numPr>
          <w:ilvl w:val="5"/>
          <w:numId w:val="1"/>
        </w:numPr>
        <w:rPr/>
      </w:pPr>
      <w:bookmarkStart w:id="1008" w:name="__RefHeading___Toc5447209_3224264995"/>
      <w:bookmarkStart w:id="1009" w:name="_Toc386"/>
      <w:bookmarkEnd w:id="1008"/>
      <w:r>
        <w:rPr>
          <w:rtl w:val="true"/>
        </w:rPr>
        <w:t>عدم صحّة ما اجیب</w:t>
      </w:r>
      <w:bookmarkEnd w:id="1009"/>
    </w:p>
    <w:p>
      <w:pPr>
        <w:pStyle w:val="BookText"/>
        <w:rPr/>
      </w:pPr>
      <w:r>
        <w:rPr>
          <w:rFonts w:ascii="Amiri" w:hAnsi="Amiri" w:eastAsia="Amiri" w:cs="Amiri"/>
          <w:color w:val="111111"/>
          <w:sz w:val="28"/>
          <w:sz w:val="28"/>
          <w:szCs w:val="28"/>
          <w:rtl w:val="true"/>
          <w:lang w:bidi="ar-SA"/>
        </w:rPr>
        <w:t>و یضعّف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w:t>
      </w:r>
      <w:r>
        <w:rPr>
          <w:rStyle w:val="FootnoteAnchor"/>
          <w:rtl w:val="true"/>
        </w:rPr>
        <w:footnoteReference w:id="1305"/>
      </w:r>
      <w:r>
        <w:rPr>
          <w:rFonts w:ascii="IRNazanin" w:hAnsi="IRNazanin" w:eastAsia="IRNazanin"/>
          <w:color w:val="111111"/>
          <w:sz w:val="28"/>
          <w:sz w:val="28"/>
          <w:szCs w:val="28"/>
          <w:rtl w:val="true"/>
          <w:lang w:bidi="fa-IR"/>
        </w:rPr>
        <w:t>دعوی وجوب العمل بکلّ ظنّ فی کلّ مسألة انسدّ فیها باب العلم و إن لم ینسدّ فی غیرها،الظاهر أنّه خلاف مذهب الشیعة،لا أقلّ من کونه مخالفا لإجماعاتهم المستفیضة بل المتواترة،کما یعلم ممّا ذکروه فی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إتیان الفعل حذرا من ترتّب الضرر علی ترکه أو ترکه حذرا من التضرّر بفعله،لا یتصوّر فیه ضرر أصلا؛لأنّه من الاحتیاط الذی استقلّ العقل بحسنه و إن کانت الأمارة ممّا ورد النهی عن اعتباره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نعم،متابعة الأمارة المفیدة للظنّ بذلک الضرر و جعل مؤدّاها حکم الشارع و الالتزام به </w:t>
      </w:r>
      <w:r>
        <w:rPr>
          <w:rStyle w:val="FootnoteAnchor"/>
          <w:rtl w:val="true"/>
        </w:rPr>
        <w:footnoteReference w:id="1306"/>
      </w:r>
      <w:r>
        <w:rPr>
          <w:rFonts w:ascii="IRNazanin" w:hAnsi="IRNazanin" w:eastAsia="IRNazanin"/>
          <w:color w:val="111111"/>
          <w:sz w:val="28"/>
          <w:sz w:val="28"/>
          <w:szCs w:val="28"/>
          <w:rtl w:val="true"/>
          <w:lang w:bidi="fa-IR"/>
        </w:rPr>
        <w:t xml:space="preserve">و التدیّن به،ربما کان ضرره أعظم من </w:t>
      </w:r>
    </w:p>
    <w:p>
      <w:pPr>
        <w:pStyle w:val="BookText"/>
        <w:rPr/>
      </w:pPr>
      <w:r>
        <w:rPr>
          <w:rFonts w:ascii="IRNazanin" w:hAnsi="IRNazanin" w:eastAsia="IRNazanin"/>
          <w:color w:val="111111"/>
          <w:sz w:val="28"/>
          <w:sz w:val="28"/>
          <w:szCs w:val="28"/>
          <w:rtl w:val="true"/>
          <w:lang w:bidi="fa-IR"/>
        </w:rPr>
        <w:t>الضرر المظنون؛فإنّ العقل مستقلّ بقبحه و وجود المفسدة فیه و استحقاق العقاب علیه؛لأنّه 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لا یختصّ بما علم إلغاؤه،بل هو جار فی کلّ ما لم یعلم 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قدّمنا لک فی تأسیس الأصل فی العمل بالمظنّة </w:t>
      </w:r>
      <w:r>
        <w:rPr>
          <w:rStyle w:val="FootnoteAnchor"/>
          <w:rtl w:val="true"/>
        </w:rPr>
        <w:footnoteReference w:id="1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ظنّ لم یقم علی اعتباره دلیل 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قام دلیل علی عدم اعتباره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فالعمل به بمعنی التدیّن بمؤدّاه و جعله حکما شرعیّا،تشریع محرّم دلّ علی حرمته الأدلّة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العمل به بمعنی إتیان ما ظنّ وجوبه مثلا </w:t>
      </w:r>
      <w:r>
        <w:rPr>
          <w:rStyle w:val="FootnoteAnchor"/>
          <w:rtl w:val="true"/>
        </w:rPr>
        <w:footnoteReference w:id="1308"/>
      </w:r>
      <w:r>
        <w:rPr>
          <w:rFonts w:ascii="IRNazanin" w:hAnsi="IRNazanin" w:eastAsia="IRNazanin"/>
          <w:color w:val="111111"/>
          <w:sz w:val="28"/>
          <w:sz w:val="28"/>
          <w:szCs w:val="28"/>
          <w:rtl w:val="true"/>
          <w:lang w:bidi="fa-IR"/>
        </w:rPr>
        <w:t xml:space="preserve">أو ترک ما ظنّ حرمته من دون أن یتشرّع بذلک، فلا قبح فیه إذا </w:t>
      </w:r>
      <w:r>
        <w:rPr>
          <w:rStyle w:val="FootnoteAnchor"/>
          <w:rtl w:val="true"/>
        </w:rPr>
        <w:footnoteReference w:id="1309"/>
      </w:r>
      <w:r>
        <w:rPr>
          <w:rFonts w:ascii="IRNazanin" w:hAnsi="IRNazanin" w:eastAsia="IRNazanin"/>
          <w:color w:val="111111"/>
          <w:sz w:val="28"/>
          <w:sz w:val="28"/>
          <w:szCs w:val="28"/>
          <w:rtl w:val="true"/>
          <w:lang w:bidi="fa-IR"/>
        </w:rPr>
        <w:t>لم یدلّ دلیل من الاصول و القواعد المعتبرة یقینا علی خلاف مؤدّی هذا الظنّ،بأن یدلّ علی تحریم ما ظنّ وجوبه أو وجوب ما ظنّ تحریمه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أراد أنّ الأمارات التی یقطع بعدم حجّیّتها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کالقیاس و 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فی العمل بها بمعنی التدیّن بمؤدّاها و جعله حکما شرعیّا، ضرر أعظم من الضرر المظنون،فلا اختصاص لهذا الضرر بتلک الظنون؛لأنّ کلّ ظنّ لم یقم علی اعتباره قاطع یکون فی العمل به بذلک المعنی هذا الضرر العظیم،أعنی التشریع</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أراد ثبوت الضرر فی العمل بها بمعنی إتیان ما ظنّ وجوبه </w:t>
      </w:r>
      <w:bookmarkStart w:id="1010" w:name="pg12977_114414"/>
    </w:p>
    <w:p>
      <w:pPr>
        <w:pStyle w:val="BookText"/>
        <w:rPr/>
      </w:pPr>
      <w:bookmarkEnd w:id="1010"/>
      <w:r>
        <w:rPr>
          <w:rFonts w:ascii="IRNazanin" w:hAnsi="IRNazanin" w:eastAsia="IRNazanin"/>
          <w:color w:val="111111"/>
          <w:sz w:val="28"/>
          <w:sz w:val="28"/>
          <w:szCs w:val="28"/>
          <w:rtl w:val="true"/>
          <w:lang w:bidi="fa-IR"/>
        </w:rPr>
        <w:t>حذرا من الوقوع فی مضرّة ترک الواجب،و ترک ما ظنّ حرمته لذلک، کما یقتضیه قاعدة دفع الضرر،فلا ریب فی استقلال العقل و بداهة حکمه بعدم الضرر فی ذلک أصلا و إن کان ذلک فی الظنّ القیاسیّ</w:t>
      </w:r>
      <w:r>
        <w:rPr>
          <w:rFonts w:eastAsia="IRNazanin" w:cs="IRNazanin"/>
          <w:color w:val="111111"/>
          <w:sz w:val="28"/>
          <w:szCs w:val="28"/>
          <w:rtl w:val="true"/>
          <w:lang w:bidi="fa-IR"/>
        </w:rPr>
        <w:t>.</w:t>
      </w:r>
    </w:p>
    <w:p>
      <w:pPr>
        <w:pStyle w:val="Heading6"/>
        <w:numPr>
          <w:ilvl w:val="5"/>
          <w:numId w:val="1"/>
        </w:numPr>
        <w:rPr/>
      </w:pPr>
      <w:bookmarkStart w:id="1011" w:name="__RefHeading___Toc5447211_3224264995"/>
      <w:bookmarkStart w:id="1012" w:name="_Toc387"/>
      <w:bookmarkEnd w:id="1011"/>
      <w:r>
        <w:rPr>
          <w:rtl w:val="true"/>
        </w:rPr>
        <w:t>الأولی فی المناقشة فی الجواب الثالث</w:t>
      </w:r>
      <w:bookmarkEnd w:id="1012"/>
    </w:p>
    <w:p>
      <w:pPr>
        <w:pStyle w:val="BookText"/>
        <w:rPr/>
      </w:pPr>
      <w:r>
        <w:rPr>
          <w:rFonts w:ascii="IRNazanin" w:hAnsi="IRNazanin" w:eastAsia="IRNazanin"/>
          <w:color w:val="111111"/>
          <w:sz w:val="28"/>
          <w:sz w:val="28"/>
          <w:szCs w:val="28"/>
          <w:rtl w:val="true"/>
          <w:lang w:bidi="fa-IR"/>
        </w:rPr>
        <w:t xml:space="preserve">و حینئذ </w:t>
      </w:r>
      <w:r>
        <w:rPr>
          <w:rStyle w:val="FootnoteAnchor"/>
          <w:rtl w:val="true"/>
        </w:rPr>
        <w:footnoteReference w:id="1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فالأولی لهذا المجیب أن یبدّل دعوی الضرر فی العمل بتلک الأمارات المنهیّ عنها بالخصوص بدعوی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نهی الشارع عن الاعتناء بها و ترخیصه فی مخالفتها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علمه بأنّ ترکها ربما یفضی إلی ترک الواجب و فعل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مصلحة یتدارک بها الضرر المظنون علی تقدیر ثبوته فی الواقع،فتأمّل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سیجیء تمام الکلام عند التکلّم فی الظنون المنهیّ عنها بالخصوص، و بیان کیفیّة عدم شمول أدلّة حجّیّة الظنّ لها إن شاء اللّه تعالی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13" w:name="__RefHeading___Toc5447213_3224264995"/>
      <w:bookmarkStart w:id="1014" w:name="_Toc388"/>
      <w:bookmarkEnd w:id="1013"/>
      <w:r>
        <w:rPr>
          <w:rtl w:val="true"/>
        </w:rPr>
        <w:t>الأولی فی الجواب عن الوجه الأوّل</w:t>
      </w:r>
      <w:r>
        <w:rPr>
          <w:rtl w:val="true"/>
        </w:rPr>
        <w:t xml:space="preserve">: </w:t>
      </w:r>
      <w:r>
        <w:rPr>
          <w:rtl w:val="true"/>
        </w:rPr>
        <w:t>ان ارید من الضرر العقاب</w:t>
      </w:r>
      <w:bookmarkEnd w:id="1014"/>
    </w:p>
    <w:p>
      <w:pPr>
        <w:pStyle w:val="BookText"/>
        <w:rPr/>
      </w:pPr>
      <w:r>
        <w:rPr>
          <w:rFonts w:ascii="IRNazanin" w:hAnsi="IRNazanin" w:eastAsia="IRNazanin"/>
          <w:color w:val="111111"/>
          <w:sz w:val="28"/>
          <w:sz w:val="28"/>
          <w:szCs w:val="28"/>
          <w:rtl w:val="true"/>
          <w:lang w:bidi="fa-IR"/>
        </w:rPr>
        <w:t>فالأولی أن یجاب عن هذا الدلیل</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بأنّه إن ارید من الضرر المظنون العقاب،فالصغری ممنوعة؛فإنّ استحقاق العقاب علی الفعل أو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کاستحقاق الثواب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ملازما للوجوب و التحریم الواقعیّین؛کیف و قد یتحقّق التحریم و نقطع بعدم العقاب فی الفعل،کما فی الحرام و الواجب المجهولین جهلا بسیطا أو مرکّبا،بل استحقاق الثواب و العقاب إنّما هو علی تحقّق الإطاعة و المعصیة اللتین لا تتحقّقان إلاّ بعد العلم بالوجوب و الحرمة أو الظنّ المعتبر بهما،و أمّا الظنّ المشکوک الاعتبار فهو کالشکّ،بل هو هو؛بعد ملاحظة أنّ من الظنون ما أمر الشارع بإلغائه و یحتمل أن یکون </w:t>
      </w:r>
    </w:p>
    <w:p>
      <w:pPr>
        <w:pStyle w:val="BookText"/>
        <w:rPr/>
      </w:pPr>
      <w:r>
        <w:rPr>
          <w:rFonts w:ascii="IRNazanin" w:hAnsi="IRNazanin" w:eastAsia="IRNazanin"/>
          <w:color w:val="111111"/>
          <w:sz w:val="28"/>
          <w:sz w:val="28"/>
          <w:szCs w:val="28"/>
          <w:rtl w:val="true"/>
          <w:lang w:bidi="fa-IR"/>
        </w:rPr>
        <w:t xml:space="preserve">المفروض منها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الحکم بعدم العقاب و الثواب فیما فرض من صورتی الجهل البسیط و </w:t>
      </w:r>
      <w:r>
        <w:rPr>
          <w:rStyle w:val="FootnoteAnchor"/>
          <w:rtl w:val="true"/>
        </w:rPr>
        <w:footnoteReference w:id="1313"/>
      </w:r>
      <w:r>
        <w:rPr>
          <w:rFonts w:ascii="IRNazanin" w:hAnsi="IRNazanin" w:eastAsia="IRNazanin"/>
          <w:color w:val="111111"/>
          <w:sz w:val="28"/>
          <w:sz w:val="28"/>
          <w:szCs w:val="28"/>
          <w:rtl w:val="true"/>
          <w:lang w:bidi="fa-IR"/>
        </w:rPr>
        <w:t xml:space="preserve">المرکّب بالوجوب و الحرمة،إنّما هو لحکم العقل بقبح التکلیف مع الشکّ أو القطع بالعدم،أمّا </w:t>
      </w:r>
      <w:r>
        <w:rPr>
          <w:rStyle w:val="FootnoteAnchor"/>
          <w:rtl w:val="true"/>
        </w:rPr>
        <w:footnoteReference w:id="1314"/>
      </w:r>
      <w:r>
        <w:rPr>
          <w:rFonts w:ascii="IRNazanin" w:hAnsi="IRNazanin" w:eastAsia="IRNazanin"/>
          <w:color w:val="111111"/>
          <w:sz w:val="28"/>
          <w:sz w:val="28"/>
          <w:szCs w:val="28"/>
          <w:rtl w:val="true"/>
          <w:lang w:bidi="fa-IR"/>
        </w:rPr>
        <w:t>مع الظنّ بالوجوب أو التحریم فلا یستقلّ العقل بقبح المؤاخذة،و لا إجماع أیضا علی أصالة البراءة فی موضع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یکفی المستدلّ منع استقلال العقل و عدم ثبوت الإجماع،بل لا بدّ له من إثبات أنّ مجرّد الوجوب و التحریم الواقعیّین مستلزمان للعقاب حتّی یکون الظنّ بهما ظنّا به،فإذا لم یثبت ذلک بشرع و لا عقل لم یکن العقاب مظنونا،فالصغری غیر 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یعلم فساد ما ربما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قاعدة دفع الضرر یکفی للدلیل علی ثبوت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القاعدة موقوفة علی ثبوت الصغری و هی الظنّ بالعقاب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ادّعی أنّ دفع الضرر المشکوک لازم توجّه فیما نحن فیه الحکم بلزوم الاحتراز فی صورة الظنّ،بناء علی عدم ثبوت الدلیل علی نفی العقاب عند الظنّ،فیصیر وجوده محتملا،فیجب دفعه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رجوع عن الاعتراف باستقلال العقل و قیام الإجماع علی عدم المؤاخذة علی الوجوب و التحریم المشکوکین</w:t>
      </w:r>
      <w:r>
        <w:rPr>
          <w:rFonts w:eastAsia="IRNazanin" w:cs="IRNazanin"/>
          <w:color w:val="111111"/>
          <w:sz w:val="28"/>
          <w:szCs w:val="28"/>
          <w:rtl w:val="true"/>
          <w:lang w:bidi="fa-IR"/>
        </w:rPr>
        <w:t xml:space="preserve">. </w:t>
      </w:r>
      <w:bookmarkStart w:id="1015" w:name="pg12977_114416"/>
    </w:p>
    <w:p>
      <w:pPr>
        <w:pStyle w:val="Heading6"/>
        <w:numPr>
          <w:ilvl w:val="5"/>
          <w:numId w:val="1"/>
        </w:numPr>
        <w:rPr/>
      </w:pPr>
      <w:bookmarkStart w:id="1016" w:name="__RefHeading___Toc5447215_3224264995"/>
      <w:bookmarkStart w:id="1017" w:name="_Toc389"/>
      <w:bookmarkEnd w:id="1015"/>
      <w:bookmarkEnd w:id="1016"/>
      <w:r>
        <w:rPr>
          <w:rtl w:val="true"/>
        </w:rPr>
        <w:t>ان ارید من الضرر المفسدة</w:t>
      </w:r>
      <w:bookmarkEnd w:id="1017"/>
    </w:p>
    <w:p>
      <w:pPr>
        <w:pStyle w:val="BookText"/>
        <w:rPr/>
      </w:pPr>
      <w:r>
        <w:rPr>
          <w:rFonts w:ascii="IRNazanin" w:hAnsi="IRNazanin" w:eastAsia="IRNazanin"/>
          <w:color w:val="111111"/>
          <w:sz w:val="28"/>
          <w:sz w:val="28"/>
          <w:szCs w:val="28"/>
          <w:rtl w:val="true"/>
          <w:lang w:bidi="fa-IR"/>
        </w:rPr>
        <w:t>و إن ارید من الضرر المظنون المفسدة المظنونة،ففیه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الصغری؛فإنّا و إن لم نقل بتغیّر المصالح و المفاسد بمجرّد الجهل،إلاّ أنّا لا نظنّ بترتّب المفسدة بمجرّد ارتکاب ما ظنّ حرمته؛لعدم کون فعل الحرام علّة تامّة لترتّب المفسدة حتّی مع القطع بثبوت الحرمة؛لاحتمال تدارکها بمصلحة فعل آخر لا یعلمه المکلّف أو یعلمه بإعلام الشارع، نظیر الکفّارة و التوبة و غیرهما من الحسنات التی یذهبن السیّئات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الظنّ بثبوت مقتضی المفسدة مع الشکّ فی وجود المانع کاف فی وجوب الدفع،کما فی صورة القطع بثبوت المقتضی مع الشکّ فی وجود </w:t>
      </w:r>
      <w:r>
        <w:rPr>
          <w:rStyle w:val="FootnoteAnchor"/>
          <w:rtl w:val="true"/>
        </w:rPr>
        <w:footnoteReference w:id="1315"/>
      </w:r>
      <w:r>
        <w:rPr>
          <w:rFonts w:ascii="IRNazanin" w:hAnsi="IRNazanin" w:eastAsia="IRNazanin"/>
          <w:color w:val="111111"/>
          <w:sz w:val="28"/>
          <w:sz w:val="28"/>
          <w:szCs w:val="28"/>
          <w:rtl w:val="true"/>
          <w:lang w:bidi="fa-IR"/>
        </w:rPr>
        <w:t>المانع؛فإنّ احتمال وجود المانع للضرر أو وجود ما یتدارک الضرر لا یعتنی به عند العقلاء،سواء جامع الظنّ بوجود مقتضی الضرر أم القطع به،بل أکثر موارد التزام العقلاء التحرّز عن المضارّ المظنونة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کسلوک الطرق المخوفة و شرب الأدویة المخوفة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موارد الظنّ بمقتضی الضرر دون العلّة التامّة له،بل المدار فی جمیع غایات حرکات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المنافع المقصود جلبها و المضارّ المقصود دفعها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المقتضیات دون العلل التامّة؛لأنّ الموانع و المزاحمات ممّا لا تحصی و لا یحاط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من هذا الجواب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نهی الشارع عن العمل بالظنّ کلیّة إلاّ ما خرج،ترخیصا فی ترک مراعاة الضرر المظنون،و لذا لا یجب مراعاته إجماعا فی القیاس</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الضعف ما ثبت سابقا </w:t>
      </w:r>
      <w:r>
        <w:rPr>
          <w:rStyle w:val="FootnoteAnchor"/>
          <w:rtl w:val="true"/>
        </w:rPr>
        <w:footnoteReference w:id="1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عمومات حرمة العمل </w:t>
      </w:r>
      <w:bookmarkStart w:id="1018" w:name="pg12977_114417"/>
    </w:p>
    <w:p>
      <w:pPr>
        <w:pStyle w:val="BookText"/>
        <w:rPr/>
      </w:pPr>
      <w:bookmarkEnd w:id="1018"/>
      <w:r>
        <w:rPr>
          <w:rFonts w:ascii="IRNazanin" w:hAnsi="IRNazanin" w:eastAsia="IRNazanin"/>
          <w:color w:val="111111"/>
          <w:sz w:val="28"/>
          <w:sz w:val="28"/>
          <w:szCs w:val="28"/>
          <w:rtl w:val="true"/>
          <w:lang w:bidi="fa-IR"/>
        </w:rPr>
        <w:t>بالظنّ أو بما عدا العلم إنّما تدلّ علی حرمته من حیث إنّه لا یغنی عن الواقع،و لا تدلّ علی حرمة العمل به فی مقام إحراز الواقع و الاحتیاط لأجله و الحذر عن مخالفته</w:t>
      </w:r>
      <w:r>
        <w:rPr>
          <w:rFonts w:eastAsia="IRNazanin" w:cs="IRNazanin"/>
          <w:color w:val="111111"/>
          <w:sz w:val="28"/>
          <w:szCs w:val="28"/>
          <w:rtl w:val="true"/>
          <w:lang w:bidi="fa-IR"/>
        </w:rPr>
        <w:t>.</w:t>
      </w:r>
    </w:p>
    <w:p>
      <w:pPr>
        <w:pStyle w:val="Heading6"/>
        <w:numPr>
          <w:ilvl w:val="5"/>
          <w:numId w:val="1"/>
        </w:numPr>
        <w:rPr/>
      </w:pPr>
      <w:bookmarkStart w:id="1019" w:name="__RefHeading___Toc5447217_3224264995"/>
      <w:bookmarkStart w:id="1020" w:name="_Toc390"/>
      <w:bookmarkEnd w:id="1019"/>
      <w:r>
        <w:rPr>
          <w:rtl w:val="true"/>
        </w:rPr>
        <w:t>الاولی فی الجواب عن المفسده المظنونة</w:t>
      </w:r>
      <w:bookmarkEnd w:id="1020"/>
    </w:p>
    <w:p>
      <w:pPr>
        <w:pStyle w:val="BookText"/>
        <w:rPr/>
      </w:pPr>
      <w:r>
        <w:rPr>
          <w:rFonts w:ascii="IRNazanin" w:hAnsi="IRNazanin" w:eastAsia="IRNazanin"/>
          <w:color w:val="111111"/>
          <w:sz w:val="28"/>
          <w:sz w:val="28"/>
          <w:szCs w:val="28"/>
          <w:rtl w:val="true"/>
          <w:lang w:bidi="fa-IR"/>
        </w:rPr>
        <w:t>فالأولی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الضرر و إن کان مظنونا،إلاّ أنّ حکم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أو ظنّا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بالرجوع فی مورد الظنّ إلی البراءة و الاستصحاب و ترخیصه لترک مراعاة الظنّ أوجب القطع أو الظنّ بتدارک ذلک الضرر المظنون؛و إلاّ کان ترخیص العمل علی الأصل المخالف للظنّ إلغاء للمفسدة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إشکال فی أنّه متی ظنّ بوجوب شیء و أنّ الشارع الحکیم طلب فعله منّا طلبا حتمیّا منجّزا لا یرضی بترکه إلاّ أنّه اختفی علینا ذلک الطلب،أو حرّم علینا فعلا کذلک،فالعقل مستقلّ بوجوب فعل الأوّل و ترک الثانی؛لأنّه یظنّ فی ترک الأوّل الوقوع فی مفسدة ترک الواجب المطلق الواقعیّ و المحبوب المنجّز النفس الأمری، و یظنّ فی فعل الثانی الوقوع فی مفسدة الحرام الواقعیّ و المبغوض النفس الأمری،إلاّ أنّه لو صرّح الشارع بالرخصة فی ترک العمل فی هذه الصورة کشف ذلک عن مصلحة یتدارک بها ذلک الضرر المظنون؛و لذا وقع الإجماع علی عدم وجوب مراعاة الظنّ بالوجوب و </w:t>
      </w:r>
      <w:r>
        <w:rPr>
          <w:rStyle w:val="FootnoteAnchor"/>
          <w:rtl w:val="true"/>
        </w:rPr>
        <w:footnoteReference w:id="1318"/>
      </w:r>
      <w:r>
        <w:rPr>
          <w:rFonts w:ascii="IRNazanin" w:hAnsi="IRNazanin" w:eastAsia="IRNazanin"/>
          <w:color w:val="111111"/>
          <w:sz w:val="28"/>
          <w:sz w:val="28"/>
          <w:szCs w:val="28"/>
          <w:rtl w:val="true"/>
          <w:lang w:bidi="fa-IR"/>
        </w:rPr>
        <w:t>الحرمة إذا حصل الظنّ من القیاس،و علی جواز مخالفة الظنّ فی الشبهات الموضوعیّة حتّی یستبین التحریم أو تقوم به البیّنة</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لا فرق بین أن یحصل القطع بترخیص الشارع ترک مراعاة </w:t>
      </w:r>
    </w:p>
    <w:p>
      <w:pPr>
        <w:pStyle w:val="BookText"/>
        <w:rPr/>
      </w:pPr>
      <w:r>
        <w:rPr>
          <w:rFonts w:ascii="IRNazanin" w:hAnsi="IRNazanin" w:eastAsia="IRNazanin"/>
          <w:color w:val="111111"/>
          <w:sz w:val="28"/>
          <w:sz w:val="28"/>
          <w:szCs w:val="28"/>
          <w:rtl w:val="true"/>
          <w:lang w:bidi="fa-IR"/>
        </w:rPr>
        <w:t>الظنّ بالضرر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عرفت </w:t>
      </w:r>
      <w:r>
        <w:rPr>
          <w:rStyle w:val="FootnoteAnchor"/>
          <w:rtl w:val="true"/>
        </w:rPr>
        <w:footnoteReference w:id="1319"/>
      </w:r>
      <w:r>
        <w:rPr>
          <w:rFonts w:ascii="IRNazanin" w:hAnsi="IRNazanin" w:eastAsia="IRNazanin"/>
          <w:color w:val="111111"/>
          <w:sz w:val="28"/>
          <w:sz w:val="28"/>
          <w:szCs w:val="28"/>
          <w:rtl w:val="true"/>
          <w:lang w:bidi="fa-IR"/>
        </w:rPr>
        <w:t>من الظنّ القیاسیّ بالوجوب و التحریم و من حکم الشارع بجواز الارتکاب فی الشبهة الموضوعیّة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أن یحصل الظنّ بترخیص الشارع فی ترک مراعاة ذلک الظنّ،کما فی الظنّ الذی ظنّ کونه منهیّا عنه عند الشارع،فإنّه یجوز ترک مراعاته؛لأنّ المظنون تدارک ضرر مخالفته لأجل ترک مظنون الوجوب أو فعل مظنون الحرمة،فافهم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أصل البراءة و الاستصحاب إن قام علیهما الدلیل القطعیّ بحیث یدلّ علی وجوب الرجوع إلیهما فی صورة عدم العلم و لو مع وجود الظنّ الغیر المعتبر،فلا إشکال فی عدم وجوب مراعاة ظنّ الضرر،و فی أنّه لا یجب الترک أو الفعل بمجرّد ظنّ الوجوب أو الحرمة؛لما عرفت </w:t>
      </w:r>
      <w:r>
        <w:rPr>
          <w:rStyle w:val="FootnoteAnchor"/>
          <w:rtl w:val="true"/>
        </w:rPr>
        <w:footnoteReference w:id="1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ترخیص الشارع الحکیم للإقدام علی ما فیه ظنّ الضرر لا یکون إلاّ لمصلحة یتدارک بها ذلک </w:t>
      </w:r>
      <w:r>
        <w:rPr>
          <w:rStyle w:val="FootnoteAnchor"/>
          <w:rtl w:val="true"/>
        </w:rPr>
        <w:footnoteReference w:id="1321"/>
      </w:r>
      <w:r>
        <w:rPr>
          <w:rFonts w:ascii="IRNazanin" w:hAnsi="IRNazanin" w:eastAsia="IRNazanin"/>
          <w:color w:val="111111"/>
          <w:sz w:val="28"/>
          <w:sz w:val="28"/>
          <w:szCs w:val="28"/>
          <w:rtl w:val="true"/>
          <w:lang w:bidi="fa-IR"/>
        </w:rPr>
        <w:t>الضرر المظنون علی تقدیر الثبوت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منعنا عن قیام الدلیل القطعیّ علی الاصول 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الدلیل القطعیّ لم یثبت علی اعتبار الاستصحاب،خصوصا فی الأحکام الشرعیّة و خصوصا مع الظنّ بالخلاف،و کذلک الدلیل لم یثبت علی الرجوع إلی البراءة حتّی مع الظنّ بالتکلیف؛لأنّ العمدة فی دلیل البراءة الإجماع و العقل المختصّان بصورة عدم الظنّ بالتکلیف،فنقول</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أقلّ من ثبوت بعض الأخبار الظنّیّة علی الاستصحاب و البراءة عند عدم العلم الشامل لصورة الظنّ،فیحصل الظنّ بترخیص الشارع لنا فی </w:t>
      </w:r>
    </w:p>
    <w:p>
      <w:pPr>
        <w:pStyle w:val="BookText"/>
        <w:rPr/>
      </w:pPr>
      <w:r>
        <w:rPr>
          <w:rFonts w:ascii="IRNazanin" w:hAnsi="IRNazanin" w:eastAsia="IRNazanin"/>
          <w:color w:val="111111"/>
          <w:sz w:val="28"/>
          <w:sz w:val="28"/>
          <w:szCs w:val="28"/>
          <w:rtl w:val="true"/>
          <w:lang w:bidi="fa-IR"/>
        </w:rPr>
        <w:t xml:space="preserve">ترک مراعاة ظنّ الضرر </w:t>
      </w:r>
      <w:r>
        <w:rPr>
          <w:rStyle w:val="FootnoteAnchor"/>
          <w:rtl w:val="true"/>
        </w:rPr>
        <w:footnoteReference w:id="1322"/>
      </w:r>
      <w:r>
        <w:rPr>
          <w:rFonts w:ascii="IRNazanin" w:hAnsi="IRNazanin" w:eastAsia="IRNazanin"/>
          <w:color w:val="111111"/>
          <w:sz w:val="28"/>
          <w:sz w:val="28"/>
          <w:szCs w:val="28"/>
          <w:rtl w:val="true"/>
          <w:lang w:bidi="fa-IR"/>
        </w:rPr>
        <w:t xml:space="preserve">،و هذا القدر یکفی فی عدم الظنّ بالتضرّر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تلک الأخبار الظنّیّة </w:t>
      </w:r>
      <w:r>
        <w:rPr>
          <w:rStyle w:val="FootnoteAnchor"/>
          <w:rtl w:val="true"/>
        </w:rPr>
        <w:footnoteReference w:id="1324"/>
      </w:r>
      <w:r>
        <w:rPr>
          <w:rFonts w:ascii="IRNazanin" w:hAnsi="IRNazanin" w:eastAsia="IRNazanin"/>
          <w:color w:val="111111"/>
          <w:sz w:val="28"/>
          <w:sz w:val="28"/>
          <w:szCs w:val="28"/>
          <w:rtl w:val="true"/>
          <w:lang w:bidi="fa-IR"/>
        </w:rPr>
        <w:t>لا تعارض العقل المستقلّ بدفع الضرر المظنون،مدفوع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الفرض أنّ الشارع لا یحکم بجواز الاقتحام فی مظانّ الضرر إلاّ عن مصلحة یتدارک بها الضرر المظنون علی تقدیر ثبوته،فحکم الشارع لیس مخالفا للعقل،فلا وجه لاطّراح الأخبار الظنّیّة الدالّة علی هذا الحکم الغیر المنافی لحکم العقل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 xml:space="preserve">. </w:t>
      </w:r>
      <w:bookmarkStart w:id="1021" w:name="pg12977_114420"/>
    </w:p>
    <w:p>
      <w:pPr>
        <w:pStyle w:val="Heading6"/>
        <w:numPr>
          <w:ilvl w:val="5"/>
          <w:numId w:val="1"/>
        </w:numPr>
        <w:rPr/>
      </w:pPr>
      <w:bookmarkStart w:id="1022" w:name="__RefHeading___Toc5447219_3224264995"/>
      <w:bookmarkStart w:id="1023" w:name="_Toc391"/>
      <w:bookmarkEnd w:id="1021"/>
      <w:bookmarkEnd w:id="1022"/>
      <w:r>
        <w:rPr>
          <w:rtl w:val="true"/>
        </w:rPr>
        <w:t>مفاد هذا الدلیل</w:t>
      </w:r>
      <w:r>
        <w:rPr>
          <w:rtl w:val="true"/>
        </w:rPr>
        <w:t>:</w:t>
      </w:r>
      <w:bookmarkEnd w:id="1023"/>
    </w:p>
    <w:p>
      <w:pPr>
        <w:pStyle w:val="BookText"/>
        <w:rPr/>
      </w:pPr>
      <w:r>
        <w:rPr>
          <w:rFonts w:ascii="IRNazanin" w:hAnsi="IRNazanin" w:eastAsia="IRNazanin"/>
          <w:color w:val="111111"/>
          <w:sz w:val="28"/>
          <w:sz w:val="28"/>
          <w:szCs w:val="28"/>
          <w:rtl w:val="true"/>
          <w:lang w:bidi="fa-IR"/>
        </w:rPr>
        <w:t>ثمّ إنّ مفاد هذا الدلیل هو وجوب العمل بالظنّ إذا طابق الاحتیاط لا من حیث هو،و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کان الظنّ مخالفا للاحتیاط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صورة الشکّ فی المکلّف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للعمل بالظنّ حینئذ</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الإجماع المرکّب و عدم القول بالفصل،واضحة الفساد؛ ضرورة أنّ العمل فی الصورة الاولی لم یکن بالظنّ من حیث هو بل من حیث کونه احتیاطا،و هذه الحیثیّة نافیة للعمل بالظنّ فی الصورة الثانیة،فحاصل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العمل بالاحتیاط کلیّة و عدم العمل بالظنّ رأسا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 xml:space="preserve">. </w:t>
      </w:r>
      <w:bookmarkStart w:id="1024" w:name="pg12977_114421"/>
    </w:p>
    <w:p>
      <w:pPr>
        <w:pStyle w:val="Heading6"/>
        <w:numPr>
          <w:ilvl w:val="5"/>
          <w:numId w:val="1"/>
        </w:numPr>
        <w:rPr/>
      </w:pPr>
      <w:bookmarkStart w:id="1025" w:name="__RefHeading___Toc5447221_3224264995"/>
      <w:bookmarkStart w:id="1026" w:name="_Toc392"/>
      <w:bookmarkEnd w:id="1024"/>
      <w:bookmarkEnd w:id="1025"/>
      <w:r>
        <w:rPr>
          <w:rtl w:val="true"/>
        </w:rPr>
        <w:t>الوجه الثانی فی حجیة مطلق الظن</w:t>
      </w:r>
      <w:r>
        <w:rPr>
          <w:rtl w:val="true"/>
        </w:rPr>
        <w:t>:</w:t>
      </w:r>
      <w:r>
        <w:rPr>
          <w:rtl w:val="true"/>
        </w:rPr>
        <w:t>قبح ترجیح المرجوح</w:t>
      </w:r>
      <w:bookmarkEnd w:id="10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لم یؤخذ بالظنّ لزم ترجیح المرجوح علی الراجح، و هو قبیح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27" w:name="__RefHeading___Toc5447223_3224264995"/>
      <w:bookmarkStart w:id="1028" w:name="_Toc393"/>
      <w:bookmarkEnd w:id="1027"/>
      <w:r>
        <w:rPr>
          <w:rtl w:val="true"/>
        </w:rPr>
        <w:t>ما اجیب عن هذا الوجه و مناقشته</w:t>
      </w:r>
      <w:bookmarkEnd w:id="1028"/>
    </w:p>
    <w:p>
      <w:pPr>
        <w:pStyle w:val="BookText"/>
        <w:rPr/>
      </w:pPr>
      <w:r>
        <w:rPr>
          <w:rFonts w:ascii="IRNazanin" w:hAnsi="IRNazanin" w:eastAsia="IRNazanin"/>
          <w:color w:val="111111"/>
          <w:sz w:val="28"/>
          <w:sz w:val="28"/>
          <w:szCs w:val="28"/>
          <w:rtl w:val="true"/>
          <w:lang w:bidi="fa-IR"/>
        </w:rPr>
        <w:t xml:space="preserve">و ربما یجاب عنه </w:t>
      </w:r>
      <w:r>
        <w:rPr>
          <w:rStyle w:val="FootnoteAnchor"/>
          <w:rtl w:val="true"/>
        </w:rPr>
        <w:footnoteReference w:id="1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بمنع قبح ترجیح المرجوح علی الراجح،إذ المرجوح قد یوافق الاحتیاط،فالأخذ به حسن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المرجوح المطابق للاحتیاط لیس العمل به ترجیحا للمرجوح،بل هو جمع فی العمل بین الراجح و المرجوح،مثلا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ظنّ عدم وجوب شیء و کان وجوبه مرجوحا،فحینئذ الإتیان به من باب الاحتیاط لیس طرحا للراجح فی العمل؛لأنّ الإتیان لا ینافی عدم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الإتیان بقصد الوجوب المنافی لعدم الوجوب،ففیه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الإتیان علی هذا الوجه مخالف للاحتیاط؛فإنّ الاحتیاط هو الإتیان لاحتمال الوجوب،لا بقصده</w:t>
      </w:r>
      <w:r>
        <w:rPr>
          <w:rFonts w:eastAsia="IRNazanin" w:cs="IRNazanin"/>
          <w:color w:val="111111"/>
          <w:sz w:val="28"/>
          <w:szCs w:val="28"/>
          <w:rtl w:val="true"/>
          <w:lang w:bidi="fa-IR"/>
        </w:rPr>
        <w:t>.</w:t>
      </w:r>
    </w:p>
    <w:p>
      <w:pPr>
        <w:pStyle w:val="Heading6"/>
        <w:numPr>
          <w:ilvl w:val="5"/>
          <w:numId w:val="1"/>
        </w:numPr>
        <w:rPr/>
      </w:pPr>
      <w:bookmarkStart w:id="1029" w:name="__RefHeading___Toc5447225_3224264995"/>
      <w:bookmarkStart w:id="1030" w:name="_Toc394"/>
      <w:bookmarkEnd w:id="1029"/>
      <w:r>
        <w:rPr>
          <w:rtl w:val="true"/>
        </w:rPr>
        <w:t>ما اجیب عن هذا الوجه أیضا و مناقشته</w:t>
      </w:r>
      <w:bookmarkEnd w:id="1030"/>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یجاب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ذلک فرع وجوب الترجیح،بمعنی أنّ الأمر إذا دار بین ترجیح المرجوح و ترجیح الراجح کان الأوّل قبیحا،و أمّا إذا لم یثبت وجوب الترجیح فلا یرجّح المرجوح و لا الراجح </w:t>
      </w:r>
      <w:r>
        <w:rPr>
          <w:rStyle w:val="FootnoteAnchor"/>
          <w:rtl w:val="true"/>
        </w:rPr>
        <w:footnoteReference w:id="1329"/>
      </w:r>
      <w:bookmarkStart w:id="1031" w:name="pg12977_114422"/>
    </w:p>
    <w:p>
      <w:pPr>
        <w:pStyle w:val="BookText"/>
        <w:rPr/>
      </w:pPr>
      <w:bookmarkEnd w:id="1031"/>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التوقّف عن ترجیح الراجح أیضا قبیح،کترجیح المرجوح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32" w:name="__RefHeading___Toc5447227_3224264995"/>
      <w:bookmarkStart w:id="1033" w:name="_Toc395"/>
      <w:bookmarkEnd w:id="1032"/>
      <w:r>
        <w:rPr>
          <w:rtl w:val="true"/>
        </w:rPr>
        <w:t>الأولی فی الجواب عن هذا الوجه</w:t>
      </w:r>
      <w:bookmarkEnd w:id="1033"/>
    </w:p>
    <w:p>
      <w:pPr>
        <w:pStyle w:val="BookText"/>
        <w:rPr/>
      </w:pPr>
      <w:r>
        <w:rPr>
          <w:rFonts w:ascii="IRNazanin" w:hAnsi="IRNazanin" w:eastAsia="IRNazanin"/>
          <w:color w:val="111111"/>
          <w:sz w:val="28"/>
          <w:sz w:val="28"/>
          <w:szCs w:val="28"/>
          <w:rtl w:val="true"/>
          <w:lang w:bidi="fa-IR"/>
        </w:rPr>
        <w:t>فالأولی الجواب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بالنقض بکثیر من الظنون المحرّمة العمل بالإجماع أو الضرورة</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بالحلّ،و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تسلیم القبح إذا کان التکلیف و غرض الشارع متعلّقا بالواقع و لم یمکن الاحتیاط؛فإنّ العقل قاطع بأنّ الغرض إذا تعلّق بالذهاب إلی بغداد و تردّد الأمر بین طریقین،أحدهما مظنون الإیصال و الآخر موهومه،فترجیح الموهوم قبیح؛لأنّه نقض للغرض، و أمّا إذا لم یتعلّق التکلیف بالواقع أو تعلّق به مع إمکان الاحتیاط، فلا یجب الأخذ بالراجح،بل اللازم فی الأوّل هو الأخذ بمقتضی البراءة،و فی الثانی الأخذ بمقتضی الاحتیاط،فإثبات القبح موقوف علی إبطال الرجوع إلی البراءة فی موارد الظنّ و عدم وجوب الاحتیاط فیها، و معلوم أنّ العقل قاض حینئذ بقبح ترجیح المرجوح </w:t>
      </w:r>
      <w:r>
        <w:rPr>
          <w:rStyle w:val="FootnoteAnchor"/>
          <w:rtl w:val="true"/>
        </w:rPr>
        <w:footnoteReference w:id="1331"/>
      </w:r>
      <w:r>
        <w:rPr>
          <w:rFonts w:ascii="IRNazanin" w:hAnsi="IRNazanin" w:eastAsia="IRNazanin"/>
          <w:color w:val="111111"/>
          <w:sz w:val="28"/>
          <w:sz w:val="28"/>
          <w:szCs w:val="28"/>
          <w:rtl w:val="true"/>
          <w:lang w:bidi="fa-IR"/>
        </w:rPr>
        <w:t xml:space="preserve">،فلا بدّ من إرجاع هذا الدلیل إلی دلیل الانسداد الآتی </w:t>
      </w:r>
      <w:r>
        <w:rPr>
          <w:rStyle w:val="FootnoteAnchor"/>
          <w:rtl w:val="true"/>
        </w:rPr>
        <w:footnoteReference w:id="1332"/>
      </w:r>
      <w:r>
        <w:rPr>
          <w:rFonts w:ascii="IRNazanin" w:hAnsi="IRNazanin" w:eastAsia="IRNazanin"/>
          <w:color w:val="111111"/>
          <w:sz w:val="28"/>
          <w:sz w:val="28"/>
          <w:szCs w:val="28"/>
          <w:rtl w:val="true"/>
          <w:lang w:bidi="fa-IR"/>
        </w:rPr>
        <w:t>،المرکّب من بقاء التکلیف،و عدم جواز الرجوع إلی البراءة،و عدم لزوم الاحتیاط،و غیر ذلک من المقدّمات التی لا یتردّد الأمر بین الأخذ بالراجح و الأخذ بالمرجوح إلاّ بعد إبطالها</w:t>
      </w:r>
      <w:r>
        <w:rPr>
          <w:rFonts w:eastAsia="IRNazanin" w:cs="IRNazanin"/>
          <w:color w:val="111111"/>
          <w:sz w:val="28"/>
          <w:szCs w:val="28"/>
          <w:rtl w:val="true"/>
          <w:lang w:bidi="fa-IR"/>
        </w:rPr>
        <w:t xml:space="preserve">. </w:t>
      </w:r>
      <w:bookmarkStart w:id="1034" w:name="pg12977_114423"/>
    </w:p>
    <w:p>
      <w:pPr>
        <w:pStyle w:val="Heading6"/>
        <w:numPr>
          <w:ilvl w:val="5"/>
          <w:numId w:val="1"/>
        </w:numPr>
        <w:rPr/>
      </w:pPr>
      <w:bookmarkStart w:id="1035" w:name="__RefHeading___Toc5447229_3224264995"/>
      <w:bookmarkStart w:id="1036" w:name="_Toc396"/>
      <w:bookmarkEnd w:id="1034"/>
      <w:bookmarkEnd w:id="1035"/>
      <w:r>
        <w:rPr>
          <w:rtl w:val="true"/>
        </w:rPr>
        <w:t>الوجه الثالث</w:t>
      </w:r>
      <w:r>
        <w:rPr>
          <w:rtl w:val="true"/>
        </w:rPr>
        <w:t xml:space="preserve">: </w:t>
      </w:r>
      <w:r>
        <w:rPr>
          <w:rtl w:val="true"/>
        </w:rPr>
        <w:t>ما حکی عن صاحب الریاض قدّس سرّه</w:t>
      </w:r>
      <w:r>
        <w:rPr>
          <w:rtl w:val="true"/>
        </w:rPr>
        <w:t>:</w:t>
      </w:r>
      <w:bookmarkEnd w:id="1036"/>
    </w:p>
    <w:p>
      <w:pPr>
        <w:pStyle w:val="BookText"/>
        <w:rPr/>
      </w:pPr>
      <w:r>
        <w:rPr>
          <w:rFonts w:ascii="IRNazanin" w:hAnsi="IRNazanin" w:eastAsia="IRNazanin"/>
          <w:color w:val="111111"/>
          <w:sz w:val="28"/>
          <w:sz w:val="28"/>
          <w:szCs w:val="28"/>
          <w:rtl w:val="true"/>
          <w:lang w:bidi="fa-IR"/>
        </w:rPr>
        <w:t xml:space="preserve">ما حکاه الاستاذ عن استاذه السیّد الطباطبائیّ قدّس سرّهما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أنّه لا ریب فی وجود واجبات و محرّمات کثیرة بین المشتبهات، و مقتضی ذلک وجوب الاحتیاط بالإتیان بکلّ ما یحتمل الوجوب و لو موهوما،و ترک ما یحتمل الحرمة کذلک،و لکن مقتضی قاعدة نفی العسر و الحرج عدم وجوب ذلک کلّه </w:t>
      </w:r>
      <w:r>
        <w:rPr>
          <w:rStyle w:val="FootnoteAnchor"/>
          <w:rtl w:val="true"/>
        </w:rPr>
        <w:footnoteReference w:id="1334"/>
      </w:r>
      <w:r>
        <w:rPr>
          <w:rFonts w:ascii="IRNazanin" w:hAnsi="IRNazanin" w:eastAsia="IRNazanin"/>
          <w:color w:val="111111"/>
          <w:sz w:val="28"/>
          <w:sz w:val="28"/>
          <w:szCs w:val="28"/>
          <w:rtl w:val="true"/>
          <w:lang w:bidi="fa-IR"/>
        </w:rPr>
        <w:t>لأنّه عسر أکید و حرج شدید؛فمقتضی الجمع بین قاعدتی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الحرج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بالاحتیاط فی المظنونات دون المشکوکات و الموهومات؛لأنّ الجمع علی غیر هذا الوجه بإخراج بعض المظنونات و إدخال بعض المشکوکات و الموهومات باطل إجماعا</w:t>
      </w:r>
      <w:r>
        <w:rPr>
          <w:rFonts w:eastAsia="IRNazanin" w:cs="IRNazanin"/>
          <w:color w:val="111111"/>
          <w:sz w:val="28"/>
          <w:szCs w:val="28"/>
          <w:rtl w:val="true"/>
          <w:lang w:bidi="fa-IR"/>
        </w:rPr>
        <w:t>.</w:t>
      </w:r>
    </w:p>
    <w:p>
      <w:pPr>
        <w:pStyle w:val="Heading6"/>
        <w:numPr>
          <w:ilvl w:val="5"/>
          <w:numId w:val="1"/>
        </w:numPr>
        <w:rPr/>
      </w:pPr>
      <w:bookmarkStart w:id="1037" w:name="__RefHeading___Toc5447231_3224264995"/>
      <w:bookmarkStart w:id="1038" w:name="_Toc397"/>
      <w:bookmarkEnd w:id="1037"/>
      <w:r>
        <w:rPr>
          <w:rtl w:val="true"/>
        </w:rPr>
        <w:t>المناقشة فی هذا الوجه</w:t>
      </w:r>
      <w:r>
        <w:rPr>
          <w:rtl w:val="true"/>
        </w:rPr>
        <w:t>:</w:t>
      </w:r>
      <w:bookmarkEnd w:id="1038"/>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راجع إلی دلیل الانسداد الآتی </w:t>
      </w:r>
      <w:r>
        <w:rPr>
          <w:rStyle w:val="FootnoteAnchor"/>
          <w:rtl w:val="true"/>
        </w:rPr>
        <w:footnoteReference w:id="1335"/>
      </w:r>
      <w:r>
        <w:rPr>
          <w:rFonts w:ascii="IRNazanin" w:hAnsi="IRNazanin" w:eastAsia="IRNazanin"/>
          <w:color w:val="111111"/>
          <w:sz w:val="28"/>
          <w:sz w:val="28"/>
          <w:szCs w:val="28"/>
          <w:rtl w:val="true"/>
          <w:lang w:bidi="fa-IR"/>
        </w:rPr>
        <w:t xml:space="preserve">إذ ما من مقدّمة من مقدّمات ذلک </w:t>
      </w:r>
      <w:r>
        <w:rPr>
          <w:rStyle w:val="FootnoteAnchor"/>
          <w:rtl w:val="true"/>
        </w:rPr>
        <w:footnoteReference w:id="1336"/>
      </w:r>
      <w:r>
        <w:rPr>
          <w:rFonts w:ascii="IRNazanin" w:hAnsi="IRNazanin" w:eastAsia="IRNazanin"/>
          <w:color w:val="111111"/>
          <w:sz w:val="28"/>
          <w:sz w:val="28"/>
          <w:szCs w:val="28"/>
          <w:rtl w:val="true"/>
          <w:lang w:bidi="fa-IR"/>
        </w:rPr>
        <w:t xml:space="preserve">الدلیل إلاّ و </w:t>
      </w:r>
      <w:r>
        <w:rPr>
          <w:rStyle w:val="FootnoteAnchor"/>
          <w:rtl w:val="true"/>
        </w:rPr>
        <w:footnoteReference w:id="1337"/>
      </w:r>
      <w:r>
        <w:rPr>
          <w:rFonts w:ascii="IRNazanin" w:hAnsi="IRNazanin" w:eastAsia="IRNazanin"/>
          <w:color w:val="111111"/>
          <w:sz w:val="28"/>
          <w:sz w:val="28"/>
          <w:szCs w:val="28"/>
          <w:rtl w:val="true"/>
          <w:lang w:bidi="fa-IR"/>
        </w:rPr>
        <w:t xml:space="preserve">یحتاج </w:t>
      </w:r>
      <w:r>
        <w:rPr>
          <w:rStyle w:val="FootnoteAnchor"/>
          <w:rtl w:val="true"/>
        </w:rPr>
        <w:footnoteReference w:id="1338"/>
      </w:r>
      <w:r>
        <w:rPr>
          <w:rFonts w:ascii="IRNazanin" w:hAnsi="IRNazanin" w:eastAsia="IRNazanin"/>
          <w:color w:val="111111"/>
          <w:sz w:val="28"/>
          <w:sz w:val="28"/>
          <w:szCs w:val="28"/>
          <w:rtl w:val="true"/>
          <w:lang w:bidi="fa-IR"/>
        </w:rPr>
        <w:t>إلیها فی إتمام هذا الدلیل،فراجع و تأمّل حتّی یظهر لک حقیقة الحال</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العمل بالاحتیاط فی المشکوکات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کالمظنونات </w:t>
      </w:r>
    </w:p>
    <w:p>
      <w:pPr>
        <w:pStyle w:val="BookText"/>
        <w:rPr/>
      </w:pPr>
      <w:r>
        <w:rPr>
          <w:rFonts w:ascii="IRNazanin" w:hAnsi="IRNazanin" w:eastAsia="IRNazanin"/>
          <w:color w:val="111111"/>
          <w:sz w:val="28"/>
          <w:sz w:val="28"/>
          <w:szCs w:val="28"/>
          <w:rtl w:val="true"/>
          <w:lang w:bidi="fa-IR"/>
        </w:rPr>
        <w:t>لا یلزم منه حرج قطعا؛لقلّة موارد الشکّ المتساوی الطرفین کما لا یخفی، فیقتصر فی ترک الاحتیاط علی الموهومات فقط</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من قال بعدم الاحتیاط فی الموهومات قال بعدمه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المشکوکات،فی غایة الضعف و السقوط</w:t>
      </w:r>
      <w:r>
        <w:rPr>
          <w:rFonts w:eastAsia="IRNazanin" w:cs="IRNazanin"/>
          <w:color w:val="111111"/>
          <w:sz w:val="28"/>
          <w:szCs w:val="28"/>
          <w:rtl w:val="true"/>
          <w:lang w:bidi="fa-IR"/>
        </w:rPr>
        <w:t xml:space="preserve">. </w:t>
      </w:r>
      <w:bookmarkStart w:id="1039" w:name="pg12977_114425"/>
    </w:p>
    <w:p>
      <w:pPr>
        <w:pStyle w:val="Heading6"/>
        <w:numPr>
          <w:ilvl w:val="5"/>
          <w:numId w:val="1"/>
        </w:numPr>
        <w:rPr/>
      </w:pPr>
      <w:bookmarkStart w:id="1040" w:name="__RefHeading___Toc5447233_3224264995"/>
      <w:bookmarkStart w:id="1041" w:name="_Toc398"/>
      <w:bookmarkEnd w:id="1039"/>
      <w:bookmarkEnd w:id="1040"/>
      <w:r>
        <w:rPr>
          <w:rtl w:val="true"/>
        </w:rPr>
        <w:t>الوجه الرابع</w:t>
      </w:r>
      <w:r>
        <w:rPr>
          <w:rtl w:val="true"/>
        </w:rPr>
        <w:t>:</w:t>
      </w:r>
      <w:r>
        <w:rPr>
          <w:rtl w:val="true"/>
        </w:rPr>
        <w:t>هو الدلیل المعروف بدلیل الانسداد</w:t>
      </w:r>
      <w:r>
        <w:rPr>
          <w:rtl w:val="true"/>
        </w:rPr>
        <w:t>.</w:t>
      </w:r>
      <w:bookmarkEnd w:id="1041"/>
    </w:p>
    <w:p>
      <w:pPr>
        <w:pStyle w:val="Heading6"/>
        <w:numPr>
          <w:ilvl w:val="5"/>
          <w:numId w:val="1"/>
        </w:numPr>
        <w:rPr/>
      </w:pPr>
      <w:bookmarkStart w:id="1042" w:name="__RefHeading___Toc5447235_3224264995"/>
      <w:bookmarkStart w:id="1043" w:name="_Toc399"/>
      <w:bookmarkEnd w:id="1042"/>
      <w:r>
        <w:rPr>
          <w:rtl w:val="true"/>
        </w:rPr>
        <w:t>مقدّمات دلیل الانسداد</w:t>
      </w:r>
      <w:bookmarkEnd w:id="1043"/>
    </w:p>
    <w:p>
      <w:pPr>
        <w:pStyle w:val="BookText"/>
        <w:rPr/>
      </w:pPr>
      <w:r>
        <w:rPr>
          <w:rFonts w:ascii="Amiri" w:hAnsi="Amiri" w:eastAsia="Amiri" w:cs="Amiri"/>
          <w:color w:val="111111"/>
          <w:sz w:val="28"/>
          <w:sz w:val="28"/>
          <w:szCs w:val="28"/>
          <w:rtl w:val="true"/>
          <w:lang w:bidi="ar-SA"/>
        </w:rPr>
        <w:t>و هو مرکّب من مقدّمات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انسداد باب العلم و الظنّ الخاصّ فی معظم المسائل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یجوز لنا إهمال الأحکام المشتبهة،و ترک التعرّض لامتثالها بنحو من أنحاء امتثال الجاهل العاجز عن العلم التفصیلیّ </w:t>
      </w:r>
      <w:r>
        <w:rPr>
          <w:rStyle w:val="FootnoteAnchor"/>
          <w:rtl w:val="true"/>
        </w:rPr>
        <w:footnoteReference w:id="1339"/>
      </w:r>
      <w:r>
        <w:rPr>
          <w:rFonts w:ascii="IRNazanin" w:hAnsi="IRNazanin" w:eastAsia="IRNazanin"/>
          <w:color w:val="111111"/>
          <w:sz w:val="28"/>
          <w:sz w:val="28"/>
          <w:szCs w:val="28"/>
          <w:rtl w:val="true"/>
          <w:lang w:bidi="fa-IR"/>
        </w:rPr>
        <w:t xml:space="preserve">،بأن نقتصر فی الإطاعة علی التکالیف القلیلة المعلومة تفصیلا أو بالظنّ الخاصّ القائم مقام العلم بنصّ الشارع،و نجعل أنفسنا فی تلک الموارد ممّن لا حکم علیه فیها کالأطفال و البهائم،أو ممّن </w:t>
      </w:r>
      <w:r>
        <w:rPr>
          <w:rStyle w:val="FootnoteAnchor"/>
          <w:rtl w:val="true"/>
        </w:rPr>
        <w:footnoteReference w:id="1340"/>
      </w:r>
      <w:r>
        <w:rPr>
          <w:rFonts w:ascii="IRNazanin" w:hAnsi="IRNazanin" w:eastAsia="IRNazanin"/>
          <w:color w:val="111111"/>
          <w:sz w:val="28"/>
          <w:sz w:val="28"/>
          <w:szCs w:val="28"/>
          <w:rtl w:val="true"/>
          <w:lang w:bidi="fa-IR"/>
        </w:rPr>
        <w:t>حکمه فیها الرجوع إلی أصالة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وجب التعرّض لامتثالها فلیس امتثالها بالطرق الشرعیّة المقرّرة للجاهل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الأخذ بالاحتیاط الموجب للعلم الإجمالیّ بالامتثال،أو الأخذ فی کلّ مسألة بالأصل المتّبع شرعا فی نفس تلک المسألة مع قطع النظر عن ملاحظتها منضمّة إلی غیرها من المجهولات، أو الأخذ بفتوی العالم بتلک المسألة و تقلیده فیها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بطل الرجوع فی الامتثال إلی الطرق الشرعیّة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الوجوب فی بعضها و عدم الجواز فی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المفروض عدم سقوط الامتثال بمقتضی المقدّمة الثانیة،تعیّن بحکم العقل المستقلّ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الرجوع إلی الامتثال الظنّی و الموافقة الظنّیة للواقع،و لا یجوز العدول عنه إلی الموافقة الوهمیّة بأن یؤخذ بالطرف المرجوح،و لا إلی الامتثال الاحتمالیّ و الموافقة الشکّیة بأن یعتمد علی أحد طرفی المسألة من دون تحصیل الظنّ فیها،أو یعتمد علی ما یحتمل کونه طریقا شرعیّا للامتثال من دون إفادته للظنّ أصلا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 xml:space="preserve">. </w:t>
      </w:r>
      <w:bookmarkStart w:id="1044" w:name="pg12977_114427"/>
    </w:p>
    <w:p>
      <w:pPr>
        <w:pStyle w:val="Heading6"/>
        <w:numPr>
          <w:ilvl w:val="5"/>
          <w:numId w:val="1"/>
        </w:numPr>
        <w:rPr/>
      </w:pPr>
      <w:bookmarkStart w:id="1045" w:name="__RefHeading___Toc5447237_3224264995"/>
      <w:bookmarkStart w:id="1046" w:name="_Toc400"/>
      <w:bookmarkEnd w:id="1044"/>
      <w:bookmarkEnd w:id="1045"/>
      <w:r>
        <w:rPr>
          <w:rtl w:val="true"/>
        </w:rPr>
        <w:t>أمّا المقدّمة الاولی</w:t>
      </w:r>
      <w:r>
        <w:rPr>
          <w:rtl w:val="true"/>
        </w:rPr>
        <w:t>:</w:t>
      </w:r>
      <w:r>
        <w:rPr>
          <w:rtl w:val="true"/>
        </w:rPr>
        <w:t>انسداد باب العلم و الظنّ الخاصّ</w:t>
      </w:r>
      <w:bookmarkEnd w:id="1046"/>
    </w:p>
    <w:p>
      <w:pPr>
        <w:pStyle w:val="BookText"/>
        <w:rPr/>
      </w:pPr>
      <w:r>
        <w:rPr>
          <w:rFonts w:ascii="IRNazanin" w:hAnsi="IRNazanin" w:eastAsia="IRNazanin"/>
          <w:color w:val="111111"/>
          <w:sz w:val="28"/>
          <w:sz w:val="28"/>
          <w:szCs w:val="28"/>
          <w:rtl w:val="true"/>
          <w:lang w:bidi="fa-IR"/>
        </w:rPr>
        <w:t>فهی بالنسبة إلی انسداد باب العلم فی الأغلب غیر محتاجة إلی الإثبات؛ضرورة قلّة ما یوجب العلم التفصیلیّ بالمسألة علی وجه لا یحتاج العمل فیها إلی إعمال أمارة غیر 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بالنسبة إلی انسداد باب الظنّ الخاصّ،فهی مبنیّة علی أن لا یثبت من الأدلّة المتقدّمة لحجّیة خبر الواحد حجّیة مقدار منه 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بضمیمة الأدلّة العلمیّة و باقی الظنون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بإثبات معظم الأحکام الشرعیّة،بحیث لا یبقی مانع عن الرجوع فی المسائل الخالیة عن الخبر و أخواته من الظنون الخاصّة إلی ما یقتضیه الأصل فی تلک الواقعة،من البراءة أو الاستصحاب أو الاحتیاط أو التخییر</w:t>
      </w:r>
      <w:r>
        <w:rPr>
          <w:rFonts w:eastAsia="IRNazanin" w:cs="IRNazanin"/>
          <w:color w:val="111111"/>
          <w:sz w:val="28"/>
          <w:szCs w:val="28"/>
          <w:rtl w:val="true"/>
          <w:lang w:bidi="fa-IR"/>
        </w:rPr>
        <w:t>.</w:t>
      </w:r>
    </w:p>
    <w:p>
      <w:pPr>
        <w:pStyle w:val="Heading6"/>
        <w:numPr>
          <w:ilvl w:val="5"/>
          <w:numId w:val="1"/>
        </w:numPr>
        <w:rPr/>
      </w:pPr>
      <w:bookmarkStart w:id="1047" w:name="__RefHeading___Toc5447239_3224264995"/>
      <w:bookmarkStart w:id="1048" w:name="_Toc401"/>
      <w:bookmarkEnd w:id="1047"/>
      <w:r>
        <w:rPr>
          <w:rtl w:val="true"/>
        </w:rPr>
        <w:t>تسلیم أو منع هذه المقدّمة</w:t>
      </w:r>
      <w:bookmarkEnd w:id="1048"/>
    </w:p>
    <w:p>
      <w:pPr>
        <w:pStyle w:val="BookText"/>
        <w:rPr/>
      </w:pPr>
      <w:r>
        <w:rPr>
          <w:rFonts w:ascii="IRNazanin" w:hAnsi="IRNazanin" w:eastAsia="IRNazanin"/>
          <w:color w:val="111111"/>
          <w:sz w:val="28"/>
          <w:sz w:val="28"/>
          <w:szCs w:val="28"/>
          <w:rtl w:val="true"/>
          <w:lang w:bidi="fa-IR"/>
        </w:rPr>
        <w:t>فتسلیم هذه المقدّمة و منعها لا یظهر إلاّ بعد التأمّل التامّ و بذل الجهد فی النظر فیما تقدّم من أدلّة حجّیّة الخبر،و أنّه هل یثبت بها حجّیّة مقدار واف من الخبر أم لا؟</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هی عمدة مقدّمات دلیل الانسداد،بل </w:t>
      </w:r>
      <w:r>
        <w:rPr>
          <w:rStyle w:val="FootnoteAnchor"/>
          <w:rtl w:val="true"/>
        </w:rPr>
        <w:footnoteReference w:id="1342"/>
      </w:r>
      <w:r>
        <w:rPr>
          <w:rFonts w:ascii="IRNazanin" w:hAnsi="IRNazanin" w:eastAsia="IRNazanin"/>
          <w:color w:val="111111"/>
          <w:sz w:val="28"/>
          <w:sz w:val="28"/>
          <w:szCs w:val="28"/>
          <w:rtl w:val="true"/>
          <w:lang w:bidi="fa-IR"/>
        </w:rPr>
        <w:t xml:space="preserve">الظاهر المصرّح به فی کلمات بعض </w:t>
      </w:r>
      <w:r>
        <w:rPr>
          <w:rStyle w:val="FootnoteAnchor"/>
          <w:rtl w:val="true"/>
        </w:rPr>
        <w:footnoteReference w:id="1343"/>
      </w:r>
      <w:r>
        <w:rPr>
          <w:rFonts w:ascii="IRNazanin" w:hAnsi="IRNazanin" w:eastAsia="IRNazanin"/>
          <w:color w:val="111111"/>
          <w:sz w:val="28"/>
          <w:sz w:val="28"/>
          <w:szCs w:val="28"/>
          <w:rtl w:val="true"/>
          <w:lang w:bidi="fa-IR"/>
        </w:rPr>
        <w:t xml:space="preserve">أنّ ثبوت هذه المقدّمة یکفی فی حجّیّة الظنّ المطلق؛ للإجماع علیه علی تقدیر انسداد باب العلم و الظنّ الخاصّ </w:t>
      </w:r>
      <w:r>
        <w:rPr>
          <w:rStyle w:val="FootnoteAnchor"/>
          <w:rtl w:val="true"/>
        </w:rPr>
        <w:footnoteReference w:id="1344"/>
      </w:r>
      <w:r>
        <w:rPr>
          <w:rFonts w:ascii="IRNazanin" w:hAnsi="IRNazanin" w:eastAsia="IRNazanin"/>
          <w:color w:val="111111"/>
          <w:sz w:val="28"/>
          <w:sz w:val="28"/>
          <w:szCs w:val="28"/>
          <w:rtl w:val="true"/>
          <w:lang w:bidi="fa-IR"/>
        </w:rPr>
        <w:t xml:space="preserve">و لذا </w:t>
      </w:r>
    </w:p>
    <w:p>
      <w:pPr>
        <w:pStyle w:val="BookText"/>
        <w:rPr/>
      </w:pPr>
      <w:r>
        <w:rPr>
          <w:rFonts w:ascii="IRNazanin" w:hAnsi="IRNazanin" w:eastAsia="IRNazanin"/>
          <w:color w:val="111111"/>
          <w:sz w:val="28"/>
          <w:sz w:val="28"/>
          <w:szCs w:val="28"/>
          <w:rtl w:val="true"/>
          <w:lang w:bidi="fa-IR"/>
        </w:rPr>
        <w:t xml:space="preserve">لم یذکر صاحب المعالم </w:t>
      </w:r>
      <w:r>
        <w:rPr>
          <w:rStyle w:val="FootnoteAnchor"/>
          <w:rtl w:val="true"/>
        </w:rPr>
        <w:footnoteReference w:id="1345"/>
      </w:r>
      <w:r>
        <w:rPr>
          <w:rFonts w:ascii="IRNazanin" w:hAnsi="IRNazanin" w:eastAsia="IRNazanin"/>
          <w:color w:val="111111"/>
          <w:sz w:val="28"/>
          <w:sz w:val="28"/>
          <w:szCs w:val="28"/>
          <w:rtl w:val="true"/>
          <w:lang w:bidi="fa-IR"/>
        </w:rPr>
        <w:t xml:space="preserve">و صاحب الوافیة </w:t>
      </w:r>
      <w:r>
        <w:rPr>
          <w:rStyle w:val="FootnoteAnchor"/>
          <w:rtl w:val="true"/>
        </w:rPr>
        <w:footnoteReference w:id="1346"/>
      </w:r>
      <w:r>
        <w:rPr>
          <w:rFonts w:ascii="IRNazanin" w:hAnsi="IRNazanin" w:eastAsia="IRNazanin"/>
          <w:color w:val="111111"/>
          <w:sz w:val="28"/>
          <w:sz w:val="28"/>
          <w:szCs w:val="28"/>
          <w:rtl w:val="true"/>
          <w:lang w:bidi="fa-IR"/>
        </w:rPr>
        <w:t>فی إثبات حجّیّة الظنّ الخبریّ غیر انسداد باب العلم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الاحتمالات الآتیة فی ضمن المقدّمات الآتیة،من الرجوع بعد انسداد باب العلم و الظنّ الخاصّ إلی شیء آخر غیر الظنّ،فإنّما هی امور احتملها بعض المدقّقین من متأخّری المتأخّرین،أوّلهم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جمال الدین الخوانساریّ،حیث أورد علی دلیل الانسداد باحتمال الرجوع إلی البراءة و احتمال الرجوع إلی الاحتیاط </w:t>
      </w:r>
      <w:r>
        <w:rPr>
          <w:rStyle w:val="FootnoteAnchor"/>
          <w:rtl w:val="true"/>
        </w:rPr>
        <w:footnoteReference w:id="1347"/>
      </w:r>
      <w:r>
        <w:rPr>
          <w:rFonts w:ascii="IRNazanin" w:hAnsi="IRNazanin" w:eastAsia="IRNazanin"/>
          <w:color w:val="111111"/>
          <w:sz w:val="28"/>
          <w:sz w:val="28"/>
          <w:szCs w:val="28"/>
          <w:rtl w:val="true"/>
          <w:lang w:bidi="fa-IR"/>
        </w:rPr>
        <w:t xml:space="preserve">،و زاد علیها بعض من تأخّر </w:t>
      </w:r>
      <w:r>
        <w:rPr>
          <w:rStyle w:val="FootnoteAnchor"/>
          <w:rtl w:val="true"/>
        </w:rPr>
        <w:footnoteReference w:id="1348"/>
      </w:r>
      <w:r>
        <w:rPr>
          <w:rFonts w:ascii="IRNazanin" w:hAnsi="IRNazanin" w:eastAsia="IRNazanin"/>
          <w:color w:val="111111"/>
          <w:sz w:val="28"/>
          <w:sz w:val="28"/>
          <w:szCs w:val="28"/>
          <w:rtl w:val="true"/>
          <w:lang w:bidi="fa-IR"/>
        </w:rPr>
        <w:t>احتمالات أخر</w:t>
      </w:r>
      <w:r>
        <w:rPr>
          <w:rFonts w:eastAsia="IRNazanin" w:cs="IRNazanin"/>
          <w:color w:val="111111"/>
          <w:sz w:val="28"/>
          <w:szCs w:val="28"/>
          <w:rtl w:val="true"/>
          <w:lang w:bidi="fa-IR"/>
        </w:rPr>
        <w:t xml:space="preserve">. </w:t>
      </w:r>
      <w:bookmarkStart w:id="1049" w:name="pg12977_114429"/>
    </w:p>
    <w:p>
      <w:pPr>
        <w:pStyle w:val="Heading6"/>
        <w:numPr>
          <w:ilvl w:val="5"/>
          <w:numId w:val="1"/>
        </w:numPr>
        <w:rPr/>
      </w:pPr>
      <w:bookmarkStart w:id="1050" w:name="__RefHeading___Toc5447241_3224264995"/>
      <w:bookmarkStart w:id="1051" w:name="_Toc402"/>
      <w:bookmarkEnd w:id="1049"/>
      <w:bookmarkEnd w:id="1050"/>
      <w:r>
        <w:rPr>
          <w:rtl w:val="true"/>
        </w:rPr>
        <w:t>و أمّا المقدّمة الثانیة</w:t>
      </w:r>
      <w:r>
        <w:rPr>
          <w:rtl w:val="true"/>
        </w:rPr>
        <w:t>:</w:t>
      </w:r>
      <w:r>
        <w:rPr>
          <w:rtl w:val="true"/>
        </w:rPr>
        <w:t>عدم جواز إهمال الوقائع المشتبهة و الدلیل علیه من وجوه</w:t>
      </w:r>
      <w:r>
        <w:rPr>
          <w:rtl w:val="true"/>
        </w:rPr>
        <w:t>:</w:t>
      </w:r>
      <w:bookmarkEnd w:id="1051"/>
    </w:p>
    <w:p>
      <w:pPr>
        <w:pStyle w:val="BookText"/>
        <w:rPr/>
      </w:pPr>
      <w:r>
        <w:rPr>
          <w:rFonts w:ascii="IRNazanin" w:hAnsi="IRNazanin" w:eastAsia="IRNazanin"/>
          <w:color w:val="111111"/>
          <w:sz w:val="28"/>
          <w:sz w:val="28"/>
          <w:szCs w:val="28"/>
          <w:rtl w:val="true"/>
          <w:lang w:bidi="fa-IR"/>
        </w:rPr>
        <w:t>و هی عدم جواز إهمال الوقائع المشتبهة علی کثرتها،و ترک التعرّض لامتثالها بنحو من الأنحاء،فیدلّ علیه وجوه</w:t>
      </w:r>
      <w:r>
        <w:rPr>
          <w:rFonts w:eastAsia="IRNazanin" w:cs="IRNazanin"/>
          <w:color w:val="111111"/>
          <w:sz w:val="28"/>
          <w:szCs w:val="28"/>
          <w:rtl w:val="true"/>
          <w:lang w:bidi="fa-IR"/>
        </w:rPr>
        <w:t>:</w:t>
      </w:r>
    </w:p>
    <w:p>
      <w:pPr>
        <w:pStyle w:val="Heading6"/>
        <w:numPr>
          <w:ilvl w:val="5"/>
          <w:numId w:val="1"/>
        </w:numPr>
        <w:rPr/>
      </w:pPr>
      <w:bookmarkStart w:id="1052" w:name="__RefHeading___Toc5447243_3224264995"/>
      <w:bookmarkStart w:id="1053" w:name="_Toc403"/>
      <w:bookmarkEnd w:id="1052"/>
      <w:r>
        <w:rPr>
          <w:rtl w:val="true"/>
        </w:rPr>
        <w:t>الأوّل</w:t>
      </w:r>
      <w:r>
        <w:rPr>
          <w:rtl w:val="true"/>
        </w:rPr>
        <w:t>:</w:t>
      </w:r>
      <w:r>
        <w:rPr>
          <w:rtl w:val="true"/>
        </w:rPr>
        <w:t>الإجماع القطعیّ</w:t>
      </w:r>
      <w:bookmarkEnd w:id="1053"/>
    </w:p>
    <w:p>
      <w:pPr>
        <w:pStyle w:val="BookText"/>
        <w:rPr/>
      </w:pPr>
      <w:r>
        <w:rPr>
          <w:rFonts w:ascii="IRNazanin" w:hAnsi="IRNazanin" w:eastAsia="IRNazanin"/>
          <w:color w:val="111111"/>
          <w:sz w:val="28"/>
          <w:sz w:val="28"/>
          <w:szCs w:val="28"/>
          <w:rtl w:val="true"/>
          <w:lang w:bidi="fa-IR"/>
        </w:rPr>
        <w:t>علی أنّ المرجع علی تقدیر انسداد باب العلم و عدم ثبوت الدلیل علی حجّیّة أخبار الآحاد بالخصوص،لیس هی البراءة و إجراء أصالة العدم فی کلّ حکم،بل لا بدّ من التعرّض لامتثال الأحکام المجهولة بوجه ما،و هذا الحکم و إن لم یصرّح به أحد من قدمائنا بل المتأخّرین فی هذا المقام،إلاّ أنّه معلوم للمتتبّع فی طریقة الأصحاب بل علماء الإسلام طرّا؛فربّ مسألة غیر معنونة یعلم اتّفاقهم فیها من ملاحظة کلماتهم فی نظائرها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علماءنا العاملین بالأخبار التی بأیدینا لو لم یقم عندهم دلیل خاصّ علی اعتبارها،کانوا یطرحونها و یستریحون فی مواردها إلی أصالة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ثمّ حاشا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أنّهم کثیرا ما یذکرون أنّ الظنّ یقوم مقام العلم فی الشرعیّات عند تعذّر العلم،و قد حکی عن السیّد فی بعض کلماته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الاعتراف بالعمل بالظنّ عند تعذّر العلم </w:t>
      </w:r>
      <w:r>
        <w:rPr>
          <w:rStyle w:val="FootnoteAnchor"/>
          <w:rtl w:val="true"/>
        </w:rPr>
        <w:footnoteReference w:id="1349"/>
      </w:r>
      <w:r>
        <w:rPr>
          <w:rFonts w:ascii="IRNazanin" w:hAnsi="IRNazanin" w:eastAsia="IRNazanin"/>
          <w:color w:val="111111"/>
          <w:sz w:val="28"/>
          <w:sz w:val="28"/>
          <w:szCs w:val="28"/>
          <w:rtl w:val="true"/>
          <w:lang w:bidi="fa-IR"/>
        </w:rPr>
        <w:t xml:space="preserve">،بل قد ادّعی فی المختلف فی باب قضاء الفوائت الإجماع علی ذلک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54" w:name="__RefHeading___Toc5447245_3224264995"/>
      <w:bookmarkStart w:id="1055" w:name="_Toc404"/>
      <w:bookmarkEnd w:id="1054"/>
      <w:r>
        <w:rPr>
          <w:rtl w:val="true"/>
        </w:rPr>
        <w:t>الثانی</w:t>
      </w:r>
      <w:r>
        <w:rPr>
          <w:rtl w:val="true"/>
        </w:rPr>
        <w:t xml:space="preserve">: </w:t>
      </w:r>
      <w:r>
        <w:rPr>
          <w:rtl w:val="true"/>
        </w:rPr>
        <w:t>لزوم المخالفة القطعیّة الکثیرة</w:t>
      </w:r>
      <w:bookmarkEnd w:id="1055"/>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الرجوع فی جمیع تلک الوقائع إلی نفی الحکم مستلزم </w:t>
      </w:r>
    </w:p>
    <w:p>
      <w:pPr>
        <w:pStyle w:val="BookText"/>
        <w:rPr/>
      </w:pPr>
      <w:r>
        <w:rPr>
          <w:rFonts w:ascii="IRNazanin" w:hAnsi="IRNazanin" w:eastAsia="IRNazanin"/>
          <w:color w:val="111111"/>
          <w:sz w:val="28"/>
          <w:sz w:val="28"/>
          <w:szCs w:val="28"/>
          <w:rtl w:val="true"/>
          <w:lang w:bidi="fa-IR"/>
        </w:rPr>
        <w:t xml:space="preserve">للمخالفة القطعیّة الکثیرة،المعبّر عنها فی لسان جمع من مشایخنا بالخروج عن الدین </w:t>
      </w:r>
      <w:r>
        <w:rPr>
          <w:rStyle w:val="FootnoteAnchor"/>
          <w:rtl w:val="true"/>
        </w:rPr>
        <w:footnoteReference w:id="1351"/>
      </w:r>
      <w:r>
        <w:rPr>
          <w:rFonts w:ascii="IRNazanin" w:hAnsi="IRNazanin" w:eastAsia="IRNazanin"/>
          <w:color w:val="111111"/>
          <w:sz w:val="28"/>
          <w:sz w:val="28"/>
          <w:szCs w:val="28"/>
          <w:rtl w:val="true"/>
          <w:lang w:bidi="fa-IR"/>
        </w:rPr>
        <w:t xml:space="preserve">،بمعنی أنّ المقتصر علی التدیّن بالمعلومات التارک للأحکام المجهولة جاعلا لها کالمعدومة،یکاد یعدّ خارجا عن الدین؛لقلّة المعلومات التی أخذ بها و کثرة المجهولات التی أعرض عنها؛و هذا أمر یقطع ببطلانه کلّ أحد بعد الالتفات إلی کثرة المجهولات،کما یقطع ببطلان الرجوع إلی نفی الحکم و عدم الالتزام بحکم أصلا </w:t>
      </w:r>
      <w:r>
        <w:rPr>
          <w:rStyle w:val="FootnoteAnchor"/>
          <w:rtl w:val="true"/>
        </w:rPr>
        <w:footnoteReference w:id="1352"/>
      </w:r>
      <w:r>
        <w:rPr>
          <w:rFonts w:ascii="IRNazanin" w:hAnsi="IRNazanin" w:eastAsia="IRNazanin"/>
          <w:color w:val="111111"/>
          <w:sz w:val="28"/>
          <w:sz w:val="28"/>
          <w:szCs w:val="28"/>
          <w:rtl w:val="true"/>
          <w:lang w:bidi="fa-IR"/>
        </w:rPr>
        <w:t xml:space="preserve">لو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انسداد باب العلم و الظنّ الخاصّ فی جمیع الأحکام، و انطماس هذا المقدار القلیل من الأحکام المعلومة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فیکشف بطلان الرجوع إلی البراءة عن وجوب التعرّض لامتثال تلک المجهولات و لو علی غیر وجه العلم و الظنّ الخاصّ،لا أن یکون تعذّر العلم و الظنّ الخاصّ منشأ للحکم بارتفاع التکلیف بالمجهولات،کما توهّمه بعض من تصدّی للإیراد علی کلّ واحدة واحدة من مقدّمات الانسداد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نعم،هذا إنّما یستقیم فی حکم واحد أو أحکام قلیلة لم یوجد علیه دلیل علمیّ أو ظنّیّ معتبر،کما هو دأب المجتهدین بعد تحصیل الأدلّة و الأمارات فی أغلب الأحکام،أمّا إذا صار معظم الفقه أو کلّه مجهولا فلا یجوز أن یسلک فیه هذا المنهج</w:t>
      </w:r>
      <w:r>
        <w:rPr>
          <w:rFonts w:eastAsia="IRNazanin" w:cs="IRNazanin"/>
          <w:color w:val="111111"/>
          <w:sz w:val="28"/>
          <w:szCs w:val="28"/>
          <w:rtl w:val="true"/>
          <w:lang w:bidi="fa-IR"/>
        </w:rPr>
        <w:t xml:space="preserve">. </w:t>
      </w:r>
      <w:bookmarkStart w:id="1056" w:name="pg12977_114431"/>
    </w:p>
    <w:p>
      <w:pPr>
        <w:pStyle w:val="Heading6"/>
        <w:numPr>
          <w:ilvl w:val="5"/>
          <w:numId w:val="1"/>
        </w:numPr>
        <w:rPr/>
      </w:pPr>
      <w:bookmarkStart w:id="1057" w:name="__RefHeading___Toc5447247_3224264995"/>
      <w:bookmarkStart w:id="1058" w:name="_Toc405"/>
      <w:bookmarkEnd w:id="1056"/>
      <w:bookmarkEnd w:id="1057"/>
      <w:r>
        <w:rPr>
          <w:rtl w:val="true"/>
        </w:rPr>
        <w:t>الإشارة إلی هذا الوجه فی کلام جماعة</w:t>
      </w:r>
      <w:bookmarkEnd w:id="1058"/>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طرح أکثر الأحکام الفرعیّة بنفسه محذور مفروغ عن بطلانه،کطرح جمیع الأحکام لو فرضت مجهولة،و قد وقع ذلک تصریحا أو تلویحا فی کلام جماعة من القدماء و المتأخّرین</w:t>
      </w:r>
      <w:r>
        <w:rPr>
          <w:rFonts w:eastAsia="IRNazanin" w:cs="IRNazanin"/>
          <w:color w:val="111111"/>
          <w:sz w:val="28"/>
          <w:szCs w:val="28"/>
          <w:rtl w:val="true"/>
          <w:lang w:bidi="fa-IR"/>
        </w:rPr>
        <w:t>:</w:t>
      </w:r>
    </w:p>
    <w:p>
      <w:pPr>
        <w:pStyle w:val="Heading6"/>
        <w:numPr>
          <w:ilvl w:val="5"/>
          <w:numId w:val="1"/>
        </w:numPr>
        <w:rPr/>
      </w:pPr>
      <w:bookmarkStart w:id="1059" w:name="__RefHeading___Toc5447249_3224264995"/>
      <w:bookmarkStart w:id="1060" w:name="_Toc406"/>
      <w:bookmarkEnd w:id="1059"/>
      <w:r>
        <w:rPr>
          <w:rtl w:val="true"/>
        </w:rPr>
        <w:t>کلام الصدوق</w:t>
      </w:r>
      <w:bookmarkEnd w:id="1060"/>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 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الخلل الواقع فی الصلاة،فی ذیل أخبار سهو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قال رحمه اللّه </w:t>
      </w:r>
      <w:r>
        <w:rPr>
          <w:rStyle w:val="FootnoteAnchor"/>
          <w:rtl w:val="true"/>
        </w:rPr>
        <w:footnoteReference w:id="1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جاز ردّ هذه الأخبار الواردة فی هذا الباب لجاز ردّ جمیع الأخبار،و فیه إبطال للدین و الشریعة </w:t>
      </w:r>
      <w:r>
        <w:rPr>
          <w:rStyle w:val="FootnoteAnchor"/>
          <w:rtl w:val="true"/>
        </w:rPr>
        <w:footnoteReference w:id="135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1061" w:name="__RefHeading___Toc5447251_3224264995"/>
      <w:bookmarkStart w:id="1062" w:name="_Toc407"/>
      <w:bookmarkEnd w:id="1061"/>
      <w:r>
        <w:rPr>
          <w:rtl w:val="true"/>
        </w:rPr>
        <w:t>کلام السید المرتضی</w:t>
      </w:r>
      <w:bookmarkEnd w:id="1062"/>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1356"/>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قدّس سرّه حیث أورد علی نفسه فی المنع عن العمل بخبر الواحد،و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سددتم طریق العمل بأخبار الآحاد، فعلی أیّ شیء تعوّلون فی الفقه کلّه؟فأجاب بما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دعوی انفتاح باب العلم فی الأحکام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جاز طرح الأحکام المجهولة و لم یکن شیئا منکرا لم یکن وجه للایراد المذکور؛إذ الفقه حینئذ لیس إلاّ عبارة عن الأحکام التی قام علیها الدلیل و المرجع و کان فیها </w:t>
      </w:r>
      <w:r>
        <w:rPr>
          <w:rStyle w:val="FootnoteAnchor"/>
          <w:rtl w:val="true"/>
        </w:rPr>
        <w:footnoteReference w:id="1358"/>
      </w:r>
      <w:r>
        <w:rPr>
          <w:rFonts w:ascii="IRNazanin" w:hAnsi="IRNazanin" w:eastAsia="IRNazanin"/>
          <w:color w:val="111111"/>
          <w:sz w:val="28"/>
          <w:sz w:val="28"/>
          <w:szCs w:val="28"/>
          <w:rtl w:val="true"/>
          <w:lang w:bidi="fa-IR"/>
        </w:rPr>
        <w:t>معوّل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یکن وقع أیضا للجواب بدعوی الانفتاح الراجعة إلی دعوی عدم الحاجة إلی </w:t>
      </w:r>
      <w:bookmarkStart w:id="1063" w:name="pg12977_114432"/>
    </w:p>
    <w:p>
      <w:pPr>
        <w:pStyle w:val="BookText"/>
        <w:rPr/>
      </w:pPr>
      <w:bookmarkEnd w:id="1063"/>
      <w:r>
        <w:rPr>
          <w:rFonts w:ascii="IRNazanin" w:hAnsi="IRNazanin" w:eastAsia="IRNazanin"/>
          <w:color w:val="111111"/>
          <w:sz w:val="28"/>
          <w:sz w:val="28"/>
          <w:szCs w:val="28"/>
          <w:rtl w:val="true"/>
          <w:lang w:bidi="fa-IR"/>
        </w:rPr>
        <w:t>أخبار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المناسب حینئذ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عدم المعوّل فی أکثر المسائل لا یوجب فتح باب العمل </w:t>
      </w:r>
      <w:r>
        <w:rPr>
          <w:rStyle w:val="FootnoteAnchor"/>
          <w:rtl w:val="true"/>
        </w:rPr>
        <w:footnoteReference w:id="1359"/>
      </w:r>
      <w:r>
        <w:rPr>
          <w:rFonts w:ascii="IRNazanin" w:hAnsi="IRNazanin" w:eastAsia="IRNazanin"/>
          <w:color w:val="111111"/>
          <w:sz w:val="28"/>
          <w:sz w:val="28"/>
          <w:szCs w:val="28"/>
          <w:rtl w:val="true"/>
          <w:lang w:bidi="fa-IR"/>
        </w:rPr>
        <w:t>بخبر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ظاهر السؤال و الجواب المذکورین التسالم و التصالح </w:t>
      </w:r>
      <w:r>
        <w:rPr>
          <w:rStyle w:val="FootnoteAnchor"/>
          <w:rtl w:val="true"/>
        </w:rPr>
        <w:footnoteReference w:id="1360"/>
      </w:r>
      <w:r>
        <w:rPr>
          <w:rFonts w:ascii="IRNazanin" w:hAnsi="IRNazanin" w:eastAsia="IRNazanin"/>
          <w:color w:val="111111"/>
          <w:sz w:val="28"/>
          <w:sz w:val="28"/>
          <w:szCs w:val="28"/>
          <w:rtl w:val="true"/>
          <w:lang w:bidi="fa-IR"/>
        </w:rPr>
        <w:t>علی أنّه لو فرض الحاجة إلی أخبار الآحاد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المعوّل فی أکثر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العمل علیها و إن لم یقم علیه دلیل بالخصوص؛فإنّ نفس الحاجة إلیها هی أعظم دلیل،بناء علی عدم جواز طرح الأحکام؛و من هنا ذکر السیّد صدر الدین فی شرح الوافیة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السیّد قد اصطلح بهذا الکلام مع المتأخّرین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64" w:name="__RefHeading___Toc5447253_3224264995"/>
      <w:bookmarkStart w:id="1065" w:name="_Toc408"/>
      <w:bookmarkEnd w:id="1064"/>
      <w:r>
        <w:rPr>
          <w:rtl w:val="true"/>
        </w:rPr>
        <w:t>کلام الشیخ الطوسی</w:t>
      </w:r>
      <w:bookmarkEnd w:id="1065"/>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قدّس سرّه فی العدّة،حیث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دعوی الإجماع علی حجّیّة أخبار الآحاد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ادّعی أحد أنّ </w:t>
      </w:r>
      <w:r>
        <w:rPr>
          <w:rStyle w:val="FootnoteAnchor"/>
          <w:rtl w:val="true"/>
        </w:rPr>
        <w:footnoteReference w:id="1362"/>
      </w:r>
      <w:r>
        <w:rPr>
          <w:rFonts w:ascii="IRNazanin" w:hAnsi="IRNazanin" w:eastAsia="IRNazanin"/>
          <w:color w:val="111111"/>
          <w:sz w:val="28"/>
          <w:sz w:val="28"/>
          <w:szCs w:val="28"/>
          <w:rtl w:val="true"/>
          <w:lang w:bidi="fa-IR"/>
        </w:rPr>
        <w:t>عمل الإمامیّة بهذه الأخبار کان لأجل قرائن انضمّت إلیها،کان معوّلا علی ما یعلم من الضرورة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متی عدمت شیئا من القرائن حکمت بما کان یقتضیه العقل،یلزمه أن یترک أکثر الأخبار و أکثر الأحکام و لا یحکم فیها بشیء ورد الشرع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حدّ یرغب أهل العلم عنه،و من صار إلیه لا یحسن مکالمته؛لأنّه یکون معوّلا علی ما یعلم ضرورة من </w:t>
      </w:r>
      <w:bookmarkStart w:id="1066" w:name="pg12977_114433"/>
    </w:p>
    <w:p>
      <w:pPr>
        <w:pStyle w:val="BookText"/>
        <w:rPr/>
      </w:pPr>
      <w:bookmarkEnd w:id="1066"/>
      <w:r>
        <w:rPr>
          <w:rFonts w:ascii="IRNazanin" w:hAnsi="IRNazanin" w:eastAsia="IRNazanin"/>
          <w:color w:val="111111"/>
          <w:sz w:val="28"/>
          <w:sz w:val="28"/>
          <w:szCs w:val="28"/>
          <w:rtl w:val="true"/>
          <w:lang w:bidi="fa-IR"/>
        </w:rPr>
        <w:t xml:space="preserve">الشرع خلافه </w:t>
      </w:r>
      <w:r>
        <w:rPr>
          <w:rStyle w:val="FootnoteAnchor"/>
          <w:rtl w:val="true"/>
        </w:rPr>
        <w:footnoteReference w:id="136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لعمری،أنّه یکفی مثل هذا الکلام من الشیخ فی قطع توهّم جواز الرجوع إلی البراءة عند فرض فقد العلم و الظنّ الخاصّ فی أکثر الأحکام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67" w:name="__RefHeading___Toc5447255_3224264995"/>
      <w:bookmarkStart w:id="1068" w:name="_Toc409"/>
      <w:bookmarkEnd w:id="1067"/>
      <w:r>
        <w:rPr>
          <w:rtl w:val="true"/>
        </w:rPr>
        <w:t>کلام العلامة</w:t>
      </w:r>
      <w:bookmarkEnd w:id="1068"/>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فی نهج المسترشدین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مسألة إثبات عصمة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علیه السّلام لا بدّ أن یکون حافظا للأحکام؛و استدلّ بأنّ الکتاب و السنّة لا یدلاّن علی التفاصیل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البراءة الأصلیّة ترفع جمیع الأحکام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69" w:name="__RefHeading___Toc5447257_3224264995"/>
      <w:bookmarkStart w:id="1070" w:name="_Toc410"/>
      <w:bookmarkEnd w:id="1069"/>
      <w:r>
        <w:rPr>
          <w:rtl w:val="true"/>
        </w:rPr>
        <w:t>کلام الشیخ زین الدین النباطی</w:t>
      </w:r>
      <w:bookmarkEnd w:id="1070"/>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أصحابنا </w:t>
      </w:r>
      <w:r>
        <w:rPr>
          <w:rStyle w:val="FootnoteAnchor"/>
          <w:rtl w:val="true"/>
        </w:rPr>
        <w:footnoteReference w:id="1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رسالته المعمولة فی علم الکلام المسمّاة بعصرة المنجود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استدلّ علی عصمة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حافظ للشریعة؛لعدم إحاطة الکتاب و السنّة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القیاس باطل،و البراءة الأصلیّة ترفع جمیع الأحکام </w:t>
      </w:r>
      <w:r>
        <w:rPr>
          <w:rStyle w:val="FootnoteAnchor"/>
          <w:rtl w:val="true"/>
        </w:rPr>
        <w:footnoteReference w:id="136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الفاضل المقداد فی شرح الباب الحادی عشر،إلاّ أنّه </w:t>
      </w:r>
      <w:bookmarkStart w:id="1071" w:name="pg12977_114434"/>
    </w:p>
    <w:p>
      <w:pPr>
        <w:pStyle w:val="BookText"/>
        <w:rPr/>
      </w:pPr>
      <w:bookmarkEnd w:id="107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الرجوع إلی البراءة الأصلیّة یرفع أکثر الأحکام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مراد العلاّمة و صاحب الرسالة قدّس سرّهما من جمیع الأحکام ما عدا المستنبط من الأدلّة العلمیّة؛لأنّ کثیرا من الأحکام ضروریّة لا ترفع </w:t>
      </w:r>
      <w:r>
        <w:rPr>
          <w:rStyle w:val="FootnoteAnchor"/>
          <w:rtl w:val="true"/>
        </w:rPr>
        <w:footnoteReference w:id="1369"/>
      </w:r>
      <w:r>
        <w:rPr>
          <w:rFonts w:ascii="IRNazanin" w:hAnsi="IRNazanin" w:eastAsia="IRNazanin"/>
          <w:color w:val="111111"/>
          <w:sz w:val="28"/>
          <w:sz w:val="28"/>
          <w:szCs w:val="28"/>
          <w:rtl w:val="true"/>
          <w:lang w:bidi="fa-IR"/>
        </w:rPr>
        <w:t>بالأصل،و لا یشکّ فیها حتّی یحتاج إلی الإمام علیه السّلام</w:t>
      </w:r>
      <w:r>
        <w:rPr>
          <w:rFonts w:eastAsia="IRNazanin" w:cs="IRNazanin"/>
          <w:color w:val="111111"/>
          <w:sz w:val="28"/>
          <w:szCs w:val="28"/>
          <w:rtl w:val="true"/>
          <w:lang w:bidi="fa-IR"/>
        </w:rPr>
        <w:t>.</w:t>
      </w:r>
    </w:p>
    <w:p>
      <w:pPr>
        <w:pStyle w:val="Heading6"/>
        <w:numPr>
          <w:ilvl w:val="5"/>
          <w:numId w:val="1"/>
        </w:numPr>
        <w:rPr/>
      </w:pPr>
      <w:bookmarkStart w:id="1072" w:name="__RefHeading___Toc5447259_3224264995"/>
      <w:bookmarkStart w:id="1073" w:name="_Toc411"/>
      <w:bookmarkEnd w:id="1072"/>
      <w:r>
        <w:rPr>
          <w:rtl w:val="true"/>
        </w:rPr>
        <w:t>کلام المحقق الخوانساری</w:t>
      </w:r>
      <w:bookmarkEnd w:id="1073"/>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المحقّق الخوانساری فی ما حکی عنه السیّد الصدر فی شرح الوافیة </w:t>
      </w:r>
      <w:r>
        <w:rPr>
          <w:rStyle w:val="FootnoteAnchor"/>
          <w:rtl w:val="true"/>
        </w:rPr>
        <w:footnoteReference w:id="1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أنّه رجّح الاکتفاء فی تعدیل الراوی بعدل؛مستدلا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مفهوم آیة النبأ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اعتبار التعدّد یوجب خلوّ أکثر الأحکام عن الدلیل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الوافیة،حیث تقدّم عنه </w:t>
      </w:r>
      <w:r>
        <w:rPr>
          <w:rStyle w:val="FootnoteAnchor"/>
          <w:rtl w:val="true"/>
        </w:rPr>
        <w:footnoteReference w:id="1372"/>
      </w:r>
      <w:r>
        <w:rPr>
          <w:rFonts w:ascii="IRNazanin" w:hAnsi="IRNazanin" w:eastAsia="IRNazanin"/>
          <w:color w:val="111111"/>
          <w:sz w:val="28"/>
          <w:sz w:val="28"/>
          <w:szCs w:val="28"/>
          <w:rtl w:val="true"/>
          <w:lang w:bidi="fa-IR"/>
        </w:rPr>
        <w:t>الاستدلال علی حجّیة أخبار الآحاد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بأنّا نقطع مع طرح أخبار الآحاد فی مثل الصلاة و الصوم و الزکاة و الحجّ و المتاجر و الأنکحة و غیرها،بخروج حقائق هذه الامور عن کونها هذه الامور</w:t>
      </w:r>
      <w:r>
        <w:rPr>
          <w:rFonts w:eastAsia="IRNazanin" w:cs="IRNazanin"/>
          <w:color w:val="111111"/>
          <w:sz w:val="28"/>
          <w:szCs w:val="28"/>
          <w:rtl w:val="true"/>
          <w:lang w:bidi="fa-IR"/>
        </w:rPr>
        <w:t>.</w:t>
      </w:r>
    </w:p>
    <w:p>
      <w:pPr>
        <w:pStyle w:val="Heading6"/>
        <w:numPr>
          <w:ilvl w:val="5"/>
          <w:numId w:val="1"/>
        </w:numPr>
        <w:rPr/>
      </w:pPr>
      <w:bookmarkStart w:id="1074" w:name="__RefHeading___Toc5447261_3224264995"/>
      <w:bookmarkStart w:id="1075" w:name="_Toc412"/>
      <w:bookmarkEnd w:id="1074"/>
      <w:r>
        <w:rPr>
          <w:rtl w:val="true"/>
        </w:rPr>
        <w:t>کلام بعض شراح الوسائل</w:t>
      </w:r>
      <w:bookmarkEnd w:id="1075"/>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عبارة اخری عن الخروج عن الدین الذی عبّر به جماعة من مشایخنا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 xml:space="preserve">. </w:t>
      </w:r>
      <w:bookmarkStart w:id="1076" w:name="pg12977_114435"/>
    </w:p>
    <w:p>
      <w:pPr>
        <w:pStyle w:val="BookText"/>
        <w:rPr/>
      </w:pPr>
      <w:bookmarkEnd w:id="1076"/>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شرّاح الوسائل </w:t>
      </w:r>
      <w:r>
        <w:rPr>
          <w:rStyle w:val="FootnoteAnchor"/>
          <w:rtl w:val="true"/>
        </w:rPr>
        <w:footnoteReference w:id="1374"/>
      </w:r>
      <w:r>
        <w:rPr>
          <w:rFonts w:ascii="IRNazanin" w:hAnsi="IRNazanin" w:eastAsia="IRNazanin"/>
          <w:color w:val="111111"/>
          <w:sz w:val="28"/>
          <w:sz w:val="28"/>
          <w:szCs w:val="28"/>
          <w:rtl w:val="true"/>
          <w:lang w:bidi="fa-IR"/>
        </w:rPr>
        <w:t>،حیث استدلّ علی حجّیّة أخبار الآحاد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لم یعمل بها بطل التکلیف،و بطلانه ظاهر</w:t>
      </w:r>
      <w:r>
        <w:rPr>
          <w:rFonts w:eastAsia="IRNazanin" w:cs="IRNazanin"/>
          <w:color w:val="111111"/>
          <w:sz w:val="28"/>
          <w:szCs w:val="28"/>
          <w:rtl w:val="true"/>
          <w:lang w:bidi="fa-IR"/>
        </w:rPr>
        <w:t>.</w:t>
      </w:r>
    </w:p>
    <w:p>
      <w:pPr>
        <w:pStyle w:val="Heading6"/>
        <w:numPr>
          <w:ilvl w:val="5"/>
          <w:numId w:val="1"/>
        </w:numPr>
        <w:rPr/>
      </w:pPr>
      <w:bookmarkStart w:id="1077" w:name="__RefHeading___Toc5447263_3224264995"/>
      <w:bookmarkStart w:id="1078" w:name="_Toc413"/>
      <w:bookmarkEnd w:id="1077"/>
      <w:r>
        <w:rPr>
          <w:rtl w:val="true"/>
        </w:rPr>
        <w:t>کلام المحدث البحرانی</w:t>
      </w:r>
      <w:bookmarkEnd w:id="1078"/>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المحدّث البحرانیّ صاحب الحدائق،حیث ذکر فی مسألة ثبوت الربا فی الحنطة بالشعیر خلاف الحلّی فی ذلک </w:t>
      </w:r>
      <w:r>
        <w:rPr>
          <w:rStyle w:val="FootnoteAnchor"/>
          <w:rtl w:val="true"/>
        </w:rPr>
        <w:footnoteReference w:id="1375"/>
      </w:r>
      <w:r>
        <w:rPr>
          <w:rFonts w:ascii="IRNazanin" w:hAnsi="IRNazanin" w:eastAsia="IRNazanin"/>
          <w:color w:val="111111"/>
          <w:sz w:val="28"/>
          <w:sz w:val="28"/>
          <w:szCs w:val="28"/>
          <w:rtl w:val="true"/>
          <w:lang w:bidi="fa-IR"/>
        </w:rPr>
        <w:t>،و قوله بکونهما جنسین،و أنّ الأخبار الواردة فی اتّحادهما آحاد لا توجب علما و لا عملا،قال فی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الواجب علیه مع ردّ هذه الأخبار و نحوها من أخبار الشریعة هو الخروج عن هذا الدین إلی دین آخر </w:t>
      </w:r>
      <w:r>
        <w:rPr>
          <w:rStyle w:val="FootnoteAnchor"/>
          <w:rtl w:val="true"/>
        </w:rPr>
        <w:footnoteReference w:id="137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1079" w:name="__RefHeading___Toc5447265_3224264995"/>
      <w:bookmarkStart w:id="1080" w:name="_Toc414"/>
      <w:bookmarkEnd w:id="1079"/>
      <w:r>
        <w:rPr>
          <w:rtl w:val="true"/>
        </w:rPr>
        <w:t>کلام الحاجی و العضدی</w:t>
      </w:r>
      <w:bookmarkEnd w:id="1080"/>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العضدی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للحاجبی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حکی عن بعضهم الاستدلال علی حجّیّة 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لولاها لخلت أکثر الوقائع عن المدرک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ثمّ،إنّه و إن ذکر فی الجواب عنه </w:t>
      </w:r>
      <w:r>
        <w:rPr>
          <w:rStyle w:val="FootnoteAnchor"/>
          <w:rtl w:val="true"/>
        </w:rPr>
        <w:footnoteReference w:id="1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نمنع الخلوّ عن المدرک؛ لأنّ الأصل من المدارک،لکنّ هذا الجواب من العامّة القائلین بعدم إتیان النبیّ صلّی اللّه علیه و آله بأحکام جمیع الوقائع،و لو کان المجیب من الإمامیّة القائلین بإتمام </w:t>
      </w:r>
      <w:r>
        <w:rPr>
          <w:rStyle w:val="FootnoteAnchor"/>
          <w:rtl w:val="true"/>
        </w:rPr>
        <w:footnoteReference w:id="1379"/>
      </w:r>
      <w:r>
        <w:rPr>
          <w:rFonts w:ascii="IRNazanin" w:hAnsi="IRNazanin" w:eastAsia="IRNazanin"/>
          <w:color w:val="111111"/>
          <w:sz w:val="28"/>
          <w:sz w:val="28"/>
          <w:szCs w:val="28"/>
          <w:rtl w:val="true"/>
          <w:lang w:bidi="fa-IR"/>
        </w:rPr>
        <w:t>الشریعة و بیان جمیع الأحکام لم یجب بذلک</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فالظاهر أنّ خلوّ أکثر الأحکام عن المدرک المستلزم </w:t>
      </w:r>
    </w:p>
    <w:p>
      <w:pPr>
        <w:pStyle w:val="BookText"/>
        <w:rPr/>
      </w:pPr>
      <w:r>
        <w:rPr>
          <w:rFonts w:ascii="IRNazanin" w:hAnsi="IRNazanin" w:eastAsia="IRNazanin"/>
          <w:color w:val="111111"/>
          <w:sz w:val="28"/>
          <w:sz w:val="28"/>
          <w:szCs w:val="28"/>
          <w:rtl w:val="true"/>
          <w:lang w:bidi="fa-IR"/>
        </w:rPr>
        <w:t>للرجوع فیها إلی نفی الحکم و عدم الالتزام فی معظم الفقه بحکم تکلیفیّ، کأنّه أمر مفروغ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من جمیع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الردّ علی بعض من تصدّی لردّ هذه المقدّمة </w:t>
      </w:r>
      <w:r>
        <w:rPr>
          <w:rStyle w:val="FootnoteAnchor"/>
          <w:rtl w:val="true"/>
        </w:rPr>
        <w:footnoteReference w:id="1380"/>
      </w:r>
      <w:r>
        <w:rPr>
          <w:rFonts w:ascii="IRNazanin" w:hAnsi="IRNazanin" w:eastAsia="IRNazanin"/>
          <w:color w:val="111111"/>
          <w:sz w:val="28"/>
          <w:sz w:val="28"/>
          <w:szCs w:val="28"/>
          <w:rtl w:val="true"/>
          <w:lang w:bidi="fa-IR"/>
        </w:rPr>
        <w:t>،و لم یأت بشیء عدا ما قرع سمع کلّ أحد،من أدلّة البراءة و عدم ثبوت التکلیف إلاّ بعد البیان،و لم یتفطّن لأنّ مجراها فی غیر ما نحن فیه؛فهل یری من نفسه إجراءها لو فرضنا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 العلم بجمیع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فرضنا أنّ مقلّدا دخل علیه وقت الصلاة و لم یعلم من الصلاة عدا ما تعلّم من أبویه بظنّ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احتمال الفساد عنده احتمالا ضعیفا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یتمکّن من أزید من ذلک،فهل یلتزم بسقوط التکلیف عنه بالصلاة فی هذه الحالة،أو أنّه یأتی بها علی حسب ظنّه الحاصل من قول أبویه،و المفروض أنّ قول أبویه ممّا لم یدلّ علیه دلیل شرعیّ؟فإذا لم تجد من نفسک الرخصة فی تجویز ترک الصلاة لهذا الشخص،فکیف ترخّص الجاهل بمعظم الأحکام فی نفی الالتزام بشیء منها عدا القلیل المعلوم أو المظنون بالظنّ الخاصّ،و ترک ما عداه و لو کان مظنونا بظنّ لم یقم علی اعتباره دلیل خاصّ؟</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الظنّ المطلق فی معظم الأحکام،کان الواجب الرجوع إلی الامتثال الاحتمالیّ بالتزام ما لا یقطع معه بطرح الأحکام الواقعیّة</w:t>
      </w:r>
      <w:r>
        <w:rPr>
          <w:rFonts w:eastAsia="IRNazanin" w:cs="IRNazanin"/>
          <w:color w:val="111111"/>
          <w:sz w:val="28"/>
          <w:szCs w:val="28"/>
          <w:rtl w:val="true"/>
          <w:lang w:bidi="fa-IR"/>
        </w:rPr>
        <w:t xml:space="preserve">. </w:t>
      </w:r>
      <w:bookmarkStart w:id="1081" w:name="pg12977_114437"/>
    </w:p>
    <w:p>
      <w:pPr>
        <w:pStyle w:val="Heading6"/>
        <w:numPr>
          <w:ilvl w:val="5"/>
          <w:numId w:val="1"/>
        </w:numPr>
        <w:rPr/>
      </w:pPr>
      <w:bookmarkStart w:id="1082" w:name="__RefHeading___Toc5447267_3224264995"/>
      <w:bookmarkStart w:id="1083" w:name="_Toc415"/>
      <w:bookmarkEnd w:id="1081"/>
      <w:bookmarkEnd w:id="1082"/>
      <w:r>
        <w:rPr>
          <w:rtl w:val="true"/>
        </w:rPr>
        <w:t>الثالث</w:t>
      </w:r>
      <w:r>
        <w:rPr>
          <w:rtl w:val="true"/>
        </w:rPr>
        <w:t xml:space="preserve">: </w:t>
      </w:r>
      <w:r>
        <w:rPr>
          <w:rtl w:val="true"/>
        </w:rPr>
        <w:t>العلم الإجمالی بوجود الواجبات و المحرّمات</w:t>
      </w:r>
      <w:bookmarkEnd w:id="1083"/>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سلّمنا أنّ الرجوع إلی البراءة لا یوجب شیئا ممّا ذکر من المحذور البدیهیّ،و هو الخروج عن الدین،فنقول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لا دلیل علی الرجوع إلی البراءة من جهة العلم الإجمالیّ بوجود الواجبات و المحرّمات؛فإنّ أدلّتها مختصّة بغیر هذه الصورة،و نحن نعلم إجمالا أنّ فی المظنونات </w:t>
      </w:r>
      <w:r>
        <w:rPr>
          <w:rStyle w:val="FootnoteAnchor"/>
          <w:rtl w:val="true"/>
        </w:rPr>
        <w:footnoteReference w:id="1381"/>
      </w:r>
      <w:r>
        <w:rPr>
          <w:rFonts w:ascii="IRNazanin" w:hAnsi="IRNazanin" w:eastAsia="IRNazanin"/>
          <w:color w:val="111111"/>
          <w:sz w:val="28"/>
          <w:sz w:val="28"/>
          <w:szCs w:val="28"/>
          <w:rtl w:val="true"/>
          <w:lang w:bidi="fa-IR"/>
        </w:rPr>
        <w:t>واجبات کثیرة و محرّمات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هذا الوجه و 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الوجه السابق کان مبنیّا علی لزوم المخالفة القطعیّة الکثیرة المعبّر عنها بالخروج عن الدین،و هو محذور مستقلّ و إن قلنا بجواز العمل بالأصل فی صورة لزوم مطلق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مبنیّ علی أنّ مطلق المخالفة القطعیّة غیر جائز،و أصل البراءة فی مقابلها غیر جار ما لم یصل المعلوم الإجمالیّ إلی حدّ الشبهة الغیر المحصورة،و قد ثبت فی مسألة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مجراها الشکّ فی أصل التکلیف،لا الشکّ فی تعیینه مع القطع بثبوت أصله،کما فی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فرضنا أنّ ظنّ المجتهد أدّی فی جمیع الوقائع إلی ما یوافق البراءة،فما تصنع؟</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مستحیل؛لأنّ العلم الإجمالیّ بوجود الواجبات و المحرّمات الکثیرة فی جملة الوقائع المشتبهة یمنع عن حصول الظنّ بعدم وجوب شیء من الوقائع المحتملة للوجوب و عدم حرمة شیء من الوقائع المحتملة </w:t>
      </w:r>
    </w:p>
    <w:p>
      <w:pPr>
        <w:pStyle w:val="BookText"/>
        <w:rPr/>
      </w:pPr>
      <w:r>
        <w:rPr>
          <w:rFonts w:ascii="IRNazanin" w:hAnsi="IRNazanin" w:eastAsia="IRNazanin"/>
          <w:color w:val="111111"/>
          <w:sz w:val="28"/>
          <w:sz w:val="28"/>
          <w:szCs w:val="28"/>
          <w:rtl w:val="true"/>
          <w:lang w:bidi="fa-IR"/>
        </w:rPr>
        <w:t xml:space="preserve">للتحریم؛لأنّ الظنّ بالسالبة الکلّیّة یناقض العلم بالموجبة الجزئیّة،فالظنّ بأنّه </w:t>
      </w:r>
      <w:r>
        <w:rPr>
          <w:rStyle w:val="FootnoteAnchor"/>
          <w:rtl w:val="true"/>
        </w:rPr>
        <w:footnoteReference w:id="1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شخص من العلماء بفاسق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یناقض العلم إجمالا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العلماء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علی تقدیر الإمکان غیر واقع؛لأنّ الأمارات التی یحصل للمجتهد </w:t>
      </w:r>
      <w:r>
        <w:rPr>
          <w:rStyle w:val="FootnoteAnchor"/>
          <w:rtl w:val="true"/>
        </w:rPr>
        <w:footnoteReference w:id="1383"/>
      </w:r>
      <w:r>
        <w:rPr>
          <w:rFonts w:ascii="IRNazanin" w:hAnsi="IRNazanin" w:eastAsia="IRNazanin"/>
          <w:color w:val="111111"/>
          <w:sz w:val="28"/>
          <w:sz w:val="28"/>
          <w:szCs w:val="28"/>
          <w:rtl w:val="true"/>
          <w:lang w:bidi="fa-IR"/>
        </w:rPr>
        <w:t>منها الظنّ فی الوقائع لا تخلو عن الأخبار المتضمّن کثیر منها لإثبات التکلیف وجوبا و تحریما،فحصول الظنّ بعدم التکلیف فی جمیع الوقائع أمر یعلم عادة بعدم 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وقوعه،لکن لا یجوز حینئذ العمل بعدم التکلیف فی جمیع الوقائع؛لأجل العلم الإجمالیّ المفروض؛فلا بدّ حینئذ من التبعیض بین مراتب الظنّ بالقوّة و الضعف،فیعمل فی موارد الظنّ الضعیف بنفی التکلیف بمقتضی الاحتیاط،و فی موارد الظنّ القویّ بنفی التکلیف بمقتضی البراءة،و لو فرض التسویة فی القوّة و الضعف کان الحکم کما لو لم یکن ظنّ فی شیء من تلک الوقائع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التخییر إن لم یتیسّر لهذا الشخص الاحتیاط،و إن تیسّر الاحتیاط تعیّن الاحتیاط فی حقّ نفسه و إن </w:t>
      </w:r>
      <w:r>
        <w:rPr>
          <w:rStyle w:val="FootnoteAnchor"/>
          <w:rtl w:val="true"/>
        </w:rPr>
        <w:footnoteReference w:id="1384"/>
      </w:r>
      <w:r>
        <w:rPr>
          <w:rFonts w:ascii="IRNazanin" w:hAnsi="IRNazanin" w:eastAsia="IRNazanin"/>
          <w:color w:val="111111"/>
          <w:sz w:val="28"/>
          <w:sz w:val="28"/>
          <w:szCs w:val="28"/>
          <w:rtl w:val="true"/>
          <w:lang w:bidi="fa-IR"/>
        </w:rPr>
        <w:t>لم یجز لغیره تقلیده،و لکنّ الظاهر أنّ ذلک مجرّد فرض غیر واقع؛لأنّ الأمارات کثیر منها مثبتة للتکلیف،فراجع کتب الأخبار</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یردّ </w:t>
      </w:r>
      <w:r>
        <w:rPr>
          <w:rStyle w:val="FootnoteAnchor"/>
          <w:rtl w:val="true"/>
        </w:rPr>
        <w:footnoteReference w:id="1385"/>
      </w:r>
      <w:r>
        <w:rPr>
          <w:rFonts w:ascii="IRNazanin" w:hAnsi="IRNazanin" w:eastAsia="IRNazanin"/>
          <w:color w:val="111111"/>
          <w:sz w:val="28"/>
          <w:sz w:val="28"/>
          <w:szCs w:val="28"/>
          <w:rtl w:val="true"/>
          <w:lang w:bidi="fa-IR"/>
        </w:rPr>
        <w:t>الرجوع إلی أصالة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تبعا لصاحب </w:t>
      </w:r>
      <w:bookmarkStart w:id="1084" w:name="pg12977_114439"/>
    </w:p>
    <w:p>
      <w:pPr>
        <w:pStyle w:val="BookText"/>
        <w:rPr/>
      </w:pPr>
      <w:bookmarkEnd w:id="1084"/>
      <w:r>
        <w:rPr>
          <w:rFonts w:ascii="IRNazanin" w:hAnsi="IRNazanin" w:eastAsia="IRNazanin"/>
          <w:color w:val="111111"/>
          <w:sz w:val="28"/>
          <w:sz w:val="28"/>
          <w:szCs w:val="28"/>
          <w:rtl w:val="true"/>
          <w:lang w:bidi="fa-IR"/>
        </w:rPr>
        <w:t xml:space="preserve">المعالم </w:t>
      </w:r>
      <w:r>
        <w:rPr>
          <w:rStyle w:val="FootnoteAnchor"/>
          <w:rtl w:val="true"/>
        </w:rPr>
        <w:footnoteReference w:id="1386"/>
      </w:r>
      <w:r>
        <w:rPr>
          <w:rFonts w:ascii="IRNazanin" w:hAnsi="IRNazanin" w:eastAsia="IRNazanin"/>
          <w:color w:val="111111"/>
          <w:sz w:val="28"/>
          <w:sz w:val="28"/>
          <w:szCs w:val="28"/>
          <w:rtl w:val="true"/>
          <w:lang w:bidi="fa-IR"/>
        </w:rPr>
        <w:t xml:space="preserve">و شیخنا البهائیّ فی الزبدة </w:t>
      </w:r>
      <w:r>
        <w:rPr>
          <w:rStyle w:val="FootnoteAnchor"/>
          <w:rtl w:val="true"/>
        </w:rPr>
        <w:footnoteReference w:id="1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اعتبارها من باب الظنّ، و الظنّ منتف فی مقابل الخبر و نحوه من أمارات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کون البراءة من باب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کیف؟و لو کانت کذلک لم یکن دلیل علی اعتبارها،بل هو من باب حکم العقل القطعیّ بقبح التکلیف </w:t>
      </w:r>
      <w:r>
        <w:rPr>
          <w:rStyle w:val="FootnoteAnchor"/>
          <w:rtl w:val="true"/>
        </w:rPr>
        <w:footnoteReference w:id="1388"/>
      </w:r>
      <w:r>
        <w:rPr>
          <w:rFonts w:ascii="IRNazanin" w:hAnsi="IRNazanin" w:eastAsia="IRNazanin"/>
          <w:color w:val="111111"/>
          <w:sz w:val="28"/>
          <w:sz w:val="28"/>
          <w:szCs w:val="28"/>
          <w:rtl w:val="true"/>
          <w:lang w:bidi="fa-IR"/>
        </w:rPr>
        <w:t>من دون بیان</w:t>
      </w:r>
      <w:r>
        <w:rPr>
          <w:rFonts w:eastAsia="IRNazanin" w:cs="IRNazanin"/>
          <w:color w:val="111111"/>
          <w:sz w:val="28"/>
          <w:szCs w:val="28"/>
          <w:rtl w:val="true"/>
          <w:lang w:bidi="fa-IR"/>
        </w:rPr>
        <w:t>.</w:t>
      </w:r>
    </w:p>
    <w:p>
      <w:pPr>
        <w:pStyle w:val="Heading6"/>
        <w:numPr>
          <w:ilvl w:val="5"/>
          <w:numId w:val="1"/>
        </w:numPr>
        <w:rPr/>
      </w:pPr>
      <w:bookmarkStart w:id="1085" w:name="__RefHeading___Toc5447269_3224264995"/>
      <w:bookmarkStart w:id="1086" w:name="_Toc416"/>
      <w:bookmarkEnd w:id="1085"/>
      <w:r>
        <w:rPr>
          <w:rtl w:val="true"/>
        </w:rPr>
        <w:t>کلام المحقق القمی</w:t>
      </w:r>
      <w:bookmarkEnd w:id="1086"/>
    </w:p>
    <w:p>
      <w:pPr>
        <w:pStyle w:val="BookText"/>
        <w:rPr/>
      </w:pPr>
      <w:r>
        <w:rPr>
          <w:rFonts w:ascii="IRNazanin" w:hAnsi="IRNazanin" w:eastAsia="IRNazanin"/>
          <w:color w:val="111111"/>
          <w:sz w:val="28"/>
          <w:sz w:val="28"/>
          <w:szCs w:val="28"/>
          <w:rtl w:val="true"/>
          <w:lang w:bidi="fa-IR"/>
        </w:rPr>
        <w:t>و ذکر المحقّق القمّی رحمه اللّه فی منع حکم العقل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حکم العقل إمّا أن یرید به الحکم القطعیّ أو الظنّیّ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الأوّل،فدعوی کون مقتضی أصل البراءة قطعیّا أوّل الکلام،کما لا یخفی علی من لاحظ أدلّة المثبتین و النافین من العقل و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کونه قطعیّا فی الجملة،لکنّ المسلّم إنّما هو قبل ورود الشرع،و أمّا بعد ورود الشرع فالعلم بأنّ فیه أحکاما إجمالیّة علی سبیل الیقین یثبّطنا عن الحکم بالعدم قطعا،کما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ذلک،و لکن لا نسلّم حصول القطع بعد ورود مثل الخبر الواحد الصحیح علی خلافه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 الحکم الظنّیّ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بسبب کونه بذاته مفیدا للظنّ أو من جهة استصحاب الحالة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أیضا ظنّ مستفاد من ظاهر الکتاب و الأخبار التی لم یثبت حجّیّتها </w:t>
      </w:r>
      <w:r>
        <w:rPr>
          <w:rStyle w:val="FootnoteAnchor"/>
          <w:rtl w:val="true"/>
        </w:rPr>
        <w:footnoteReference w:id="1389"/>
      </w:r>
      <w:r>
        <w:rPr>
          <w:rFonts w:ascii="IRNazanin" w:hAnsi="IRNazanin" w:eastAsia="IRNazanin"/>
          <w:color w:val="111111"/>
          <w:sz w:val="28"/>
          <w:sz w:val="28"/>
          <w:szCs w:val="28"/>
          <w:rtl w:val="true"/>
          <w:lang w:bidi="fa-IR"/>
        </w:rPr>
        <w:t>بالخصوص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أنّه ممنوع بعد </w:t>
      </w:r>
      <w:bookmarkStart w:id="1087" w:name="pg12977_114440"/>
    </w:p>
    <w:p>
      <w:pPr>
        <w:pStyle w:val="BookText"/>
        <w:rPr/>
      </w:pPr>
      <w:bookmarkEnd w:id="1087"/>
      <w:r>
        <w:rPr>
          <w:rFonts w:ascii="IRNazanin" w:hAnsi="IRNazanin" w:eastAsia="IRNazanin"/>
          <w:color w:val="111111"/>
          <w:sz w:val="28"/>
          <w:sz w:val="28"/>
          <w:szCs w:val="28"/>
          <w:rtl w:val="true"/>
          <w:lang w:bidi="fa-IR"/>
        </w:rPr>
        <w:t xml:space="preserve">ورود الشرع ثمّ بعد ورود الخبر الصحیح إذا حصل من خبر الواحد ظنّ أقوی منه </w:t>
      </w:r>
      <w:r>
        <w:rPr>
          <w:rStyle w:val="FootnoteAnchor"/>
          <w:rtl w:val="true"/>
        </w:rPr>
        <w:footnoteReference w:id="1390"/>
      </w:r>
      <w:r>
        <w:rPr>
          <w:rFonts w:ascii="IRNazanin" w:hAnsi="IRNazanin" w:eastAsia="IRNazanin"/>
          <w:color w:val="111111"/>
          <w:sz w:val="28"/>
          <w:sz w:val="28"/>
          <w:szCs w:val="28"/>
          <w:rtl w:val="true"/>
          <w:lang w:bidi="fa-IR"/>
        </w:rPr>
        <w:t>،انتهی کلامه رفع مقامه</w:t>
      </w:r>
      <w:r>
        <w:rPr>
          <w:rFonts w:eastAsia="IRNazanin" w:cs="IRNazanin"/>
          <w:color w:val="111111"/>
          <w:sz w:val="28"/>
          <w:szCs w:val="28"/>
          <w:rtl w:val="true"/>
          <w:lang w:bidi="fa-IR"/>
        </w:rPr>
        <w:t>.</w:t>
      </w:r>
    </w:p>
    <w:p>
      <w:pPr>
        <w:pStyle w:val="Heading6"/>
        <w:numPr>
          <w:ilvl w:val="5"/>
          <w:numId w:val="1"/>
        </w:numPr>
        <w:rPr/>
      </w:pPr>
      <w:bookmarkStart w:id="1088" w:name="__RefHeading___Toc5447271_3224264995"/>
      <w:bookmarkStart w:id="1089" w:name="_Toc417"/>
      <w:bookmarkEnd w:id="1088"/>
      <w:r>
        <w:rPr>
          <w:rtl w:val="true"/>
        </w:rPr>
        <w:t>المناقشه قیما افاده المحقق القمی</w:t>
      </w:r>
      <w:bookmarkEnd w:id="1089"/>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حکم العقل بقبح المؤاخذة من دون البیان حکم قطعیّ لا اختصاص له بحال دون حال،فلا وجه لتخصیصه بما قبل ورود الشرع،و لم یقع فیه خلاف بین العقلاء،و إنّما ذهب من ذهب إلی وجوب الاحتیاط لزعم نصب الشارع البیان علی وجوب الاحتیاط من الآیات و الأخبار </w:t>
      </w:r>
      <w:r>
        <w:rPr>
          <w:rStyle w:val="FootnoteAnchor"/>
          <w:rtl w:val="true"/>
        </w:rPr>
        <w:footnoteReference w:id="1391"/>
      </w:r>
      <w:r>
        <w:rPr>
          <w:rFonts w:ascii="IRNazanin" w:hAnsi="IRNazanin" w:eastAsia="IRNazanin"/>
          <w:color w:val="111111"/>
          <w:sz w:val="28"/>
          <w:sz w:val="28"/>
          <w:szCs w:val="28"/>
          <w:rtl w:val="true"/>
          <w:lang w:bidi="fa-IR"/>
        </w:rPr>
        <w:t>التی ذکروها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الخبر الصحیح فهو کغیره من الظنون إن قام دلیل قطعیّ علی اعتباره کان داخلا فی البیان،و لا کلام فی عدم جریان البراءة معه،و إلاّ فوجوده کعدمه غیر مؤثّر فی الحکم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ریب لأحد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 عن أنّه لا خلاف </w:t>
      </w:r>
      <w:r>
        <w:rPr>
          <w:rStyle w:val="FootnoteAnchor"/>
          <w:rtl w:val="true"/>
        </w:rPr>
        <w:footnoteReference w:id="1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علی تقدیر عدم بیان التکلیف بالدلیل العامّ أو الخاصّ فالأصل البراءة،و حینئذ فاللازم إقامة الدلیل علی کون الظنّ المقابل بیانا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دعوی الإجماع علی أصالة البراءة فی المقام؛لأنّه إذا فرض عدم الدلیل علی اعتبار الظنّ المقابل صدق قطعا عدم البیان،فتجری البراءة</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ظهر فساد دفع أصل البراءة بأنّ المستند فیها إن کان هو الإجماع فهو مفقود فی محلّ البحث،و إن کان هو العقل فمورده صورة </w:t>
      </w:r>
      <w:bookmarkStart w:id="1090" w:name="pg12977_114441"/>
    </w:p>
    <w:p>
      <w:pPr>
        <w:pStyle w:val="BookText"/>
        <w:rPr/>
      </w:pPr>
      <w:bookmarkEnd w:id="1090"/>
      <w:r>
        <w:rPr>
          <w:rFonts w:ascii="IRNazanin" w:hAnsi="IRNazanin" w:eastAsia="IRNazanin"/>
          <w:color w:val="111111"/>
          <w:sz w:val="28"/>
          <w:sz w:val="28"/>
          <w:szCs w:val="28"/>
          <w:rtl w:val="true"/>
          <w:lang w:bidi="fa-IR"/>
        </w:rPr>
        <w:t>عدم الدلیل و لا نسلّم عدم الدلیل مع وجود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الفقرة الأخیرة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یضحک الثکلی </w:t>
      </w:r>
      <w:r>
        <w:rPr>
          <w:rStyle w:val="FootnoteAnchor"/>
          <w:rtl w:val="true"/>
        </w:rPr>
        <w:footnoteReference w:id="1393"/>
      </w:r>
      <w:r>
        <w:rPr>
          <w:rFonts w:ascii="IRNazanin" w:hAnsi="IRNazanin" w:eastAsia="IRNazanin"/>
          <w:color w:val="111111"/>
          <w:sz w:val="28"/>
          <w:sz w:val="28"/>
          <w:szCs w:val="28"/>
          <w:rtl w:val="true"/>
          <w:lang w:bidi="fa-IR"/>
        </w:rPr>
        <w:t>فإنّ عدم ثبوت کون الخبر دلیلا یکفی فی تحقّق مصداق القطع بعدم الدلیل الذی هو مجری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الاعتراض علی مقدّمات دلیل الانسداد بعدم استلزامها للعمل بالظنّ؛لجواز الرجوع إلی البراءة،و إن کان قد أشار إلیه صاحب المعالم و صاحب الزبدة و أجابا عنه بما تقدّم </w:t>
      </w:r>
      <w:r>
        <w:rPr>
          <w:rStyle w:val="FootnoteAnchor"/>
          <w:rtl w:val="true"/>
        </w:rPr>
        <w:footnoteReference w:id="1394"/>
      </w:r>
      <w:r>
        <w:rPr>
          <w:rFonts w:ascii="IRNazanin" w:hAnsi="IRNazanin" w:eastAsia="IRNazanin"/>
          <w:color w:val="111111"/>
          <w:sz w:val="28"/>
          <w:sz w:val="28"/>
          <w:szCs w:val="28"/>
          <w:rtl w:val="true"/>
          <w:lang w:bidi="fa-IR"/>
        </w:rPr>
        <w:t>مع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أصالة البراءة لا یقاوم الظنّ الحاصل من خبر الواحد،إلاّ أنّ أوّل من شیّد الاعتراض به و حرّره لا من باب الظنّ،هو المحقّق المدقّق جمال الدین قدّس سرّه فی حاشیته </w:t>
      </w:r>
      <w:r>
        <w:rPr>
          <w:rStyle w:val="FootnoteAnchor"/>
          <w:rtl w:val="true"/>
        </w:rPr>
        <w:footnoteReference w:id="1395"/>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pStyle w:val="Heading6"/>
        <w:numPr>
          <w:ilvl w:val="5"/>
          <w:numId w:val="1"/>
        </w:numPr>
        <w:rPr/>
      </w:pPr>
      <w:bookmarkStart w:id="1091" w:name="__RefHeading___Toc5447273_3224264995"/>
      <w:bookmarkStart w:id="1092" w:name="_Toc418"/>
      <w:bookmarkEnd w:id="1091"/>
      <w:r>
        <w:rPr>
          <w:rtl w:val="true"/>
        </w:rPr>
        <w:t>کلام المحقق جمال الدین الخوانساری</w:t>
      </w:r>
      <w:bookmarkEnd w:id="1092"/>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یرد علی الدلیل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انسداد باب العلم بالأحکام الشرعیّة غالبا لا یوجب جواز العمل بالظنّ حتّی یتّجه ما ذکروه؛لجواز أن لا یجوز العمل بالظنّ،فکلّ حکم حصل العلم به من ضرورة أو إجماع نحکم به،و ما لم یحصل العلم به نحکم فیه بأصالة البراءة،لا لکونها مفیدة للظنّ،و لا للإجماع علی وجوب التمسّک بها؛بل لأنّ العقل یحکم بأنّه لا یثبت تکلیف علینا إلاّ بالعلم به،أو بظنّ یقوم علی اعتباره دلیل یفید العلم،ففیما انتفی الأمران فیه یحکم العقل ببراءة الذمّة عنه و عدم جواز العقاب علی ترکه،لا لأنّ الأصل المذکور یفید ظنّا </w:t>
      </w:r>
      <w:bookmarkStart w:id="1093" w:name="pg12977_114442"/>
    </w:p>
    <w:p>
      <w:pPr>
        <w:pStyle w:val="BookText"/>
        <w:rPr/>
      </w:pPr>
      <w:bookmarkEnd w:id="1093"/>
      <w:r>
        <w:rPr>
          <w:rFonts w:ascii="IRNazanin" w:hAnsi="IRNazanin" w:eastAsia="IRNazanin"/>
          <w:color w:val="111111"/>
          <w:sz w:val="28"/>
          <w:sz w:val="28"/>
          <w:szCs w:val="28"/>
          <w:rtl w:val="true"/>
          <w:lang w:bidi="fa-IR"/>
        </w:rPr>
        <w:t>بمقتضاها حتّی یعارض بالظنّ الحاصل من أخبار الآحاد بخلافها؛بل لما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حکم العقل بعدم لزوم شیء علینا ما لم یحصل العلم لنا، و لا یکفی الظنّ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یؤکّده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من النهی عن اتّباع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هذا،ففی ما لم یحصل العلم به علی أحد الوجهین و کان لنا مندوحة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کغسل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فالخطب سهل؛إذ نحکم بجواز ترکه بمقتضی الأصل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فیما لم یکن مندوحة عنه،کالجهر بالتسمیة و الإخفات بها فی الصلاة الإخفاتیّة التی قال بوجوب کلّ منهما قوم و لا یمکن لنا ترک التسمیة،فلا محیص لنا عن الإتیان بأحدهما،فنحکم بالتخییر فیها؛ لثبوت وجوب أصل التسمیة و عدم ثبوت وجوب الجهر أو الإخفات، فلا حرج لنا فی شیء منهما،و علی هذا فلا یتمّ الدلیل المذکور؛لأنّا لا نعمل بالظنّ أصلا </w:t>
      </w:r>
      <w:r>
        <w:rPr>
          <w:rStyle w:val="FootnoteAnchor"/>
          <w:rtl w:val="true"/>
        </w:rPr>
        <w:footnoteReference w:id="1396"/>
      </w:r>
      <w:r>
        <w:rPr>
          <w:rFonts w:ascii="IRNazanin" w:hAnsi="IRNazanin" w:eastAsia="IRNazanin"/>
          <w:color w:val="111111"/>
          <w:sz w:val="28"/>
          <w:sz w:val="28"/>
          <w:szCs w:val="28"/>
          <w:rtl w:val="true"/>
          <w:lang w:bidi="fa-IR"/>
        </w:rPr>
        <w:t>،انتهی کلامه رفع مقامه</w:t>
      </w:r>
      <w:r>
        <w:rPr>
          <w:rFonts w:eastAsia="IRNazanin" w:cs="IRNazanin"/>
          <w:color w:val="111111"/>
          <w:sz w:val="28"/>
          <w:szCs w:val="28"/>
          <w:rtl w:val="true"/>
          <w:lang w:bidi="fa-IR"/>
        </w:rPr>
        <w:t>.</w:t>
      </w:r>
    </w:p>
    <w:p>
      <w:pPr>
        <w:pStyle w:val="Heading6"/>
        <w:numPr>
          <w:ilvl w:val="5"/>
          <w:numId w:val="1"/>
        </w:numPr>
        <w:rPr/>
      </w:pPr>
      <w:bookmarkStart w:id="1094" w:name="__RefHeading___Toc5447275_3224264995"/>
      <w:bookmarkStart w:id="1095" w:name="_Toc419"/>
      <w:bookmarkEnd w:id="1094"/>
      <w:r>
        <w:rPr>
          <w:rtl w:val="true"/>
        </w:rPr>
        <w:t>المناقشه فیما افاده الخوانساری</w:t>
      </w:r>
      <w:bookmarkEnd w:id="1095"/>
    </w:p>
    <w:p>
      <w:pPr>
        <w:pStyle w:val="BookText"/>
        <w:rPr/>
      </w:pPr>
      <w:r>
        <w:rPr>
          <w:rFonts w:ascii="IRNazanin" w:hAnsi="IRNazanin" w:eastAsia="IRNazanin"/>
          <w:color w:val="111111"/>
          <w:sz w:val="28"/>
          <w:sz w:val="28"/>
          <w:szCs w:val="28"/>
          <w:rtl w:val="true"/>
          <w:lang w:bidi="fa-IR"/>
        </w:rPr>
        <w:t xml:space="preserve">و قد عرفت </w:t>
      </w:r>
      <w:r>
        <w:rPr>
          <w:rStyle w:val="FootnoteAnchor"/>
          <w:rtl w:val="true"/>
        </w:rPr>
        <w:footnoteReference w:id="1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المحقّق القمّی قدّس سرّه </w:t>
      </w:r>
      <w:r>
        <w:rPr>
          <w:rStyle w:val="FootnoteAnchor"/>
          <w:rtl w:val="true"/>
        </w:rPr>
        <w:footnoteReference w:id="1398"/>
      </w:r>
      <w:r>
        <w:rPr>
          <w:rFonts w:ascii="IRNazanin" w:hAnsi="IRNazanin" w:eastAsia="IRNazanin"/>
          <w:color w:val="111111"/>
          <w:sz w:val="28"/>
          <w:sz w:val="28"/>
          <w:szCs w:val="28"/>
          <w:rtl w:val="true"/>
          <w:lang w:bidi="fa-IR"/>
        </w:rPr>
        <w:t xml:space="preserve">أجاب عنه بما لا یسلم عن الفساد،فالحقّ ردّه بالوجوه الثلاثة المتقدّمة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التخلّص عن العمل بالظنّ بالرجوع إلی البراءة،لا یجری فی جمیع الفقه؛إذ قد یتردّد الأمر بین کون المال لأحد شخصین،کما إذا شکّ فی صحّة بیع المعاطاة فتبایع بها اثنان،فإنّه </w:t>
      </w:r>
    </w:p>
    <w:p>
      <w:pPr>
        <w:pStyle w:val="BookText"/>
        <w:rPr/>
      </w:pPr>
      <w:r>
        <w:rPr>
          <w:rFonts w:ascii="IRNazanin" w:hAnsi="IRNazanin" w:eastAsia="IRNazanin"/>
          <w:color w:val="111111"/>
          <w:sz w:val="28"/>
          <w:sz w:val="28"/>
          <w:szCs w:val="28"/>
          <w:rtl w:val="true"/>
          <w:lang w:bidi="fa-IR"/>
        </w:rPr>
        <w:t>لا مجری هنا للبراءة؛لحرمة تصرّف کلّ منهما علی تقدیر کون المبیع ملک صاحبه و کذا فی الثمن،و لا معنی للتخییر أیضا؛لأنّ کلا منهما یختار مصلحته،و تخییر الحاکم هنا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الکلام فی حکم الواقعة،لا فی علاج الخصوصة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یتمسّک فی أمثاله بأصالة عدم ترتّب الأثر،بناء علی أنّ أصالة العدم من الأدلّة الشرعیّة،فلو ابدل فی الإیراد أصالة البراءة بأصالة العدم کان أشمل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هذا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أصل الفساد و عدم التملّک و أمثاله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داخلا فی المستثنی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تکلیف علینا إلاّ بالعلم أو بظنّ یقوم علی اعتباره دلیل یفید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أنّ أصل العدم من الظنون الخاصّة التی قام علی اعتبارها الإجماع و السیرة،إلاّ أن یمنع قیامهما علی اعتباره عند اشتباه الحکم الشرعیّ مع وجود الظنّ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اعتباره من باب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ابتنائه علی حجّیّة الاستصحاب فی الحکم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إلی الظنّ العقلیّ أو الظنّ الحاصل من أخبار الآحاد الدالّة علی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یدّعی تواترها و لو إجمالا،بمعنی حصول العلم بصدور بعضها إجمالا،فیخرج عن حیّز الآحاد </w:t>
      </w:r>
      <w:r>
        <w:rPr>
          <w:rStyle w:val="FootnoteAnchor"/>
          <w:rtl w:val="true"/>
        </w:rPr>
        <w:footnoteReference w:id="1400"/>
      </w:r>
      <w:r>
        <w:rPr>
          <w:rFonts w:ascii="IRNazanin" w:hAnsi="IRNazanin" w:eastAsia="IRNazanin"/>
          <w:color w:val="111111"/>
          <w:sz w:val="28"/>
          <w:sz w:val="28"/>
          <w:szCs w:val="28"/>
          <w:rtl w:val="true"/>
          <w:lang w:bidi="fa-IR"/>
        </w:rPr>
        <w:t>،و لا یخلو عن تأمّل</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کان،ففی الأجوبة المتقدّمة </w:t>
      </w:r>
      <w:r>
        <w:rPr>
          <w:rStyle w:val="FootnoteAnchor"/>
          <w:rtl w:val="true"/>
        </w:rPr>
        <w:footnoteReference w:id="1401"/>
      </w:r>
      <w:r>
        <w:rPr>
          <w:rFonts w:ascii="IRNazanin" w:hAnsi="IRNazanin" w:eastAsia="IRNazanin"/>
          <w:color w:val="111111"/>
          <w:sz w:val="28"/>
          <w:sz w:val="28"/>
          <w:szCs w:val="28"/>
          <w:rtl w:val="true"/>
          <w:lang w:bidi="fa-IR"/>
        </w:rPr>
        <w:t>و لا أقلّ من الوجه الأخیر غنی و کفایة إن شاء اللّه تعالی</w:t>
      </w:r>
      <w:r>
        <w:rPr>
          <w:rFonts w:eastAsia="IRNazanin" w:cs="IRNazanin"/>
          <w:color w:val="111111"/>
          <w:sz w:val="28"/>
          <w:szCs w:val="28"/>
          <w:rtl w:val="true"/>
          <w:lang w:bidi="fa-IR"/>
        </w:rPr>
        <w:t xml:space="preserve">. </w:t>
      </w:r>
      <w:bookmarkStart w:id="1096" w:name="pg12977_114444"/>
    </w:p>
    <w:p>
      <w:pPr>
        <w:pStyle w:val="Heading6"/>
        <w:numPr>
          <w:ilvl w:val="5"/>
          <w:numId w:val="1"/>
        </w:numPr>
        <w:rPr/>
      </w:pPr>
      <w:bookmarkStart w:id="1097" w:name="__RefHeading___Toc5447277_3224264995"/>
      <w:bookmarkStart w:id="1098" w:name="_Toc420"/>
      <w:bookmarkEnd w:id="1096"/>
      <w:bookmarkEnd w:id="1097"/>
      <w:r>
        <w:rPr>
          <w:rtl w:val="true"/>
        </w:rPr>
        <w:t>المقدّمة الثالثة</w:t>
      </w:r>
      <w:r>
        <w:rPr>
          <w:rtl w:val="true"/>
        </w:rPr>
        <w:t>:</w:t>
      </w:r>
      <w:r>
        <w:rPr>
          <w:rtl w:val="true"/>
        </w:rPr>
        <w:t>بطلان وجوب تحصیل الامتثال بالطرق المقرّرة للجاهل</w:t>
      </w:r>
      <w:bookmarkEnd w:id="1098"/>
    </w:p>
    <w:p>
      <w:pPr>
        <w:pStyle w:val="BookText"/>
        <w:rPr/>
      </w:pPr>
      <w:r>
        <w:rPr>
          <w:rFonts w:ascii="IRNazanin" w:hAnsi="IRNazanin" w:eastAsia="IRNazanin"/>
          <w:color w:val="111111"/>
          <w:sz w:val="28"/>
          <w:sz w:val="28"/>
          <w:szCs w:val="28"/>
          <w:rtl w:val="true"/>
          <w:lang w:bidi="fa-IR"/>
        </w:rPr>
        <w:t>فی بیان بطلان وجوب تحصیل الامتثال بالطرق المقرّرة للجاهل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الاحتیاط،أو الرجوع فی کلّ مسألة إلی ما یقتضیه الأصل فی تلک المسألة،أو الرجوع إلی فتوی العالم بالمسألة و تقلیده فیها،فنقول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کلا من هذه الامور الثلاثة و إن کان طریقا شرعیّا فی الجملة لامتثال الحکم المجهول،إلاّ أنّ منها ما لا یجب فی المقام و منها ما لا یجری</w:t>
      </w:r>
      <w:r>
        <w:rPr>
          <w:rFonts w:eastAsia="IRNazanin" w:cs="IRNazanin"/>
          <w:color w:val="111111"/>
          <w:sz w:val="28"/>
          <w:szCs w:val="28"/>
          <w:rtl w:val="true"/>
          <w:lang w:bidi="fa-IR"/>
        </w:rPr>
        <w:t>.</w:t>
      </w:r>
    </w:p>
    <w:p>
      <w:pPr>
        <w:pStyle w:val="Heading6"/>
        <w:numPr>
          <w:ilvl w:val="5"/>
          <w:numId w:val="1"/>
        </w:numPr>
        <w:rPr/>
      </w:pPr>
      <w:bookmarkStart w:id="1099" w:name="__RefHeading___Toc5447279_3224264995"/>
      <w:bookmarkStart w:id="1100" w:name="_Toc421"/>
      <w:bookmarkEnd w:id="1099"/>
      <w:r>
        <w:rPr>
          <w:rtl w:val="true"/>
        </w:rPr>
        <w:t>عدم وجوب الاحتیاط لوجهین</w:t>
      </w:r>
      <w:r>
        <w:rPr>
          <w:rtl w:val="true"/>
        </w:rPr>
        <w:t>:</w:t>
      </w:r>
      <w:bookmarkEnd w:id="1100"/>
    </w:p>
    <w:p>
      <w:pPr>
        <w:pStyle w:val="BookText"/>
        <w:rPr/>
      </w:pPr>
      <w:r>
        <w:rPr>
          <w:rFonts w:ascii="IRNazanin" w:hAnsi="IRNazanin" w:eastAsia="IRNazanin"/>
          <w:color w:val="111111"/>
          <w:sz w:val="28"/>
          <w:sz w:val="28"/>
          <w:szCs w:val="28"/>
          <w:rtl w:val="true"/>
          <w:lang w:bidi="fa-IR"/>
        </w:rPr>
        <w:t>أمّا الاحتیاط،فهو و إن کان مقتضی الأصل و القاعدة العقلیّة و النقلیّة عند ثبوت العلم الإجمالیّ بوجود الواجبات و المحرّمات،إلاّ أنّه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صورة انسداد باب العلم فی معظم المسائل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واجب؛لوجهین</w:t>
      </w:r>
      <w:r>
        <w:rPr>
          <w:rFonts w:eastAsia="IRNazanin" w:cs="IRNazanin"/>
          <w:color w:val="111111"/>
          <w:sz w:val="28"/>
          <w:szCs w:val="28"/>
          <w:rtl w:val="true"/>
          <w:lang w:bidi="fa-IR"/>
        </w:rPr>
        <w:t>:</w:t>
      </w:r>
    </w:p>
    <w:p>
      <w:pPr>
        <w:pStyle w:val="Heading6"/>
        <w:numPr>
          <w:ilvl w:val="5"/>
          <w:numId w:val="1"/>
        </w:numPr>
        <w:rPr/>
      </w:pPr>
      <w:bookmarkStart w:id="1101" w:name="__RefHeading___Toc5447281_3224264995"/>
      <w:bookmarkStart w:id="1102" w:name="_Toc422"/>
      <w:bookmarkEnd w:id="1101"/>
      <w:r>
        <w:rPr/>
        <w:t>1</w:t>
      </w:r>
      <w:r>
        <w:rPr>
          <w:rtl w:val="true"/>
        </w:rPr>
        <w:t>-</w:t>
      </w:r>
      <w:r>
        <w:rPr>
          <w:rtl w:val="true"/>
        </w:rPr>
        <w:t>الاجماع القطعی</w:t>
      </w:r>
      <w:bookmarkEnd w:id="1102"/>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القطعیّ علی عدم وجوبه فی المقام،لا بمعنی أنّ أحدا من العلماء لم یلتزم بالاحتیاط فی کلّ الفقه أو جلّه حتّی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التزامهم به إنّما هو لوجود المدارک المعتبرة عندهم للأحکام فلا یقاس علیهم من لا یجد مدرکا فی المسألة،بل بالمعنی الذی تقدّم نظیره فی الإجماع علی عدم الرجوع إلی البراءة</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دعوی الإجماع القطعیّ علی أنّ المرجع فی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انسداد باب العلم فی معظم الأحکام و عدم ثبوت حجّیّة أخبار الآحاد رأسا أو باستثناء قلیل هو فی جنب الباقی کالمعدوم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الاحتیاط فی الدین و الالتزام بفعل کلّ ما یحتمل الوجوب و لو موهوما،و ترک کلّ ما یحتمل الحرمة کذلک</w:t>
      </w:r>
      <w:r>
        <w:rPr>
          <w:rFonts w:eastAsia="IRNazanin" w:cs="IRNazanin"/>
          <w:color w:val="111111"/>
          <w:sz w:val="28"/>
          <w:szCs w:val="28"/>
          <w:rtl w:val="true"/>
          <w:lang w:bidi="fa-IR"/>
        </w:rPr>
        <w:t xml:space="preserve">. </w:t>
      </w:r>
      <w:bookmarkStart w:id="1103" w:name="pg12977_114445"/>
    </w:p>
    <w:p>
      <w:pPr>
        <w:pStyle w:val="BookText"/>
        <w:rPr/>
      </w:pPr>
      <w:bookmarkEnd w:id="1103"/>
      <w:r>
        <w:rPr>
          <w:rFonts w:ascii="IRNazanin" w:hAnsi="IRNazanin" w:eastAsia="IRNazanin"/>
          <w:color w:val="111111"/>
          <w:sz w:val="28"/>
          <w:sz w:val="28"/>
          <w:szCs w:val="28"/>
          <w:rtl w:val="true"/>
          <w:lang w:bidi="fa-IR"/>
        </w:rPr>
        <w:t xml:space="preserve">و صدق هذه الدعوی ممّا یجده المنصف من نفسه </w:t>
      </w:r>
      <w:r>
        <w:rPr>
          <w:rStyle w:val="FootnoteAnchor"/>
          <w:rtl w:val="true"/>
        </w:rPr>
        <w:footnoteReference w:id="1402"/>
      </w:r>
      <w:r>
        <w:rPr>
          <w:rFonts w:ascii="IRNazanin" w:hAnsi="IRNazanin" w:eastAsia="IRNazanin"/>
          <w:color w:val="111111"/>
          <w:sz w:val="28"/>
          <w:sz w:val="28"/>
          <w:szCs w:val="28"/>
          <w:rtl w:val="true"/>
          <w:lang w:bidi="fa-IR"/>
        </w:rPr>
        <w:t xml:space="preserve">بعد ملاحظة قلّة المعلومات،مضافا إلی ما یستفاد من أکثر کلمات العلماء،المتقدّمة </w:t>
      </w:r>
      <w:r>
        <w:rPr>
          <w:rStyle w:val="FootnoteAnchor"/>
          <w:rtl w:val="true"/>
        </w:rPr>
        <w:footnoteReference w:id="1403"/>
      </w:r>
      <w:r>
        <w:rPr>
          <w:rFonts w:ascii="IRNazanin" w:hAnsi="IRNazanin" w:eastAsia="IRNazanin"/>
          <w:color w:val="111111"/>
          <w:sz w:val="28"/>
          <w:sz w:val="28"/>
          <w:szCs w:val="28"/>
          <w:rtl w:val="true"/>
          <w:lang w:bidi="fa-IR"/>
        </w:rPr>
        <w:t xml:space="preserve">فی بطلان الرجوع إلی البراءة و عدم التکلیف فی المجهولات؛فإنّها واضحة الدلالة علی أنّ </w:t>
      </w:r>
      <w:r>
        <w:rPr>
          <w:rStyle w:val="FootnoteAnchor"/>
          <w:rtl w:val="true"/>
        </w:rPr>
        <w:footnoteReference w:id="1404"/>
      </w:r>
      <w:r>
        <w:rPr>
          <w:rFonts w:ascii="IRNazanin" w:hAnsi="IRNazanin" w:eastAsia="IRNazanin"/>
          <w:color w:val="111111"/>
          <w:sz w:val="28"/>
          <w:sz w:val="28"/>
          <w:szCs w:val="28"/>
          <w:rtl w:val="true"/>
          <w:lang w:bidi="fa-IR"/>
        </w:rPr>
        <w:t xml:space="preserve">بطلان الاحتیاط کالبراءة مفروغ عنه، فراجع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04" w:name="__RefHeading___Toc5447283_3224264995"/>
      <w:bookmarkStart w:id="1105" w:name="_Toc423"/>
      <w:bookmarkEnd w:id="1104"/>
      <w:r>
        <w:rPr>
          <w:rtl w:val="true"/>
        </w:rPr>
        <w:t>الثانی</w:t>
      </w:r>
      <w:r>
        <w:rPr>
          <w:rtl w:val="true"/>
        </w:rPr>
        <w:t>:</w:t>
      </w:r>
      <w:r>
        <w:rPr>
          <w:rtl w:val="true"/>
        </w:rPr>
        <w:t>لزوم العسر الشدید و الحرج</w:t>
      </w:r>
      <w:bookmarkEnd w:id="1105"/>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العسر الشدید و الحرج الأکید فی التزامه ؛لکثرة ما یحتمل موهوما وجوبه خصوصا فی أبواب الطهارة و الصلاة،فمراعاته ممّا یوجب الحرج،و المثال لا یحتاج إلیه؛فلو بنی العالم الخبیر بموارد الاحتیاط فیما لم ینعقد علیه إجماع قطعیّ أو خبر متواتر علی الالتزام بالاحتیاط فی جمیع اموره یوما و لیلة،لوجد صدق ما ادّعیناه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نفس العمل بالاحتیاط</w:t>
      </w:r>
      <w:r>
        <w:rPr>
          <w:rFonts w:eastAsia="IRNazanin" w:cs="IRNazanin"/>
          <w:color w:val="111111"/>
          <w:sz w:val="28"/>
          <w:szCs w:val="28"/>
          <w:rtl w:val="true"/>
          <w:lang w:bidi="fa-IR"/>
        </w:rPr>
        <w:t>.</w:t>
      </w:r>
    </w:p>
    <w:p>
      <w:pPr>
        <w:pStyle w:val="Heading6"/>
        <w:numPr>
          <w:ilvl w:val="5"/>
          <w:numId w:val="1"/>
        </w:numPr>
        <w:rPr/>
      </w:pPr>
      <w:bookmarkStart w:id="1106" w:name="__RefHeading___Toc5447285_3224264995"/>
      <w:bookmarkStart w:id="1107" w:name="_Toc424"/>
      <w:bookmarkEnd w:id="1106"/>
      <w:r>
        <w:rPr>
          <w:rtl w:val="true"/>
        </w:rPr>
        <w:t>تعلیم و تعلّم موارد الاحتیاط حرج أیضا</w:t>
      </w:r>
      <w:r>
        <w:rPr>
          <w:rtl w:val="true"/>
        </w:rPr>
        <w:t>:</w:t>
      </w:r>
      <w:bookmarkEnd w:id="1107"/>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تعلیم المجتهد موارد الاحتیاط لمقلّده،و تعلّم المقلّد موارد الاحتیاط الشخصیّة،و علاج تعارض الاحتیاطات،و ترجیح الاحتیاط الناشئ عن الاحتمال القویّ علی الاحتیاط الناشئ عن الاحتمال الضعیف،فهو أمر مستغرق لأوقات المجتهد و المقلّد،فیقع الناس من جهة تعلیم هذه الموارد و تعلّمها فی حرج یخلّ بنظام معاشهم و معادهم</w:t>
      </w:r>
      <w:r>
        <w:rPr>
          <w:rFonts w:eastAsia="IRNazanin" w:cs="IRNazanin"/>
          <w:color w:val="111111"/>
          <w:sz w:val="28"/>
          <w:szCs w:val="28"/>
          <w:rtl w:val="true"/>
          <w:lang w:bidi="fa-IR"/>
        </w:rPr>
        <w:t xml:space="preserve">. </w:t>
      </w:r>
      <w:bookmarkStart w:id="1108" w:name="pg12977_114446"/>
    </w:p>
    <w:p>
      <w:pPr>
        <w:pStyle w:val="Heading6"/>
        <w:numPr>
          <w:ilvl w:val="5"/>
          <w:numId w:val="1"/>
        </w:numPr>
        <w:rPr/>
      </w:pPr>
      <w:bookmarkStart w:id="1109" w:name="__RefHeading___Toc5447287_3224264995"/>
      <w:bookmarkStart w:id="1110" w:name="_Toc425"/>
      <w:bookmarkEnd w:id="1108"/>
      <w:bookmarkEnd w:id="1109"/>
      <w:r>
        <w:rPr>
          <w:rtl w:val="true"/>
        </w:rPr>
        <w:t>توضیح الحرج فی ذلک</w:t>
      </w:r>
      <w:bookmarkEnd w:id="1110"/>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الاحتیاط فی مسألة التطهیر بالماء المستعمل فی رفع الحدث الأکبر ترک التطهیر به،لکن قد یعارضه فی الموارد الشخصیّة احتیاطات أخر،بعضها أقوی منه و بعضها أضعف و بعضها مساو؛فإنّه قد یوجد ماء آخر للطهارة،و قد لا یوجد معه إلاّ التراب، و قد لا یوجد من مطلق الطهور غیره،فإنّ الاحتیاط فی الأوّل هو الطهارة من ماء آخر لو لم یزاحمه الاحتیاط من جهة اخری،کما إذا کان قد أصابه ما </w:t>
      </w:r>
      <w:r>
        <w:rPr>
          <w:rStyle w:val="FootnoteAnchor"/>
          <w:rtl w:val="true"/>
        </w:rPr>
        <w:footnoteReference w:id="1406"/>
      </w:r>
      <w:r>
        <w:rPr>
          <w:rFonts w:ascii="IRNazanin" w:hAnsi="IRNazanin" w:eastAsia="IRNazanin"/>
          <w:color w:val="111111"/>
          <w:sz w:val="28"/>
          <w:sz w:val="28"/>
          <w:szCs w:val="28"/>
          <w:rtl w:val="true"/>
          <w:lang w:bidi="fa-IR"/>
        </w:rPr>
        <w:t>لم ینعقد الإجماع علی طهارته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الثانی هو الجمع بین الطهارة المائیّة و الترابیّة إن لم یزاحمه ضیق الوقت المجمع علیه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الثالث الطهارة من ذلک المستعمل و الصلاة إن لم یزاحمه أمر آخر واجب أو محتمل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یسوغ للمجتهد أن یلقی إلی مقلّده أنّ الاحتیاط فی ترک الطهارة بالماء المستعمل مع کون الاحتیاط فی کثیر من الموارد استعماله فقط أو الجمع بینه و بین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فتعلیم موارد الاحتیاط الشخصیّة و تعلّمها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العمل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یکاد یلحق بالمتعذّر،و </w:t>
      </w:r>
      <w:r>
        <w:rPr>
          <w:rStyle w:val="FootnoteAnchor"/>
          <w:rtl w:val="true"/>
        </w:rPr>
        <w:footnoteReference w:id="1408"/>
      </w:r>
      <w:r>
        <w:rPr>
          <w:rFonts w:ascii="IRNazanin" w:hAnsi="IRNazanin" w:eastAsia="IRNazanin"/>
          <w:color w:val="111111"/>
          <w:sz w:val="28"/>
          <w:sz w:val="28"/>
          <w:szCs w:val="28"/>
          <w:rtl w:val="true"/>
          <w:lang w:bidi="fa-IR"/>
        </w:rPr>
        <w:t xml:space="preserve">یظهر ذلک </w:t>
      </w:r>
      <w:r>
        <w:rPr>
          <w:rStyle w:val="FootnoteAnchor"/>
          <w:rtl w:val="true"/>
        </w:rPr>
        <w:footnoteReference w:id="1409"/>
      </w:r>
      <w:r>
        <w:rPr>
          <w:rFonts w:ascii="Amiri" w:hAnsi="Amiri" w:eastAsia="Amiri" w:cs="Amiri"/>
          <w:color w:val="111111"/>
          <w:sz w:val="28"/>
          <w:sz w:val="28"/>
          <w:szCs w:val="28"/>
          <w:rtl w:val="true"/>
          <w:lang w:bidi="ar-SA"/>
        </w:rPr>
        <w:t>بالتأمّل فی الوقائع الاتّفاقیّة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یجب علی المقلّد متابعة هذا الشخص الذی أدّی </w:t>
      </w:r>
      <w:bookmarkStart w:id="1111" w:name="pg12977_114447"/>
    </w:p>
    <w:p>
      <w:pPr>
        <w:pStyle w:val="BookText"/>
        <w:rPr/>
      </w:pPr>
      <w:bookmarkEnd w:id="1111"/>
      <w:r>
        <w:rPr>
          <w:rFonts w:ascii="IRNazanin" w:hAnsi="IRNazanin" w:eastAsia="IRNazanin"/>
          <w:color w:val="111111"/>
          <w:sz w:val="28"/>
          <w:sz w:val="28"/>
          <w:szCs w:val="28"/>
          <w:rtl w:val="true"/>
          <w:lang w:bidi="fa-IR"/>
        </w:rPr>
        <w:t>نظره إلی انسداد باب العلم فی معظم المسائل و وجوب الاحتیاط،بل یقلّد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لنا أن نفرض انحصار المجتهد فی هذا الشخص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کلامنا فی حکم اللّه سبحانه بحسب اعتقاد هذا المجتهد الذی اعتقد انسداد باب العلم،و عدم الدلیل علی ظنّ خاصّ یکتفی به فی تحصیل غالب الأحکام،و أنّ من یدّعی وجود الدلیل علی ذلک فإنّما نشأ اعتقاده ممّا لا ینبغی الرکون إلیه و یکون الرکون إلیه جزما فی غیر محلّه،فالکلام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حکم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انسداد باب العلم و عدم نصب الطریق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یکون هو الاحتیاط بالنسبة إلی العباد؛للزوم الحرج البالغ حدّ اختلال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لدفع هذا الکلام بأنّ العوامّ یقلّدون مجتهدا غیر هذا قائلا بعدم انسداد باب العلم أو بنصب الطرق الظنّیّة الوافیة بأغلب الأحکام،فلا یلزم علیهم حرج و ضیق</w:t>
      </w:r>
      <w:r>
        <w:rPr>
          <w:rFonts w:eastAsia="IRNazanin" w:cs="IRNazanin"/>
          <w:color w:val="111111"/>
          <w:sz w:val="28"/>
          <w:szCs w:val="28"/>
          <w:rtl w:val="true"/>
          <w:lang w:bidi="fa-IR"/>
        </w:rPr>
        <w:t>.</w:t>
      </w:r>
    </w:p>
    <w:p>
      <w:pPr>
        <w:pStyle w:val="Heading6"/>
        <w:numPr>
          <w:ilvl w:val="5"/>
          <w:numId w:val="1"/>
        </w:numPr>
        <w:rPr/>
      </w:pPr>
      <w:bookmarkStart w:id="1112" w:name="__RefHeading___Toc5447289_3224264995"/>
      <w:bookmarkStart w:id="1113" w:name="_Toc426"/>
      <w:bookmarkEnd w:id="1112"/>
      <w:r>
        <w:rPr>
          <w:rtl w:val="true"/>
        </w:rPr>
        <w:t>مع عدم إمکان الاحتیاط لا مناص عن العمل بالظنّ</w:t>
      </w:r>
      <w:bookmarkEnd w:id="1113"/>
    </w:p>
    <w:p>
      <w:pPr>
        <w:pStyle w:val="BookText"/>
        <w:rPr/>
      </w:pPr>
      <w:r>
        <w:rPr>
          <w:rFonts w:ascii="IRNazanin" w:hAnsi="IRNazanin" w:eastAsia="IRNazanin"/>
          <w:color w:val="111111"/>
          <w:sz w:val="28"/>
          <w:sz w:val="28"/>
          <w:szCs w:val="28"/>
          <w:rtl w:val="true"/>
          <w:lang w:bidi="fa-IR"/>
        </w:rPr>
        <w:t>ثمّ إنّ هذا کلّه مع کون المسألة فی نفسها ممّا یمکن فیه الاحتیاط و لو بتکرار العمل فی العبادات،أمّا مع عدم إمکان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دار المال بین صغیرین یحتاج کلّ واحد منهما إلی صرفه علیه فی الحال، و کما فی المرافعات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مناص عن العمل بالظنّ</w:t>
      </w:r>
      <w:r>
        <w:rPr>
          <w:rFonts w:eastAsia="IRNazanin" w:cs="IRNazanin"/>
          <w:color w:val="111111"/>
          <w:sz w:val="28"/>
          <w:szCs w:val="28"/>
          <w:rtl w:val="true"/>
          <w:lang w:bidi="fa-IR"/>
        </w:rPr>
        <w:t>.</w:t>
      </w:r>
    </w:p>
    <w:p>
      <w:pPr>
        <w:pStyle w:val="Heading6"/>
        <w:numPr>
          <w:ilvl w:val="5"/>
          <w:numId w:val="1"/>
        </w:numPr>
        <w:rPr/>
      </w:pPr>
      <w:bookmarkStart w:id="1114" w:name="__RefHeading___Toc5447291_3224264995"/>
      <w:bookmarkStart w:id="1115" w:name="_Toc427"/>
      <w:bookmarkEnd w:id="1114"/>
      <w:r>
        <w:rPr>
          <w:rtl w:val="true"/>
        </w:rPr>
        <w:t>الإیراد علی لزوم الحرج بوجوه</w:t>
      </w:r>
      <w:r>
        <w:rPr>
          <w:rtl w:val="true"/>
        </w:rPr>
        <w:t>:</w:t>
      </w:r>
      <w:bookmarkEnd w:id="1115"/>
    </w:p>
    <w:p>
      <w:pPr>
        <w:pStyle w:val="BookText"/>
        <w:rPr/>
      </w:pPr>
      <w:r>
        <w:rPr>
          <w:rFonts w:ascii="IRNazanin" w:hAnsi="IRNazanin" w:eastAsia="IRNazanin"/>
          <w:color w:val="111111"/>
          <w:sz w:val="28"/>
          <w:sz w:val="28"/>
          <w:szCs w:val="28"/>
          <w:rtl w:val="true"/>
          <w:lang w:bidi="fa-IR"/>
        </w:rPr>
        <w:t>و قد یورد علی إبطال الاحتیاط بلزوم الحرج بوجوه لا بأس بالإشارة إلی بعضها</w:t>
      </w:r>
      <w:r>
        <w:rPr>
          <w:rFonts w:eastAsia="IRNazanin" w:cs="IRNazanin"/>
          <w:color w:val="111111"/>
          <w:sz w:val="28"/>
          <w:szCs w:val="28"/>
          <w:rtl w:val="true"/>
          <w:lang w:bidi="fa-IR"/>
        </w:rPr>
        <w:t>:</w:t>
      </w:r>
    </w:p>
    <w:p>
      <w:pPr>
        <w:pStyle w:val="Heading6"/>
        <w:numPr>
          <w:ilvl w:val="5"/>
          <w:numId w:val="1"/>
        </w:numPr>
        <w:rPr/>
      </w:pPr>
      <w:bookmarkStart w:id="1116" w:name="__RefHeading___Toc5447293_3224264995"/>
      <w:bookmarkStart w:id="1117" w:name="_Toc428"/>
      <w:bookmarkEnd w:id="1116"/>
      <w:r>
        <w:rPr>
          <w:rtl w:val="true"/>
        </w:rPr>
        <w:t>الإیراد الأوّل</w:t>
      </w:r>
      <w:bookmarkEnd w:id="1117"/>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النقض بما لو أدّی اجتهاد المجتهد و عمله بالظنّ إلی فتوی یوجب الحرج،کوجوب الترتیب بین الحاضرة و الفائتة لمن علیه فوائت کثیرة،أو وجوب الغسل علی مریض أجنب متعمّدا و إن أصابه من </w:t>
      </w:r>
      <w:bookmarkStart w:id="1118" w:name="pg12977_114448"/>
    </w:p>
    <w:p>
      <w:pPr>
        <w:pStyle w:val="BookText"/>
        <w:rPr/>
      </w:pPr>
      <w:bookmarkEnd w:id="1118"/>
      <w:r>
        <w:rPr>
          <w:rFonts w:ascii="IRNazanin" w:hAnsi="IRNazanin" w:eastAsia="IRNazanin"/>
          <w:color w:val="111111"/>
          <w:sz w:val="28"/>
          <w:sz w:val="28"/>
          <w:szCs w:val="28"/>
          <w:rtl w:val="true"/>
          <w:lang w:bidi="fa-IR"/>
        </w:rPr>
        <w:t xml:space="preserve">المرض ما أصابه کما هو قول بعض أصحابنا </w:t>
      </w:r>
      <w:r>
        <w:rPr>
          <w:rStyle w:val="FootnoteAnchor"/>
          <w:rtl w:val="true"/>
        </w:rPr>
        <w:footnoteReference w:id="1410"/>
      </w:r>
      <w:r>
        <w:rPr>
          <w:rFonts w:ascii="IRNazanin" w:hAnsi="IRNazanin" w:eastAsia="IRNazanin"/>
          <w:color w:val="111111"/>
          <w:sz w:val="28"/>
          <w:sz w:val="28"/>
          <w:szCs w:val="28"/>
          <w:rtl w:val="true"/>
          <w:lang w:bidi="fa-IR"/>
        </w:rPr>
        <w:t xml:space="preserve">،و کذا لو فرضنا أداء ظنّ المجتهد إلی وجوب امور کثیرة یحصل العسر بمراعاتها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فلزوم الحرج من العمل بالقواعد لا یوجب الإعراض عنها،ففیما نحن فیه </w:t>
      </w:r>
      <w:r>
        <w:rPr>
          <w:rStyle w:val="FootnoteAnchor"/>
          <w:rtl w:val="true"/>
        </w:rPr>
        <w:footnoteReference w:id="1412"/>
      </w:r>
      <w:r>
        <w:rPr>
          <w:rFonts w:ascii="IRNazanin" w:hAnsi="IRNazanin" w:eastAsia="IRNazanin"/>
          <w:color w:val="111111"/>
          <w:sz w:val="28"/>
          <w:sz w:val="28"/>
          <w:szCs w:val="28"/>
          <w:rtl w:val="true"/>
          <w:lang w:bidi="fa-IR"/>
        </w:rPr>
        <w:t>إذا اقتضی القاعدة رعایة الاحتیاط لم یرفع الید عنها للزوم العسر</w:t>
      </w:r>
      <w:r>
        <w:rPr>
          <w:rFonts w:eastAsia="IRNazanin" w:cs="IRNazanin"/>
          <w:color w:val="111111"/>
          <w:sz w:val="28"/>
          <w:szCs w:val="28"/>
          <w:rtl w:val="true"/>
          <w:lang w:bidi="fa-IR"/>
        </w:rPr>
        <w:t>.</w:t>
      </w:r>
    </w:p>
    <w:p>
      <w:pPr>
        <w:pStyle w:val="Heading6"/>
        <w:numPr>
          <w:ilvl w:val="5"/>
          <w:numId w:val="1"/>
        </w:numPr>
        <w:rPr/>
      </w:pPr>
      <w:bookmarkStart w:id="1119" w:name="__RefHeading___Toc5447295_3224264995"/>
      <w:bookmarkStart w:id="1120" w:name="_Toc429"/>
      <w:bookmarkEnd w:id="1119"/>
      <w:r>
        <w:rPr>
          <w:rtl w:val="true"/>
        </w:rPr>
        <w:t>جواب الإیراد</w:t>
      </w:r>
      <w:bookmarkEnd w:id="1120"/>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 ذکر فی غایة الفساد؛لأنّ مرجعه إن کان إلی منع نهوض أدلّة نفی الحرج للحکومة علی مقتضیات القواعد و العمومات و تخصیصها بغیر صورة لزوم الحرج،فینبغی أن ینقل الکلام فی منع ثبوت قاعدة الحرج،و لا یخفی أنّ منعه فی غایة السقوط؛لدلالة الأخبار المتواترة معنی علیه </w:t>
      </w:r>
      <w:r>
        <w:rPr>
          <w:rStyle w:val="FootnoteAnchor"/>
          <w:rtl w:val="true"/>
        </w:rPr>
        <w:footnoteReference w:id="1413"/>
      </w:r>
      <w:r>
        <w:rPr>
          <w:rFonts w:ascii="IRNazanin" w:hAnsi="IRNazanin" w:eastAsia="IRNazanin"/>
          <w:color w:val="111111"/>
          <w:sz w:val="28"/>
          <w:sz w:val="28"/>
          <w:szCs w:val="28"/>
          <w:rtl w:val="true"/>
          <w:lang w:bidi="fa-IR"/>
        </w:rPr>
        <w:t xml:space="preserve">،مضافا إلی دلالة ظاهر الکتاب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قاعدة نفی الحرج ممّا ثبتت بالأدلّة الثلاثة،بل الأربعة فی مثل المقام؛لاستقلال العقل بقبح التکلیف بما یوجب اختلال نظام أمر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نعم،هی فی غیر ما یوجب الاختلال قاعدة ظنّیة تقبل الخروج عنها بالأدلّة الخاصّة المحکمة و إن لم تکن قطعیّة</w:t>
      </w:r>
      <w:r>
        <w:rPr>
          <w:rFonts w:eastAsia="IRNazanin" w:cs="IRNazanin"/>
          <w:color w:val="111111"/>
          <w:sz w:val="28"/>
          <w:szCs w:val="28"/>
          <w:rtl w:val="true"/>
          <w:lang w:bidi="fa-IR"/>
        </w:rPr>
        <w:t xml:space="preserve">. </w:t>
      </w:r>
      <w:bookmarkStart w:id="1121" w:name="pg12977_114449"/>
    </w:p>
    <w:p>
      <w:pPr>
        <w:pStyle w:val="Heading6"/>
        <w:numPr>
          <w:ilvl w:val="5"/>
          <w:numId w:val="1"/>
        </w:numPr>
        <w:rPr/>
      </w:pPr>
      <w:bookmarkStart w:id="1122" w:name="__RefHeading___Toc5447297_3224264995"/>
      <w:bookmarkStart w:id="1123" w:name="_Toc430"/>
      <w:bookmarkEnd w:id="1121"/>
      <w:bookmarkEnd w:id="1122"/>
      <w:r>
        <w:rPr>
          <w:rtl w:val="true"/>
        </w:rPr>
        <w:t>حکومة أدلّة نفی الحرج علی العمومات المثبتة للتکلیف</w:t>
      </w:r>
      <w:bookmarkEnd w:id="1123"/>
    </w:p>
    <w:p>
      <w:pPr>
        <w:pStyle w:val="BookText"/>
        <w:rPr/>
      </w:pPr>
      <w:r>
        <w:rPr>
          <w:rFonts w:ascii="IRNazanin" w:hAnsi="IRNazanin" w:eastAsia="IRNazanin"/>
          <w:color w:val="111111"/>
          <w:sz w:val="28"/>
          <w:sz w:val="28"/>
          <w:szCs w:val="28"/>
          <w:rtl w:val="true"/>
          <w:lang w:bidi="fa-IR"/>
        </w:rPr>
        <w:t xml:space="preserve">و أمّا القواعد و العمومات المثبتة للتکلیف،فلا إشکال بل لا خلاف فی حکومة أدلّة نفی الحرج علیها،لا لأنّ النسبة بینهما عموما من وجه فیرجع إلی أصالة البراءة کما قیل </w:t>
      </w:r>
      <w:r>
        <w:rPr>
          <w:rStyle w:val="FootnoteAnchor"/>
          <w:rtl w:val="true"/>
        </w:rPr>
        <w:footnoteReference w:id="1415"/>
      </w:r>
      <w:r>
        <w:rPr>
          <w:rFonts w:ascii="IRNazanin" w:hAnsi="IRNazanin" w:eastAsia="IRNazanin"/>
          <w:color w:val="111111"/>
          <w:sz w:val="28"/>
          <w:sz w:val="28"/>
          <w:szCs w:val="28"/>
          <w:rtl w:val="true"/>
          <w:lang w:bidi="fa-IR"/>
        </w:rPr>
        <w:t xml:space="preserve">،أو إلی المرجّحات الخارجیّة المعاضدة لقاعدة نفی الحرج کما زعم </w:t>
      </w:r>
      <w:r>
        <w:rPr>
          <w:rStyle w:val="FootnoteAnchor"/>
          <w:rtl w:val="true"/>
        </w:rPr>
        <w:footnoteReference w:id="1416"/>
      </w:r>
      <w:r>
        <w:rPr>
          <w:rFonts w:ascii="Amiri" w:hAnsi="Amiri" w:eastAsia="Amiri" w:cs="Amiri"/>
          <w:color w:val="111111"/>
          <w:sz w:val="28"/>
          <w:sz w:val="28"/>
          <w:szCs w:val="28"/>
          <w:rtl w:val="true"/>
          <w:lang w:bidi="ar-SA"/>
        </w:rPr>
        <w:t xml:space="preserve">بل لأنّ أدلّة نفی العسر </w:t>
      </w:r>
      <w:r>
        <w:rPr>
          <w:rStyle w:val="FootnoteAnchor"/>
          <w:rtl w:val="true"/>
        </w:rPr>
        <w:footnoteReference w:id="1417"/>
      </w:r>
      <w:r>
        <w:rPr>
          <w:rFonts w:ascii="IRNazanin" w:hAnsi="IRNazanin" w:eastAsia="IRNazanin"/>
          <w:color w:val="111111"/>
          <w:sz w:val="28"/>
          <w:sz w:val="28"/>
          <w:szCs w:val="28"/>
          <w:rtl w:val="true"/>
          <w:lang w:bidi="fa-IR"/>
        </w:rPr>
        <w:t>بمدلولها اللفظیّ حاکمة علی العمومات المثبتة للتکالیف،فهی بالذات مقدّمة علیها،و هذا هو السرّ فی عدم ملاحظة الفقهاء المرجّح الخارجیّ،بل یقدّمونها من غیر مرجّح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نعم،جعل بعض متأخّری المتأخّرین </w:t>
      </w:r>
      <w:r>
        <w:rPr>
          <w:rStyle w:val="FootnoteAnchor"/>
          <w:rtl w:val="true"/>
        </w:rPr>
        <w:footnoteReference w:id="1418"/>
      </w:r>
      <w:r>
        <w:rPr>
          <w:rFonts w:ascii="IRNazanin" w:hAnsi="IRNazanin" w:eastAsia="IRNazanin"/>
          <w:color w:val="111111"/>
          <w:sz w:val="28"/>
          <w:sz w:val="28"/>
          <w:szCs w:val="28"/>
          <w:rtl w:val="true"/>
          <w:lang w:bidi="fa-IR"/>
        </w:rPr>
        <w:t xml:space="preserve">عمل الفقهاء بها فی الموارد من المرجّحات لتلک القاعدة؛زعما منه أنّ عملهم لمرجّح توقیفیّ اطّلعوا علیه و اختفی علینا </w:t>
      </w:r>
      <w:r>
        <w:rPr>
          <w:rStyle w:val="FootnoteAnchor"/>
          <w:rtl w:val="true"/>
        </w:rPr>
        <w:footnoteReference w:id="1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یشعر أنّ وجه التقدیم کونها حاکمة علی العمومات</w:t>
      </w:r>
      <w:r>
        <w:rPr>
          <w:rFonts w:eastAsia="IRNazanin" w:cs="IRNazanin"/>
          <w:color w:val="111111"/>
          <w:sz w:val="28"/>
          <w:szCs w:val="28"/>
          <w:rtl w:val="true"/>
          <w:lang w:bidi="fa-IR"/>
        </w:rPr>
        <w:t>.</w:t>
      </w:r>
    </w:p>
    <w:p>
      <w:pPr>
        <w:pStyle w:val="Heading6"/>
        <w:numPr>
          <w:ilvl w:val="5"/>
          <w:numId w:val="1"/>
        </w:numPr>
        <w:rPr/>
      </w:pPr>
      <w:bookmarkStart w:id="1124" w:name="__RefHeading___Toc5447299_3224264995"/>
      <w:bookmarkStart w:id="1125" w:name="_Toc431"/>
      <w:bookmarkEnd w:id="1124"/>
      <w:r>
        <w:rPr>
          <w:rtl w:val="true"/>
        </w:rPr>
        <w:t>مما یوضح الحکومة</w:t>
      </w:r>
      <w:bookmarkEnd w:id="1125"/>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یوضح ما ذکرنا،و </w:t>
      </w:r>
      <w:r>
        <w:rPr>
          <w:rStyle w:val="FootnoteAnchor"/>
          <w:rtl w:val="true"/>
        </w:rPr>
        <w:footnoteReference w:id="1420"/>
      </w:r>
      <w:r>
        <w:rPr>
          <w:rFonts w:ascii="IRNazanin" w:hAnsi="IRNazanin" w:eastAsia="IRNazanin"/>
          <w:color w:val="111111"/>
          <w:sz w:val="28"/>
          <w:sz w:val="28"/>
          <w:szCs w:val="28"/>
          <w:rtl w:val="true"/>
          <w:lang w:bidi="fa-IR"/>
        </w:rPr>
        <w:t xml:space="preserve">یدعو إلی التأمّل فی وجه التقدیم المذکور فی محلّه،و یوجب الإعراض عمّا زعمه غیر واحد </w:t>
      </w:r>
      <w:r>
        <w:rPr>
          <w:rStyle w:val="FootnoteAnchor"/>
          <w:rtl w:val="true"/>
        </w:rPr>
        <w:footnoteReference w:id="1421"/>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وقوع التعارض بینها و بین سائر العمومات،فیجب الرجوع إلی الاصول أو المرجّحات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عبد الأعلی مولی آل سام فی من عثر،فانقطع ظفره،فجعل علیه مرارة،فکیف یصنع بالوضوء؟فقال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هذا و أشباهه من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عَلَیْکُمْ فِی الدِّینِ مِنْ حَرَجٍ؛ امسح علیه</w:t>
      </w:r>
      <w:r>
        <w:rPr>
          <w:rFonts w:eastAsia="IRNazanin" w:cs="IRNazanin"/>
          <w:color w:val="111111"/>
          <w:sz w:val="28"/>
          <w:szCs w:val="28"/>
          <w:rtl w:val="true"/>
          <w:lang w:bidi="fa-IR"/>
        </w:rPr>
        <w:t xml:space="preserve">»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فی إحالة الإمام علیه السّلام لحکم هذه الواقعة إلی عموم نفی الحرج،و بیان أنّه ینبغی أن یعلم منه أنّ الحکم فی هذه الواقعة المسح فوق المرارة،مع معارضة العموم المذکور بالعمومات الموجبة للمسح علی البشرة،دلالة واضحة علی حکومة عمومات نفی الحرج بأنفسها علی العمومات المثبتة للتکالیف من غیر </w:t>
      </w:r>
      <w:r>
        <w:rPr>
          <w:rStyle w:val="FootnoteAnchor"/>
          <w:rtl w:val="true"/>
        </w:rPr>
        <w:footnoteReference w:id="1423"/>
      </w:r>
      <w:r>
        <w:rPr>
          <w:rFonts w:ascii="IRNazanin" w:hAnsi="IRNazanin" w:eastAsia="IRNazanin"/>
          <w:color w:val="111111"/>
          <w:sz w:val="28"/>
          <w:sz w:val="28"/>
          <w:szCs w:val="28"/>
          <w:rtl w:val="true"/>
          <w:lang w:bidi="fa-IR"/>
        </w:rPr>
        <w:t>ملاحظة تعارض و ترجیح فی البین،فافهم</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مرجع ما ذکره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التزام العسر إذا دلّ علیه الدلیل لا بأس به،کما فیما ذکر من المثال و الفرض،ففیه ما عرفت </w:t>
      </w:r>
      <w:r>
        <w:rPr>
          <w:rStyle w:val="FootnoteAnchor"/>
          <w:rtl w:val="true"/>
        </w:rPr>
        <w:footnoteReference w:id="1424"/>
      </w:r>
      <w:r>
        <w:rPr>
          <w:rFonts w:ascii="IRNazanin" w:hAnsi="IRNazanin" w:eastAsia="IRNazanin"/>
          <w:color w:val="111111"/>
          <w:sz w:val="28"/>
          <w:sz w:val="28"/>
          <w:szCs w:val="28"/>
          <w:rtl w:val="true"/>
          <w:lang w:bidi="fa-IR"/>
        </w:rPr>
        <w:t>،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یخصّص تلک العمومات إلاّ ما یکون أخصّ منها معاضدا بما یوجب قوّته </w:t>
      </w:r>
      <w:r>
        <w:rPr>
          <w:rStyle w:val="FootnoteAnchor"/>
          <w:rtl w:val="true"/>
        </w:rPr>
        <w:footnoteReference w:id="1425"/>
      </w:r>
      <w:r>
        <w:rPr>
          <w:rFonts w:ascii="IRNazanin" w:hAnsi="IRNazanin" w:eastAsia="IRNazanin"/>
          <w:color w:val="111111"/>
          <w:sz w:val="28"/>
          <w:sz w:val="28"/>
          <w:szCs w:val="28"/>
          <w:rtl w:val="true"/>
          <w:lang w:bidi="fa-IR"/>
        </w:rPr>
        <w:t>علی تلک العمومات الکثیرة الواردة فی الکتاب و السنّة،و المفروض أنّه لیس فی المقام إلاّ قاعدة الاحتیاط التی قد رفع الید عنها لأجل العسر فی موارد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الشبهة الغیر المحصورة، </w:t>
      </w:r>
      <w:bookmarkStart w:id="1126" w:name="pg12977_114451"/>
    </w:p>
    <w:p>
      <w:pPr>
        <w:pStyle w:val="BookText"/>
        <w:rPr/>
      </w:pPr>
      <w:bookmarkEnd w:id="1126"/>
      <w:r>
        <w:rPr>
          <w:rFonts w:ascii="IRNazanin" w:hAnsi="IRNazanin" w:eastAsia="IRNazanin"/>
          <w:color w:val="111111"/>
          <w:sz w:val="28"/>
          <w:sz w:val="28"/>
          <w:szCs w:val="28"/>
          <w:rtl w:val="true"/>
          <w:lang w:bidi="fa-IR"/>
        </w:rPr>
        <w:t>و ما لو علم أنّ علیه فوائت و لا یحصی عددها،و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أدلّة نفی العسر بالنسبة إلی قاعدة الاحتیاط من قبیل الدلیل بالنسبة إلی الأصل،فتقدیمها علیها أوضح من تقدیمها علی العمومات الاجتهادیّة</w:t>
      </w:r>
      <w:r>
        <w:rPr>
          <w:rFonts w:eastAsia="IRNazanin" w:cs="IRNazanin"/>
          <w:color w:val="111111"/>
          <w:sz w:val="28"/>
          <w:szCs w:val="28"/>
          <w:rtl w:val="true"/>
          <w:lang w:bidi="fa-IR"/>
        </w:rPr>
        <w:t>.</w:t>
      </w:r>
    </w:p>
    <w:p>
      <w:pPr>
        <w:pStyle w:val="Heading6"/>
        <w:numPr>
          <w:ilvl w:val="5"/>
          <w:numId w:val="1"/>
        </w:numPr>
        <w:rPr/>
      </w:pPr>
      <w:bookmarkStart w:id="1127" w:name="__RefHeading___Toc5447301_3224264995"/>
      <w:bookmarkStart w:id="1128" w:name="_Toc432"/>
      <w:bookmarkEnd w:id="1127"/>
      <w:r>
        <w:rPr>
          <w:rtl w:val="true"/>
        </w:rPr>
        <w:t>رجوع الی مناقشه الایراد الاول</w:t>
      </w:r>
      <w:bookmarkEnd w:id="1128"/>
    </w:p>
    <w:p>
      <w:pPr>
        <w:pStyle w:val="BookText"/>
        <w:rPr/>
      </w:pPr>
      <w:r>
        <w:rPr>
          <w:rFonts w:ascii="IRNazanin" w:hAnsi="IRNazanin" w:eastAsia="IRNazanin"/>
          <w:color w:val="111111"/>
          <w:sz w:val="28"/>
          <w:sz w:val="28"/>
          <w:szCs w:val="28"/>
          <w:rtl w:val="true"/>
          <w:lang w:bidi="fa-IR"/>
        </w:rPr>
        <w:t>و أمّا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فرض أداء ظنّ المجتهد إلی وجوب امور یلزم من فعلها الحرج،فیرد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إمکانه؛لأنّا علمنا بأدلّة نفی الحرج أنّ الواجبات الشرعیّة فی الواقع لیست بحیث یوجب العسر علی المکلّف،و مع هذا العلم الإجمالیّ یمتنع الظنّ التفصیلیّ بوجوب امور فی الشریعة یوجب ارتکابها العسر،علی ما مرّ نظیره فی الإیراد علی دفع الرجوع إلی البراءة</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إمکان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لکون الظنون الحاصلة فی المسائل الفرعیّة کلّها أو بعضها ظنونا نوعیّة لا تنافی العلم الإجمالیّ بمخالفة البعض للواقع،أو بناء علی أنّ المستفاد من أدلّة نفی العسر </w:t>
      </w:r>
      <w:r>
        <w:rPr>
          <w:rStyle w:val="FootnoteAnchor"/>
          <w:rtl w:val="true"/>
        </w:rPr>
        <w:footnoteReference w:id="1426"/>
      </w:r>
      <w:r>
        <w:rPr>
          <w:rFonts w:ascii="IRNazanin" w:hAnsi="IRNazanin" w:eastAsia="IRNazanin"/>
          <w:color w:val="111111"/>
          <w:sz w:val="28"/>
          <w:sz w:val="28"/>
          <w:szCs w:val="28"/>
          <w:rtl w:val="true"/>
          <w:lang w:bidi="fa-IR"/>
        </w:rPr>
        <w:t>لیس هو القطع و لا الظنّ الشخصیّ بانتفاء العسر،بل غایته الظنّ النوعیّ الحاصل من العمومات بذلک،فلا ینافی الظنّ الشخصیّ التفصیلیّ فی المسائل الفرعیّة علی الخلاف،و إمّا بناء علی ما ربما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التنافی بین الظنون التفصیلیّة الشخصیّة و العلم الإجمالیّ بخلافها،کما فی الظنّ الحاصل من الغلبة مع العلم الإجمالیّ بوجود الفرد النادر علی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w:t>
      </w:r>
      <w:r>
        <w:rPr>
          <w:rStyle w:val="FootnoteAnchor"/>
          <w:rtl w:val="true"/>
        </w:rPr>
        <w:footnoteReference w:id="1427"/>
      </w:r>
    </w:p>
    <w:p>
      <w:pPr>
        <w:pStyle w:val="BookText"/>
        <w:rPr/>
      </w:pPr>
      <w:r>
        <w:rPr>
          <w:rFonts w:ascii="IRNazanin" w:hAnsi="IRNazanin" w:eastAsia="IRNazanin"/>
          <w:color w:val="111111"/>
          <w:sz w:val="28"/>
          <w:sz w:val="28"/>
          <w:szCs w:val="28"/>
          <w:rtl w:val="true"/>
          <w:lang w:bidi="fa-IR"/>
        </w:rPr>
        <w:t>نمنع وقوع ذلک؛لأنّ الظنون الحاصلة للمجتهد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مذهب الإمامیّة من عدم اعتبار الظنّ القیاسیّ و أشباهه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ظنون حاصلة من أمارات مضبوطة محصورة،کأقسام الخبر و الشهرة و الاستقراء و الإجماع المنقول و الأولویّة الاعتباریّة و نظائرها،و من المعلوم للمتتبّع فیها أنّ مؤدّیاتها لا تفضی إلی الحرج؛لکثرة ما یخالف الاحتیاط فیها،کما لا یخفی علی من لاحظها و سبرها سبرا إجمالیّا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سلّمنا إمکانه و وقوعه،لکنّ العمل بتلک الظنون لا یؤدّی إلی اختلال النظام حتّی لا یمکن إخراجها عن عمومات نفی العسر، فنعمل </w:t>
      </w:r>
      <w:r>
        <w:rPr>
          <w:rStyle w:val="FootnoteAnchor"/>
          <w:rtl w:val="true"/>
        </w:rPr>
        <w:footnoteReference w:id="1428"/>
      </w:r>
      <w:r>
        <w:rPr>
          <w:rFonts w:ascii="IRNazanin" w:hAnsi="IRNazanin" w:eastAsia="IRNazanin"/>
          <w:color w:val="111111"/>
          <w:sz w:val="28"/>
          <w:sz w:val="28"/>
          <w:szCs w:val="28"/>
          <w:rtl w:val="true"/>
          <w:lang w:bidi="fa-IR"/>
        </w:rPr>
        <w:t xml:space="preserve">بها فی مقابلة عمومات نفی العسر و نخصّصها </w:t>
      </w:r>
      <w:r>
        <w:rPr>
          <w:rStyle w:val="FootnoteAnchor"/>
          <w:rtl w:val="true"/>
        </w:rPr>
        <w:footnoteReference w:id="1429"/>
      </w:r>
      <w:r>
        <w:rPr>
          <w:rFonts w:ascii="IRNazanin" w:hAnsi="IRNazanin" w:eastAsia="IRNazanin"/>
          <w:color w:val="111111"/>
          <w:sz w:val="28"/>
          <w:sz w:val="28"/>
          <w:szCs w:val="28"/>
          <w:rtl w:val="true"/>
          <w:lang w:bidi="fa-IR"/>
        </w:rPr>
        <w:t xml:space="preserve">بها؛لما عرفت </w:t>
      </w:r>
      <w:r>
        <w:rPr>
          <w:rStyle w:val="FootnoteAnchor"/>
          <w:rtl w:val="true"/>
        </w:rPr>
        <w:footnoteReference w:id="1430"/>
      </w:r>
      <w:r>
        <w:rPr>
          <w:rFonts w:ascii="IRNazanin" w:hAnsi="IRNazanin" w:eastAsia="IRNazanin"/>
          <w:color w:val="111111"/>
          <w:sz w:val="28"/>
          <w:sz w:val="28"/>
          <w:szCs w:val="28"/>
          <w:rtl w:val="true"/>
          <w:lang w:bidi="fa-IR"/>
        </w:rPr>
        <w:t>من قبولها التخصیص فی غیر مورد الاختلال</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فی هذا کرّ علی ما فرّ منه؛حیث إنّا عملنا بالظنّ فرارا عن لزوم العسر،فإذا أدّی إلیه فلا وجه للعمل به؛لأنّ العسر اللازم علی تقدیر طرح العمل بالظنّ کان بالغا حدّ اختلال النظام من جهة لزوم مراعاة الاحتمالات الموهومة و المشکوکة،و أمّا الظنون المطابقة لمقتضی الاحتیاط فلا بدّ من العمل علیها،سواء عملنا بالظنّ أو عملنا بالاحتیاط،و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فلیس العسر اللازم من العمل بالظنون الاجتهادیّة فی فرض المعترض من جهة العمل بالظنّ،بل من جهة مطابقته </w:t>
      </w:r>
      <w:r>
        <w:rPr>
          <w:rStyle w:val="FootnoteAnchor"/>
          <w:rtl w:val="true"/>
        </w:rPr>
        <w:footnoteReference w:id="1431"/>
      </w:r>
      <w:bookmarkStart w:id="1129" w:name="pg12977_114453"/>
    </w:p>
    <w:p>
      <w:pPr>
        <w:pStyle w:val="BookText"/>
        <w:rPr/>
      </w:pPr>
      <w:bookmarkEnd w:id="1129"/>
      <w:r>
        <w:rPr>
          <w:rFonts w:ascii="IRNazanin" w:hAnsi="IRNazanin" w:eastAsia="IRNazanin"/>
          <w:color w:val="111111"/>
          <w:sz w:val="28"/>
          <w:sz w:val="28"/>
          <w:szCs w:val="28"/>
          <w:rtl w:val="true"/>
          <w:lang w:bidi="fa-IR"/>
        </w:rPr>
        <w:t>لمقتضی الاحتیاط،فلو عمل بالاحتیاط وجب علیه أن یضیف إلی تلک الظنون الاحتمالات الموهومة و المشکوکة المطابقة للاحتیاط</w:t>
      </w:r>
      <w:r>
        <w:rPr>
          <w:rFonts w:eastAsia="IRNazanin" w:cs="IRNazanin"/>
          <w:color w:val="111111"/>
          <w:sz w:val="28"/>
          <w:szCs w:val="28"/>
          <w:rtl w:val="true"/>
          <w:lang w:bidi="fa-IR"/>
        </w:rPr>
        <w:t>.</w:t>
      </w:r>
    </w:p>
    <w:p>
      <w:pPr>
        <w:pStyle w:val="Heading6"/>
        <w:numPr>
          <w:ilvl w:val="5"/>
          <w:numId w:val="1"/>
        </w:numPr>
        <w:rPr/>
      </w:pPr>
      <w:bookmarkStart w:id="1130" w:name="__RefHeading___Toc5447303_3224264995"/>
      <w:bookmarkStart w:id="1131" w:name="_Toc433"/>
      <w:bookmarkEnd w:id="1130"/>
      <w:r>
        <w:rPr>
          <w:rtl w:val="true"/>
        </w:rPr>
        <w:t>الإیراد الثانی علی لزوم الحرج و جوابه</w:t>
      </w:r>
      <w:r>
        <w:rPr>
          <w:rtl w:val="true"/>
        </w:rPr>
        <w:t>:</w:t>
      </w:r>
      <w:bookmarkEnd w:id="1131"/>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یقع التعارض بین الأدلّة الدالّة علی حرمة العمل بالظنّ و العمومات النافیة للحرج،و الأوّل أکثر،فیبقی أصالة الاحتیاط مع العلم الإجمالیّ بالتکالیف الکثیرة سلیمة عن المزاحم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لا یخفی؛لما عرفت فی تأسیس الأصل </w:t>
      </w:r>
      <w:r>
        <w:rPr>
          <w:rStyle w:val="FootnoteAnchor"/>
          <w:rtl w:val="true"/>
        </w:rPr>
        <w:footnoteReference w:id="1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العمل بالظنّ 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بقصد التشریع و الالتزام شرعا بمؤدّاه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ذاتیّة،و إنّما یحرم إذا أدّی إلی مخالفة الواقع من وجوب أو تحریم،فالنافی للعمل بالظنّ فیما نحن فیه لیس إلاّ قاعدة الاحتیاط الآمرة بإحراز الاحتمالات الموهومة و ترک العمل بالظنون المقابلة لتلک الاحتمالات،و قد فرضنا أنّ قاعدة الاحتیاط ساقطة بأدلّة نفی العسر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لو فرضنا ثبوت الحرمة الذاتیّة للعمل بالظنّ و لو لم یکن علی جهة التشریع،لکن عرفت سابقا </w:t>
      </w:r>
      <w:r>
        <w:rPr>
          <w:rStyle w:val="FootnoteAnchor"/>
          <w:rtl w:val="true"/>
        </w:rPr>
        <w:footnoteReference w:id="1434"/>
      </w:r>
      <w:r>
        <w:rPr>
          <w:rFonts w:ascii="IRNazanin" w:hAnsi="IRNazanin" w:eastAsia="IRNazanin"/>
          <w:color w:val="111111"/>
          <w:sz w:val="28"/>
          <w:sz w:val="28"/>
          <w:szCs w:val="28"/>
          <w:rtl w:val="true"/>
          <w:lang w:bidi="fa-IR"/>
        </w:rPr>
        <w:t>عدم معارضة عمومات نفی العسر لشیء من العمومات المثبتة للتکلیف المتعسّر</w:t>
      </w:r>
      <w:r>
        <w:rPr>
          <w:rFonts w:eastAsia="IRNazanin" w:cs="IRNazanin"/>
          <w:color w:val="111111"/>
          <w:sz w:val="28"/>
          <w:szCs w:val="28"/>
          <w:rtl w:val="true"/>
          <w:lang w:bidi="fa-IR"/>
        </w:rPr>
        <w:t>.</w:t>
      </w:r>
    </w:p>
    <w:p>
      <w:pPr>
        <w:pStyle w:val="Heading6"/>
        <w:numPr>
          <w:ilvl w:val="5"/>
          <w:numId w:val="1"/>
        </w:numPr>
        <w:rPr/>
      </w:pPr>
      <w:bookmarkStart w:id="1132" w:name="__RefHeading___Toc5447305_3224264995"/>
      <w:bookmarkStart w:id="1133" w:name="_Toc434"/>
      <w:bookmarkEnd w:id="1132"/>
      <w:r>
        <w:rPr>
          <w:rtl w:val="true"/>
        </w:rPr>
        <w:t>الإیراد الثالث علی لزوم الحرج</w:t>
      </w:r>
      <w:r>
        <w:rPr>
          <w:rtl w:val="true"/>
        </w:rPr>
        <w:t>:</w:t>
      </w:r>
      <w:bookmarkEnd w:id="1133"/>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الأدلّة النافیة للعسر إنّما تنفی وجوده فی الشریعة بحسب أصل الشرع أوّلا و بالذات،فلا تنافی وقوعه بسبب عارض لا یسند إلی الشارع؛و لذا لو نذر المکلّف امورا عسرة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کالأخذ بالاحتیاط فی جمیع الأحکام الغیر المعلومة،و کصوم الدهر،أو </w:t>
      </w:r>
    </w:p>
    <w:p>
      <w:pPr>
        <w:pStyle w:val="BookText"/>
        <w:rPr/>
      </w:pPr>
      <w:r>
        <w:rPr>
          <w:rFonts w:ascii="IRNazanin" w:hAnsi="IRNazanin" w:eastAsia="IRNazanin"/>
          <w:color w:val="111111"/>
          <w:sz w:val="28"/>
          <w:sz w:val="28"/>
          <w:szCs w:val="28"/>
          <w:rtl w:val="true"/>
          <w:lang w:bidi="fa-IR"/>
        </w:rPr>
        <w:t xml:space="preserve">إحیاء </w:t>
      </w:r>
      <w:r>
        <w:rPr>
          <w:rStyle w:val="FootnoteAnchor"/>
          <w:rtl w:val="true"/>
        </w:rPr>
        <w:footnoteReference w:id="1435"/>
      </w:r>
      <w:r>
        <w:rPr>
          <w:rFonts w:ascii="IRNazanin" w:hAnsi="IRNazanin" w:eastAsia="IRNazanin"/>
          <w:color w:val="111111"/>
          <w:sz w:val="28"/>
          <w:sz w:val="28"/>
          <w:szCs w:val="28"/>
          <w:rtl w:val="true"/>
          <w:lang w:bidi="fa-IR"/>
        </w:rPr>
        <w:t xml:space="preserve">اللیالی أو المشی إلی الحجّ و الزیارات </w:t>
      </w:r>
      <w:r>
        <w:rPr>
          <w:rStyle w:val="FootnoteAnchor"/>
          <w:rtl w:val="true"/>
        </w:rPr>
        <w:footnoteReference w:id="1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یمنع تعسّرها عن انعقاد نذرها؛لأنّ الالتزام بها إنّما جاء من قبل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آجر نفسه لعمل شاقّ لم یمنع مشقّته من صحّة الإجارة و وجوب الوفاء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أنّ وجوب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بإتیان کلّ ما یحتمل الوجوب و ترک کلّ ما یحتمل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هو من جهة اختفاء الأحکام الشرعیّة المسبّب عن المکلّفین المقصّرین فی محافظة الآثار الصادرة عن الشارع المبیّنة للأحکام و الممیّزة للحلال عن الحرام،و هذا السبب و إن لم یکن عن </w:t>
      </w:r>
      <w:r>
        <w:rPr>
          <w:rStyle w:val="FootnoteAnchor"/>
          <w:rtl w:val="true"/>
        </w:rPr>
        <w:footnoteReference w:id="1437"/>
      </w:r>
      <w:r>
        <w:rPr>
          <w:rFonts w:ascii="IRNazanin" w:hAnsi="IRNazanin" w:eastAsia="IRNazanin"/>
          <w:color w:val="111111"/>
          <w:sz w:val="28"/>
          <w:sz w:val="28"/>
          <w:szCs w:val="28"/>
          <w:rtl w:val="true"/>
          <w:lang w:bidi="fa-IR"/>
        </w:rPr>
        <w:t>فعل کلّ 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مدخلیّة أکثر المکلّفین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التکلیف بالعسر لیس قبیحا عقلیّا حتّی یقبح أن یکلّف به من لم یکن سببا له و یختصّ عدم قبحه بمن صار التعسّر من سوء اختیاره،بل هو أمر منفیّ بالأدلّة السمعیّة،و ظاهرها أنّ المنفیّ هو جعل الأحکام الشرعیّة أوّلا و بالذات علی وجه یوجب العسر علی المکلّف،فلا ینافی عروض التعسّر لامتثالها من جهة تقصیر المقصّرین فی ضبطها و حفظها عن الاختفاء مع کون ثواب الامتثال حینئذ أکثر بمراتب</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الاجتهاد الواجب علی المکلّفین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bookmarkStart w:id="1134" w:name="pg12977_114455"/>
    </w:p>
    <w:p>
      <w:pPr>
        <w:pStyle w:val="BookText"/>
        <w:rPr/>
      </w:pPr>
      <w:bookmarkEnd w:id="1134"/>
      <w:r>
        <w:rPr>
          <w:rFonts w:ascii="IRNazanin" w:hAnsi="IRNazanin" w:eastAsia="IRNazanin"/>
          <w:color w:val="111111"/>
          <w:sz w:val="28"/>
          <w:sz w:val="28"/>
          <w:szCs w:val="28"/>
          <w:rtl w:val="true"/>
          <w:lang w:bidi="fa-IR"/>
        </w:rPr>
        <w:t>الامور الشاقّة جدّا خصوصا فی هذه الأزمنة،فهل السبب فیه إلاّ تقصیر المقصّرین الموجبین لاختفاء آثار الشریعة؟و هل یفرّق فی نفی العسر بین الوجوب الکفائیّ و العینیّ؟</w:t>
      </w:r>
    </w:p>
    <w:p>
      <w:pPr>
        <w:pStyle w:val="Heading6"/>
        <w:numPr>
          <w:ilvl w:val="5"/>
          <w:numId w:val="1"/>
        </w:numPr>
        <w:rPr/>
      </w:pPr>
      <w:bookmarkStart w:id="1135" w:name="__RefHeading___Toc5447307_3224264995"/>
      <w:bookmarkStart w:id="1136" w:name="_Toc435"/>
      <w:bookmarkEnd w:id="1135"/>
      <w:r>
        <w:rPr>
          <w:rtl w:val="true"/>
        </w:rPr>
        <w:t>جواب الإیراد الثالث</w:t>
      </w:r>
      <w:r>
        <w:rPr>
          <w:rtl w:val="true"/>
        </w:rPr>
        <w:t>:</w:t>
      </w:r>
      <w:bookmarkEnd w:id="1136"/>
    </w:p>
    <w:p>
      <w:pPr>
        <w:pStyle w:val="BookText"/>
        <w:rPr/>
      </w:pPr>
      <w:r>
        <w:rPr>
          <w:rFonts w:ascii="IRNazanin" w:hAnsi="IRNazanin" w:eastAsia="IRNazanin"/>
          <w:color w:val="111111"/>
          <w:sz w:val="28"/>
          <w:sz w:val="28"/>
          <w:szCs w:val="28"/>
          <w:rtl w:val="true"/>
          <w:lang w:bidi="fa-IR"/>
        </w:rPr>
        <w:t>و الجواب عن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أدلّة نفی العسر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البالغ منه حدّ اختلال النظام و الإضرار بامور المعاش و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فیها بین ما یکون بسبب یسند عرفا إلی الشارع،و هو الذی ارید بقولهم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غلب اللّه علیه فاللّه أولی بالعذر</w:t>
      </w:r>
      <w:r>
        <w:rPr>
          <w:rFonts w:eastAsia="IRNazanin" w:cs="IRNazanin"/>
          <w:color w:val="111111"/>
          <w:sz w:val="28"/>
          <w:szCs w:val="28"/>
          <w:rtl w:val="true"/>
          <w:lang w:bidi="fa-IR"/>
        </w:rPr>
        <w:t xml:space="preserve">» </w:t>
      </w:r>
      <w:r>
        <w:rPr>
          <w:rStyle w:val="FootnoteAnchor"/>
          <w:rtl w:val="true"/>
        </w:rPr>
        <w:footnoteReference w:id="1438"/>
      </w:r>
      <w:r>
        <w:rPr>
          <w:rFonts w:ascii="IRNazanin" w:hAnsi="IRNazanin" w:eastAsia="IRNazanin"/>
          <w:color w:val="111111"/>
          <w:sz w:val="28"/>
          <w:sz w:val="28"/>
          <w:szCs w:val="28"/>
          <w:rtl w:val="true"/>
          <w:lang w:bidi="fa-IR"/>
        </w:rPr>
        <w:t>،و بین ما یکون مسندا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وجوب صوم الدهر علی ناذره إذا کان فیه مشقّة لا یتحمّل عادة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أمثالها </w:t>
      </w:r>
      <w:r>
        <w:rPr>
          <w:rStyle w:val="FootnoteAnchor"/>
          <w:rtl w:val="true"/>
        </w:rPr>
        <w:footnoteReference w:id="1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المشی إلی بیت اللّه جلّ ذکره،و إحیاء اللیالی،و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إمکان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ما ألزمه المکلّف علی نفسه من المشاقّ </w:t>
      </w:r>
      <w:r>
        <w:rPr>
          <w:rStyle w:val="FootnoteAnchor"/>
          <w:rtl w:val="true"/>
        </w:rPr>
        <w:footnoteReference w:id="1440"/>
      </w:r>
      <w:r>
        <w:rPr>
          <w:rFonts w:ascii="IRNazanin" w:hAnsi="IRNazanin" w:eastAsia="IRNazanin"/>
          <w:color w:val="111111"/>
          <w:sz w:val="28"/>
          <w:sz w:val="28"/>
          <w:szCs w:val="28"/>
          <w:rtl w:val="true"/>
          <w:lang w:bidi="fa-IR"/>
        </w:rPr>
        <w:t>،خارج عن العمومات،لا ما کان السبب فیه نفس المکلّف، فیفرّق بین الجنابة متعمّدا فلا یجب الغسل مع المشقّة و بین إجارة النفس للمشاقّ؛فإنّ الحکم فی الأوّل تأسیس من الشارع و فی الثانی إمضاء لما ألزمه المکلّف علی نفسه،فتأمّل</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الاجتهاد الواجب کفایة عند انسداد باب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أنّه شیء یقضی بوجوبه الأدلّة القطعیّة،فلا ینظر إلی تعسّره و تیسّره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w:t>
      </w:r>
      <w:bookmarkStart w:id="1137" w:name="pg12977_114456"/>
    </w:p>
    <w:p>
      <w:pPr>
        <w:pStyle w:val="BookText"/>
        <w:rPr/>
      </w:pPr>
      <w:bookmarkEnd w:id="1137"/>
      <w:r>
        <w:rPr>
          <w:rFonts w:ascii="IRNazanin" w:hAnsi="IRNazanin" w:eastAsia="IRNazanin"/>
          <w:color w:val="111111"/>
          <w:sz w:val="28"/>
          <w:sz w:val="28"/>
          <w:szCs w:val="28"/>
          <w:rtl w:val="true"/>
          <w:lang w:bidi="fa-IR"/>
        </w:rPr>
        <w:t xml:space="preserve">لیس أمرا حرجا </w:t>
      </w:r>
      <w:r>
        <w:rPr>
          <w:rStyle w:val="FootnoteAnchor"/>
          <w:rtl w:val="true"/>
        </w:rPr>
        <w:footnoteReference w:id="1441"/>
      </w:r>
      <w:r>
        <w:rPr>
          <w:rFonts w:ascii="IRNazanin" w:hAnsi="IRNazanin" w:eastAsia="IRNazanin"/>
          <w:color w:val="111111"/>
          <w:sz w:val="28"/>
          <w:sz w:val="28"/>
          <w:szCs w:val="28"/>
          <w:rtl w:val="true"/>
          <w:lang w:bidi="fa-IR"/>
        </w:rPr>
        <w:t>،خصوصا بالنسبة إلی أهله؛فإنّ مزاولة العلوم لأهلها لیس بأشقّ من أکثر المشاغل الصعبة التی یتحمّلها الناس لمعاشهم،و کیف کان فلا یقاس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عمل العباد بالاحتیاط و مراقبة ما هو أحوط الأمرین أو الامور فی الوقائع الشخصیّة إذا دار الأمر فیها بین الاحتیاطات المتعارضة،فإنّ هذا دونه خرط القتاد؛إذ أوقات المجتهد لا یفی بتمییز </w:t>
      </w:r>
      <w:r>
        <w:rPr>
          <w:rStyle w:val="FootnoteAnchor"/>
          <w:rtl w:val="true"/>
        </w:rPr>
        <w:footnoteReference w:id="1442"/>
      </w:r>
      <w:r>
        <w:rPr>
          <w:rFonts w:ascii="IRNazanin" w:hAnsi="IRNazanin" w:eastAsia="IRNazanin"/>
          <w:color w:val="111111"/>
          <w:sz w:val="28"/>
          <w:sz w:val="28"/>
          <w:szCs w:val="28"/>
          <w:rtl w:val="true"/>
          <w:lang w:bidi="fa-IR"/>
        </w:rPr>
        <w:t xml:space="preserve">موارد الاحتیاط </w:t>
      </w:r>
      <w:r>
        <w:rPr>
          <w:rStyle w:val="FootnoteAnchor"/>
          <w:rtl w:val="true"/>
        </w:rPr>
        <w:footnoteReference w:id="1443"/>
      </w:r>
      <w:r>
        <w:rPr>
          <w:rFonts w:ascii="IRNazanin" w:hAnsi="IRNazanin" w:eastAsia="IRNazanin"/>
          <w:color w:val="111111"/>
          <w:sz w:val="28"/>
          <w:sz w:val="28"/>
          <w:szCs w:val="28"/>
          <w:rtl w:val="true"/>
          <w:lang w:bidi="fa-IR"/>
        </w:rPr>
        <w:t xml:space="preserve">،ثمّ إرشاد المقلّدین إلی ترجیح بعض الاحتیاطات علی بعض عند تعارضها فی الموارد الشخصیّة التی تتّفق </w:t>
      </w:r>
      <w:r>
        <w:rPr>
          <w:rStyle w:val="FootnoteAnchor"/>
          <w:rtl w:val="true"/>
        </w:rPr>
        <w:footnoteReference w:id="1444"/>
      </w:r>
      <w:r>
        <w:rPr>
          <w:rFonts w:ascii="IRNazanin" w:hAnsi="IRNazanin" w:eastAsia="IRNazanin"/>
          <w:color w:val="111111"/>
          <w:sz w:val="28"/>
          <w:sz w:val="28"/>
          <w:szCs w:val="28"/>
          <w:rtl w:val="true"/>
          <w:lang w:bidi="fa-IR"/>
        </w:rPr>
        <w:t>للمقلّدین،کما مثّلنا لک سابقا بالماء المستعمل فی رفع الحدث الأکبر</w:t>
      </w:r>
      <w:r>
        <w:rPr>
          <w:rFonts w:eastAsia="IRNazanin" w:cs="IRNazanin"/>
          <w:color w:val="111111"/>
          <w:sz w:val="28"/>
          <w:szCs w:val="28"/>
          <w:rtl w:val="true"/>
          <w:lang w:bidi="fa-IR"/>
        </w:rPr>
        <w:t>.</w:t>
      </w:r>
    </w:p>
    <w:p>
      <w:pPr>
        <w:pStyle w:val="Heading6"/>
        <w:numPr>
          <w:ilvl w:val="5"/>
          <w:numId w:val="1"/>
        </w:numPr>
        <w:rPr/>
      </w:pPr>
      <w:bookmarkStart w:id="1138" w:name="__RefHeading___Toc5447309_3224264995"/>
      <w:bookmarkStart w:id="1139" w:name="_Toc436"/>
      <w:bookmarkEnd w:id="1138"/>
      <w:r>
        <w:rPr>
          <w:rtl w:val="true"/>
        </w:rPr>
        <w:t>الردّ علی الاحتیاط بوجوه أخر</w:t>
      </w:r>
      <w:r>
        <w:rPr>
          <w:rtl w:val="true"/>
        </w:rPr>
        <w:t>:</w:t>
      </w:r>
      <w:bookmarkEnd w:id="1139"/>
    </w:p>
    <w:p>
      <w:pPr>
        <w:pStyle w:val="BookText"/>
        <w:rPr/>
      </w:pPr>
      <w:r>
        <w:rPr>
          <w:rFonts w:ascii="IRNazanin" w:hAnsi="IRNazanin" w:eastAsia="IRNazanin"/>
          <w:color w:val="111111"/>
          <w:sz w:val="28"/>
          <w:sz w:val="28"/>
          <w:szCs w:val="28"/>
          <w:rtl w:val="true"/>
          <w:lang w:bidi="fa-IR"/>
        </w:rPr>
        <w:t>و قد یردّ الاحتیاط بوجوه أخر غیر ما ذکرنا من الإجماع و الحرج</w:t>
      </w:r>
      <w:r>
        <w:rPr>
          <w:rFonts w:eastAsia="IRNazanin" w:cs="IRNazanin"/>
          <w:color w:val="111111"/>
          <w:sz w:val="28"/>
          <w:szCs w:val="28"/>
          <w:rtl w:val="true"/>
          <w:lang w:bidi="fa-IR"/>
        </w:rPr>
        <w:t>:</w:t>
      </w:r>
    </w:p>
    <w:p>
      <w:pPr>
        <w:pStyle w:val="Heading6"/>
        <w:numPr>
          <w:ilvl w:val="5"/>
          <w:numId w:val="1"/>
        </w:numPr>
        <w:rPr/>
      </w:pPr>
      <w:bookmarkStart w:id="1140" w:name="__RefHeading___Toc5447311_3224264995"/>
      <w:bookmarkStart w:id="1141" w:name="_Toc437"/>
      <w:bookmarkEnd w:id="1140"/>
      <w:r>
        <w:rPr>
          <w:rtl w:val="true"/>
        </w:rPr>
        <w:t>الوجه الأوّل و المناقشة فیه</w:t>
      </w:r>
      <w:r>
        <w:rPr>
          <w:rtl w:val="true"/>
        </w:rPr>
        <w:t>:</w:t>
      </w:r>
      <w:bookmarkEnd w:id="1141"/>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وجوب الاحتیاط،و أنّ الاحتیاط أمر مستحبّ إذا لم یوجب إلغاء الحقوق الواجبة</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إن ارید أنّه لا دلیل علی وجوبه فی کلّ واقعة إذا لوحظت مع قطع النظر عن العلم الإجمالیّ بوجود التکلیف </w:t>
      </w:r>
      <w:r>
        <w:rPr>
          <w:rStyle w:val="FootnoteAnchor"/>
          <w:rtl w:val="true"/>
        </w:rPr>
        <w:footnoteReference w:id="1445"/>
      </w:r>
      <w:r>
        <w:rPr>
          <w:rFonts w:ascii="IRNazanin" w:hAnsi="IRNazanin" w:eastAsia="IRNazanin"/>
          <w:color w:val="111111"/>
          <w:sz w:val="28"/>
          <w:sz w:val="28"/>
          <w:szCs w:val="28"/>
          <w:rtl w:val="true"/>
          <w:lang w:bidi="fa-IR"/>
        </w:rPr>
        <w:t>بینها و بین الوقائع الأخر،فهو مسلّم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کلّ واقعة لیست ممّا یقتضی الجهل </w:t>
      </w:r>
      <w:bookmarkStart w:id="1142" w:name="pg12977_114457"/>
    </w:p>
    <w:p>
      <w:pPr>
        <w:pStyle w:val="BookText"/>
        <w:rPr/>
      </w:pPr>
      <w:bookmarkEnd w:id="1142"/>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للاحتیاط </w:t>
      </w:r>
      <w:r>
        <w:rPr>
          <w:rStyle w:val="FootnoteAnchor"/>
          <w:rtl w:val="true"/>
        </w:rPr>
        <w:footnoteReference w:id="1446"/>
      </w:r>
      <w:r>
        <w:rPr>
          <w:rFonts w:ascii="IRNazanin" w:hAnsi="IRNazanin" w:eastAsia="IRNazanin"/>
          <w:color w:val="111111"/>
          <w:sz w:val="28"/>
          <w:sz w:val="28"/>
          <w:szCs w:val="28"/>
          <w:rtl w:val="true"/>
          <w:lang w:bidi="fa-IR"/>
        </w:rPr>
        <w:t>،بل الشکّ فیها إن رجع إلی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شرب التتن و وجوب الدعاء عند رؤیة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 فیها الاحتیاط،و إن رجع إلی تعیین المکلّف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کالشکّ فی القصر و الإتمام و الظهر و الجمعة،و کالشکّ فی مدخلیّة شیء فی العبادات بناء علی وجوب الاحتیاط فیما شکّ فی مدخلیّته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وجب فیها الاحتیاط،لکن وجوب الاحتیاط فی ما نحن فیه فی الوقائع المجهولة من جهة العلم الإجمالیّ بوجود الواجبات و المحرّمات فیها و إن کان الشکّ فی نفس الواقعة شکّا فی التکلیف؛و لذا ذکرنا سابقا </w:t>
      </w:r>
      <w:r>
        <w:rPr>
          <w:rStyle w:val="FootnoteAnchor"/>
          <w:rtl w:val="true"/>
        </w:rPr>
        <w:footnoteReference w:id="1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الاحتیاط هو مقتضی القاعدة الأوّلیّة عند انسداد باب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نعم،من لا یوجب الاحتیاط حتّی مع العلم الإجمالیّ بالتکلیف فهو مستریح عن کلفة الجواب عن الاحتیاط</w:t>
      </w:r>
      <w:r>
        <w:rPr>
          <w:rFonts w:eastAsia="IRNazanin" w:cs="IRNazanin"/>
          <w:color w:val="111111"/>
          <w:sz w:val="28"/>
          <w:szCs w:val="28"/>
          <w:rtl w:val="true"/>
          <w:lang w:bidi="fa-IR"/>
        </w:rPr>
        <w:t>.</w:t>
      </w:r>
    </w:p>
    <w:p>
      <w:pPr>
        <w:pStyle w:val="Heading6"/>
        <w:numPr>
          <w:ilvl w:val="5"/>
          <w:numId w:val="1"/>
        </w:numPr>
        <w:rPr/>
      </w:pPr>
      <w:bookmarkStart w:id="1143" w:name="__RefHeading___Toc5447313_3224264995"/>
      <w:bookmarkStart w:id="1144" w:name="_Toc438"/>
      <w:bookmarkEnd w:id="1143"/>
      <w:r>
        <w:rPr>
          <w:rtl w:val="true"/>
        </w:rPr>
        <w:t>الوجه الثانی</w:t>
      </w:r>
      <w:r>
        <w:rPr>
          <w:rtl w:val="true"/>
        </w:rPr>
        <w:t>:</w:t>
      </w:r>
      <w:r>
        <w:rPr>
          <w:rtl w:val="true"/>
        </w:rPr>
        <w:t>أنّ العمل بالاحتیاط مخالف للاحتیاط</w:t>
      </w:r>
      <w:bookmarkEnd w:id="1144"/>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العمل بالاحتیاط مخالف للاحتیاط؛لأنّ مذهب جماعة من العلماء بل المشهور بینهم اعتبار معرفة الوجه،بمعنی تمییز </w:t>
      </w:r>
      <w:r>
        <w:rPr>
          <w:rStyle w:val="FootnoteAnchor"/>
          <w:rtl w:val="true"/>
        </w:rPr>
        <w:footnoteReference w:id="1448"/>
      </w:r>
      <w:r>
        <w:rPr>
          <w:rFonts w:ascii="IRNazanin" w:hAnsi="IRNazanin" w:eastAsia="IRNazanin"/>
          <w:color w:val="111111"/>
          <w:sz w:val="28"/>
          <w:sz w:val="28"/>
          <w:szCs w:val="28"/>
          <w:rtl w:val="true"/>
          <w:lang w:bidi="fa-IR"/>
        </w:rPr>
        <w:t>الواجب عن المستحبّ اجتهادا أو تقلیدا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الإرشاد فی أوائل الصلاة</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یجب معرفة واجب أفعال الصلاة من مندوبها و إیقاع کلّ منهما </w:t>
      </w:r>
      <w:r>
        <w:rPr>
          <w:rStyle w:val="FootnoteAnchor"/>
          <w:rtl w:val="true"/>
        </w:rPr>
        <w:footnoteReference w:id="1449"/>
      </w:r>
      <w:r>
        <w:rPr>
          <w:rFonts w:ascii="IRNazanin" w:hAnsi="IRNazanin" w:eastAsia="IRNazanin"/>
          <w:color w:val="111111"/>
          <w:sz w:val="28"/>
          <w:sz w:val="28"/>
          <w:szCs w:val="28"/>
          <w:rtl w:val="true"/>
          <w:lang w:bidi="fa-IR"/>
        </w:rPr>
        <w:t xml:space="preserve">علی وجهه </w:t>
      </w:r>
      <w:r>
        <w:rPr>
          <w:rStyle w:val="FootnoteAnchor"/>
          <w:rtl w:val="true"/>
        </w:rPr>
        <w:footnoteReference w:id="1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الاحتیاط إخلال بمعرفة الوجه،التی أفتی جماعة </w:t>
      </w:r>
      <w:bookmarkStart w:id="1145" w:name="pg12977_114458"/>
    </w:p>
    <w:p>
      <w:pPr>
        <w:pStyle w:val="BookText"/>
        <w:rPr/>
      </w:pPr>
      <w:bookmarkEnd w:id="1145"/>
      <w:r>
        <w:rPr>
          <w:rFonts w:ascii="IRNazanin" w:hAnsi="IRNazanin" w:eastAsia="IRNazanin"/>
          <w:color w:val="111111"/>
          <w:sz w:val="28"/>
          <w:sz w:val="28"/>
          <w:szCs w:val="28"/>
          <w:rtl w:val="true"/>
          <w:lang w:bidi="fa-IR"/>
        </w:rPr>
        <w:t>بوجوبها و بإطلاق بطلان عبادة تارک طریقی الاجتهاد و التقلید</w:t>
      </w:r>
      <w:r>
        <w:rPr>
          <w:rFonts w:eastAsia="IRNazanin" w:cs="IRNazanin"/>
          <w:color w:val="111111"/>
          <w:sz w:val="28"/>
          <w:szCs w:val="28"/>
          <w:rtl w:val="true"/>
          <w:lang w:bidi="fa-IR"/>
        </w:rPr>
        <w:t>.</w:t>
      </w:r>
    </w:p>
    <w:p>
      <w:pPr>
        <w:pStyle w:val="Heading6"/>
        <w:numPr>
          <w:ilvl w:val="5"/>
          <w:numId w:val="1"/>
        </w:numPr>
        <w:rPr/>
      </w:pPr>
      <w:bookmarkStart w:id="1146" w:name="__RefHeading___Toc5447315_3224264995"/>
      <w:bookmarkStart w:id="1147" w:name="_Toc439"/>
      <w:bookmarkEnd w:id="1146"/>
      <w:r>
        <w:rPr>
          <w:rtl w:val="true"/>
        </w:rPr>
        <w:t>المناقشة فی هذا الوجه</w:t>
      </w:r>
      <w:bookmarkEnd w:id="1147"/>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معرفة الوجه ممّا 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للمتأمّل فی الأدلّة و فی إطلاقات العبادة و فی سیرة المسلمین و فی سیرة النبیّ صلّی اللّه علیه و آله و الأئمّة علیهم السّلام مع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الجزم بعدم اعتبارها حتّی مع التمکّن من المعرفة العلمیّة؛ و لذا ذکر المحقّق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المدارک فی باب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 حقّقه المتکلّمون من وجوب إیقاع الفعل لوجهه </w:t>
      </w:r>
      <w:r>
        <w:rPr>
          <w:rStyle w:val="FootnoteAnchor"/>
          <w:rtl w:val="true"/>
        </w:rPr>
        <w:footnoteReference w:id="1451"/>
      </w:r>
      <w:r>
        <w:rPr>
          <w:rFonts w:ascii="IRNazanin" w:hAnsi="IRNazanin" w:eastAsia="IRNazanin"/>
          <w:color w:val="111111"/>
          <w:sz w:val="28"/>
          <w:sz w:val="28"/>
          <w:szCs w:val="28"/>
          <w:rtl w:val="true"/>
          <w:lang w:bidi="fa-IR"/>
        </w:rPr>
        <w:t xml:space="preserve">أو وجه وجوبه کلام شعریّ </w:t>
      </w:r>
      <w:r>
        <w:rPr>
          <w:rStyle w:val="FootnoteAnchor"/>
          <w:rtl w:val="true"/>
        </w:rPr>
        <w:footnoteReference w:id="1452"/>
      </w:r>
      <w:r>
        <w:rPr>
          <w:rFonts w:ascii="IRNazanin" w:hAnsi="IRNazanin" w:eastAsia="IRNazanin"/>
          <w:color w:val="111111"/>
          <w:sz w:val="28"/>
          <w:sz w:val="28"/>
          <w:szCs w:val="28"/>
          <w:rtl w:val="true"/>
          <w:lang w:bidi="fa-IR"/>
        </w:rPr>
        <w:t>،و تمام الکلام فی غیر هذا المقام</w:t>
      </w:r>
      <w:r>
        <w:rPr>
          <w:rFonts w:eastAsia="IRNazanin" w:cs="IRNazanin"/>
          <w:color w:val="111111"/>
          <w:sz w:val="28"/>
          <w:szCs w:val="28"/>
          <w:rtl w:val="true"/>
          <w:lang w:bidi="fa-IR"/>
        </w:rPr>
        <w:t>.</w:t>
      </w:r>
    </w:p>
    <w:p>
      <w:pPr>
        <w:pStyle w:val="Heading6"/>
        <w:numPr>
          <w:ilvl w:val="5"/>
          <w:numId w:val="1"/>
        </w:numPr>
        <w:rPr/>
      </w:pPr>
      <w:bookmarkStart w:id="1148" w:name="__RefHeading___Toc5447317_3224264995"/>
      <w:bookmarkStart w:id="1149" w:name="_Toc440"/>
      <w:bookmarkEnd w:id="1148"/>
      <w:r>
        <w:rPr>
          <w:rtl w:val="true"/>
        </w:rPr>
        <w:t>المناقشه الثانیة فی ذلک</w:t>
      </w:r>
      <w:bookmarkEnd w:id="1149"/>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سلّمنا وجوب المعرفة أو احتمال وجوبها الموجب للاحتیاط،فإنّما هو مع التمکّن من المعرفة العلمیّة،أمّا مع عدم التمکّن فلا دلیل علیه قطعا؛لأنّ اعتبار معرفة الوجه إن کان لتوقّف نیّة الوجه علیها،فلا یخفی أنّه لا یجدی المعرفة الظنّیّة فی نیّة الوجه؛فإنّ مجرّد الظنّ بوجوب شیء لا یتأتّی معه القصد إلیه </w:t>
      </w:r>
      <w:r>
        <w:rPr>
          <w:rStyle w:val="FootnoteAnchor"/>
          <w:rtl w:val="true"/>
        </w:rPr>
        <w:footnoteReference w:id="1453"/>
      </w:r>
      <w:r>
        <w:rPr>
          <w:rFonts w:ascii="IRNazanin" w:hAnsi="IRNazanin" w:eastAsia="IRNazanin"/>
          <w:color w:val="111111"/>
          <w:sz w:val="28"/>
          <w:sz w:val="28"/>
          <w:szCs w:val="28"/>
          <w:rtl w:val="true"/>
          <w:lang w:bidi="fa-IR"/>
        </w:rPr>
        <w:t>لوجوبه؛إذ لا بدّ من الجزم بالغایة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اکتفی بمجرّد الظنّ بالوجوب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نیّة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ممّا لا یفی بوجوبه ما ذکروه فی اشتراط نیّة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الظنّ المذکور ممّا ثبت وجوب العمل به تحقّق معه نیّة الوجه الظاهریّ علی سبیل الجزم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الکلام بعد فی وجوب العمل بالظنّ</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فالتحقیق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الظنّ بالوجه إذا لم یثبت حجّیّته فهو کالشکّ فیه </w:t>
      </w:r>
    </w:p>
    <w:p>
      <w:pPr>
        <w:pStyle w:val="BookText"/>
        <w:rPr/>
      </w:pPr>
      <w:r>
        <w:rPr>
          <w:rFonts w:ascii="IRNazanin" w:hAnsi="IRNazanin" w:eastAsia="IRNazanin"/>
          <w:color w:val="111111"/>
          <w:sz w:val="28"/>
          <w:sz w:val="28"/>
          <w:szCs w:val="28"/>
          <w:rtl w:val="true"/>
          <w:lang w:bidi="fa-IR"/>
        </w:rPr>
        <w:t xml:space="preserve">لا وجه لمراعاة نیّة الوجه </w:t>
      </w:r>
      <w:r>
        <w:rPr>
          <w:rStyle w:val="FootnoteAnchor"/>
          <w:rtl w:val="true"/>
        </w:rPr>
        <w:footnoteReference w:id="1454"/>
      </w:r>
      <w:r>
        <w:rPr>
          <w:rFonts w:ascii="IRNazanin" w:hAnsi="IRNazanin" w:eastAsia="IRNazanin"/>
          <w:color w:val="111111"/>
          <w:sz w:val="28"/>
          <w:sz w:val="28"/>
          <w:szCs w:val="28"/>
          <w:rtl w:val="true"/>
          <w:lang w:bidi="fa-IR"/>
        </w:rPr>
        <w:t>معه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اعتبارها لأجل توقّف الامتثال التفصیلیّ المطلوب عقلا و شرعا </w:t>
      </w:r>
      <w:r>
        <w:rPr>
          <w:rStyle w:val="FootnoteAnchor"/>
          <w:rtl w:val="true"/>
        </w:rPr>
        <w:footnoteReference w:id="1455"/>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أجمعوا ظاهرا </w:t>
      </w:r>
      <w:r>
        <w:rPr>
          <w:rStyle w:val="FootnoteAnchor"/>
          <w:rtl w:val="true"/>
        </w:rPr>
        <w:footnoteReference w:id="1456"/>
      </w:r>
      <w:r>
        <w:rPr>
          <w:rFonts w:ascii="IRNazanin" w:hAnsi="IRNazanin" w:eastAsia="IRNazanin"/>
          <w:color w:val="111111"/>
          <w:sz w:val="28"/>
          <w:sz w:val="28"/>
          <w:szCs w:val="28"/>
          <w:rtl w:val="true"/>
          <w:lang w:bidi="fa-IR"/>
        </w:rPr>
        <w:t>علی عدم کفایة الامتثال الإجمالیّ مع التمکّن من التفصیلیّ،بأن یتمکّن من الصلاة إلی القبلة فی مکان و یصلّی فی مکان آخر غیر معلوم القبلة إلی أربع جهات،أو یصلّی فی ثوبین مشتبهین أو أکثر مرّتین أو أکثر مع إمکان صلاة واحدة فی ثوب معلوم الطهارة،إلی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ذلک إنّما هو مع التمکّن من العلم التفصیلیّ،و أمّا مع عدم التمکّن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دلیل علی ترجیح الامتثال التفصیلیّ الظنّی علی الامتثال الإجمالیّ العلمیّ؛إذ لا دلیل علی ترجیح صلاة واحدة فی مکان إلی جهة مظنونة علی الصلاة </w:t>
      </w:r>
      <w:r>
        <w:rPr>
          <w:rStyle w:val="FootnoteAnchor"/>
          <w:rtl w:val="true"/>
        </w:rPr>
        <w:footnoteReference w:id="1457"/>
      </w:r>
      <w:r>
        <w:rPr>
          <w:rFonts w:ascii="IRNazanin" w:hAnsi="IRNazanin" w:eastAsia="IRNazanin"/>
          <w:color w:val="111111"/>
          <w:sz w:val="28"/>
          <w:sz w:val="28"/>
          <w:szCs w:val="28"/>
          <w:rtl w:val="true"/>
          <w:lang w:bidi="fa-IR"/>
        </w:rPr>
        <w:t>المکرّرة فی مکان مشتبه الجهة،بل بناء العقلاء فی إطاعاتهم العرفیّة علی ترجیح العلم الإجمالیّ علی الظنّ التفصیلیّ</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فعدم جواز الاحتیاط مع التمکّن من تحصیل الظنّ ممّا لم یقم له وجه،فإن کان و لا بدّ من إثبات العمل بالظنّ فهو بعد تجویز الاحتیاط و الاعتراف برجحانه و کونه مستحبّا،بل لا یبعد ترجیح الاحتیاط علی تحصیل </w:t>
      </w:r>
      <w:r>
        <w:rPr>
          <w:rStyle w:val="FootnoteAnchor"/>
          <w:rtl w:val="true"/>
        </w:rPr>
        <w:footnoteReference w:id="1458"/>
      </w:r>
      <w:r>
        <w:rPr>
          <w:rFonts w:ascii="IRNazanin" w:hAnsi="IRNazanin" w:eastAsia="IRNazanin"/>
          <w:color w:val="111111"/>
          <w:sz w:val="28"/>
          <w:sz w:val="28"/>
          <w:szCs w:val="28"/>
          <w:rtl w:val="true"/>
          <w:lang w:bidi="fa-IR"/>
        </w:rPr>
        <w:t>الظنّ الخاصّ الذی قام الدلیل علیه بالخصوص،فتأمّل</w:t>
      </w:r>
      <w:r>
        <w:rPr>
          <w:rFonts w:eastAsia="IRNazanin" w:cs="IRNazanin"/>
          <w:color w:val="111111"/>
          <w:sz w:val="28"/>
          <w:szCs w:val="28"/>
          <w:rtl w:val="true"/>
          <w:lang w:bidi="fa-IR"/>
        </w:rPr>
        <w:t xml:space="preserve">. </w:t>
      </w:r>
      <w:bookmarkStart w:id="1150" w:name="pg12977_114460"/>
    </w:p>
    <w:p>
      <w:pPr>
        <w:pStyle w:val="BookText"/>
        <w:rPr/>
      </w:pPr>
      <w:bookmarkEnd w:id="1150"/>
      <w:r>
        <w:rPr>
          <w:rFonts w:ascii="IRNazanin" w:hAnsi="IRNazanin" w:eastAsia="IRNazanin"/>
          <w:color w:val="111111"/>
          <w:sz w:val="28"/>
          <w:sz w:val="28"/>
          <w:szCs w:val="28"/>
          <w:rtl w:val="true"/>
          <w:lang w:bidi="fa-IR"/>
        </w:rPr>
        <w:t xml:space="preserve">نعم،الاحتیاط مع التمکّن من العلم التفصیلیّ فی العبادات ممّا انعقد الإجماع ظاهرا علی عدم جوازه،کما أشرنا إلیه فی أوّل الرسالة فی مسألة اعتبار العلم الإجمالیّ و أنّه کالتفصیلیّ من جمیع الجهات أم لا، فراجع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ذکرنا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القائل بانسداد باب العلم و انحصار المناص فی مطلق الظنّ لیس له أن یتأمّل فی صحّة عبادة تارک طریقی الاجتهاد و التقلید إذا أخذ بالاحتیاط؛لأنّه لم یبطل عند انسداد باب العلم إلاّ وجوب الاحتیاط لا جوازه أو رجحانه،فالأخذ بالظنّ </w:t>
      </w:r>
      <w:r>
        <w:rPr>
          <w:rStyle w:val="FootnoteAnchor"/>
          <w:rtl w:val="true"/>
        </w:rPr>
        <w:footnoteReference w:id="1460"/>
      </w:r>
      <w:r>
        <w:rPr>
          <w:rFonts w:ascii="IRNazanin" w:hAnsi="IRNazanin" w:eastAsia="IRNazanin"/>
          <w:color w:val="111111"/>
          <w:sz w:val="28"/>
          <w:sz w:val="28"/>
          <w:szCs w:val="28"/>
          <w:rtl w:val="true"/>
          <w:lang w:bidi="fa-IR"/>
        </w:rPr>
        <w:t xml:space="preserve">و ترک الاحتیاط عنده من باب الترخیص و دفع </w:t>
      </w:r>
      <w:r>
        <w:rPr>
          <w:rStyle w:val="FootnoteAnchor"/>
          <w:rtl w:val="true"/>
        </w:rPr>
        <w:footnoteReference w:id="1461"/>
      </w:r>
      <w:r>
        <w:rPr>
          <w:rFonts w:ascii="IRNazanin" w:hAnsi="IRNazanin" w:eastAsia="IRNazanin"/>
          <w:color w:val="111111"/>
          <w:sz w:val="28"/>
          <w:sz w:val="28"/>
          <w:szCs w:val="28"/>
          <w:rtl w:val="true"/>
          <w:lang w:bidi="fa-IR"/>
        </w:rPr>
        <w:t>العسر و الحرج،لا من باب العزیمة</w:t>
      </w:r>
      <w:r>
        <w:rPr>
          <w:rFonts w:eastAsia="IRNazanin" w:cs="IRNazanin"/>
          <w:color w:val="111111"/>
          <w:sz w:val="28"/>
          <w:szCs w:val="28"/>
          <w:rtl w:val="true"/>
          <w:lang w:bidi="fa-IR"/>
        </w:rPr>
        <w:t>.</w:t>
      </w:r>
    </w:p>
    <w:p>
      <w:pPr>
        <w:pStyle w:val="Heading6"/>
        <w:numPr>
          <w:ilvl w:val="5"/>
          <w:numId w:val="1"/>
        </w:numPr>
        <w:rPr/>
      </w:pPr>
      <w:bookmarkStart w:id="1151" w:name="__RefHeading___Toc5447319_3224264995"/>
      <w:bookmarkStart w:id="1152" w:name="_Toc441"/>
      <w:bookmarkEnd w:id="1151"/>
      <w:r>
        <w:rPr>
          <w:rtl w:val="true"/>
        </w:rPr>
        <w:t>المناقشه الثالثه</w:t>
      </w:r>
      <w:bookmarkEnd w:id="1152"/>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تقدیم الامتثال التفصیلی و لو کان ظنّیا علی الإجمالیّ و لو کان علمیّا،لکنّ الجمع ممکن بین تحصیل الظنّ فی المسألة و معرفة الوجه ظنّا و القصد إلیه علی وجه الاعتقاد الظنّی،و العمل علی الاحتیاط</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حصل الظنّ بوجوب القصر فی ذهاب أربعة فراسخ، فیأتی بالقصر بالنیّة الظنّیّة الوجوبیّة،و یأتی بالإتمام بقصد القربة احتیاطا أو بقصد الندب </w:t>
      </w:r>
      <w:r>
        <w:rPr>
          <w:rStyle w:val="FootnoteAnchor"/>
          <w:rtl w:val="true"/>
        </w:rPr>
        <w:footnoteReference w:id="1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إذا حصل الظنّ بعدم وجوب السورة فی </w:t>
      </w:r>
      <w:bookmarkStart w:id="1153" w:name="pg12977_114461"/>
    </w:p>
    <w:p>
      <w:pPr>
        <w:pStyle w:val="BookText"/>
        <w:rPr/>
      </w:pPr>
      <w:bookmarkEnd w:id="1153"/>
      <w:r>
        <w:rPr>
          <w:rFonts w:ascii="IRNazanin" w:hAnsi="IRNazanin" w:eastAsia="IRNazanin"/>
          <w:color w:val="111111"/>
          <w:sz w:val="28"/>
          <w:sz w:val="28"/>
          <w:szCs w:val="28"/>
          <w:rtl w:val="true"/>
          <w:lang w:bidi="fa-IR"/>
        </w:rPr>
        <w:t xml:space="preserve">الصلاة،فینوی الصلاة الخالیة عن السورة علی وجه الوجوب،ثمّ یأتی بالسورة قربة إلی اللّه تعالی للاحتیاط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54" w:name="__RefHeading___Toc5447321_3224264995"/>
      <w:bookmarkStart w:id="1155" w:name="_Toc442"/>
      <w:bookmarkEnd w:id="1154"/>
      <w:r>
        <w:rPr>
          <w:rtl w:val="true"/>
        </w:rPr>
        <w:t>المناقشه الرابعة</w:t>
      </w:r>
      <w:bookmarkEnd w:id="1155"/>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أغمضنا عن جمیع ما ذکرنا،فنقول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الظنّ إذا لم یثبت حجّیّته فقد </w:t>
      </w:r>
      <w:r>
        <w:rPr>
          <w:rStyle w:val="FootnoteAnchor"/>
          <w:rtl w:val="true"/>
        </w:rPr>
        <w:footnoteReference w:id="1464"/>
      </w:r>
      <w:r>
        <w:rPr>
          <w:rFonts w:ascii="IRNazanin" w:hAnsi="IRNazanin" w:eastAsia="IRNazanin"/>
          <w:color w:val="111111"/>
          <w:sz w:val="28"/>
          <w:sz w:val="28"/>
          <w:szCs w:val="28"/>
          <w:rtl w:val="true"/>
          <w:lang w:bidi="fa-IR"/>
        </w:rPr>
        <w:t xml:space="preserve">کان اللازم بمقتضی العلم الإجمالیّ بوجود الواجبات و المحرّمات فی الوقائع المشتبهة هو الاحتیاط کما عرفت سابقا </w:t>
      </w:r>
      <w:r>
        <w:rPr>
          <w:rStyle w:val="FootnoteAnchor"/>
          <w:rtl w:val="true"/>
        </w:rPr>
        <w:footnoteReference w:id="1465"/>
      </w:r>
      <w:r>
        <w:rPr>
          <w:rFonts w:ascii="IRNazanin" w:hAnsi="IRNazanin" w:eastAsia="IRNazanin"/>
          <w:color w:val="111111"/>
          <w:sz w:val="28"/>
          <w:sz w:val="28"/>
          <w:szCs w:val="28"/>
          <w:rtl w:val="true"/>
          <w:lang w:bidi="fa-IR"/>
        </w:rPr>
        <w:t xml:space="preserve">،فإذا وجب الاحتیاط حصل معرفة وجه العبادة و هو الوجوب، و تأتّی نیّة الوجه </w:t>
      </w:r>
      <w:r>
        <w:rPr>
          <w:rStyle w:val="FootnoteAnchor"/>
          <w:rtl w:val="true"/>
        </w:rPr>
        <w:footnoteReference w:id="1466"/>
      </w:r>
      <w:r>
        <w:rPr>
          <w:rFonts w:ascii="IRNazanin" w:hAnsi="IRNazanin" w:eastAsia="IRNazanin"/>
          <w:color w:val="111111"/>
          <w:sz w:val="28"/>
          <w:sz w:val="28"/>
          <w:szCs w:val="28"/>
          <w:rtl w:val="true"/>
          <w:lang w:bidi="fa-IR"/>
        </w:rPr>
        <w:t xml:space="preserve">الظاهریّ کما تأتّی فی جمیع الموارد التی یفتی فیها الفقهاء بالوجوب من باب الاحتیاط و استصحاب الاشتغال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العمدة فی ردّ الاحتیاط هی ما تقدّم من الإجماع و لزوم العسر دون غیرهما</w:t>
      </w:r>
      <w:r>
        <w:rPr>
          <w:rFonts w:eastAsia="IRNazanin" w:cs="IRNazanin"/>
          <w:color w:val="111111"/>
          <w:sz w:val="28"/>
          <w:szCs w:val="28"/>
          <w:rtl w:val="true"/>
          <w:lang w:bidi="fa-IR"/>
        </w:rPr>
        <w:t xml:space="preserve">. </w:t>
      </w:r>
      <w:bookmarkStart w:id="1156" w:name="pg12977_114462"/>
    </w:p>
    <w:p>
      <w:pPr>
        <w:pStyle w:val="Heading6"/>
        <w:numPr>
          <w:ilvl w:val="5"/>
          <w:numId w:val="1"/>
        </w:numPr>
        <w:rPr/>
      </w:pPr>
      <w:bookmarkStart w:id="1157" w:name="__RefHeading___Toc5447323_3224264995"/>
      <w:bookmarkStart w:id="1158" w:name="_Toc443"/>
      <w:bookmarkEnd w:id="1156"/>
      <w:bookmarkEnd w:id="1157"/>
      <w:r>
        <w:rPr>
          <w:rtl w:val="true"/>
        </w:rPr>
        <w:t>مقتضی نفی الاحتیاط عدم وجوب مراعاة الاحتمالات الموهومة فقط</w:t>
      </w:r>
      <w:bookmarkEnd w:id="1158"/>
    </w:p>
    <w:p>
      <w:pPr>
        <w:pStyle w:val="BookText"/>
        <w:rPr/>
      </w:pPr>
      <w:r>
        <w:rPr>
          <w:rFonts w:ascii="IRNazanin" w:hAnsi="IRNazanin" w:eastAsia="IRNazanin"/>
          <w:color w:val="111111"/>
          <w:sz w:val="28"/>
          <w:sz w:val="28"/>
          <w:szCs w:val="28"/>
          <w:rtl w:val="true"/>
          <w:lang w:bidi="fa-IR"/>
        </w:rPr>
        <w:t>إلاّ أنّ هنا شیئا ینبغی أن ینبّه علیه،و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نفی الاحتیاط بالإجماع و العسر لا یثبت إلاّ أنّه لا یجب مراعاة جمیع الاحتمالات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مظنونها و مشکوکها و موهومها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یندفع العسر بترخیص موافقة الظنون المخالفة للاحتیاط کلاّ أو بعضا،بمعنی عدم وجوب مراعاة الاحتمالات الموهومة؛لأنّها الأولی بالإهمال إذا ساغ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لدفع الحرج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الاحتیاط فی مقدار ما من المحتملات یندفع به العسر،و یبقی الاحتیاط علی حاله فی الزائد علی هذا المقدار؛لما تقرّر فی مسألة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أنّه إذا کان مقتضی الاحتیاط هو الإتیان بمحتملات و قام الدلیل الشرعیّ علی عدم وجوب إتیان بعض المحتملات فی الظاهر </w:t>
      </w:r>
      <w:r>
        <w:rPr>
          <w:rStyle w:val="FootnoteAnchor"/>
          <w:rtl w:val="true"/>
        </w:rPr>
        <w:footnoteReference w:id="1468"/>
      </w:r>
      <w:r>
        <w:rPr>
          <w:rFonts w:ascii="IRNazanin" w:hAnsi="IRNazanin" w:eastAsia="IRNazanin"/>
          <w:color w:val="111111"/>
          <w:sz w:val="28"/>
          <w:sz w:val="28"/>
          <w:szCs w:val="28"/>
          <w:rtl w:val="true"/>
          <w:lang w:bidi="fa-IR"/>
        </w:rPr>
        <w:t>،تعیّن مراعاة الاحتیاط فی باقی المحتملات و لم یسقط وجوب الاحتیاط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نفرض المشتبهات التی علم إجمالا بوجود الواجبات الکثیرة فیها بین مظنونات الوجوب و مشکوکات الوجوب و موهومات الوجوب،و کان الإتیان بالکلّ عسرا أو قام الإجماع علی عدم وجوب الاحتیاط فی الجمیع،تعیّن ترک الاحتیاط و إهماله فی موهومات الوجوب،بمعنی أنّه إذا تعلّق ظنّ بعدم الوجوب لم یجب الإتیان</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هذا معنی حجّیّة الظنّ؛لأنّ الفرق بین المعنی المذکور و هو أنّ مظنون عدم الوجوب لا یجب الإتیان به،و بین حجّیّة الظنّ بمعنی کونه فی الشریعة معیارا لامتثال التکالیف الواقعیّة نفیا و إثباتا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بعبارة </w:t>
      </w:r>
    </w:p>
    <w:p>
      <w:pPr>
        <w:pStyle w:val="BookText"/>
        <w:rPr/>
      </w:pPr>
      <w:r>
        <w:rPr>
          <w:rFonts w:ascii="IRNazanin" w:hAnsi="IRNazanin" w:eastAsia="IRNazanin"/>
          <w:color w:val="111111"/>
          <w:sz w:val="28"/>
          <w:sz w:val="28"/>
          <w:szCs w:val="28"/>
          <w:rtl w:val="true"/>
          <w:lang w:bidi="fa-IR"/>
        </w:rPr>
        <w:t>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تبعیض الاحتیاط فی الموارد المشتبهة و بین جعل الظنّ فیها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الظنّ إذا کان حجّة فی الشرع کان الحکم فی الواقعة الخالیة عنه الرجوع إلی ما یقتضیه الأصل فی تلک الواقعة من دون التفات إلی العلم الإجمالیّ بوجود التکالیف الکثیرة بین المشتبهات؛ إذ حال الظنّ حینئذ کحال العلم التفصیلیّ و الظنّ الخاصّ بالوقائع، فیکون الوقائع بین معلومة الوجوب تفصیلا أو ما هو بمنزلة المعلوم، و بین مشکوک الوجوب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الظنّ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غایة الأمر بعد قیام الإجماع و نفی الحرج علی عدم لزوم الاحتیاط فی جمیع الوقائع المشتبهة التی علم إجمالا بوجود التکالیف بینها،عدم وجوب الاحتیاط بالإتیان بما ظنّ عدم وجوبه؛لأنّ ملاحظة الاحتیاط فی موهومات الوجوب خلاف الإجماع و موجب للعسر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اللازم فی الواقعة الخالیة عن الظنّ الرجوع إلی ما یقتضیه العلم الإجمالیّ المذکور من الاحتیاط؛لأنّ سقوط الاحتیاط فی سلسلة الموهومات لا یقتضی سقوطه فی المشکوکات؛ لاندفاع الحرج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القاعدة العقلیّة و النقلیّة لزوم الامتثال العلمیّ التفصیلیّ للأحکام و التکالیف المعلومة إجمالا،و مع تعذّره یتعیّن الامتثال العلمیّ الإجمالیّ و هو الاحتیاط المطلق،و مع تعذّره لو دار الأمر بین الامتثال الظنّی فی الکلّ و بین الامتثال العلمیّ الإجمالیّ فی البعض و الظنّی فی الباقی،کان الثانی هو المتعیّن عقلا و نقلا</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ففیما نحن فیه إذا تعذّر الاحتیاط الکلّی،و دار الأمر بین إلغائه بالمرّة و الاکتفاء بالإطاعة الظنّیّة،و بین إعماله فی المشکوکات و المظنونات </w:t>
      </w:r>
      <w:bookmarkStart w:id="1159" w:name="pg12977_114464"/>
    </w:p>
    <w:p>
      <w:pPr>
        <w:pStyle w:val="BookText"/>
        <w:rPr/>
      </w:pPr>
      <w:bookmarkEnd w:id="1159"/>
      <w:r>
        <w:rPr>
          <w:rFonts w:ascii="IRNazanin" w:hAnsi="IRNazanin" w:eastAsia="IRNazanin"/>
          <w:color w:val="111111"/>
          <w:sz w:val="28"/>
          <w:sz w:val="28"/>
          <w:szCs w:val="28"/>
          <w:rtl w:val="true"/>
          <w:lang w:bidi="fa-IR"/>
        </w:rPr>
        <w:t>و إلغائه فی الموهومات،کان الثانی هو المتعیّن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الحرج أیضا من الاحتیاط فی المشکوکات،خلاف الإنصاف؛لقلّة المشکوکات؛لأنّ الغالب حصول الظنّ إمّا بالوجوب و إمّا بالعدم</w:t>
      </w:r>
      <w:r>
        <w:rPr>
          <w:rFonts w:eastAsia="IRNazanin" w:cs="IRNazanin"/>
          <w:color w:val="111111"/>
          <w:sz w:val="28"/>
          <w:szCs w:val="28"/>
          <w:rtl w:val="true"/>
          <w:lang w:bidi="fa-IR"/>
        </w:rPr>
        <w:t>.</w:t>
      </w:r>
    </w:p>
    <w:p>
      <w:pPr>
        <w:pStyle w:val="Heading6"/>
        <w:numPr>
          <w:ilvl w:val="5"/>
          <w:numId w:val="1"/>
        </w:numPr>
        <w:rPr/>
      </w:pPr>
      <w:bookmarkStart w:id="1160" w:name="__RefHeading___Toc5447325_3224264995"/>
      <w:bookmarkStart w:id="1161" w:name="_Toc444"/>
      <w:bookmarkEnd w:id="1160"/>
      <w:r>
        <w:rPr>
          <w:rtl w:val="true"/>
        </w:rPr>
        <w:t>دعوی الإجماع علی عدم وجوب الاحتیاط فی المشکوکات أیضا</w:t>
      </w:r>
      <w:bookmarkEnd w:id="1161"/>
    </w:p>
    <w:p>
      <w:pPr>
        <w:pStyle w:val="BookText"/>
        <w:rPr/>
      </w:pPr>
      <w:r>
        <w:rPr>
          <w:rFonts w:ascii="IRNazanin" w:hAnsi="IRNazanin" w:eastAsia="IRNazanin"/>
          <w:color w:val="111111"/>
          <w:sz w:val="28"/>
          <w:sz w:val="28"/>
          <w:szCs w:val="28"/>
          <w:rtl w:val="true"/>
          <w:lang w:bidi="fa-IR"/>
        </w:rPr>
        <w:t>اللهمّ إلاّ أن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الإجماع علی عدم وجوب الاحتیاط فی المشکوکات أیضا،و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أنّ الشارع لا یرید الامتثال العلمیّ الإجمالیّ فی التکالیف الواقعیّة المشتبهة بین الوقائع،فیکون حاصل دعوی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انعقاده علی أنّه لا یجب شرعا الإطاعة العلمیّة الإجمالیّة فی الوقائع المشتبهة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الکلّ و لا فی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یتعیّن </w:t>
      </w:r>
      <w:r>
        <w:rPr>
          <w:rStyle w:val="FootnoteAnchor"/>
          <w:rtl w:val="true"/>
        </w:rPr>
        <w:footnoteReference w:id="1469"/>
      </w:r>
      <w:r>
        <w:rPr>
          <w:rFonts w:ascii="IRNazanin" w:hAnsi="IRNazanin" w:eastAsia="IRNazanin"/>
          <w:color w:val="111111"/>
          <w:sz w:val="28"/>
          <w:sz w:val="28"/>
          <w:szCs w:val="28"/>
          <w:rtl w:val="true"/>
          <w:lang w:bidi="fa-IR"/>
        </w:rPr>
        <w:t>الانتقال إلی الإطاعة الظنّیّة</w:t>
      </w:r>
      <w:r>
        <w:rPr>
          <w:rFonts w:eastAsia="IRNazanin" w:cs="IRNazanin"/>
          <w:color w:val="111111"/>
          <w:sz w:val="28"/>
          <w:szCs w:val="28"/>
          <w:rtl w:val="true"/>
          <w:lang w:bidi="fa-IR"/>
        </w:rPr>
        <w:t>.</w:t>
      </w:r>
    </w:p>
    <w:p>
      <w:pPr>
        <w:pStyle w:val="Heading6"/>
        <w:numPr>
          <w:ilvl w:val="5"/>
          <w:numId w:val="1"/>
        </w:numPr>
        <w:rPr/>
      </w:pPr>
      <w:bookmarkStart w:id="1162" w:name="__RefHeading___Toc5447327_3224264995"/>
      <w:bookmarkStart w:id="1163" w:name="_Toc445"/>
      <w:bookmarkEnd w:id="1162"/>
      <w:r>
        <w:rPr>
          <w:rtl w:val="true"/>
        </w:rPr>
        <w:t>الإشکال فی هذه الدعوی</w:t>
      </w:r>
      <w:bookmarkEnd w:id="1163"/>
    </w:p>
    <w:p>
      <w:pPr>
        <w:pStyle w:val="BookText"/>
        <w:rPr/>
      </w:pPr>
      <w:r>
        <w:rPr>
          <w:rFonts w:ascii="Amiri" w:hAnsi="Amiri" w:eastAsia="Amiri" w:cs="Amiri"/>
          <w:color w:val="111111"/>
          <w:sz w:val="28"/>
          <w:sz w:val="28"/>
          <w:szCs w:val="28"/>
          <w:rtl w:val="true"/>
          <w:lang w:bidi="ar-SA"/>
        </w:rPr>
        <w:t>لکنّ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دعواه مشکلة جدّا و إن کان تحقّقه مظنونا بالظنّ القویّ،لکنّه </w:t>
      </w:r>
      <w:r>
        <w:rPr>
          <w:rStyle w:val="FootnoteAnchor"/>
          <w:rtl w:val="true"/>
        </w:rPr>
        <w:footnoteReference w:id="1470"/>
      </w:r>
      <w:r>
        <w:rPr>
          <w:rFonts w:ascii="IRNazanin" w:hAnsi="IRNazanin" w:eastAsia="IRNazanin"/>
          <w:color w:val="111111"/>
          <w:sz w:val="28"/>
          <w:sz w:val="28"/>
          <w:szCs w:val="28"/>
          <w:rtl w:val="true"/>
          <w:lang w:bidi="fa-IR"/>
        </w:rPr>
        <w:t>لا ینفع ما لم ینته إلی حدّ العلم</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ظنّ بعدم وجوب الاحتیاط فی المشکوکات فقد ظنّ بأنّ المرجع فی کلّ مورد منها إلی ما یقتضیه الأصل الجاری فی ذلک المورد،فیصیر الاصول مظنونة الاعتبار فی المسائل المشکوکة، فالمظنون فی تلک المسائل عدم وجوب الواقع فیها علی المکلّف،و کفایة الرجوع إلی الاصول،و سیجیء </w:t>
      </w:r>
      <w:r>
        <w:rPr>
          <w:rStyle w:val="FootnoteAnchor"/>
          <w:rtl w:val="true"/>
        </w:rPr>
        <w:footnoteReference w:id="1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فرق فی الظنّ الثابت حجّیّته بدلیل الانسداد بین الظنّ المتعلّق بالواقع،و بین الظنّ المتعلّق بکون شیء </w:t>
      </w:r>
    </w:p>
    <w:p>
      <w:pPr>
        <w:pStyle w:val="BookText"/>
        <w:rPr/>
      </w:pPr>
      <w:r>
        <w:rPr>
          <w:rFonts w:ascii="IRNazanin" w:hAnsi="IRNazanin" w:eastAsia="IRNazanin"/>
          <w:color w:val="111111"/>
          <w:sz w:val="28"/>
          <w:sz w:val="28"/>
          <w:szCs w:val="28"/>
          <w:rtl w:val="true"/>
          <w:lang w:bidi="fa-IR"/>
        </w:rPr>
        <w:t xml:space="preserve">طریقا إلی الواقع و کون العمل به مجزیا عن الواقع و بدلا عنه و لو تخلّف عن الواقع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اعتبار الظنّ بالطریق موقوف علی هذه المسألة،بیان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قلنا ببطلان لزوم الاحتیاط فی الشریعة رأسا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اشتباه التکالیف الواقعیّة فیها،و عدم لزوم الامتثال العلمیّ الإجمالیّ حتّی فی المشکوکات،و کفایة الامتثال الظنّیّ فی جمیع تلک الواقعیّات المشتبهة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فرق بین حصول الظنّ بنفس الواقع و بین حصول الظن بقیام شیء من الامور التعبدیّة مقام الواقع فی حصول البراءة الظنّیة عن الواقع و الظنّ بسقوط الواقع فی الواقع أو فی حکم الشارع و بحسب جعله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لو لم یثبت ذلک،بل کان غایة ما ثبت هو عدم لزوم الاحتیاط بإحراز الاحتمالات الموهومة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للزوم العسر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اللازم جواز الفعل </w:t>
      </w:r>
      <w:r>
        <w:rPr>
          <w:rStyle w:val="FootnoteAnchor"/>
          <w:rtl w:val="true"/>
        </w:rPr>
        <w:footnoteReference w:id="1473"/>
      </w:r>
      <w:r>
        <w:rPr>
          <w:rFonts w:ascii="IRNazanin" w:hAnsi="IRNazanin" w:eastAsia="IRNazanin"/>
          <w:color w:val="111111"/>
          <w:sz w:val="28"/>
          <w:sz w:val="28"/>
          <w:szCs w:val="28"/>
          <w:rtl w:val="true"/>
          <w:lang w:bidi="fa-IR"/>
        </w:rPr>
        <w:t xml:space="preserve">علی خلاف الاحتیاط فی الوقائع المظنون عدم وجوبها أو عدم تحریمها،و أمّا الوقائع المشکوک وجوبها أو تحریمها فهی باقیة علی طبق مقتضی الأصل من الاحتیاط اللازم المراعاة،بل الوقائع المظنون </w:t>
      </w:r>
    </w:p>
    <w:p>
      <w:pPr>
        <w:pStyle w:val="BookText"/>
        <w:rPr/>
      </w:pPr>
      <w:r>
        <w:rPr>
          <w:rFonts w:ascii="IRNazanin" w:hAnsi="IRNazanin" w:eastAsia="IRNazanin"/>
          <w:color w:val="111111"/>
          <w:sz w:val="28"/>
          <w:sz w:val="28"/>
          <w:szCs w:val="28"/>
          <w:rtl w:val="true"/>
          <w:lang w:bidi="fa-IR"/>
        </w:rPr>
        <w:t>وجوبها أو تحریمها نحکم فیها بلزوم الفعل أو الترک؛من جهة کونها من محتملات الواجبات و المحرّمات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قام ما یظنّ کونه طریقا علی عدم وجوب أحد الموارد المشکوک وجوبها،فلا یقاس بالظنّ القائم علی عدم وجوب مورد من الموارد المشتبهة فی ترک الاحتیاط،بل اللازم هو العمل بالاحتیاط؛لأنّه من الموارد المشکوکة،و الظنّ بطریقیّة ما قام علیه لم یخرجه عن کونه مشکوکا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جمیع موارد الطرق المظنونة التی یراد إثبات اعتبار الظنّ بالطریق فیها إنّما هی من المشکوکات؛إذ لو کان نفس المورد مظنونا مع ظنّ الطریق القائم علیه لم یحتج إلی إعمال الظنّ بالطریق،و لو کان مظنونا بخلاف الطریق التعبّدیّ المظنون کونه طریقا، لتعارض الظنّ الحاصل من الطریق و الظنّ الحاصل فی المورد علی خلاف الطریق،و سیجیء الکلام فی حکمه </w:t>
      </w:r>
      <w:r>
        <w:rPr>
          <w:rStyle w:val="FootnoteAnchor"/>
          <w:rtl w:val="true"/>
        </w:rPr>
        <w:footnoteReference w:id="1474"/>
      </w:r>
      <w:r>
        <w:rPr>
          <w:rFonts w:ascii="IRNazanin" w:hAnsi="IRNazanin" w:eastAsia="IRNazanin"/>
          <w:color w:val="111111"/>
          <w:sz w:val="28"/>
          <w:sz w:val="28"/>
          <w:szCs w:val="28"/>
          <w:rtl w:val="true"/>
          <w:lang w:bidi="fa-IR"/>
        </w:rPr>
        <w:t xml:space="preserve">علی تقدیر اعتبار الظنّ بالطریق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لم یقم فی موارد الشکّ ما ظنّ طریقیّته لم یجب الاحتیاط فی ذلک المورد من جهة کونه أحد محتملات الواجبات و </w:t>
      </w:r>
      <w:r>
        <w:rPr>
          <w:rStyle w:val="FootnoteAnchor"/>
          <w:rtl w:val="true"/>
        </w:rPr>
        <w:footnoteReference w:id="1476"/>
      </w:r>
      <w:r>
        <w:rPr>
          <w:rFonts w:ascii="IRNazanin" w:hAnsi="IRNazanin" w:eastAsia="IRNazanin"/>
          <w:color w:val="111111"/>
          <w:sz w:val="28"/>
          <w:sz w:val="28"/>
          <w:szCs w:val="28"/>
          <w:rtl w:val="true"/>
          <w:lang w:bidi="fa-IR"/>
        </w:rPr>
        <w:t>المحرّمات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حکم بوجوب الاحتیاط من جهة اقتضاء </w:t>
      </w:r>
    </w:p>
    <w:p>
      <w:pPr>
        <w:pStyle w:val="BookText"/>
        <w:rPr/>
      </w:pPr>
      <w:r>
        <w:rPr>
          <w:rFonts w:ascii="IRNazanin" w:hAnsi="IRNazanin" w:eastAsia="IRNazanin"/>
          <w:color w:val="111111"/>
          <w:sz w:val="28"/>
          <w:sz w:val="28"/>
          <w:szCs w:val="28"/>
          <w:rtl w:val="true"/>
          <w:lang w:bidi="fa-IR"/>
        </w:rPr>
        <w:t>القاعدة فی نفس المسألة،کما لو کان الشکّ فیه فی المکلّف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إجماع من العلماء؛حیث لم یحتط أحد منهم فی مورد الشکّ من جهة احتمال کونه من الواجبات و المحرّمات الواقعیّة،و إن احتاط الأخباریّون فی الشبهة التحریمیّة من جهة مجرّد احتمال التحریم،فإذا کان عدم وجوب الاحتیاط إجماعیّا مع عدم قیام ما یظنّ طریقیّته علی عدم الوجوب،فمع قیامه لا یجب الاحتیاط بالأولویّة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إنّما لم یذهبوا إلی الاحتیاط فی موارد الشکّ؛ لعدم العلم الإجمالیّ لهم بالتکالیف،بل الوقائع لهم بین معلوم التکلیف تفصیلا أو مظنون لهم بالظنّ الخاصّ،و بین مشکوک التکلیف رأسا، و لا یجب الاحتیاط فی ذلک عند المجتهدین،بل عند غیرهم فی الشبهة الوجوبیّة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موضوع عمل العلماء القائلین بانفتاح باب العلم أو الظنّ الخاصّ مغایر لموضوع عمل القائلین بالانسداد،و قد نبّهنا علی ذلک غیر مرّة فی بطلان التمسّک علی بطلان البراءة و الاحتیاط بمخالفتهما لعمل العلماء،فراجع</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اعتبار الظنّ بالطریق و کونه کالظنّ بالواقع </w:t>
      </w:r>
      <w:r>
        <w:rPr>
          <w:rStyle w:val="FootnoteAnchor"/>
          <w:rtl w:val="true"/>
        </w:rPr>
        <w:footnoteReference w:id="1477"/>
      </w:r>
      <w:r>
        <w:rPr>
          <w:rFonts w:ascii="IRNazanin" w:hAnsi="IRNazanin" w:eastAsia="IRNazanin"/>
          <w:color w:val="111111"/>
          <w:sz w:val="28"/>
          <w:sz w:val="28"/>
          <w:szCs w:val="28"/>
          <w:rtl w:val="true"/>
          <w:lang w:bidi="fa-IR"/>
        </w:rPr>
        <w:t>مبنیّ علی القطع ببطلان الاحتیاط رأسا،بمعنی أنّ الشارع لم یرد منّا فی مقام امتثال الأحکام المشتبهة الامتثال العلمیّ الإجمالیّ،حتّی یستنتج من ذلک حکم العقل بکفایة الامتثال الظنّی؛لأنّه المتعیّن بعد الامتثال العلمیّ بقسمیه من التفصیلیّ و الإجمالیّ،فیلزم من ذلک ما سنختاره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عدم </w:t>
      </w:r>
      <w:bookmarkStart w:id="1164" w:name="pg12977_114468"/>
    </w:p>
    <w:p>
      <w:pPr>
        <w:pStyle w:val="BookText"/>
        <w:rPr/>
      </w:pPr>
      <w:bookmarkEnd w:id="1164"/>
      <w:r>
        <w:rPr>
          <w:rFonts w:ascii="IRNazanin" w:hAnsi="IRNazanin" w:eastAsia="IRNazanin"/>
          <w:color w:val="111111"/>
          <w:sz w:val="28"/>
          <w:sz w:val="28"/>
          <w:szCs w:val="28"/>
          <w:rtl w:val="true"/>
          <w:lang w:bidi="fa-IR"/>
        </w:rPr>
        <w:t>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کفایة الامتثال الظنّی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الظنّ بأداء الواقع و الظنّ بمتابعة طریق جعله الشارع مجزیا عن الواقع،و سیجیء تفصیل ذلک </w:t>
      </w:r>
      <w:r>
        <w:rPr>
          <w:rStyle w:val="FootnoteAnchor"/>
          <w:rtl w:val="true"/>
        </w:rPr>
        <w:footnoteReference w:id="1478"/>
      </w:r>
      <w:r>
        <w:rPr>
          <w:rFonts w:ascii="IRNazanin" w:hAnsi="IRNazanin" w:eastAsia="IRNazanin"/>
          <w:color w:val="111111"/>
          <w:sz w:val="28"/>
          <w:sz w:val="28"/>
          <w:szCs w:val="28"/>
          <w:rtl w:val="true"/>
          <w:lang w:bidi="fa-IR"/>
        </w:rPr>
        <w:t xml:space="preserve">إن شاء اللّه تعالی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65" w:name="__RefHeading___Toc5447329_3224264995"/>
      <w:bookmarkStart w:id="1166" w:name="_Toc446"/>
      <w:bookmarkEnd w:id="1165"/>
      <w:r>
        <w:rPr>
          <w:rtl w:val="true"/>
        </w:rPr>
        <w:t>إشکال آخر فی المقام</w:t>
      </w:r>
      <w:r>
        <w:rPr>
          <w:rtl w:val="true"/>
        </w:rPr>
        <w:t>:</w:t>
      </w:r>
      <w:bookmarkEnd w:id="1166"/>
    </w:p>
    <w:p>
      <w:pPr>
        <w:pStyle w:val="BookText"/>
        <w:rPr/>
      </w:pPr>
      <w:r>
        <w:rPr>
          <w:rFonts w:ascii="IRNazanin" w:hAnsi="IRNazanin" w:eastAsia="IRNazanin"/>
          <w:color w:val="111111"/>
          <w:sz w:val="28"/>
          <w:sz w:val="28"/>
          <w:szCs w:val="28"/>
          <w:rtl w:val="true"/>
          <w:lang w:bidi="fa-IR"/>
        </w:rPr>
        <w:t xml:space="preserve">و یحصل </w:t>
      </w:r>
      <w:r>
        <w:rPr>
          <w:rStyle w:val="FootnoteAnchor"/>
          <w:rtl w:val="true"/>
        </w:rPr>
        <w:footnoteReference w:id="1480"/>
      </w:r>
      <w:r>
        <w:rPr>
          <w:rFonts w:ascii="IRNazanin" w:hAnsi="IRNazanin" w:eastAsia="IRNazanin"/>
          <w:color w:val="111111"/>
          <w:sz w:val="28"/>
          <w:sz w:val="28"/>
          <w:szCs w:val="28"/>
          <w:rtl w:val="true"/>
          <w:lang w:bidi="fa-IR"/>
        </w:rPr>
        <w:t>ممّا ذکر إشکال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نفی الاحتیاط بلزوم العسر لا یوجب کون الظنّ حجّة ناهضة لتخصیص العمومات الثابتة بالظنون الخاصّة و مخالفة سائر الظواهر الموجودة فیها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باب العلم و الظنّ الخاصّ إذا فرض انسداده سقط عمومات الکتاب و السنّة المتواترة و خبر الواحد الثابت حجّیّته بالخصوص عن الاعتبار؛للعلم الإجمالیّ بمخالفة ظواهر أکثرها لمراد المتکلّم، فلا یبقی ظاهر منها علی حاله حتّی یکون الظنّ الموجود علی خلافه من باب المخصّص و المقیّد،مجازفة؛إذ لا علم و لا ظنّ بطروّ مخالفة الظاهر فی غیر الخطابات التی علم إجمالها بالخصوص،مثل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أَقِیمُوا الصَّلاةَ </w:t>
      </w:r>
      <w:r>
        <w:rPr>
          <w:rStyle w:val="FootnoteAnchor"/>
          <w:rtl w:val="true"/>
        </w:rPr>
        <w:footnoteReference w:id="1482"/>
      </w:r>
      <w:r>
        <w:rPr>
          <w:rFonts w:ascii="Amiri" w:hAnsi="Amiri" w:eastAsia="Amiri" w:cs="Amiri"/>
          <w:color w:val="111111"/>
          <w:sz w:val="28"/>
          <w:sz w:val="28"/>
          <w:szCs w:val="28"/>
          <w:rtl w:val="true"/>
          <w:lang w:bidi="ar-SA"/>
        </w:rPr>
        <w:t xml:space="preserve">و لِلّهِ عَلَی النّاسِ حِجُّ الْبَیْتِ </w:t>
      </w:r>
      <w:r>
        <w:rPr>
          <w:rStyle w:val="FootnoteAnchor"/>
          <w:rtl w:val="true"/>
        </w:rPr>
        <w:footnoteReference w:id="1483"/>
      </w:r>
      <w:r>
        <w:rPr>
          <w:rFonts w:ascii="IRNazanin" w:hAnsi="IRNazanin" w:eastAsia="IRNazanin"/>
          <w:color w:val="111111"/>
          <w:sz w:val="28"/>
          <w:sz w:val="28"/>
          <w:szCs w:val="28"/>
          <w:rtl w:val="true"/>
          <w:lang w:bidi="fa-IR"/>
        </w:rPr>
        <w:t>و شبههما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کثیر من </w:t>
      </w:r>
      <w:bookmarkStart w:id="1167" w:name="pg12977_114469"/>
    </w:p>
    <w:p>
      <w:pPr>
        <w:pStyle w:val="BookText"/>
        <w:rPr/>
      </w:pPr>
      <w:bookmarkEnd w:id="1167"/>
      <w:r>
        <w:rPr>
          <w:rFonts w:ascii="IRNazanin" w:hAnsi="IRNazanin" w:eastAsia="IRNazanin"/>
          <w:color w:val="111111"/>
          <w:sz w:val="28"/>
          <w:sz w:val="28"/>
          <w:szCs w:val="28"/>
          <w:rtl w:val="true"/>
          <w:lang w:bidi="fa-IR"/>
        </w:rPr>
        <w:t xml:space="preserve">العمومات التی لا نعلم </w:t>
      </w:r>
      <w:r>
        <w:rPr>
          <w:rStyle w:val="FootnoteAnchor"/>
          <w:rtl w:val="true"/>
        </w:rPr>
        <w:footnoteReference w:id="1484"/>
      </w:r>
      <w:r>
        <w:rPr>
          <w:rFonts w:ascii="IRNazanin" w:hAnsi="IRNazanin" w:eastAsia="IRNazanin"/>
          <w:color w:val="111111"/>
          <w:sz w:val="28"/>
          <w:sz w:val="28"/>
          <w:szCs w:val="28"/>
          <w:rtl w:val="true"/>
          <w:lang w:bidi="fa-IR"/>
        </w:rPr>
        <w:t xml:space="preserve">بإجمال کلّ منها،فلا نعلم و لا نظنّ </w:t>
      </w:r>
      <w:r>
        <w:rPr>
          <w:rStyle w:val="FootnoteAnchor"/>
          <w:rtl w:val="true"/>
        </w:rPr>
        <w:footnoteReference w:id="1485"/>
      </w:r>
      <w:r>
        <w:rPr>
          <w:rFonts w:ascii="IRNazanin" w:hAnsi="IRNazanin" w:eastAsia="IRNazanin"/>
          <w:color w:val="111111"/>
          <w:sz w:val="28"/>
          <w:sz w:val="28"/>
          <w:szCs w:val="28"/>
          <w:rtl w:val="true"/>
          <w:lang w:bidi="fa-IR"/>
        </w:rPr>
        <w:t>بثبوت المجمل بینها لأجل طروّ التخصیص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سیجیء بیان ذلک عند التعرّض لحال نتیجة المقدّمات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حال الاحتیاط فی جمیع الوقائع</w:t>
      </w:r>
      <w:r>
        <w:rPr>
          <w:rFonts w:eastAsia="IRNazanin" w:cs="IRNazanin"/>
          <w:color w:val="111111"/>
          <w:sz w:val="28"/>
          <w:szCs w:val="28"/>
          <w:rtl w:val="true"/>
          <w:lang w:bidi="fa-IR"/>
        </w:rPr>
        <w:t>.</w:t>
      </w:r>
    </w:p>
    <w:p>
      <w:pPr>
        <w:pStyle w:val="Heading6"/>
        <w:numPr>
          <w:ilvl w:val="5"/>
          <w:numId w:val="1"/>
        </w:numPr>
        <w:rPr/>
      </w:pPr>
      <w:bookmarkStart w:id="1168" w:name="__RefHeading___Toc5447331_3224264995"/>
      <w:bookmarkStart w:id="1169" w:name="_Toc447"/>
      <w:bookmarkEnd w:id="1168"/>
      <w:r>
        <w:rPr>
          <w:rtl w:val="true"/>
        </w:rPr>
        <w:t>بطلان الرجوع فی کلّ واقعة إلی ما یقتضیه الأصل</w:t>
      </w:r>
      <w:bookmarkEnd w:id="1169"/>
    </w:p>
    <w:p>
      <w:pPr>
        <w:pStyle w:val="BookText"/>
        <w:rPr/>
      </w:pPr>
      <w:r>
        <w:rPr>
          <w:rFonts w:ascii="IRNazanin" w:hAnsi="IRNazanin" w:eastAsia="IRNazanin"/>
          <w:color w:val="111111"/>
          <w:sz w:val="28"/>
          <w:sz w:val="28"/>
          <w:szCs w:val="28"/>
          <w:rtl w:val="true"/>
          <w:lang w:bidi="fa-IR"/>
        </w:rPr>
        <w:t>و أمّا الرجوع فی کلّ واقعة إلی ما یقتضیه الأصل فی تلک الواقعة من غیر التفات إلی العلم الإجمالیّ بوجود الواجبات و المحرّمات بین الوقائع،بأن یلاحظ نفس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فیها حکم سابق یحتمل بقاؤه استصحب،کالماء المتغیّر بعد زوال التغییر،و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الشکّ فی أصل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کشرب التتن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اجری البراءة،و إن کان الشکّ فی تعیین المکلّف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القصر و الإتمام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أمکن الاحتیاط وجب، و إلاّ تخیّر،کما إذا کان الشکّ فی تعیین التکلیف الإلزامیّ،کما إذا دار الأمر بین الوجوب و التحریم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العلم الإجمالیّ بوجود الواجبات و المحرّمات یمنع عن إجراء البراءة و الاستصحاب المطابق لها </w:t>
      </w:r>
      <w:r>
        <w:rPr>
          <w:rStyle w:val="FootnoteAnchor"/>
          <w:rtl w:val="true"/>
        </w:rPr>
        <w:footnoteReference w:id="1486"/>
      </w:r>
      <w:r>
        <w:rPr>
          <w:rFonts w:ascii="IRNazanin" w:hAnsi="IRNazanin" w:eastAsia="IRNazanin"/>
          <w:color w:val="111111"/>
          <w:sz w:val="28"/>
          <w:sz w:val="28"/>
          <w:szCs w:val="28"/>
          <w:rtl w:val="true"/>
          <w:lang w:bidi="fa-IR"/>
        </w:rPr>
        <w:t xml:space="preserve">المخالف للاحتیاط،بل و کذا العلم الإجمالیّ بوجود غیر الواجبات و المحرّمات فی الاستصحابات المطابقة للاحتیاط یمنع عن العمل بالاستصحابات من حیث إنّها استصحابات </w:t>
      </w:r>
      <w:r>
        <w:rPr>
          <w:rStyle w:val="FootnoteAnchor"/>
          <w:rtl w:val="true"/>
        </w:rPr>
        <w:footnoteReference w:id="1487"/>
      </w:r>
      <w:r>
        <w:rPr>
          <w:rFonts w:ascii="IRNazanin" w:hAnsi="IRNazanin" w:eastAsia="IRNazanin"/>
          <w:color w:val="111111"/>
          <w:sz w:val="28"/>
          <w:sz w:val="28"/>
          <w:szCs w:val="28"/>
          <w:rtl w:val="true"/>
          <w:lang w:bidi="fa-IR"/>
        </w:rPr>
        <w:t xml:space="preserve">،و إن کان لا یمنع عن العمل بها من حیث الاحتیاط، </w:t>
      </w:r>
      <w:bookmarkStart w:id="1170" w:name="pg12977_114470"/>
    </w:p>
    <w:p>
      <w:pPr>
        <w:pStyle w:val="BookText"/>
        <w:rPr/>
      </w:pPr>
      <w:bookmarkEnd w:id="1170"/>
      <w:r>
        <w:rPr>
          <w:rFonts w:ascii="IRNazanin" w:hAnsi="IRNazanin" w:eastAsia="IRNazanin"/>
          <w:color w:val="111111"/>
          <w:sz w:val="28"/>
          <w:sz w:val="28"/>
          <w:szCs w:val="28"/>
          <w:rtl w:val="true"/>
          <w:lang w:bidi="fa-IR"/>
        </w:rPr>
        <w:t>لکنّ الاحتیاط فی جمیع ذلک یوجب العسر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فالعمل بالاصول النافیة للتکلیف فی مواردها مستلزم للمخالفة القطعیّة الکثیرة،و بالاصول المثبتة للتکلیف من الاحتیاط و الاستصحاب مستلزم للحرج؛و هذا لکثرة المشتبهات فی المقامین،کما لا یخفی علی المتأمّل</w:t>
      </w:r>
      <w:r>
        <w:rPr>
          <w:rFonts w:eastAsia="IRNazanin" w:cs="IRNazanin"/>
          <w:color w:val="111111"/>
          <w:sz w:val="28"/>
          <w:szCs w:val="28"/>
          <w:rtl w:val="true"/>
          <w:lang w:bidi="fa-IR"/>
        </w:rPr>
        <w:t>.</w:t>
      </w:r>
    </w:p>
    <w:p>
      <w:pPr>
        <w:pStyle w:val="Heading6"/>
        <w:numPr>
          <w:ilvl w:val="5"/>
          <w:numId w:val="1"/>
        </w:numPr>
        <w:rPr/>
      </w:pPr>
      <w:bookmarkStart w:id="1171" w:name="__RefHeading___Toc5447333_3224264995"/>
      <w:bookmarkStart w:id="1172" w:name="_Toc448"/>
      <w:bookmarkEnd w:id="1171"/>
      <w:r>
        <w:rPr>
          <w:rtl w:val="true"/>
        </w:rPr>
        <w:t>بطلان الرجوع إلی فتوی العالم و تقلیده</w:t>
      </w:r>
      <w:bookmarkEnd w:id="1172"/>
    </w:p>
    <w:p>
      <w:pPr>
        <w:pStyle w:val="BookText"/>
        <w:rPr/>
      </w:pPr>
      <w:r>
        <w:rPr>
          <w:rFonts w:ascii="IRNazanin" w:hAnsi="IRNazanin" w:eastAsia="IRNazanin"/>
          <w:color w:val="111111"/>
          <w:sz w:val="28"/>
          <w:sz w:val="28"/>
          <w:szCs w:val="28"/>
          <w:rtl w:val="true"/>
          <w:lang w:bidi="fa-IR"/>
        </w:rPr>
        <w:t>و أمّا رجوع هذا الجاهل الذی انسدّ علیه باب العلم فی المسائل المشتبهة إلی فتوی العالم بها و تقلیده فیها،فهو باطل؛لوجهین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الجاهل الذی وظیفته الرجوع إلی العالم هو الجاهل العاجز عن الفحص،و أمّا الجاهل الذی بذل الجهد و شاهد مستند العالم و غلّطه فی استناده إلیه و اعتقاده عنه،فلا دلیل علی حجّیّة فتواه بالنسبة إلیه،و لیست فتواه من الطرق المقرّرة لهذا الجاهل؛فإنّ من یخطّئ القائل بحجّیّة خبر الواحد فی فهم دلالة آیة النبأ علیها کیف یجوز له متابعته؟و أیّ مزیّة له علیه حتّی یجب رجوعه إلیه و لا یجب العکس؟</w:t>
      </w:r>
    </w:p>
    <w:p>
      <w:pPr>
        <w:pStyle w:val="BookText"/>
        <w:rPr/>
      </w:pPr>
      <w:r>
        <w:rPr>
          <w:rFonts w:ascii="IRNazanin" w:hAnsi="IRNazanin" w:eastAsia="IRNazanin"/>
          <w:color w:val="111111"/>
          <w:sz w:val="28"/>
          <w:sz w:val="28"/>
          <w:szCs w:val="28"/>
          <w:rtl w:val="true"/>
          <w:lang w:bidi="fa-IR"/>
        </w:rPr>
        <w:t>و هذا هو الوجه فیما أجمع علیه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المجتهد إذا لم یجد دلیلا فی المسألة علی التکلیف کان حکمه الرجوع إلی البراءة،لا إلی من یعتقد وجود الدلیل علی التکلیف</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اعتقاد مجتهد لیس حجّة علی مجتهد آخر خال عن ذلک </w:t>
      </w:r>
      <w:r>
        <w:rPr>
          <w:rStyle w:val="FootnoteAnchor"/>
          <w:rtl w:val="true"/>
        </w:rPr>
        <w:footnoteReference w:id="1488"/>
      </w:r>
      <w:r>
        <w:rPr>
          <w:rFonts w:ascii="IRNazanin" w:hAnsi="IRNazanin" w:eastAsia="IRNazanin"/>
          <w:color w:val="111111"/>
          <w:sz w:val="28"/>
          <w:sz w:val="28"/>
          <w:szCs w:val="28"/>
          <w:rtl w:val="true"/>
          <w:lang w:bidi="fa-IR"/>
        </w:rPr>
        <w:t xml:space="preserve">الاعتقاد،و أدلّة وجوب رجوع الجاهل إلی العالم یراد بها العالم </w:t>
      </w:r>
    </w:p>
    <w:p>
      <w:pPr>
        <w:pStyle w:val="BookText"/>
        <w:rPr/>
      </w:pPr>
      <w:r>
        <w:rPr>
          <w:rFonts w:ascii="IRNazanin" w:hAnsi="IRNazanin" w:eastAsia="IRNazanin"/>
          <w:color w:val="111111"/>
          <w:sz w:val="28"/>
          <w:sz w:val="28"/>
          <w:szCs w:val="28"/>
          <w:rtl w:val="true"/>
          <w:lang w:bidi="fa-IR"/>
        </w:rPr>
        <w:t xml:space="preserve">الذی یختفی منشأ علمه علی ذلک الجاهل </w:t>
      </w:r>
      <w:r>
        <w:rPr>
          <w:rStyle w:val="FootnoteAnchor"/>
          <w:rtl w:val="true"/>
        </w:rPr>
        <w:footnoteReference w:id="1489"/>
      </w:r>
      <w:r>
        <w:rPr>
          <w:rFonts w:ascii="IRNazanin" w:hAnsi="IRNazanin" w:eastAsia="IRNazanin"/>
          <w:color w:val="111111"/>
          <w:sz w:val="28"/>
          <w:sz w:val="28"/>
          <w:szCs w:val="28"/>
          <w:rtl w:val="true"/>
          <w:lang w:bidi="fa-IR"/>
        </w:rPr>
        <w:t xml:space="preserve">،لا مجرّد المعتقد </w:t>
      </w:r>
      <w:r>
        <w:rPr>
          <w:rStyle w:val="FootnoteAnchor"/>
          <w:rtl w:val="true"/>
        </w:rPr>
        <w:footnoteReference w:id="1490"/>
      </w:r>
      <w:r>
        <w:rPr>
          <w:rFonts w:ascii="IRNazanin" w:hAnsi="IRNazanin" w:eastAsia="IRNazanin"/>
          <w:color w:val="111111"/>
          <w:sz w:val="28"/>
          <w:sz w:val="28"/>
          <w:szCs w:val="28"/>
          <w:rtl w:val="true"/>
          <w:lang w:bidi="fa-IR"/>
        </w:rPr>
        <w:t>بالحکم، و لا فرق بین المجتهدین المعتقدین المختلفین فی الاعتقاد،و بین المجتهدین اللذین أحدهما اعتقد الحکم عن دلالة،و الآخر اعتقد فساد تلک الدلالة فلم یحصل له اعتقاد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شیء مطّرد فی باب مطلق رجوع الجاهل إلی العالم،شاهدا کان أو مفتیا أو </w:t>
      </w:r>
      <w:r>
        <w:rPr>
          <w:rStyle w:val="FootnoteAnchor"/>
          <w:rtl w:val="true"/>
        </w:rPr>
        <w:footnoteReference w:id="1491"/>
      </w:r>
      <w:r>
        <w:rPr>
          <w:rFonts w:ascii="IRNazanin" w:hAnsi="IRNazanin" w:eastAsia="IRNazanin"/>
          <w:color w:val="111111"/>
          <w:sz w:val="28"/>
          <w:sz w:val="28"/>
          <w:szCs w:val="28"/>
          <w:rtl w:val="true"/>
          <w:lang w:bidi="fa-IR"/>
        </w:rPr>
        <w:t>غیرهما</w:t>
      </w:r>
      <w:r>
        <w:rPr>
          <w:rFonts w:eastAsia="IRNazanin" w:cs="IRNazanin"/>
          <w:color w:val="111111"/>
          <w:sz w:val="28"/>
          <w:szCs w:val="28"/>
          <w:rtl w:val="true"/>
          <w:lang w:bidi="fa-IR"/>
        </w:rPr>
        <w:t xml:space="preserve">. </w:t>
      </w:r>
      <w:bookmarkStart w:id="1173" w:name="pg12977_114472"/>
    </w:p>
    <w:p>
      <w:pPr>
        <w:pStyle w:val="Heading6"/>
        <w:numPr>
          <w:ilvl w:val="5"/>
          <w:numId w:val="1"/>
        </w:numPr>
        <w:rPr/>
      </w:pPr>
      <w:bookmarkStart w:id="1174" w:name="__RefHeading___Toc5447335_3224264995"/>
      <w:bookmarkStart w:id="1175" w:name="_Toc449"/>
      <w:bookmarkEnd w:id="1173"/>
      <w:bookmarkEnd w:id="1174"/>
      <w:r>
        <w:rPr>
          <w:rtl w:val="true"/>
        </w:rPr>
        <w:t>المقدّمة الرابعة</w:t>
      </w:r>
      <w:r>
        <w:rPr>
          <w:rtl w:val="true"/>
        </w:rPr>
        <w:t>:</w:t>
      </w:r>
      <w:r>
        <w:rPr>
          <w:rtl w:val="true"/>
        </w:rPr>
        <w:t>تعیّن العمل بمطلق الظنّ</w:t>
      </w:r>
      <w:bookmarkEnd w:id="1175"/>
    </w:p>
    <w:p>
      <w:pPr>
        <w:pStyle w:val="BookText"/>
        <w:rPr/>
      </w:pPr>
      <w:r>
        <w:rPr>
          <w:rFonts w:ascii="IRNazanin" w:hAnsi="IRNazanin" w:eastAsia="IRNazanin"/>
          <w:color w:val="111111"/>
          <w:sz w:val="28"/>
          <w:sz w:val="28"/>
          <w:szCs w:val="28"/>
          <w:rtl w:val="true"/>
          <w:lang w:bidi="fa-IR"/>
        </w:rPr>
        <w:t xml:space="preserve">فی أنّه إذا وجب التعرّض لامتثال الأحکام المشتبهة و لم یجز إهمالها بالمرّة کما هو مقتضی المقدّمة الثانیة </w:t>
      </w:r>
      <w:r>
        <w:rPr>
          <w:rStyle w:val="FootnoteAnchor"/>
          <w:rtl w:val="true"/>
        </w:rPr>
        <w:footnoteReference w:id="1492"/>
      </w:r>
      <w:r>
        <w:rPr>
          <w:rFonts w:ascii="IRNazanin" w:hAnsi="IRNazanin" w:eastAsia="IRNazanin"/>
          <w:color w:val="111111"/>
          <w:sz w:val="28"/>
          <w:sz w:val="28"/>
          <w:szCs w:val="28"/>
          <w:rtl w:val="true"/>
          <w:lang w:bidi="fa-IR"/>
        </w:rPr>
        <w:t xml:space="preserve">،و ثبت عدم وجوب کون الامتثال علی وجه الاحتیاط و عدم جواز الرجوع فیه إلی الاصول الشرعیّة،کما هو مقتضی المقدّمة الثالثة،تعیّن بحکم العقل </w:t>
      </w:r>
      <w:r>
        <w:rPr>
          <w:rStyle w:val="FootnoteAnchor"/>
          <w:rtl w:val="true"/>
        </w:rPr>
        <w:footnoteReference w:id="1493"/>
      </w:r>
      <w:r>
        <w:rPr>
          <w:rFonts w:ascii="IRNazanin" w:hAnsi="IRNazanin" w:eastAsia="IRNazanin"/>
          <w:color w:val="111111"/>
          <w:sz w:val="28"/>
          <w:sz w:val="28"/>
          <w:szCs w:val="28"/>
          <w:rtl w:val="true"/>
          <w:lang w:bidi="fa-IR"/>
        </w:rPr>
        <w:t>التعرّض لامتثالها علی وجه الظنّ بالواقع فیها؛إذ لیس بعد الامتثال العلمیّ و الظنّی بالظنّ الخاصّ المعتبر فی الشریعة امتثال مقدّم علی الامتثال الظنّی</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وجب عقلا أو شرعا التعرّض لامتثال الحکم الشرعیّ،فله مراتب أربع</w:t>
      </w:r>
      <w:r>
        <w:rPr>
          <w:rFonts w:eastAsia="IRNazanin" w:cs="IRNazanin"/>
          <w:color w:val="111111"/>
          <w:sz w:val="28"/>
          <w:szCs w:val="28"/>
          <w:rtl w:val="true"/>
          <w:lang w:bidi="fa-IR"/>
        </w:rPr>
        <w:t xml:space="preserve">: </w:t>
      </w:r>
      <w:bookmarkStart w:id="1176" w:name="pg12977_114473"/>
    </w:p>
    <w:p>
      <w:pPr>
        <w:pStyle w:val="Heading6"/>
        <w:numPr>
          <w:ilvl w:val="5"/>
          <w:numId w:val="1"/>
        </w:numPr>
        <w:rPr/>
      </w:pPr>
      <w:bookmarkStart w:id="1177" w:name="__RefHeading___Toc5447337_3224264995"/>
      <w:bookmarkStart w:id="1178" w:name="_Toc450"/>
      <w:bookmarkEnd w:id="1176"/>
      <w:bookmarkEnd w:id="1177"/>
      <w:r>
        <w:rPr>
          <w:rtl w:val="true"/>
        </w:rPr>
        <w:t>مراتب امتثال الحکم الشرعی</w:t>
      </w:r>
      <w:bookmarkEnd w:id="1178"/>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الامتثال العلمی التفصیلی،و هو أن یأتی بما یعلم تفصیلا أنّه هو المکلّف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معناه ما إذا ثبت کونه هو المکلّف به بالطریق الشرعیّ و إن لم یفد العلم و لا الظنّ،کالاصول الجاریة فی مواردها،و فتوی المجتهد بالنسبة إلی الجاهل العاجز عن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الامتثال العلمیّ الإجمالیّ،و هو یحصل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الامتثال الظنّی،و هو أن یأتی بما یظنّ أنّه المکلّف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الامتثال الاحتمالیّ،کالتعبّد بأحد طرفی المسألة من الوجوب و التحریم،أو التعبّد ببعض محتملات المکلّف به عند عدم وجوب الاحتیاط أو عدم إمکانه</w:t>
      </w:r>
      <w:r>
        <w:rPr>
          <w:rFonts w:eastAsia="IRNazanin" w:cs="IRNazanin"/>
          <w:color w:val="111111"/>
          <w:sz w:val="28"/>
          <w:szCs w:val="28"/>
          <w:rtl w:val="true"/>
          <w:lang w:bidi="fa-IR"/>
        </w:rPr>
        <w:t>.</w:t>
      </w:r>
    </w:p>
    <w:p>
      <w:pPr>
        <w:pStyle w:val="Heading6"/>
        <w:numPr>
          <w:ilvl w:val="5"/>
          <w:numId w:val="1"/>
        </w:numPr>
        <w:rPr/>
      </w:pPr>
      <w:bookmarkStart w:id="1179" w:name="__RefHeading___Toc5447339_3224264995"/>
      <w:bookmarkStart w:id="1180" w:name="_Toc451"/>
      <w:bookmarkEnd w:id="1179"/>
      <w:r>
        <w:rPr>
          <w:rtl w:val="true"/>
        </w:rPr>
        <w:t>ترتّب هذه المراتب</w:t>
      </w:r>
      <w:bookmarkEnd w:id="1180"/>
    </w:p>
    <w:p>
      <w:pPr>
        <w:pStyle w:val="BookText"/>
        <w:rPr/>
      </w:pPr>
      <w:r>
        <w:rPr>
          <w:rFonts w:ascii="IRNazanin" w:hAnsi="IRNazanin" w:eastAsia="IRNazanin"/>
          <w:color w:val="111111"/>
          <w:sz w:val="28"/>
          <w:sz w:val="28"/>
          <w:szCs w:val="28"/>
          <w:rtl w:val="true"/>
          <w:lang w:bidi="fa-IR"/>
        </w:rPr>
        <w:t xml:space="preserve">و هذه المراتب مترتّبة لا یجوز بحکم العقل العدول عن سابقتها إلی لاحقتها </w:t>
      </w:r>
      <w:r>
        <w:rPr>
          <w:rStyle w:val="FootnoteAnchor"/>
          <w:rtl w:val="true"/>
        </w:rPr>
        <w:footnoteReference w:id="1494"/>
      </w:r>
      <w:r>
        <w:rPr>
          <w:rFonts w:ascii="Amiri" w:hAnsi="Amiri" w:eastAsia="Amiri" w:cs="Amiri"/>
          <w:color w:val="111111"/>
          <w:sz w:val="28"/>
          <w:sz w:val="28"/>
          <w:szCs w:val="28"/>
          <w:rtl w:val="true"/>
          <w:lang w:bidi="ar-SA"/>
        </w:rPr>
        <w:t xml:space="preserve">إلاّ مع تعذّرها،علی إشکال فی الأوّلین تقدّم </w:t>
      </w:r>
      <w:r>
        <w:rPr>
          <w:rStyle w:val="FootnoteAnchor"/>
          <w:rtl w:val="true"/>
        </w:rPr>
        <w:footnoteReference w:id="1495"/>
      </w:r>
      <w:r>
        <w:rPr>
          <w:rFonts w:ascii="IRNazanin" w:hAnsi="IRNazanin" w:eastAsia="IRNazanin"/>
          <w:color w:val="111111"/>
          <w:sz w:val="28"/>
          <w:sz w:val="28"/>
          <w:szCs w:val="28"/>
          <w:rtl w:val="true"/>
          <w:lang w:bidi="fa-IR"/>
        </w:rPr>
        <w:t xml:space="preserve">فی أوّل الکتاب </w:t>
      </w:r>
      <w:r>
        <w:rPr>
          <w:rStyle w:val="FootnoteAnchor"/>
          <w:rtl w:val="true"/>
        </w:rPr>
        <w:footnoteReference w:id="1496"/>
      </w:r>
      <w:r>
        <w:rPr>
          <w:rFonts w:ascii="IRNazanin" w:hAnsi="IRNazanin" w:eastAsia="IRNazanin"/>
          <w:color w:val="111111"/>
          <w:sz w:val="28"/>
          <w:sz w:val="28"/>
          <w:szCs w:val="28"/>
          <w:rtl w:val="true"/>
          <w:lang w:bidi="fa-IR"/>
        </w:rPr>
        <w:t>،و حینئذ فإذا تعذّرت المرتبة الاولی و لم یجب الثانیة تعیّنت الثالثة،و لا یجوز الاکتفاء بالرابعة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فاندفع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زعمه بعض </w:t>
      </w:r>
      <w:r>
        <w:rPr>
          <w:rStyle w:val="FootnoteAnchor"/>
          <w:rtl w:val="true"/>
        </w:rPr>
        <w:footnoteReference w:id="1497"/>
      </w:r>
      <w:r>
        <w:rPr>
          <w:rFonts w:ascii="IRNazanin" w:hAnsi="IRNazanin" w:eastAsia="IRNazanin"/>
          <w:color w:val="111111"/>
          <w:sz w:val="28"/>
          <w:sz w:val="28"/>
          <w:szCs w:val="28"/>
          <w:rtl w:val="true"/>
          <w:lang w:bidi="fa-IR"/>
        </w:rPr>
        <w:t>من تصدّی لردّ دلیل الانسداد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بأنّه لا یلزم من إبطال الرجوع إلی البراءة و وجوب العمل بالاحتیاط </w:t>
      </w:r>
      <w:bookmarkStart w:id="1181" w:name="pg12977_114474"/>
    </w:p>
    <w:p>
      <w:pPr>
        <w:pStyle w:val="BookText"/>
        <w:rPr/>
      </w:pPr>
      <w:bookmarkEnd w:id="1181"/>
      <w:r>
        <w:rPr>
          <w:rFonts w:ascii="IRNazanin" w:hAnsi="IRNazanin" w:eastAsia="IRNazanin"/>
          <w:color w:val="111111"/>
          <w:sz w:val="28"/>
          <w:sz w:val="28"/>
          <w:szCs w:val="28"/>
          <w:rtl w:val="true"/>
          <w:lang w:bidi="fa-IR"/>
        </w:rPr>
        <w:t>وجوب العمل بالظنّ؛لجواز أن یکون المرجع شیئا آخر لا نعلمه،مثل القرعة و التقلید أو غیرهما ممّا لا نعلمه،فعلی المستدلّ سدّ باب هذه الاحتمالات،و المانع یکفیه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الاندفاع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الاغماض عن الإجماع علی عدم الرجوع إلی القرعة و ما بعدها </w:t>
      </w:r>
      <w:r>
        <w:rPr>
          <w:rStyle w:val="FootnoteAnchor"/>
          <w:rtl w:val="true"/>
        </w:rPr>
        <w:footnoteReference w:id="1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احتمال کون شیء غیر الظنّ طریقا شرعیّا لا یوجب العدول عن الظنّ إلیه؛لأنّ الأخذ بمقابل المظنون قبیح فی مقام امتثال الواقع و إن قام علیه ما یحتمل أن یکون طریقا شرعیّا؛ إذ مجرّد الاحتمال لا یجدی فی طرح الطرف المظنون؛فإنّ العدول عن الظنّ إلی الوهم و الشکّ قبیح</w:t>
      </w:r>
      <w:r>
        <w:rPr>
          <w:rFonts w:eastAsia="IRNazanin" w:cs="IRNazanin"/>
          <w:color w:val="111111"/>
          <w:sz w:val="28"/>
          <w:szCs w:val="28"/>
          <w:rtl w:val="true"/>
          <w:lang w:bidi="fa-IR"/>
        </w:rPr>
        <w:t>.</w:t>
      </w:r>
    </w:p>
    <w:p>
      <w:pPr>
        <w:pStyle w:val="Heading6"/>
        <w:numPr>
          <w:ilvl w:val="5"/>
          <w:numId w:val="1"/>
        </w:numPr>
        <w:rPr/>
      </w:pPr>
      <w:bookmarkStart w:id="1182" w:name="__RefHeading___Toc5447341_3224264995"/>
      <w:bookmarkStart w:id="1183" w:name="_Toc452"/>
      <w:bookmarkEnd w:id="1182"/>
      <w:r>
        <w:rPr>
          <w:rtl w:val="true"/>
        </w:rPr>
        <w:t>الامتثال الظنّی بعد تعذّر العلمی لا یحتاج إلی جعل جاعل</w:t>
      </w:r>
      <w:bookmarkEnd w:id="1183"/>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کما لا یحتاج الامتثال العلمیّ إلی جعل جاعل، فکذلک الامتثال الظنّی بعد تعذّر الامتثال العلمیّ و فرض عدم سقوط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اندفع بما ذکرنا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ربما یتوهّم،من التنافی بین التزام بقاء التکلیف فی الوقائع المجهولة الحکم و عدم ارتفاعه بالجهل و بین التزام العمل بالظنّ؛نظرا إلی أنّ التکلیف بالواقع لو فرض بقاؤه فلا یجدی غیر الاحتیاط و إحراز الواقع فی امتثاله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الاندفاع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المراد من بقاء التکلیف بالواقع نظیر التزام بقاء التکلیف فیما تردّد الأمر بین محذورین من حیث الحکم أو من حیث الموضوع بحیث لا یمکن الاحتیاط،فإنّ الحکم بالتخییر لا ینافی </w:t>
      </w:r>
      <w:bookmarkStart w:id="1184" w:name="pg12977_114475"/>
    </w:p>
    <w:p>
      <w:pPr>
        <w:pStyle w:val="BookText"/>
        <w:rPr/>
      </w:pPr>
      <w:bookmarkEnd w:id="1184"/>
      <w:r>
        <w:rPr>
          <w:rFonts w:ascii="IRNazanin" w:hAnsi="IRNazanin" w:eastAsia="IRNazanin"/>
          <w:color w:val="111111"/>
          <w:sz w:val="28"/>
          <w:sz w:val="28"/>
          <w:szCs w:val="28"/>
          <w:rtl w:val="true"/>
          <w:lang w:bidi="fa-IR"/>
        </w:rPr>
        <w:t>التزام بقاء التکلیف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الأخذ بأحدهما لا یجدی فی امتثال الواقع؛لأنّ المراد ببقاء التکلیف عدم السقوط رأسا بحیث لا یعاقب عند ترک المحتملات کلا،بل العقل یستقلّ باستحقاق العقاب عند الترک رأسا،نظیر جمیع الوقائع المشتبهة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نحن فیه </w:t>
      </w:r>
      <w:r>
        <w:rPr>
          <w:rStyle w:val="FootnoteAnchor"/>
          <w:rtl w:val="true"/>
        </w:rPr>
        <w:footnoteReference w:id="1500"/>
      </w:r>
      <w:r>
        <w:rPr>
          <w:rFonts w:ascii="IRNazanin" w:hAnsi="IRNazanin" w:eastAsia="IRNazanin"/>
          <w:color w:val="111111"/>
          <w:sz w:val="28"/>
          <w:sz w:val="28"/>
          <w:szCs w:val="28"/>
          <w:rtl w:val="true"/>
          <w:lang w:bidi="fa-IR"/>
        </w:rPr>
        <w:t xml:space="preserve">نظیر اشتباه الواجب بین </w:t>
      </w:r>
      <w:r>
        <w:rPr>
          <w:rStyle w:val="FootnoteAnchor"/>
          <w:rtl w:val="true"/>
        </w:rPr>
        <w:footnoteReference w:id="1501"/>
      </w:r>
      <w:r>
        <w:rPr>
          <w:rFonts w:ascii="IRNazanin" w:hAnsi="IRNazanin" w:eastAsia="IRNazanin"/>
          <w:color w:val="111111"/>
          <w:sz w:val="28"/>
          <w:sz w:val="28"/>
          <w:szCs w:val="28"/>
          <w:rtl w:val="true"/>
          <w:lang w:bidi="fa-IR"/>
        </w:rPr>
        <w:t xml:space="preserve">الظهر و الجمعة فی یوم الجمعة بحیث یقطع بالعقاب بترکهما معا،مع عدم إمکان الاحتیاط أو کونه عسرا قد نصّ الشارع علی نفیه،مع وجود الظنّ بأحدهما </w:t>
      </w:r>
      <w:r>
        <w:rPr>
          <w:rStyle w:val="FootnoteAnchor"/>
          <w:rtl w:val="true"/>
        </w:rPr>
        <w:footnoteReference w:id="1502"/>
      </w:r>
      <w:r>
        <w:rPr>
          <w:rFonts w:ascii="IRNazanin" w:hAnsi="IRNazanin" w:eastAsia="IRNazanin"/>
          <w:color w:val="111111"/>
          <w:sz w:val="28"/>
          <w:sz w:val="28"/>
          <w:szCs w:val="28"/>
          <w:rtl w:val="true"/>
          <w:lang w:bidi="fa-IR"/>
        </w:rPr>
        <w:t>،فإنّه یدور الأمر بین العمل بالظنّ و التخییر و العمل بالموهوم،فإنّ إیجاب العمل بکلّ من الثلاثة و إن لم یحرز به الواقع،إلاّ أنّ العمل بالظنّ أقرب إلی الواقع من العمل بالموهوم و التخییر،فیجب عقلا،فافهم</w:t>
      </w:r>
      <w:r>
        <w:rPr>
          <w:rFonts w:eastAsia="IRNazanin" w:cs="IRNazanin"/>
          <w:color w:val="111111"/>
          <w:sz w:val="28"/>
          <w:szCs w:val="28"/>
          <w:rtl w:val="true"/>
          <w:lang w:bidi="fa-IR"/>
        </w:rPr>
        <w:t>.</w:t>
      </w:r>
    </w:p>
    <w:p>
      <w:pPr>
        <w:pStyle w:val="Heading6"/>
        <w:numPr>
          <w:ilvl w:val="5"/>
          <w:numId w:val="1"/>
        </w:numPr>
        <w:rPr/>
      </w:pPr>
      <w:bookmarkStart w:id="1185" w:name="__RefHeading___Toc5447343_3224264995"/>
      <w:bookmarkStart w:id="1186" w:name="_Toc453"/>
      <w:bookmarkEnd w:id="1185"/>
      <w:r>
        <w:rPr>
          <w:rtl w:val="true"/>
        </w:rPr>
        <w:t>الأخذ بالمرجوح و طرح الراجح قبیح مطلقا</w:t>
      </w:r>
      <w:bookmarkEnd w:id="1186"/>
    </w:p>
    <w:p>
      <w:pPr>
        <w:pStyle w:val="BookText"/>
        <w:rPr/>
      </w:pPr>
      <w:r>
        <w:rPr>
          <w:rFonts w:ascii="IRNazanin" w:hAnsi="IRNazanin" w:eastAsia="IRNazanin"/>
          <w:color w:val="111111"/>
          <w:sz w:val="28"/>
          <w:sz w:val="28"/>
          <w:szCs w:val="28"/>
          <w:rtl w:val="true"/>
          <w:lang w:bidi="fa-IR"/>
        </w:rPr>
        <w:t>و لا فرق فی قبح طرح الطرف الراجح و الأخذ بالمرجوح بین أن یقوم علی المرجوح ما یحتمل أن یکون طریقا معتبرا شرعا،و بین أن لا یقوم؛لأنّ العدول عن الظنّ إلی الوهم قبیح و لو باحتمال کون الطرف الموهوم واجب الأخذ شرعا؛حیث قام علیه ما یحتمل کونه طریقا</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قام علی الطرف الموهوم ما یظنّ کونه طریقا معتبرا شرعیّا،و دار الأمر بین تحصیل الظنّ بالواقع و بین تحصیل الظنّ بالطریق المعتبر الشرعیّ،ففیه کلام سیأتی إن شاء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ما 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 المقدّمة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التعرّض لامتثال المجهولات بنحو من الأنحاء و حرمة إهمالها و فرضها کالمعدوم، و 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 المقدّمة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امتثال المجهولات بالاحتیاط، و عدم جواز الرجوع فی امتثالها إلی الاصول الجاریة فی نفس تلک المسائل،و لا إلی فتوی من یدّعی انفتاح باب العلم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تعیّن وجوب تحصیل الظنّ بالواقع فیها و موافقته،و لا یجوز قبل تحصیل الظنّ الاکتفاء بالأخذ بأحد طرفی المسألة،و لا بعد تحصیل الظنّ الأخذ بالطرف الموهوم؛لقبح الاکتفاء فی مقام الامتثال بالشکّ و الوهم مع التمکّن من الظنّ،کما یقبح الاکتفاء بالظنّ مع التمکّن من العلم،و لا یجوز أیضا الاعتناء بما یحتمل أن یکون طریقا معتبرا مع عدم إفادته للظنّ </w:t>
      </w:r>
      <w:r>
        <w:rPr>
          <w:rStyle w:val="FootnoteAnchor"/>
          <w:rtl w:val="true"/>
        </w:rPr>
        <w:footnoteReference w:id="1503"/>
      </w:r>
      <w:r>
        <w:rPr>
          <w:rFonts w:ascii="IRNazanin" w:hAnsi="IRNazanin" w:eastAsia="IRNazanin"/>
          <w:color w:val="111111"/>
          <w:sz w:val="28"/>
          <w:sz w:val="28"/>
          <w:szCs w:val="28"/>
          <w:rtl w:val="true"/>
          <w:lang w:bidi="fa-IR"/>
        </w:rPr>
        <w:t>لعدم خروجه عن الامتثال الشکّی أو الوهمی</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خلاصة الکلام فی مقدّمات دلیل الانسداد المنتجة لوجوب العمل بالظنّ فی الجملة</w:t>
      </w:r>
      <w:r>
        <w:rPr>
          <w:rFonts w:eastAsia="IRNazanin" w:cs="IRNazanin"/>
          <w:color w:val="111111"/>
          <w:sz w:val="28"/>
          <w:szCs w:val="28"/>
          <w:rtl w:val="true"/>
          <w:lang w:bidi="fa-IR"/>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7" w:name="pg12977_114478"/>
      <w:bookmarkStart w:id="1188" w:name="pg12977_114478"/>
      <w:bookmarkEnd w:id="1188"/>
    </w:p>
    <w:p>
      <w:pPr>
        <w:pStyle w:val="Heading6"/>
        <w:numPr>
          <w:ilvl w:val="5"/>
          <w:numId w:val="1"/>
        </w:numPr>
        <w:rPr/>
      </w:pPr>
      <w:bookmarkStart w:id="1189" w:name="pg12977_114478"/>
      <w:bookmarkStart w:id="1190" w:name="__RefHeading___Toc5447345_3224264995"/>
      <w:bookmarkStart w:id="1191" w:name="_Toc454"/>
      <w:bookmarkEnd w:id="1189"/>
      <w:bookmarkEnd w:id="1190"/>
      <w:r>
        <w:rPr>
          <w:rtl w:val="true"/>
        </w:rPr>
        <w:t>و ینبغی التنبیه علی امور</w:t>
      </w:r>
      <w:r>
        <w:rPr>
          <w:rtl w:val="true"/>
        </w:rPr>
        <w:t>:</w:t>
      </w:r>
      <w:bookmarkEnd w:id="1191"/>
    </w:p>
    <w:p>
      <w:pPr>
        <w:pStyle w:val="Heading6"/>
        <w:numPr>
          <w:ilvl w:val="5"/>
          <w:numId w:val="1"/>
        </w:numPr>
        <w:rPr/>
      </w:pPr>
      <w:bookmarkStart w:id="1192" w:name="__RefHeading___Toc5447347_3224264995"/>
      <w:bookmarkStart w:id="1193" w:name="_Toc455"/>
      <w:bookmarkEnd w:id="1192"/>
      <w:r>
        <w:rPr>
          <w:rtl w:val="true"/>
        </w:rPr>
        <w:t>الأمر الأوّل</w:t>
      </w:r>
      <w:r>
        <w:rPr>
          <w:rtl w:val="true"/>
        </w:rPr>
        <w:t>:</w:t>
      </w:r>
      <w:r>
        <w:rPr>
          <w:rtl w:val="true"/>
        </w:rPr>
        <w:t>عدم الفرق فی الامتثال الظنّی بین الظنّ بالحکم الواقعی أو الظاهری</w:t>
      </w:r>
      <w:bookmarkEnd w:id="1193"/>
    </w:p>
    <w:p>
      <w:pPr>
        <w:pStyle w:val="BookText"/>
        <w:rPr/>
      </w:pPr>
      <w:r>
        <w:rPr>
          <w:rFonts w:ascii="IRNazanin" w:hAnsi="IRNazanin" w:eastAsia="IRNazanin"/>
          <w:color w:val="111111"/>
          <w:sz w:val="28"/>
          <w:sz w:val="28"/>
          <w:szCs w:val="28"/>
          <w:rtl w:val="true"/>
          <w:lang w:bidi="fa-IR"/>
        </w:rPr>
        <w:t>أنّک قد عرفت أنّ قضیّة المقدّمات المذکورة وجوب الامتثال الظنّی للأحکام المجهولة،فاعلم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فرق فی الامتثال الظنّی بین تحصیل الظنّ بالحکم الفرعی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یحصل من شهرة القدماء الظنّ بنجاسة العصیر العنبی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تحصیل الظنّ بالحکم الفرعیّ الظاهریّ،کأن یحصل من أمارة الظنّ بحجّیّة أمر لا یفید الظنّ کالقرعة مثلا،فإذا ظنّ حجّیّة القرعة حصل الامتثال الظنّی فی مورد القرعة و إن لم یحصل ظنّ بالحکم الواقعیّ،إلاّ أنّه حصل ظنّ ببراءة ذمّة المکلّف فی الواقعة الخاصّة،و لیس الواقع بما هو واقع مقصودا للمکلّف إلاّ من حیث کون تحقّقه مبرءا للذمّة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أنّه لا فرق فی مقام التمکّن من العلم بین تحصیل العلم بنفس الواقع و بین تحصیل العلم بموافقة طریق علم کون سلوکه مبرءا للذمّة فی نظر الشارع،فکذا لا فرق عند تعذّر العلم بین الظنّ بتحقّق الواقع و بین الظنّ ببراءة الذمّة فی نظر الشارع</w:t>
      </w:r>
      <w:r>
        <w:rPr>
          <w:rFonts w:eastAsia="IRNazanin" w:cs="IRNazanin"/>
          <w:color w:val="111111"/>
          <w:sz w:val="28"/>
          <w:szCs w:val="28"/>
          <w:rtl w:val="true"/>
          <w:lang w:bidi="fa-IR"/>
        </w:rPr>
        <w:t>.</w:t>
      </w:r>
    </w:p>
    <w:p>
      <w:pPr>
        <w:pStyle w:val="Heading6"/>
        <w:numPr>
          <w:ilvl w:val="5"/>
          <w:numId w:val="1"/>
        </w:numPr>
        <w:rPr/>
      </w:pPr>
      <w:bookmarkStart w:id="1194" w:name="__RefHeading___Toc5447349_3224264995"/>
      <w:bookmarkStart w:id="1195" w:name="_Toc456"/>
      <w:bookmarkEnd w:id="1194"/>
      <w:r>
        <w:rPr>
          <w:rtl w:val="true"/>
        </w:rPr>
        <w:t>المخالف للتعمیم فریقان</w:t>
      </w:r>
      <w:bookmarkEnd w:id="1195"/>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خالف فی هذا التعمیم فریقان</w:t>
      </w:r>
      <w:r>
        <w:rPr>
          <w:rFonts w:eastAsia="IRNazanin" w:cs="IRNazanin"/>
          <w:color w:val="111111"/>
          <w:sz w:val="28"/>
          <w:szCs w:val="28"/>
          <w:rtl w:val="true"/>
          <w:lang w:bidi="fa-IR"/>
        </w:rPr>
        <w:t xml:space="preserve">: </w:t>
      </w:r>
      <w:bookmarkStart w:id="1196" w:name="pg12977_114479"/>
    </w:p>
    <w:p>
      <w:pPr>
        <w:pStyle w:val="BookText"/>
        <w:rPr/>
      </w:pPr>
      <w:bookmarkEnd w:id="1196"/>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یری </w:t>
      </w:r>
      <w:r>
        <w:rPr>
          <w:rStyle w:val="FootnoteAnchor"/>
          <w:rtl w:val="true"/>
        </w:rPr>
        <w:footnoteReference w:id="1504"/>
      </w:r>
      <w:r>
        <w:rPr>
          <w:rFonts w:ascii="IRNazanin" w:hAnsi="IRNazanin" w:eastAsia="IRNazanin"/>
          <w:color w:val="111111"/>
          <w:sz w:val="28"/>
          <w:sz w:val="28"/>
          <w:szCs w:val="28"/>
          <w:rtl w:val="true"/>
          <w:lang w:bidi="fa-IR"/>
        </w:rPr>
        <w:t>أنّ مقدّمات دلیل الانسداد لا تثبت إلاّ اعتبار الظنّ و حجّیّته فی کون الشیء طریقا شرعیّا مبرءا للذمّة فی نظر الشارع،و لا یثبت اعتباره فی نفس الحکم الفرعیّ؛زعما منهم عدم نهوض المقدّمات المذکورة لإثبات حجّیّة الظنّ فی نفس الأحکام الفرعیّة،إمّا مطلقا أو بعد العلم الإجمالیّ بنصب الشارع طرقا للأحکام الفرعیّة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مقابل هذا،و هو من یری </w:t>
      </w:r>
      <w:r>
        <w:rPr>
          <w:rStyle w:val="FootnoteAnchor"/>
          <w:rtl w:val="true"/>
        </w:rPr>
        <w:footnoteReference w:id="1505"/>
      </w:r>
      <w:r>
        <w:rPr>
          <w:rFonts w:ascii="IRNazanin" w:hAnsi="IRNazanin" w:eastAsia="IRNazanin"/>
          <w:color w:val="111111"/>
          <w:sz w:val="28"/>
          <w:sz w:val="28"/>
          <w:szCs w:val="28"/>
          <w:rtl w:val="true"/>
          <w:lang w:bidi="fa-IR"/>
        </w:rPr>
        <w:t>أنّ المقدّمات المذکورة لا تثبت إلاّ اعتبار الظنّ فی نفس الأحکام الفرعیّة،و أمّا الظنّ بکون شیء طریقا مبرءا للذمّة فهو ظنّ فی المسألة الاصولیّة لم یثبت اعتباره فیها من دلیل الانسداد؛لجریانها فی المسائل الفرعیّة دون الاصولیّة</w:t>
      </w:r>
      <w:r>
        <w:rPr>
          <w:rFonts w:eastAsia="IRNazanin" w:cs="IRNazanin"/>
          <w:color w:val="111111"/>
          <w:sz w:val="28"/>
          <w:szCs w:val="28"/>
          <w:rtl w:val="true"/>
          <w:lang w:bidi="fa-IR"/>
        </w:rPr>
        <w:t>.</w:t>
      </w:r>
    </w:p>
    <w:p>
      <w:pPr>
        <w:pStyle w:val="Heading6"/>
        <w:numPr>
          <w:ilvl w:val="5"/>
          <w:numId w:val="1"/>
        </w:numPr>
        <w:rPr/>
      </w:pPr>
      <w:bookmarkStart w:id="1197" w:name="__RefHeading___Toc5447351_3224264995"/>
      <w:bookmarkStart w:id="1198" w:name="_Toc457"/>
      <w:bookmarkEnd w:id="1197"/>
      <w:r>
        <w:rPr>
          <w:rtl w:val="true"/>
        </w:rPr>
        <w:t>أدلّة القائلین باعتبار الظنّ فی المسائل الاصولیّة دون الفرعیّة</w:t>
      </w:r>
      <w:r>
        <w:rPr>
          <w:rtl w:val="true"/>
        </w:rPr>
        <w:t>:</w:t>
      </w:r>
      <w:bookmarkEnd w:id="1198"/>
    </w:p>
    <w:p>
      <w:pPr>
        <w:pStyle w:val="BookText"/>
        <w:rPr/>
      </w:pPr>
      <w:r>
        <w:rPr>
          <w:rFonts w:ascii="IRNazanin" w:hAnsi="IRNazanin" w:eastAsia="IRNazanin"/>
          <w:color w:val="111111"/>
          <w:sz w:val="28"/>
          <w:sz w:val="28"/>
          <w:szCs w:val="28"/>
          <w:rtl w:val="true"/>
          <w:lang w:bidi="fa-IR"/>
        </w:rPr>
        <w:t>أما الطائفة الاولی،فقد ذکروا لذلک وجهین</w:t>
      </w:r>
      <w:r>
        <w:rPr>
          <w:rFonts w:eastAsia="IRNazanin" w:cs="IRNazanin"/>
          <w:color w:val="111111"/>
          <w:sz w:val="28"/>
          <w:szCs w:val="28"/>
          <w:rtl w:val="true"/>
          <w:lang w:bidi="fa-IR"/>
        </w:rPr>
        <w:t>:</w:t>
      </w:r>
    </w:p>
    <w:p>
      <w:pPr>
        <w:pStyle w:val="Heading6"/>
        <w:numPr>
          <w:ilvl w:val="5"/>
          <w:numId w:val="1"/>
        </w:numPr>
        <w:rPr/>
      </w:pPr>
      <w:bookmarkStart w:id="1199" w:name="__RefHeading___Toc5447353_3224264995"/>
      <w:bookmarkStart w:id="1200" w:name="_Toc458"/>
      <w:bookmarkEnd w:id="1199"/>
      <w:r>
        <w:rPr/>
        <w:t>1</w:t>
      </w:r>
      <w:r>
        <w:rPr>
          <w:rtl w:val="true"/>
        </w:rPr>
        <w:t>-</w:t>
      </w:r>
      <w:r>
        <w:rPr>
          <w:rtl w:val="true"/>
        </w:rPr>
        <w:t>ما ذکره صاحب الفصول</w:t>
      </w:r>
      <w:bookmarkEnd w:id="1200"/>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اقتصر علیه بعضهم </w:t>
      </w:r>
      <w:r>
        <w:rPr>
          <w:rStyle w:val="FootnoteAnchor"/>
          <w:rtl w:val="true"/>
        </w:rPr>
        <w:footnoteReference w:id="1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کما نقطع بأنّا مکلّفون فی زماننا هذا تکلیفا فعلیّا بأحکام فرعیّة کثیرة،لا سبیل لنا بحکم العیان و شهادة الوجدان إلی تحصیل کثیر منها بالقطع و لا بطریق معیّن یقطع من السمع بحکم الشارع بقیامه أو قیام طریقه مقام القطع و لو عند تعذّره،کذلک نقطع بأنّ الشارع </w:t>
      </w:r>
      <w:bookmarkStart w:id="1201" w:name="pg12977_114480"/>
    </w:p>
    <w:p>
      <w:pPr>
        <w:pStyle w:val="BookText"/>
        <w:rPr/>
      </w:pPr>
      <w:bookmarkEnd w:id="1201"/>
      <w:r>
        <w:rPr>
          <w:rFonts w:ascii="IRNazanin" w:hAnsi="IRNazanin" w:eastAsia="IRNazanin"/>
          <w:color w:val="111111"/>
          <w:sz w:val="28"/>
          <w:sz w:val="28"/>
          <w:szCs w:val="28"/>
          <w:rtl w:val="true"/>
          <w:lang w:bidi="fa-IR"/>
        </w:rPr>
        <w:t>قد جعل لنا إلی تلک الأحکام طرقا مخصوصة،و کلّفنا تکلیفا فعلیّا بالرجوع إلیها فی معرفتها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مرجع هذین القطعین عند التحقیق إلی أمر واحد،و هو القطع بأنّا مکلّفون تکلیفا فعلیّا بالعمل بمؤدّی طرق مخصوصة،و حیث إنّه لا سبیل غالبا إلی تعیینها بالقطع و لا بطریق یقطع عن السمع بقیامه بالخصوص أو قیام طریقه کذلک مقام القطع و لو بعد تعذّره،فلا ریب أنّ الوظیفة فی مثل ذلک بحکم العقل إنّما هو الرجوع فی تعیین تلک الطرق </w:t>
      </w:r>
      <w:r>
        <w:rPr>
          <w:rStyle w:val="FootnoteAnchor"/>
          <w:rtl w:val="true"/>
        </w:rPr>
        <w:footnoteReference w:id="1507"/>
      </w:r>
      <w:r>
        <w:rPr>
          <w:rFonts w:ascii="IRNazanin" w:hAnsi="IRNazanin" w:eastAsia="IRNazanin"/>
          <w:color w:val="111111"/>
          <w:sz w:val="28"/>
          <w:sz w:val="28"/>
          <w:szCs w:val="28"/>
          <w:rtl w:val="true"/>
          <w:lang w:bidi="fa-IR"/>
        </w:rPr>
        <w:t>إلی الظنّ الفعلیّ الذی لا دلیل علی عدم حجّیّته؛لأنّه أقرب إلی العلم و إلی إصابة الواقع ممّا عداه</w:t>
      </w:r>
      <w:r>
        <w:rPr>
          <w:rFonts w:eastAsia="IRNazanin" w:cs="IRNazanin"/>
          <w:color w:val="111111"/>
          <w:sz w:val="28"/>
          <w:szCs w:val="28"/>
          <w:rtl w:val="true"/>
          <w:lang w:bidi="fa-IR"/>
        </w:rPr>
        <w:t xml:space="preserve">»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02" w:name="__RefHeading___Toc5447355_3224264995"/>
      <w:bookmarkStart w:id="1203" w:name="_Toc459"/>
      <w:bookmarkEnd w:id="1202"/>
      <w:r>
        <w:rPr>
          <w:rtl w:val="true"/>
        </w:rPr>
        <w:t>المناقشة فیما أفاده صاحب الفصول</w:t>
      </w:r>
      <w:bookmarkEnd w:id="1203"/>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إمکان منع نصب الشارع طرقا خاصّة للأحکام الواقعیّة </w:t>
      </w:r>
      <w:r>
        <w:rPr>
          <w:rStyle w:val="FootnoteAnchor"/>
          <w:rtl w:val="true"/>
        </w:rPr>
        <w:footnoteReference w:id="1509"/>
      </w:r>
      <w:r>
        <w:rPr>
          <w:rFonts w:ascii="IRNazanin" w:hAnsi="IRNazanin" w:eastAsia="IRNazanin"/>
          <w:color w:val="111111"/>
          <w:sz w:val="28"/>
          <w:sz w:val="28"/>
          <w:szCs w:val="28"/>
          <w:rtl w:val="true"/>
          <w:lang w:bidi="fa-IR"/>
        </w:rPr>
        <w:t>کیف؟و إلاّ لکان وضوح تلک الطرق کالشمس فی رابعة النهار؛لتوفّر الدواعی بین المسلمین علی ضبطها؛لاحتیاج کلّ مکلّف إلی معرفتها أکثر من حاجته إلی مسألة صلواته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اختفائها مع ذلک؛لعروض دواعی الاختفاء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لیس الحاجة إلی معرفة الطریق أکثر من الحاجة إلی معرفة المرجع بعد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مدفوع؛بالفرق بینهما،کما لا یخفی</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فیکفی فی ردّ الاستدلال،احتمال عدم نصب الطریق الخاصّ للأحکام و إرجاع امتثالها إلی ما یحکم به العقلاء و جری علیه </w:t>
      </w:r>
    </w:p>
    <w:p>
      <w:pPr>
        <w:pStyle w:val="BookText"/>
        <w:rPr/>
      </w:pPr>
      <w:r>
        <w:rPr>
          <w:rFonts w:ascii="IRNazanin" w:hAnsi="IRNazanin" w:eastAsia="IRNazanin"/>
          <w:color w:val="111111"/>
          <w:sz w:val="28"/>
          <w:sz w:val="28"/>
          <w:szCs w:val="28"/>
          <w:rtl w:val="true"/>
          <w:lang w:bidi="fa-IR"/>
        </w:rPr>
        <w:t xml:space="preserve">دیدنهم فی امتثال أحکام الملوک و الموالی مع العلم بعدم نصب الطریق الخاصّ </w:t>
      </w:r>
      <w:r>
        <w:rPr>
          <w:rStyle w:val="FootnoteAnchor"/>
          <w:rtl w:val="true"/>
        </w:rPr>
        <w:footnoteReference w:id="1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الرجوع إلی العلم الحاصل من تواتر النقل عن صاحب الحکم أو باجتماع جماعة من أصحابه علی عمل خاصّ،أو الرجوع إلی الظنّ الاطمئنانیّ الذی یسکن إلیه النفس و یطلق علیه العلم عرفا و لو تسامحا فی إلقاء احتمال الخلاف،و هو الذی یحتمل حمل کلام السیّد </w:t>
      </w:r>
      <w:r>
        <w:rPr>
          <w:rStyle w:val="FootnoteAnchor"/>
          <w:rtl w:val="true"/>
        </w:rPr>
        <w:footnoteReference w:id="1511"/>
      </w:r>
      <w:r>
        <w:rPr>
          <w:rFonts w:ascii="IRNazanin" w:hAnsi="IRNazanin" w:eastAsia="IRNazanin"/>
          <w:color w:val="111111"/>
          <w:sz w:val="28"/>
          <w:sz w:val="28"/>
          <w:szCs w:val="28"/>
          <w:rtl w:val="true"/>
          <w:lang w:bidi="fa-IR"/>
        </w:rPr>
        <w:t>علیه،حیث ادّعی انفتاح باب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حال المجتهد،و أمّا المقلّد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کلام فی نصب الطریق الخاصّ له و هی فتوی مجتهده،مع احتمال عدم النصب فی حقّه أیضا،فیکون رجوعه إلی المجتهد من باب الرجوع إلی أهل الخبرة المرکوز فی أذهان جمیع العقلاء،و یکون بعض ما ورد من الشارع فی هذا الباب تقریرا لهم،لا تأسیسا</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المحتمل قریبا إحالة الشارع للعباد فی طریق امتثال الأحکام إلی ما هو المتعارف بینهم فی امتثال أحکامهم العرفیّة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الرجوع إلی العلم أو الظنّ </w:t>
      </w:r>
      <w:r>
        <w:rPr>
          <w:rStyle w:val="FootnoteAnchor"/>
          <w:rtl w:val="true"/>
        </w:rPr>
        <w:footnoteReference w:id="1512"/>
      </w:r>
      <w:r>
        <w:rPr>
          <w:rFonts w:ascii="IRNazanin" w:hAnsi="IRNazanin" w:eastAsia="IRNazanin"/>
          <w:color w:val="111111"/>
          <w:sz w:val="28"/>
          <w:sz w:val="28"/>
          <w:szCs w:val="28"/>
          <w:rtl w:val="true"/>
          <w:lang w:bidi="fa-IR"/>
        </w:rPr>
        <w:t xml:space="preserve">الاطمئنانیّ،فإذا فقدا </w:t>
      </w:r>
      <w:r>
        <w:rPr>
          <w:rStyle w:val="FootnoteAnchor"/>
          <w:rtl w:val="true"/>
        </w:rPr>
        <w:footnoteReference w:id="1513"/>
      </w:r>
      <w:r>
        <w:rPr>
          <w:rFonts w:ascii="IRNazanin" w:hAnsi="IRNazanin" w:eastAsia="IRNazanin"/>
          <w:color w:val="111111"/>
          <w:sz w:val="28"/>
          <w:sz w:val="28"/>
          <w:szCs w:val="28"/>
          <w:rtl w:val="true"/>
          <w:lang w:bidi="fa-IR"/>
        </w:rPr>
        <w:t>تعیّن الرجوع أیضا بحکم العقلاء إلی الظنّ الغیر الاطمئنانیّ،کما أنّه لو فقد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 الامتثال بأخذ أحد طرفی الاحتمال </w:t>
      </w:r>
      <w:r>
        <w:rPr>
          <w:rStyle w:val="FootnoteAnchor"/>
          <w:rtl w:val="true"/>
        </w:rPr>
        <w:footnoteReference w:id="1514"/>
      </w:r>
      <w:r>
        <w:rPr>
          <w:rFonts w:ascii="IRNazanin" w:hAnsi="IRNazanin" w:eastAsia="IRNazanin"/>
          <w:color w:val="111111"/>
          <w:sz w:val="28"/>
          <w:sz w:val="28"/>
          <w:szCs w:val="28"/>
          <w:rtl w:val="true"/>
          <w:lang w:bidi="fa-IR"/>
        </w:rPr>
        <w:t xml:space="preserve">فرارا عن المخالفة القطعیّة </w:t>
      </w:r>
    </w:p>
    <w:p>
      <w:pPr>
        <w:pStyle w:val="BookText"/>
        <w:rPr/>
      </w:pPr>
      <w:r>
        <w:rPr>
          <w:rFonts w:ascii="IRNazanin" w:hAnsi="IRNazanin" w:eastAsia="IRNazanin"/>
          <w:color w:val="111111"/>
          <w:sz w:val="28"/>
          <w:sz w:val="28"/>
          <w:szCs w:val="28"/>
          <w:rtl w:val="true"/>
          <w:lang w:bidi="fa-IR"/>
        </w:rPr>
        <w:t>و الإعراض عن التکالیف الإلهیّة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اندفاع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منع نصب الطریق لا یجامع القول ببقاء الأحکام الواقعیّة؛إذ بقاء التکلیف من دون نصب طریق إلیها ظاهر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الاندفاع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التکلیف إنّما یقبح مع عدم ثبوت الطریق رأسا و لو بحکم العقل الحاکم بالعمل بالظنّ مع عدم الطریق الخاصّ، أو مع ثبوته و عدم رضا الشارع بسلوکه،و إلاّ فلا یقبح التکلیف مع عدم الطریق الخاصّ و حکم العقل بمطلق الظنّ و رضا الشارع به؛ و لذا اعترف هذا المستدلّ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الشارع لم ینصب طریقا خاصّا یرجع إلیه عند انسداد باب العلم فی تعیین الطرق </w:t>
      </w:r>
      <w:r>
        <w:rPr>
          <w:rStyle w:val="FootnoteAnchor"/>
          <w:rtl w:val="true"/>
        </w:rPr>
        <w:footnoteReference w:id="1515"/>
      </w:r>
      <w:r>
        <w:rPr>
          <w:rFonts w:ascii="IRNazanin" w:hAnsi="IRNazanin" w:eastAsia="IRNazanin"/>
          <w:color w:val="111111"/>
          <w:sz w:val="28"/>
          <w:sz w:val="28"/>
          <w:szCs w:val="28"/>
          <w:rtl w:val="true"/>
          <w:lang w:bidi="fa-IR"/>
        </w:rPr>
        <w:t>الشرعیّة مع بقاء التکلیف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یستشهد للعلم الاجمالیّ بنصب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المعلوم من سیرة العلماء فی استنباطهم هو اتّفاقهم علی طریق خاصّ و إن اختلفوا فی تعیینه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ممنوع</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جماعة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کالسیّد </w:t>
      </w:r>
      <w:r>
        <w:rPr>
          <w:rStyle w:val="FootnoteAnchor"/>
          <w:rtl w:val="true"/>
        </w:rPr>
        <w:footnoteReference w:id="1516"/>
      </w:r>
      <w:r>
        <w:rPr>
          <w:rFonts w:ascii="Amiri" w:hAnsi="Amiri" w:eastAsia="Amiri" w:cs="Amiri"/>
          <w:color w:val="111111"/>
          <w:sz w:val="28"/>
          <w:sz w:val="28"/>
          <w:szCs w:val="28"/>
          <w:rtl w:val="true"/>
          <w:lang w:bidi="ar-SA"/>
        </w:rPr>
        <w:t xml:space="preserve">رحمه اللّه و بعض من تقدّم علیه و تأخّر </w:t>
      </w:r>
      <w:r>
        <w:rPr>
          <w:rStyle w:val="FootnoteAnchor"/>
          <w:rtl w:val="true"/>
        </w:rPr>
        <w:footnoteReference w:id="1517"/>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منعوا نصب الطریق الخاصّ رأسا،بل أحاله بعضهم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أغمضنا عن مخالفة السیّد و أتباعه،لکن مجرّد قول کلّ من العلماء بحجّیّة طریق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ما </w:t>
      </w:r>
      <w:r>
        <w:rPr>
          <w:rStyle w:val="FootnoteAnchor"/>
          <w:rtl w:val="true"/>
        </w:rPr>
        <w:footnoteReference w:id="1519"/>
      </w:r>
      <w:r>
        <w:rPr>
          <w:rFonts w:ascii="IRNazanin" w:hAnsi="IRNazanin" w:eastAsia="IRNazanin"/>
          <w:color w:val="111111"/>
          <w:sz w:val="28"/>
          <w:sz w:val="28"/>
          <w:szCs w:val="28"/>
          <w:rtl w:val="true"/>
          <w:lang w:bidi="fa-IR"/>
        </w:rPr>
        <w:t>أدّی إلیه 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العلم الإجمالیّ بأنّ بعض هذه الطرق منصوبة؛لجواز خطأ کلّ واحد فیما أدّی إلیه نظره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اختلاف الفتاوی فی الخصوصیّات لا یکشف عن تحقّق القدر المشترک،إلاّ إذا کان اختلافهم راجعا إلی التعیین علی وجه ینبئ عن اتّفاقهم علی قدر مشترک،نظیر الأخبار المختلفة فی الوقائع المختلفة؛فإنّها لا توجب تواتر القدر المشترک،إلاّ إذا علم من أخبارهم کون الاختلاف راجعا إلی التعیین،و قد حقّق ذلک فی باب التواتر الإجمالیّ و الإجماع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یجعل تحقّق الإجماع علی المنع عن العمل بالقیاس و شبهه و لو مع انسداد باب العلم کاشفا عن أنّ المرجع إنّما هو طریق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ینتقض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مستلزم لکون المرجع فی تعیین الطریق أیضا طریقا خاصّا؛للإجماع علی المنع عن العمل فیه بالقیاس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یحلّ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مرجع هذا إلی الإشکال الآتی </w:t>
      </w:r>
      <w:r>
        <w:rPr>
          <w:rStyle w:val="FootnoteAnchor"/>
          <w:rtl w:val="true"/>
        </w:rPr>
        <w:footnoteReference w:id="1520"/>
      </w:r>
      <w:r>
        <w:rPr>
          <w:rFonts w:ascii="IRNazanin" w:hAnsi="IRNazanin" w:eastAsia="IRNazanin"/>
          <w:color w:val="111111"/>
          <w:sz w:val="28"/>
          <w:sz w:val="28"/>
          <w:szCs w:val="28"/>
          <w:rtl w:val="true"/>
          <w:lang w:bidi="fa-IR"/>
        </w:rPr>
        <w:t xml:space="preserve">فی خروج القیاس عن مقتضی دلیل الانسداد،فیدفع بأحد الوجوه الآتیة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ثبوت الطریق إجمالا ممّا لا مجال لإنکاره حتّی علی </w:t>
      </w:r>
      <w:bookmarkStart w:id="1204" w:name="pg12977_114484"/>
    </w:p>
    <w:p>
      <w:pPr>
        <w:pStyle w:val="BookText"/>
        <w:rPr/>
      </w:pPr>
      <w:bookmarkEnd w:id="1204"/>
      <w:r>
        <w:rPr>
          <w:rFonts w:ascii="IRNazanin" w:hAnsi="IRNazanin" w:eastAsia="IRNazanin"/>
          <w:color w:val="111111"/>
          <w:sz w:val="28"/>
          <w:sz w:val="28"/>
          <w:szCs w:val="28"/>
          <w:rtl w:val="true"/>
          <w:lang w:bidi="fa-IR"/>
        </w:rPr>
        <w:t>مذهب من یقول بالظنّ المطلق؛فإنّ غایة الأمر أنّه یجعل مطلق الظنّ طریقا عقلیّا رضی به الشارع،فنصب الشارع للطریق بالمعنی الأعمّ من الجعل و التقریر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مغالطة؛فإنّ مطلق الظنّ لیس طریقا فی عرض الطرق المجعولة حتّی یتردّد الأمر بین کون الطریق هو مطلق الظنّ أو طریق آخر مجعول،بل الطریق العقلیّ بالنسبة إلی الطریق الجعلیّ کالأصل بالنسبة إلی الدلیل،إن وجد الطریق الجعلیّ لم یحکم العقل بکون الظنّ طریقا؛لأنّ الظنّ بالواقع لا یعمل به فی مقابلة القطع ببراءة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یوجد کان طریقا؛لأنّ احتمال البراءة لسلوک الطریق المحتمل لا یلتفت إلیه مع الظنّ بالواقع،فمجرّد عدم ثبوت الطریق الجعلیّ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فی حکم العقل بکون مطلق الظنّ طریقا،و علی کلّ حال فتردّد الأمر بین مطلق الظنّ و طریق خاصّ آخر ممّا لا معنی له</w:t>
      </w:r>
      <w:r>
        <w:rPr>
          <w:rFonts w:eastAsia="IRNazanin" w:cs="IRNazanin"/>
          <w:color w:val="111111"/>
          <w:sz w:val="28"/>
          <w:szCs w:val="28"/>
          <w:rtl w:val="true"/>
          <w:lang w:bidi="fa-IR"/>
        </w:rPr>
        <w:t>.</w:t>
      </w:r>
    </w:p>
    <w:p>
      <w:pPr>
        <w:pStyle w:val="Heading6"/>
        <w:numPr>
          <w:ilvl w:val="5"/>
          <w:numId w:val="1"/>
        </w:numPr>
        <w:rPr/>
      </w:pPr>
      <w:bookmarkStart w:id="1205" w:name="__RefHeading___Toc5447357_3224264995"/>
      <w:bookmarkStart w:id="1206" w:name="_Toc460"/>
      <w:bookmarkEnd w:id="1205"/>
      <w:r>
        <w:rPr>
          <w:rtl w:val="true"/>
        </w:rPr>
        <w:t>المناقشه الثانیة فی کلام صاحب افصول</w:t>
      </w:r>
      <w:bookmarkEnd w:id="1206"/>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نصب الطریق،لکن بقاء ذلک الطریق لنا غیر معلوم،بیان ذلک</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ما حکم بطریقیّته لعلّه قسم من الأخبار لیس منه بأیدینا الیوم إلاّ قلیل،کأن یکون الطریق المنصوب هو الخبر المفید للاطمئنان الفعلیّ بالصدور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کثیرا فی الزمان السابق لکثرة القرائن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ریب فی ندرة هذا القسم فی هذا الزمان،أو خبر العادل أو الثقة الثابت عدالته أو وثاقته بالقطع أو بالبیّنة الشرعیّة أو الشیاع مع إفادته الظنّ الفعلیّ بالحکم،و یمکن دعوی ندرة هذا القسم فی هذا الزمان؛إذ غایة الأمر أن نجد الراوی فی الکتب الرجالیّة محکیّ التعدیل بوسائط عدیدة من مثل الکشّیّ و النجاشیّ و غیرهما،و من </w:t>
      </w:r>
    </w:p>
    <w:p>
      <w:pPr>
        <w:pStyle w:val="BookText"/>
        <w:rPr/>
      </w:pPr>
      <w:r>
        <w:rPr>
          <w:rFonts w:ascii="IRNazanin" w:hAnsi="IRNazanin" w:eastAsia="IRNazanin"/>
          <w:color w:val="111111"/>
          <w:sz w:val="28"/>
          <w:sz w:val="28"/>
          <w:szCs w:val="28"/>
          <w:rtl w:val="true"/>
          <w:lang w:bidi="fa-IR"/>
        </w:rPr>
        <w:t xml:space="preserve">المعلوم أنّ مثل هذا لا تعدّ بیّنة شرعیّة،و لهذا لا یعمل </w:t>
      </w:r>
      <w:r>
        <w:rPr>
          <w:rStyle w:val="FootnoteAnchor"/>
          <w:rtl w:val="true"/>
        </w:rPr>
        <w:footnoteReference w:id="1522"/>
      </w:r>
      <w:r>
        <w:rPr>
          <w:rFonts w:ascii="IRNazanin" w:hAnsi="IRNazanin" w:eastAsia="IRNazanin"/>
          <w:color w:val="111111"/>
          <w:sz w:val="28"/>
          <w:sz w:val="28"/>
          <w:szCs w:val="28"/>
          <w:rtl w:val="true"/>
          <w:lang w:bidi="fa-IR"/>
        </w:rPr>
        <w:t xml:space="preserve">مثله </w:t>
      </w:r>
      <w:r>
        <w:rPr>
          <w:rStyle w:val="FootnoteAnchor"/>
          <w:rtl w:val="true"/>
        </w:rPr>
        <w:footnoteReference w:id="1523"/>
      </w:r>
      <w:r>
        <w:rPr>
          <w:rFonts w:ascii="IRNazanin" w:hAnsi="IRNazanin" w:eastAsia="IRNazanin"/>
          <w:color w:val="111111"/>
          <w:sz w:val="28"/>
          <w:sz w:val="28"/>
          <w:szCs w:val="28"/>
          <w:rtl w:val="true"/>
          <w:lang w:bidi="fa-IR"/>
        </w:rPr>
        <w:t>فی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حجّیّة مثل ذلک بالإجماع ممنوعة،بل المسلّم أنّ الخبر المعدّل بمثل هذا حجّة بالاتّفاق </w:t>
      </w:r>
      <w:r>
        <w:rPr>
          <w:rStyle w:val="FootnoteAnchor"/>
          <w:rtl w:val="true"/>
        </w:rPr>
        <w:footnoteReference w:id="1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قد عرفت سابقا </w:t>
      </w:r>
      <w:r>
        <w:rPr>
          <w:rStyle w:val="FootnoteAnchor"/>
          <w:rtl w:val="true"/>
        </w:rPr>
        <w:footnoteReference w:id="1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تقریر الإجماع علی حجّیّة 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مثل هذا الاتّفاق العملیّ لا یجدی فی الکشف عن قول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مثل هذا الخبر فی غایة القلّة، خصوصا إذا انضمّ إلیه إفادة الظنّ الفعلیّ</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نصب الطریق و وجوده فی جملة ما بأیدینا من الطرق الظنّیّة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أقسام الخبر و الإجماع المنقول و الشهرة و ظهور الإجماع و الاستقراء و الأولویّة الظنّیّة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اللازم من ذلک هو الأخذ بما هو المتیقّن من هذه،فإن وفی بغالب الأحکام اقتصر علیه، و إلاّ فالمتیقّن من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الصحیح و الإجماع المنقول متیقّن بالنسبة إلی الشهرة و ما بعدها من الأمارات؛إذ لم یقل أحد بحجّیّة الشهرة و ما بعدها دون الخبر الصحیح و الإجماع المنقول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معنی لتعیین الطریق بالظنّ بعد وجود القدر المتیقّن و وجوب الرجوع فی المشکوک إلی أصالة حرمة العمل</w:t>
      </w:r>
      <w:r>
        <w:rPr>
          <w:rFonts w:eastAsia="IRNazanin" w:cs="IRNazanin"/>
          <w:color w:val="111111"/>
          <w:sz w:val="28"/>
          <w:szCs w:val="28"/>
          <w:rtl w:val="true"/>
          <w:lang w:bidi="fa-IR"/>
        </w:rPr>
        <w:t xml:space="preserve">. </w:t>
      </w:r>
      <w:bookmarkStart w:id="1207" w:name="pg12977_114486"/>
    </w:p>
    <w:p>
      <w:pPr>
        <w:pStyle w:val="BookText"/>
        <w:rPr/>
      </w:pPr>
      <w:bookmarkEnd w:id="1207"/>
      <w:r>
        <w:rPr>
          <w:rFonts w:ascii="IRNazanin" w:hAnsi="IRNazanin" w:eastAsia="IRNazanin"/>
          <w:color w:val="111111"/>
          <w:sz w:val="28"/>
          <w:sz w:val="28"/>
          <w:szCs w:val="28"/>
          <w:rtl w:val="true"/>
          <w:lang w:bidi="fa-IR"/>
        </w:rPr>
        <w:t>نعم،لو احتیج إلی العمل بإحدی أمارتین و احتمل نصب کلّ منهما،صحّ تعیینه بالظنّ بعد الإغماض عمّا سیجیء من الجواب</w:t>
      </w:r>
      <w:r>
        <w:rPr>
          <w:rFonts w:eastAsia="IRNazanin" w:cs="IRNazanin"/>
          <w:color w:val="111111"/>
          <w:sz w:val="28"/>
          <w:szCs w:val="28"/>
          <w:rtl w:val="true"/>
          <w:lang w:bidi="fa-IR"/>
        </w:rPr>
        <w:t>.</w:t>
      </w:r>
    </w:p>
    <w:p>
      <w:pPr>
        <w:pStyle w:val="Heading6"/>
        <w:numPr>
          <w:ilvl w:val="5"/>
          <w:numId w:val="1"/>
        </w:numPr>
        <w:rPr/>
      </w:pPr>
      <w:bookmarkStart w:id="1208" w:name="__RefHeading___Toc5447359_3224264995"/>
      <w:bookmarkStart w:id="1209" w:name="_Toc461"/>
      <w:bookmarkEnd w:id="1208"/>
      <w:r>
        <w:rPr>
          <w:rtl w:val="true"/>
        </w:rPr>
        <w:t>المناقشه الرابعة</w:t>
      </w:r>
      <w:bookmarkEnd w:id="1209"/>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سلّمنا عدم وجود القدر المتیقّن،لکنّ اللازم من ذلک وجوب الاحتیاط؛لأنّه مقدّم علی العمل بالظنّ؛لما عرفت </w:t>
      </w:r>
      <w:r>
        <w:rPr>
          <w:rStyle w:val="FootnoteAnchor"/>
          <w:rtl w:val="true"/>
        </w:rPr>
        <w:footnoteReference w:id="1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تقدیم الامتثال العلمیّ علی الظنّی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یدلّ دلیل علی عدم وجوبه،و هو فی المقام 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دائر بین الواجب و الحرام؛لأنّ العمل بما لیس طریقا حرام،مدفوعة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العمل بما لیس طریقا إذا لم یکن علی وجه التشریع غیر محرّم،و العمل بکلّ ما یحتمل الطریقیّة رجاء أن یکون هذا هو الطریق لا حرمة فیه من جهة التشریع</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حرمته مع عدم قصد التشریع إنّما هی من جهة أنّ فیه طرحا للاصول المعتبرة من دون حجّة شرعیّة،و هذا أیضا غیر لازم فی المقام؛لأنّ مورد العمل بالطریق المحتمل </w:t>
      </w:r>
      <w:r>
        <w:rPr>
          <w:rStyle w:val="FootnoteAnchor"/>
          <w:rtl w:val="true"/>
        </w:rPr>
        <w:footnoteReference w:id="1527"/>
      </w:r>
      <w:r>
        <w:rPr>
          <w:rFonts w:ascii="IRNazanin" w:hAnsi="IRNazanin" w:eastAsia="IRNazanin"/>
          <w:color w:val="111111"/>
          <w:sz w:val="28"/>
          <w:sz w:val="28"/>
          <w:szCs w:val="28"/>
          <w:rtl w:val="true"/>
          <w:lang w:bidi="fa-IR"/>
        </w:rPr>
        <w:t>إن کان الاصول علی طبقه فلا مخالفة،و إن کان مخالفا للاصول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مخالفا للاستصحاب </w:t>
      </w:r>
      <w:r>
        <w:rPr>
          <w:rStyle w:val="FootnoteAnchor"/>
          <w:rtl w:val="true"/>
        </w:rPr>
        <w:footnoteReference w:id="1528"/>
      </w:r>
      <w:r>
        <w:rPr>
          <w:rFonts w:ascii="IRNazanin" w:hAnsi="IRNazanin" w:eastAsia="IRNazanin"/>
          <w:color w:val="111111"/>
          <w:sz w:val="28"/>
          <w:sz w:val="28"/>
          <w:szCs w:val="28"/>
          <w:rtl w:val="true"/>
          <w:lang w:bidi="fa-IR"/>
        </w:rPr>
        <w:t>فلا إشکال؛لعدم حجّیّة الاستصحابات بعد العلم الإجمالیّ بأنّ بعض الأمارات الموجودة علی خلافها معتبرة عند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مخالفا للاحتیاط فحینئذ یعمل بالاحتیاط فی المسألة الفرعیّة، </w:t>
      </w:r>
      <w:bookmarkStart w:id="1210" w:name="pg12977_114487"/>
    </w:p>
    <w:p>
      <w:pPr>
        <w:pStyle w:val="BookText"/>
        <w:rPr/>
      </w:pPr>
      <w:bookmarkEnd w:id="1210"/>
      <w:r>
        <w:rPr>
          <w:rFonts w:ascii="IRNazanin" w:hAnsi="IRNazanin" w:eastAsia="IRNazanin"/>
          <w:color w:val="111111"/>
          <w:sz w:val="28"/>
          <w:sz w:val="28"/>
          <w:szCs w:val="28"/>
          <w:rtl w:val="true"/>
          <w:lang w:bidi="fa-IR"/>
        </w:rPr>
        <w:t xml:space="preserve">و لا یعمل بذلک الظنّ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فحاصل الأمر یرجع إلی العمل بالاحتیاط فی المسألة الاصولیّة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نصب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یعارضه الاحتیاط فی المسألة الفرعیّة، فالعمل مطلقا علی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یلزم الحرج من الاحتیاط فی موارد جریان الاحتیاط فی نفس المسألة،کالشکّ فی الجزئیّة و فی موارد الاستصحابات المثبتة للتکلیف و النافیة له بعد العلم الإجمالیّ بوجوب العمل فی بعضها علی خلاف الحالة السابقة؛إذ یصیر حینئذ کالشبهة المحصورة،فتأمّل</w:t>
      </w:r>
      <w:r>
        <w:rPr>
          <w:rFonts w:eastAsia="IRNazanin" w:cs="IRNazanin"/>
          <w:color w:val="111111"/>
          <w:sz w:val="28"/>
          <w:szCs w:val="28"/>
          <w:rtl w:val="true"/>
          <w:lang w:bidi="fa-IR"/>
        </w:rPr>
        <w:t>.</w:t>
      </w:r>
    </w:p>
    <w:p>
      <w:pPr>
        <w:pStyle w:val="Heading6"/>
        <w:numPr>
          <w:ilvl w:val="5"/>
          <w:numId w:val="1"/>
        </w:numPr>
        <w:rPr/>
      </w:pPr>
      <w:bookmarkStart w:id="1211" w:name="__RefHeading___Toc5447361_3224264995"/>
      <w:bookmarkStart w:id="1212" w:name="_Toc462"/>
      <w:bookmarkEnd w:id="1211"/>
      <w:r>
        <w:rPr>
          <w:rtl w:val="true"/>
        </w:rPr>
        <w:t>المناقشة الخامسة</w:t>
      </w:r>
      <w:bookmarkEnd w:id="1212"/>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العلم الإجمالیّ بوجود الطریق المجعول و عدم المتیقّن و عدم وجوب الاحتیاط،لکن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لا یوجب تعیین العمل بالظنّ فی مسألة تعیین الطریق فقط بل هو مجوّز له،کما یجوز العمل بالظنّ فی المسألة الفرعیّة؛و ذلک لأنّ الطریق المعلوم نصبه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منصوبا حتّی حال انفتاح باب العلم فیکون هو فی عرض الواقع مبرءا للذمّة بشرط العلم به،کالواقع المعلوم</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فرضنا حجّیّة الخبر مع الانفتاح تخیّر المکلّف بین امتثال ما علم کونه حکما واقعیّا بتحصیل </w:t>
      </w:r>
      <w:r>
        <w:rPr>
          <w:rStyle w:val="FootnoteAnchor"/>
          <w:rtl w:val="true"/>
        </w:rPr>
        <w:footnoteReference w:id="1530"/>
      </w:r>
      <w:r>
        <w:rPr>
          <w:rFonts w:ascii="IRNazanin" w:hAnsi="IRNazanin" w:eastAsia="IRNazanin"/>
          <w:color w:val="111111"/>
          <w:sz w:val="28"/>
          <w:sz w:val="28"/>
          <w:szCs w:val="28"/>
          <w:rtl w:val="true"/>
          <w:lang w:bidi="fa-IR"/>
        </w:rPr>
        <w:t xml:space="preserve">العلم به،و بین امتثال مؤدّی الطریق المجعول الذی علم </w:t>
      </w:r>
      <w:r>
        <w:rPr>
          <w:rStyle w:val="FootnoteAnchor"/>
          <w:rtl w:val="true"/>
        </w:rPr>
        <w:footnoteReference w:id="1531"/>
      </w:r>
      <w:r>
        <w:rPr>
          <w:rFonts w:ascii="IRNazanin" w:hAnsi="IRNazanin" w:eastAsia="IRNazanin"/>
          <w:color w:val="111111"/>
          <w:sz w:val="28"/>
          <w:sz w:val="28"/>
          <w:szCs w:val="28"/>
          <w:rtl w:val="true"/>
          <w:lang w:bidi="fa-IR"/>
        </w:rPr>
        <w:t xml:space="preserve">جعله بمنزلة الواقع،فکلّ من الواقع و مؤدّی </w:t>
      </w:r>
    </w:p>
    <w:p>
      <w:pPr>
        <w:pStyle w:val="BookText"/>
        <w:rPr/>
      </w:pPr>
      <w:r>
        <w:rPr>
          <w:rFonts w:ascii="IRNazanin" w:hAnsi="IRNazanin" w:eastAsia="IRNazanin"/>
          <w:color w:val="111111"/>
          <w:sz w:val="28"/>
          <w:sz w:val="28"/>
          <w:szCs w:val="28"/>
          <w:rtl w:val="true"/>
          <w:lang w:bidi="fa-IR"/>
        </w:rPr>
        <w:t>الطریق مبرئ مع العلم به،فإذا انسدّ باب العلم التفصیلیّ بأحدهما تعیّن الآخر،و إذا انسدّ باب العلم التفصیلیّ بهما تعیّن العمل فیهما بالظنّ، فلا فرق بین الظنّ بالواقع و الظنّ بمؤدّی الطریق فی کون کلّ واحد امتثالا ظنّیا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ذلک الطریق منصوبا عند انسداد باب العلم بالواقع،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تقدیمه حینئذ علی العمل بالظنّ إنّما هو مع العلم به و تمیّزه عن غیره؛إذ حینئذ یحکم العقل بعدم جواز العمل بمطلق الظنّ مع وجود هذا الطریق المعلوم؛إذ فیه عدول عن الامتثال القطعی إلی الظنّی </w:t>
      </w:r>
      <w:r>
        <w:rPr>
          <w:rStyle w:val="FootnoteAnchor"/>
          <w:rtl w:val="true"/>
        </w:rPr>
        <w:footnoteReference w:id="1532"/>
      </w:r>
      <w:r>
        <w:rPr>
          <w:rFonts w:ascii="IRNazanin" w:hAnsi="IRNazanin" w:eastAsia="IRNazanin"/>
          <w:color w:val="111111"/>
          <w:sz w:val="28"/>
          <w:sz w:val="28"/>
          <w:szCs w:val="28"/>
          <w:rtl w:val="true"/>
          <w:lang w:bidi="fa-IR"/>
        </w:rPr>
        <w:t>،أمّا مع انسداد باب العلم بهذا الطریق و عدم تمیّزه عن غیره إلاّ بإعمال مطلق الظنّ،فالعقل لا یحکم بتقدیم إحراز الطریق بمطلق الظنّ علی إحراز الواقع بمطلق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المستدلّ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نصب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مع عروض الاشتباه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موجب لصرف التکلیف عن الواقع إلی العمل بمؤدّی الطریق،کما ینبئ عنه قوله </w:t>
      </w:r>
      <w:r>
        <w:rPr>
          <w:rStyle w:val="FootnoteAnchor"/>
          <w:rtl w:val="true"/>
        </w:rPr>
        <w:footnoteReference w:id="1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القطعین إلی أمر واحد،و هو التکلیف الفعلیّ بالعمل بمؤدّیات الطرق</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سیأتی مزید توضیح لاندفاع هذا التوهّم إن شاء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نری أنّه إذا عیّن الشارع طریقا للواقع عند انسداد باب العلم به ثمّ انسدّ باب العلم بذلک الطریق،کان البناء علی العمل بالظنّ فی الطریق دون نفس الواقع؛أ لا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المقلّد یعمل بالظنّ فی تعیین المجتهد لا فی نفس الحکم الواقعیّ،و القاضی یعمل بالظنّ فی تحصیل الطرق المنصوبة لقطع المرافعات لا فی تحصیل الحقّ الواقعیّ بین المتخاصمین؟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ما نحن فیه و بین المثالین،فإنّ الظنون الحاصلة للمقلّد و القاضی فی المثالین بالنسبة إلی الواقع امور غیر مضبوطة کثیر المخالفة للواقع،مع قیام الإجماع علی عدم جواز العمل بها کالقیاس، بخلاف ظنونهما المعمولة فی تعیین الطریق؛فإنّها حاصلة من أمارات منضبطة غالب المطابقة لم یدلّ دلیل بالخصوص علی عدم جواز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فالمثال المطابق لما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الظنون المعمولة فی تعیین الطریق بعینها هی المعمولة فی تحصیل الواقع لا یوجد بینهما فرق من جهة العلم الإجمالیّ بکثرة مخالفة إحداهما للواقع،و لا من جهة منع الشارع عن إحداهما </w:t>
      </w:r>
      <w:r>
        <w:rPr>
          <w:rStyle w:val="FootnoteAnchor"/>
          <w:rtl w:val="true"/>
        </w:rPr>
        <w:footnoteReference w:id="1534"/>
      </w:r>
      <w:r>
        <w:rPr>
          <w:rFonts w:ascii="IRNazanin" w:hAnsi="IRNazanin" w:eastAsia="IRNazanin"/>
          <w:color w:val="111111"/>
          <w:sz w:val="28"/>
          <w:sz w:val="28"/>
          <w:szCs w:val="28"/>
          <w:rtl w:val="true"/>
          <w:lang w:bidi="fa-IR"/>
        </w:rPr>
        <w:t xml:space="preserve">بالخصوص،کما أنّا لو فرضنا أنّ الظنون المعمولة فی نصب الطریق علی العکس فی المثالین </w:t>
      </w:r>
      <w:r>
        <w:rPr>
          <w:rStyle w:val="FootnoteAnchor"/>
          <w:rtl w:val="true"/>
        </w:rPr>
        <w:footnoteReference w:id="1535"/>
      </w:r>
      <w:r>
        <w:rPr>
          <w:rFonts w:ascii="IRNazanin" w:hAnsi="IRNazanin" w:eastAsia="IRNazanin"/>
          <w:color w:val="111111"/>
          <w:sz w:val="28"/>
          <w:sz w:val="28"/>
          <w:szCs w:val="28"/>
          <w:rtl w:val="true"/>
          <w:lang w:bidi="fa-IR"/>
        </w:rPr>
        <w:t>کان المتعیّن العمل بالظنّ فی نفس الواقع دون الطریق</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العمل علی الظنّ سواء تعلّق بالطریق أم بنفس </w:t>
      </w:r>
    </w:p>
    <w:p>
      <w:pPr>
        <w:pStyle w:val="BookText"/>
        <w:rPr/>
      </w:pPr>
      <w:r>
        <w:rPr>
          <w:rFonts w:ascii="IRNazanin" w:hAnsi="IRNazanin" w:eastAsia="IRNazanin"/>
          <w:color w:val="111111"/>
          <w:sz w:val="28"/>
          <w:sz w:val="28"/>
          <w:szCs w:val="28"/>
          <w:rtl w:val="true"/>
          <w:lang w:bidi="fa-IR"/>
        </w:rPr>
        <w:t>الواقع،فإنّما هو مع مساواتهما من جمیع الجهات؛فإنّا لو فرضنا أنّ المقلّد یقدر علی إعمال نظیر الظنون التی یعملها لتعیین المجتهد فی الأحکام الشرعیّة مع قدرة الفحص عمّا یعارضها علی الوجه المعتبر فی العمل بالظنّ،لم یجب علیه العمل بالظنّ فی تعیین المجتهد،بل وجب علیه العمل بظنّه فی تعیین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القاضی إذا شهد عنده عادل واحد بالحقّ لا یعمل به، و إذا أخبره هذا العادل بعینه بطریق قطع هذه المخاصمة یأخذ به؛ فإنّما هو لأجل قدرته علی الاجتهاد فی مسألة الطریق بإعمال الظنون و بذل الجهد فی المعارضات و دفعها،بخلاف الظنّ بحقّیة أحد المتخاصمین؛ فإنّه ممّا یصعب الاجتهاد و بذل الوسع فی فهم الحقّ من المتخاصمین؛ لعدم انضباط الأمارات فی الوقائع الشخصیّة و عدم قدرة المجتهد علی الإحاطة بها حتّی یأخذ بالأحری،و کما أنّ المقلّد عاجز عن الاجتهاد فی المسألة الکلّیة،کذلک القاضی عاجز عن الاجتهاد فی الوقائع الشخصیّة،فتأمّل</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هذا،مع إمکان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مسألة عمل القاضی بالظنّ فی الطریق مغایرة لمسألتنا؛من جهة أنّ الشارع لم یلاحظ الواقع فی نصب الطریق و أعرض عنه،و جعل مدار قطع الخصومة علی الطرق التعبّدیّة،مثل الإقرار و البیّنة و الیمین و النکول و القرعة و شبهها،بخلاف الطرق المنصوبة للمجتهد علی الأحکام الواقعیّة؛فإنّ الظاهر أنّ مبناها علی الکشف الغالبیّ عن الواقع،و وجه تخصیصها من بین سائر الأمارات کونها أغلب مطابقة للواقع و کون غیرها غیر غالب المطابقة،بل غالب المخالفة،کما ینبئ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فی </w:t>
      </w:r>
    </w:p>
    <w:p>
      <w:pPr>
        <w:pStyle w:val="BookText"/>
        <w:rPr/>
      </w:pPr>
      <w:r>
        <w:rPr>
          <w:rFonts w:ascii="IRNazanin" w:hAnsi="IRNazanin" w:eastAsia="IRNazanin"/>
          <w:color w:val="111111"/>
          <w:sz w:val="28"/>
          <w:sz w:val="28"/>
          <w:szCs w:val="28"/>
          <w:rtl w:val="true"/>
          <w:lang w:bidi="fa-IR"/>
        </w:rPr>
        <w:t xml:space="preserve">نتیجة </w:t>
      </w:r>
      <w:r>
        <w:rPr>
          <w:rStyle w:val="FootnoteAnchor"/>
          <w:rtl w:val="true"/>
        </w:rPr>
        <w:footnoteReference w:id="1536"/>
      </w:r>
      <w:r>
        <w:rPr>
          <w:rFonts w:ascii="IRNazanin" w:hAnsi="IRNazanin" w:eastAsia="IRNazanin"/>
          <w:color w:val="111111"/>
          <w:sz w:val="28"/>
          <w:sz w:val="28"/>
          <w:szCs w:val="28"/>
          <w:rtl w:val="true"/>
          <w:lang w:bidi="fa-IR"/>
        </w:rPr>
        <w:t xml:space="preserve">العمل بالعقول فی دین اللّه،و أنّه لیس شیء أبعد عن دین اللّه من عقول الرجال </w:t>
      </w:r>
      <w:r>
        <w:rPr>
          <w:rStyle w:val="FootnoteAnchor"/>
          <w:rtl w:val="true"/>
        </w:rPr>
        <w:footnoteReference w:id="1537"/>
      </w:r>
      <w:r>
        <w:rPr>
          <w:rFonts w:ascii="IRNazanin" w:hAnsi="IRNazanin" w:eastAsia="IRNazanin"/>
          <w:color w:val="111111"/>
          <w:sz w:val="28"/>
          <w:sz w:val="28"/>
          <w:szCs w:val="28"/>
          <w:rtl w:val="true"/>
          <w:lang w:bidi="fa-IR"/>
        </w:rPr>
        <w:t xml:space="preserve">،و أنّ ما یفسده أکثر ممّا یصلحه </w:t>
      </w:r>
      <w:r>
        <w:rPr>
          <w:rStyle w:val="FootnoteAnchor"/>
          <w:rtl w:val="true"/>
        </w:rPr>
        <w:footnoteReference w:id="1538"/>
      </w:r>
      <w:r>
        <w:rPr>
          <w:rFonts w:ascii="IRNazanin" w:hAnsi="IRNazanin" w:eastAsia="IRNazanin"/>
          <w:color w:val="111111"/>
          <w:sz w:val="28"/>
          <w:sz w:val="28"/>
          <w:szCs w:val="28"/>
          <w:rtl w:val="true"/>
          <w:lang w:bidi="fa-IR"/>
        </w:rPr>
        <w:t xml:space="preserve">،و أنّ الدین یمحق بالقیاس </w:t>
      </w:r>
      <w:r>
        <w:rPr>
          <w:rStyle w:val="FootnoteAnchor"/>
          <w:rtl w:val="true"/>
        </w:rPr>
        <w:footnoteReference w:id="1539"/>
      </w:r>
      <w:r>
        <w:rPr>
          <w:rFonts w:ascii="IRNazanin" w:hAnsi="IRNazanin" w:eastAsia="IRNazanin"/>
          <w:color w:val="111111"/>
          <w:sz w:val="28"/>
          <w:sz w:val="28"/>
          <w:szCs w:val="28"/>
          <w:rtl w:val="true"/>
          <w:lang w:bidi="fa-IR"/>
        </w:rPr>
        <w:t xml:space="preserve">،و نحو ذلک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المقصود من نصب الطریق </w:t>
      </w:r>
      <w:r>
        <w:rPr>
          <w:rStyle w:val="FootnoteAnchor"/>
          <w:rtl w:val="true"/>
        </w:rPr>
        <w:footnoteReference w:id="1541"/>
      </w:r>
      <w:r>
        <w:rPr>
          <w:rFonts w:ascii="IRNazanin" w:hAnsi="IRNazanin" w:eastAsia="IRNazanin"/>
          <w:color w:val="111111"/>
          <w:sz w:val="28"/>
          <w:sz w:val="28"/>
          <w:szCs w:val="28"/>
          <w:rtl w:val="true"/>
          <w:lang w:bidi="fa-IR"/>
        </w:rPr>
        <w:t>إذا کان غلبة الوصول إلی الواقع لخصوصیّة فیها من بین سائر الأمارات،ثمّ انسدّ باب العلم بذلک الطریق المنصوب،و التجأ إلی إعمال سائر الأمارات التی لم یعتبرها الشارع فی نفس الحکم لوجود الأوفق منها بالواقع، فلا فرق بین إعمال هذه الأمارات فی تعیین ذلک الطریق و بین إعمالها فی نفس الحکم الواقعیّ</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إعمالها فی نفس الواقع أولی؛لإحراز المصلحة الأوّلیّة التی هی أحقّ بالمراعاة من مصلحة نصب الطریق؛فإنّ غایة ما فی نصب الطریق من المصلحة ما به یتدارک المفسدة المترتّبة علی مخالفة الواقع اللازمة من العمل بذلک الطریق،لا إدراک المصلحة الواقعیّة؛ </w:t>
      </w:r>
    </w:p>
    <w:p>
      <w:pPr>
        <w:pStyle w:val="BookText"/>
        <w:rPr/>
      </w:pPr>
      <w:r>
        <w:rPr>
          <w:rFonts w:ascii="IRNazanin" w:hAnsi="IRNazanin" w:eastAsia="IRNazanin"/>
          <w:color w:val="111111"/>
          <w:sz w:val="28"/>
          <w:sz w:val="28"/>
          <w:szCs w:val="28"/>
          <w:rtl w:val="true"/>
          <w:lang w:bidi="fa-IR"/>
        </w:rPr>
        <w:t xml:space="preserve">و لهذا اتّفق العقل و النقل علی ترجیح الاحتیاط علی تحصیل الواقع بالطریق المنصوب فی غیر العبادات ممّا لا یعتبر فیه نیّة الوجه اتفاقا، بل الحقّ ذلک فیها أیضا،کما مرّت </w:t>
      </w:r>
      <w:r>
        <w:rPr>
          <w:rStyle w:val="FootnoteAnchor"/>
          <w:rtl w:val="true"/>
        </w:rPr>
        <w:footnoteReference w:id="1542"/>
      </w:r>
      <w:r>
        <w:rPr>
          <w:rFonts w:ascii="IRNazanin" w:hAnsi="IRNazanin" w:eastAsia="IRNazanin"/>
          <w:color w:val="111111"/>
          <w:sz w:val="28"/>
          <w:sz w:val="28"/>
          <w:szCs w:val="28"/>
          <w:rtl w:val="true"/>
          <w:lang w:bidi="fa-IR"/>
        </w:rPr>
        <w:t>الإشارة إلیه فی إبطال 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بالظنّ فی الطریق عمل بالظنّ فی الامتثال الظاهریّ و الواقعیّ؛لأنّ الفرض إفادة الطریق للظنّ بالواقع،بخلاف غیر ما ظنّ طریقیّته؛فإنّه ظنّ بالواقع و لیس ظنّا بتحقّق الامتثال فی الظاهر،بل الامتثال الظاهریّ مشکوک أو موهوم بحسب احتمال اعتبار ذلک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خروج عن الفرض؛لأنّ مبنی الاستدلال المتقدّم علی وجوب العمل بالظنّ فی الطریق </w:t>
      </w:r>
      <w:r>
        <w:rPr>
          <w:rStyle w:val="FootnoteAnchor"/>
          <w:rtl w:val="true"/>
        </w:rPr>
        <w:footnoteReference w:id="1543"/>
      </w:r>
      <w:r>
        <w:rPr>
          <w:rFonts w:ascii="IRNazanin" w:hAnsi="IRNazanin" w:eastAsia="IRNazanin"/>
          <w:color w:val="111111"/>
          <w:sz w:val="28"/>
          <w:sz w:val="28"/>
          <w:szCs w:val="28"/>
          <w:rtl w:val="true"/>
          <w:lang w:bidi="fa-IR"/>
        </w:rPr>
        <w:t xml:space="preserve">و إن لم یکن الطریق مفیدا للظنّ بالواقع </w:t>
      </w:r>
      <w:r>
        <w:rPr>
          <w:rStyle w:val="FootnoteAnchor"/>
          <w:rtl w:val="true"/>
        </w:rPr>
        <w:footnoteReference w:id="1544"/>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نعم،قد </w:t>
      </w:r>
      <w:r>
        <w:rPr>
          <w:rStyle w:val="FootnoteAnchor"/>
          <w:rtl w:val="true"/>
        </w:rPr>
        <w:footnoteReference w:id="1545"/>
      </w:r>
      <w:r>
        <w:rPr>
          <w:rFonts w:ascii="IRNazanin" w:hAnsi="IRNazanin" w:eastAsia="IRNazanin"/>
          <w:color w:val="111111"/>
          <w:sz w:val="28"/>
          <w:sz w:val="28"/>
          <w:szCs w:val="28"/>
          <w:rtl w:val="true"/>
          <w:lang w:bidi="fa-IR"/>
        </w:rPr>
        <w:t xml:space="preserve">اتّفق فی الخارج أنّ الامور التی یعلم بوجود الطریق فیها إجمالا مفیدة للظنّ </w:t>
      </w:r>
      <w:r>
        <w:rPr>
          <w:rStyle w:val="FootnoteAnchor"/>
          <w:rtl w:val="true"/>
        </w:rPr>
        <w:footnoteReference w:id="1546"/>
      </w:r>
      <w:r>
        <w:rPr>
          <w:rFonts w:ascii="IRNazanin" w:hAnsi="IRNazanin" w:eastAsia="IRNazanin"/>
          <w:color w:val="111111"/>
          <w:sz w:val="28"/>
          <w:sz w:val="28"/>
          <w:szCs w:val="28"/>
          <w:rtl w:val="true"/>
          <w:lang w:bidi="fa-IR"/>
        </w:rPr>
        <w:t>،لا أنّ مناط الاستدلال اتّباع الظنّ بالطریق المفید للظنّ بالواقع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یرجع إلی ترجیح بعض الأمارات الظنّیّة علی بعض باعتبار الظنّ باعتبار بعضها شرعا دون الآخر،بعد الاعتراف بأنّ مؤدّی دلیل الانسداد حجّیّة الظنّ بالواقع لا بالطریق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سیجیء </w:t>
      </w:r>
      <w:r>
        <w:rPr>
          <w:rStyle w:val="FootnoteAnchor"/>
          <w:rtl w:val="true"/>
        </w:rPr>
        <w:footnoteReference w:id="1547"/>
      </w:r>
      <w:r>
        <w:rPr>
          <w:rFonts w:ascii="IRNazanin" w:hAnsi="IRNazanin" w:eastAsia="IRNazanin"/>
          <w:color w:val="111111"/>
          <w:sz w:val="28"/>
          <w:sz w:val="28"/>
          <w:szCs w:val="28"/>
          <w:rtl w:val="true"/>
          <w:lang w:bidi="fa-IR"/>
        </w:rPr>
        <w:t>الکلام فی أنّ نتیجة دلیل الانسداد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إفادته اعتبار الظنّ بنفس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کلّیة بحیث لا یرجّح بعض الظنون علی بعض،أو مهملة بحیث یجب الترجیح بین الظنون،ثمّ التعمیم مع فقد المرجّح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الاستدلال المذکور مبنیّ علی إنکار ذلک کلّه،و أنّ دلیل الانسداد جار فی مسألة تعیین الطریق و هی المسألة الاصولیّة،لا فی نفس الأحکام الواقعیّة الفرعیّة؛بناء منه علی أنّ الأحکام الواقعیّة بعد نصب الطرق </w:t>
      </w:r>
      <w:r>
        <w:rPr>
          <w:rStyle w:val="FootnoteAnchor"/>
          <w:rtl w:val="true"/>
        </w:rPr>
        <w:footnoteReference w:id="1548"/>
      </w:r>
      <w:r>
        <w:rPr>
          <w:rFonts w:ascii="IRNazanin" w:hAnsi="IRNazanin" w:eastAsia="IRNazanin"/>
          <w:color w:val="111111"/>
          <w:sz w:val="28"/>
          <w:sz w:val="28"/>
          <w:szCs w:val="28"/>
          <w:rtl w:val="true"/>
          <w:lang w:bidi="fa-IR"/>
        </w:rPr>
        <w:t>لیست مکلّفا بها تکلیفا فعلیّا إلاّ بشرط قیام تلک الطرق علیها،فالمکلّف به فی الحقیقة مؤدّیات تلک الطرق،لا الأحکام الواقعیّة من حیث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نصب هذه الطرق لیس إلاّ لأجل کشفها الغالبیّ عن الواقع و مطابقتها له،فإذا دار الأمر بین إعمال ظنّ </w:t>
      </w:r>
      <w:r>
        <w:rPr>
          <w:rStyle w:val="FootnoteAnchor"/>
          <w:rtl w:val="true"/>
        </w:rPr>
        <w:footnoteReference w:id="1549"/>
      </w:r>
      <w:r>
        <w:rPr>
          <w:rFonts w:ascii="IRNazanin" w:hAnsi="IRNazanin" w:eastAsia="IRNazanin"/>
          <w:color w:val="111111"/>
          <w:sz w:val="28"/>
          <w:sz w:val="28"/>
          <w:szCs w:val="28"/>
          <w:rtl w:val="true"/>
          <w:lang w:bidi="fa-IR"/>
        </w:rPr>
        <w:t>فی تعیینها أو فی تعیین الواقع لم یکن رجحان للأوّل</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إذا فرضنا أنّ نصبها لیس لمجرّد الکشف،بل لأجل مصلحة یتدارک بها مصلحة الواقع،لکن لیس مفاد نصبها تقیید الواقع بها و اعتبار مساعدتها فی إرادة الواقع،بل مؤدّی وجوب العمل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جعلها </w:t>
      </w:r>
    </w:p>
    <w:p>
      <w:pPr>
        <w:pStyle w:val="BookText"/>
        <w:rPr/>
      </w:pPr>
      <w:r>
        <w:rPr>
          <w:rFonts w:ascii="IRNazanin" w:hAnsi="IRNazanin" w:eastAsia="IRNazanin"/>
          <w:color w:val="111111"/>
          <w:sz w:val="28"/>
          <w:sz w:val="28"/>
          <w:szCs w:val="28"/>
          <w:rtl w:val="true"/>
          <w:lang w:bidi="fa-IR"/>
        </w:rPr>
        <w:t>عین الواقع و لو بحکم الشارع،لا قیدا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فرق بین أن یکون مرجع نصب هذه الطرق إلی قول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ارید من الواقع إلاّ ما ساعد علیه ذلک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فینحصر التکلیف الفعلیّ حینئذ فی مؤدّیات الطرق </w:t>
      </w:r>
      <w:r>
        <w:rPr>
          <w:rStyle w:val="FootnoteAnchor"/>
          <w:rtl w:val="true"/>
        </w:rPr>
        <w:footnoteReference w:id="1550"/>
      </w:r>
      <w:r>
        <w:rPr>
          <w:rFonts w:ascii="IRNazanin" w:hAnsi="IRNazanin" w:eastAsia="IRNazanin"/>
          <w:color w:val="111111"/>
          <w:sz w:val="28"/>
          <w:sz w:val="28"/>
          <w:szCs w:val="28"/>
          <w:rtl w:val="true"/>
          <w:lang w:bidi="fa-IR"/>
        </w:rPr>
        <w:t>،و لازمه إهمال ما لم یؤدّ إلیه الطریق من الواقع،سواء انفتح باب العلم بالطریق أم انسدّ، و بین أن یکون التکلیف الفعلیّ بالواقع باقیا علی حاله،إلاّ أنّ الشارع حکم بوجوب البناء علی کون مؤدّی الطریق هو ذلک الواقع،فمؤدّی هذه الطرق واقع جعلیّ،فإذا انسدّ طریق العلم إلیه و دار الأمر بین الظنّ بالواقع الحقیقیّ و بین الظنّ بما جعله الشارع واقعا فلا ترجیح؛إذ الترجیح مبنیّ علی إغماض الشارع عن الواقع</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بذلک ظهر ما فی قول بعضهم </w:t>
      </w:r>
      <w:r>
        <w:rPr>
          <w:rStyle w:val="FootnoteAnchor"/>
          <w:rtl w:val="true"/>
        </w:rPr>
        <w:footnoteReference w:id="1551"/>
      </w:r>
      <w:r>
        <w:rPr>
          <w:rStyle w:val="FootnoteAnchor"/>
          <w:rtl w:val="true"/>
        </w:rPr>
        <w:footnoteReference w:id="15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التسویة بین الظنّ بالواقع و الظنّ بالطریق إنّما یحسن لو کان أداء التکلیف المتعلّق بکلّ من الفعل و الطریق المقرّر مستقلا؛لقیام الظنّ فی کلّ من التکلیفین حینئذ مقام العلم به مع قطع النظر عن الآخر،و أمّا لو کان أحد التکلیفین منوطا بالآخر مقیّدا له،فمجرّد حصول الظنّ بأحدهما دون حصول الظنّ بالآخر المقیّد له لا یقتضی الحکم بالبراءة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حصول البراءة فی صورة العلم بأداء الواقع إنّما هو لحصول الأمرین به؛نظرا إلی أداء </w:t>
      </w:r>
      <w:bookmarkStart w:id="1213" w:name="pg12977_114495"/>
    </w:p>
    <w:p>
      <w:pPr>
        <w:pStyle w:val="BookText"/>
        <w:rPr/>
      </w:pPr>
      <w:bookmarkEnd w:id="1213"/>
      <w:r>
        <w:rPr>
          <w:rFonts w:ascii="IRNazanin" w:hAnsi="IRNazanin" w:eastAsia="IRNazanin"/>
          <w:color w:val="111111"/>
          <w:sz w:val="28"/>
          <w:sz w:val="28"/>
          <w:szCs w:val="28"/>
          <w:rtl w:val="true"/>
          <w:lang w:bidi="fa-IR"/>
        </w:rPr>
        <w:t xml:space="preserve">الواقع و کونه من الوجه المقرّر؛لکون العلم طریقا إلی الواقع فی العقل و الشرع،فلو کان الظنّ بالواقع ظنّا بالطریق جری ذلک فیه أیضا،لکنّه لیس کذلک؛فلذا لا یحکم بالبراءة معه </w:t>
      </w:r>
      <w:r>
        <w:rPr>
          <w:rStyle w:val="FootnoteAnchor"/>
          <w:rtl w:val="true"/>
        </w:rPr>
        <w:footnoteReference w:id="155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1214" w:name="__RefHeading___Toc5447363_3224264995"/>
      <w:bookmarkStart w:id="1215" w:name="_Toc463"/>
      <w:bookmarkEnd w:id="1214"/>
      <w:r>
        <w:rPr>
          <w:rtl w:val="true"/>
        </w:rPr>
        <w:t>الوجه الثانی</w:t>
      </w:r>
      <w:r>
        <w:rPr>
          <w:rtl w:val="true"/>
        </w:rPr>
        <w:t xml:space="preserve">: </w:t>
      </w:r>
      <w:r>
        <w:rPr>
          <w:rtl w:val="true"/>
        </w:rPr>
        <w:t>ما ذکره صاحب هدایة المسترشدین</w:t>
      </w:r>
      <w:bookmarkEnd w:id="1215"/>
    </w:p>
    <w:p>
      <w:pPr>
        <w:pStyle w:val="BookText"/>
        <w:rPr/>
      </w:pPr>
      <w:r>
        <w:rPr>
          <w:rFonts w:ascii="IRNazanin" w:hAnsi="IRNazanin" w:eastAsia="IRNazanin"/>
          <w:color w:val="111111"/>
          <w:sz w:val="28"/>
          <w:sz w:val="28"/>
          <w:szCs w:val="28"/>
          <w:rtl w:val="true"/>
          <w:lang w:bidi="fa-IR"/>
        </w:rPr>
        <w:t xml:space="preserve">ما ذکره بعض المحقّقین من المعاصرین </w:t>
      </w:r>
      <w:r>
        <w:rPr>
          <w:rStyle w:val="FootnoteAnchor"/>
          <w:rtl w:val="true"/>
        </w:rPr>
        <w:footnoteReference w:id="1554"/>
      </w:r>
      <w:r>
        <w:rPr>
          <w:rFonts w:ascii="IRNazanin" w:hAnsi="IRNazanin" w:eastAsia="IRNazanin"/>
          <w:color w:val="111111"/>
          <w:sz w:val="28"/>
          <w:sz w:val="28"/>
          <w:szCs w:val="28"/>
          <w:rtl w:val="true"/>
          <w:lang w:bidi="fa-IR"/>
        </w:rPr>
        <w:t xml:space="preserve">مع الوجه الأوّل و بعض الوجوه الأخر </w:t>
      </w:r>
      <w:r>
        <w:rPr>
          <w:rStyle w:val="FootnoteAnchor"/>
          <w:rtl w:val="true"/>
        </w:rPr>
        <w:footnoteReference w:id="155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کوننا مکلّفین بالأحکام الشرعیّة و لم یسقط عنّا التکلیف بالأحکام الشرعیّة فی الجملة،و أنّ الواجب علینا أوّلا هو تحصیل العلم بتفریغ الذمّة فی حکم المکلّف،بأن یقطع معه بحکمه بتفریغ ذمّتنا عمّا کلّفنا به و سقوط التکلیف عنّا،سواء حصل العلم منه بأداء الواقع أو لا،حسب ما مرّ تفصیل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 لنا تحصیل العلم بتفریغ الذمّة فی حکم الشارع فلا إشکال فی وجوبه و حصول البراءة به،و إن انسدّ علینا سبیل العلم به کان الواجب علینا تحصیل الظنّ بالبراءة فی حکمه؛إذ هو الأقرب إلی العلم به،فتعیّن الأخذ به عند التنزّل من العلم فی حکم العقل بعد انسداد سبیل العلم و القطع ببقاء التکلیف،دون ما یحصل معه الظنّ بأداء الواقع کما یدّعیه القائل بأصالة حجّیة الظنّ</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بینهما بون بعید؛إذ المعتبر فی الوجه الأوّل هو الأخذ بما یظنّ کونه حجّة؛لقیام دلیل ظنّی علی حجّیته سواء حصل منه الظنّ بالواقع </w:t>
      </w:r>
    </w:p>
    <w:p>
      <w:pPr>
        <w:pStyle w:val="BookText"/>
        <w:rPr/>
      </w:pPr>
      <w:r>
        <w:rPr>
          <w:rFonts w:ascii="IRNazanin" w:hAnsi="IRNazanin" w:eastAsia="IRNazanin"/>
          <w:color w:val="111111"/>
          <w:sz w:val="28"/>
          <w:sz w:val="28"/>
          <w:szCs w:val="28"/>
          <w:rtl w:val="true"/>
          <w:lang w:bidi="fa-IR"/>
        </w:rPr>
        <w:t xml:space="preserve">أو لا،و فی الوجه الثانی لا یلزم حصول الظنّ بالبراءة فی حکم الشارع؛إذ لا یستلزم مجرّد الظنّ بالواقع الظنّ باکتفاء المکلّف بذلک الظنّ فی العمل،سیّما بعد النهی عن اتّباع الظنّ،فإذا تعیّن تحصیل ذلک بمقتضی العقل یلزم اعتبار أمر آخر یظنّ معه رضی المکلّف بالعمل به، و لیس ذلک إلاّ الدلیل الظنّی الدالّ علی حجّیّته،فکلّ طریق قام ظنّ علی حجّیّته عند الشارع یکون حجّة،دون ما لم یقم علیه ذلک </w:t>
      </w:r>
      <w:r>
        <w:rPr>
          <w:rStyle w:val="FootnoteAnchor"/>
          <w:rtl w:val="true"/>
        </w:rPr>
        <w:footnoteReference w:id="1556"/>
      </w:r>
      <w:r>
        <w:rPr>
          <w:rFonts w:ascii="IRNazanin" w:hAnsi="IRNazanin" w:eastAsia="IRNazanin"/>
          <w:color w:val="111111"/>
          <w:sz w:val="28"/>
          <w:sz w:val="28"/>
          <w:szCs w:val="28"/>
          <w:rtl w:val="true"/>
          <w:lang w:bidi="fa-IR"/>
        </w:rPr>
        <w:t>، انتهی بألفاظه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ما مرّ تفصیل القول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ذکره سابقا فی مقدّمات هذا المطلب،حیث قال فی المقدّمة الرابعة من تلک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المناط فی وجوب الأخذ بالعلم و تحصیل الیقین من الدلیل هل هو الیقین بمصادفة الأحکام الواقعیّة الأوّلیّة إلاّ أن یقوم دلیل علی الاکتفاء بغیره؟أو أنّ الواجب أوّلا هو تحصیل الیقین بتحصیل الأحکام،و أداء الأعمال علی وجه أراده الشارع منّا فی الظاهر و حکم معه قطعا بتفریغ ذمّتنا بملاحظة الطرق المقرّرة لمعرفتها ممّا جعلها وسیلة للوصول إلیها،سواء علم بمطابقته للواقع أو ظنّ ذلک،أو لم یحصل به شیء منهما؟ وجهان</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یقتضیه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الثانی؛فإنّه القدر الذی یحکم العقل بوجوبه و دلّت الأدلّة المتقدّمة علی اعتباره،و لو حصل العلم بها علی الوجه المذکور لم یحکم العقل قطعا بوجوب تحصیل العلم بما فی الواقع، </w:t>
      </w:r>
    </w:p>
    <w:p>
      <w:pPr>
        <w:pStyle w:val="BookText"/>
        <w:rPr/>
      </w:pPr>
      <w:r>
        <w:rPr>
          <w:rFonts w:ascii="IRNazanin" w:hAnsi="IRNazanin" w:eastAsia="IRNazanin"/>
          <w:color w:val="111111"/>
          <w:sz w:val="28"/>
          <w:sz w:val="28"/>
          <w:szCs w:val="28"/>
          <w:rtl w:val="true"/>
          <w:lang w:bidi="fa-IR"/>
        </w:rPr>
        <w:t xml:space="preserve">و لم یقض شیء من الأدلّة الشرعیّة بوجوب تحصیل شیء آخر وراء ذلک،بل الأدلّة الشرعیّة قائمة علی خلاف ذلک؛إذ لم یبن الشریعة من أوّل الأمر علی وجوب تحصیل کلّ من الأحکام الواقعیّة علی سبیل القطع و الیقین،و لم یقع التکلیف به حین انفتاح سبیل العلم بالواقع؛و فی ملاحظة طریقة السلف من زمن النبیّ صلّی اللّه علیه و آله و الأئمّة علیهم السّلام کفایة فی ذلک؛ إذ لم یوجب النبیّ صلّی اللّه علیه و آله علی جمیع من فی بلده من الرجال و النسوان السماع منه فی تبلیغ الأحکام،أو حصول التواتر لآحادهم بالنسبة إلی آحاد الأحکام،أو قیام القرینة القاطعة علی عدم تعمّد الکذب أو الغلط فی الفهم أو فی سماع اللفظ بالنظر إلی الجمیع،بل لو سمعوه من الثقة اکتفوا به </w:t>
      </w:r>
      <w:r>
        <w:rPr>
          <w:rStyle w:val="FootnoteAnchor"/>
          <w:rtl w:val="true"/>
        </w:rPr>
        <w:footnoteReference w:id="155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شرع فی إبطال دعوی حصول العلم بقول الثقة مطلقا،إلی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قرّرناه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العلم الذی هو مناط التکلیف أوّلا هو العلم بالأحکام من الوجه المقرّر لمعرفتها و الوصول إلیها،و الواجب بالنسبة إلی العمل هو أداؤه علی وجه یقطع معه بتفریغ الذمّة فی حکم الشرع،سواء حصل العلم بأدائه علی طبق الواقع أو علی طبق الطریق المقرّر من الشارع و إن لم یعلم و لم یظنّ بمطابقتها للواقع</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المعرفة بالتکلیف،و أداء المکلّف به علی وجه الیقین أو علی وجه منته إلی الیقین،من غیر فرق بین الوجهین، و لا ترتیب بینهما</w:t>
      </w:r>
      <w:r>
        <w:rPr>
          <w:rFonts w:eastAsia="IRNazanin" w:cs="IRNazanin"/>
          <w:color w:val="111111"/>
          <w:sz w:val="28"/>
          <w:szCs w:val="28"/>
          <w:rtl w:val="true"/>
          <w:lang w:bidi="fa-IR"/>
        </w:rPr>
        <w:t xml:space="preserve">. </w:t>
      </w:r>
      <w:bookmarkStart w:id="1216" w:name="pg12977_114498"/>
    </w:p>
    <w:p>
      <w:pPr>
        <w:pStyle w:val="BookText"/>
        <w:rPr/>
      </w:pPr>
      <w:bookmarkEnd w:id="1216"/>
      <w:r>
        <w:rPr>
          <w:rFonts w:ascii="IRNazanin" w:hAnsi="IRNazanin" w:eastAsia="IRNazanin"/>
          <w:color w:val="111111"/>
          <w:sz w:val="28"/>
          <w:sz w:val="28"/>
          <w:szCs w:val="28"/>
          <w:rtl w:val="true"/>
          <w:lang w:bidi="fa-IR"/>
        </w:rPr>
        <w:t xml:space="preserve">نعم،لو لم یظهر طریق مقرّر من الشارع لمعرفتها تعیّن الأخذ بالعلم بالواقع مع إمکانه؛إذ هو طریق إلی الواقع بحکم العقل من غیر توقّف لإیصاله إلی الواقع علی بیان الشرع،بخلاف غیره من الطرق المقرّرة </w:t>
      </w:r>
      <w:r>
        <w:rPr>
          <w:rStyle w:val="FootnoteAnchor"/>
          <w:rtl w:val="true"/>
        </w:rPr>
        <w:footnoteReference w:id="1558"/>
      </w:r>
      <w:r>
        <w:rPr>
          <w:rFonts w:ascii="IRNazanin" w:hAnsi="IRNazanin" w:eastAsia="IRNazanin"/>
          <w:color w:val="111111"/>
          <w:sz w:val="28"/>
          <w:sz w:val="28"/>
          <w:szCs w:val="28"/>
          <w:rtl w:val="true"/>
          <w:lang w:bidi="fa-IR"/>
        </w:rPr>
        <w:t>،انتهی کلامه رفع مقامه</w:t>
      </w:r>
      <w:r>
        <w:rPr>
          <w:rFonts w:eastAsia="IRNazanin" w:cs="IRNazanin"/>
          <w:color w:val="111111"/>
          <w:sz w:val="28"/>
          <w:szCs w:val="28"/>
          <w:rtl w:val="true"/>
          <w:lang w:bidi="fa-IR"/>
        </w:rPr>
        <w:t>.</w:t>
      </w:r>
    </w:p>
    <w:p>
      <w:pPr>
        <w:pStyle w:val="Heading6"/>
        <w:numPr>
          <w:ilvl w:val="5"/>
          <w:numId w:val="1"/>
        </w:numPr>
        <w:rPr/>
      </w:pPr>
      <w:bookmarkStart w:id="1217" w:name="__RefHeading___Toc5447365_3224264995"/>
      <w:bookmarkStart w:id="1218" w:name="_Toc464"/>
      <w:bookmarkEnd w:id="1217"/>
      <w:r>
        <w:rPr>
          <w:rtl w:val="true"/>
        </w:rPr>
        <w:t>المناقشة فیما أفاده صاحب الهدایة</w:t>
      </w:r>
      <w:bookmarkEnd w:id="121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فی مقدّمات مطلبه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عدم الفرق بین علم المکلّف بأداء الواقع علی ما هو علیه </w:t>
      </w:r>
      <w:r>
        <w:rPr>
          <w:rStyle w:val="FootnoteAnchor"/>
          <w:rtl w:val="true"/>
        </w:rPr>
        <w:footnoteReference w:id="1559"/>
      </w:r>
      <w:r>
        <w:rPr>
          <w:rFonts w:ascii="IRNazanin" w:hAnsi="IRNazanin" w:eastAsia="IRNazanin"/>
          <w:color w:val="111111"/>
          <w:sz w:val="28"/>
          <w:sz w:val="28"/>
          <w:szCs w:val="28"/>
          <w:rtl w:val="true"/>
          <w:lang w:bidi="fa-IR"/>
        </w:rPr>
        <w:t>و بین العلم بأدائه من الطریق المقرّر،ممّا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نعم،ما جزم به من أنّ المناط فی تحصیل العلم أوّلا هو العلم بتفریغ الذمّة دون أداء الواقع علی ما هو علیه،فیه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تفریغ الذمّة عمّا اشتغلت به إمّا بفعل نفس ما أراده الشارع فی ضمن الأوامر الواقعیّة،و إمّا بفعل ما حکم حکما جعلیّا بأنّه نفس المراد و هو مضمون الطرق المجعولة،فتفریغ الذمّة 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مذهب المخطّئة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إنّه نفس المراد الواقعیّ بجعل الشارع،لا من حیث إنّه شیء مستقلّ فی مقابل المراد الواقعیّ،فضلا عن أن یکون هو المناط فی لزوم تحصیل العلم و الیقین</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مضمون الأوامر الواقعیّة المتعلّقة بأفعال المکلّفین مراد واقعیّ حقیقیّ،و مضمون الأوامر الظاهریّة المتعلّقة بالعمل بالطرق المقرّرة ذلک المراد الواقعیّ،لکن علی سبیل الجعل لا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اعترف </w:t>
      </w:r>
      <w:r>
        <w:rPr>
          <w:rStyle w:val="FootnoteAnchor"/>
          <w:rtl w:val="true"/>
        </w:rPr>
        <w:footnoteReference w:id="1560"/>
      </w:r>
    </w:p>
    <w:p>
      <w:pPr>
        <w:pStyle w:val="BookText"/>
        <w:rPr/>
      </w:pPr>
      <w:r>
        <w:rPr>
          <w:rFonts w:ascii="IRNazanin" w:hAnsi="IRNazanin" w:eastAsia="IRNazanin"/>
          <w:color w:val="111111"/>
          <w:sz w:val="28"/>
          <w:sz w:val="28"/>
          <w:szCs w:val="28"/>
          <w:rtl w:val="true"/>
          <w:lang w:bidi="fa-IR"/>
        </w:rPr>
        <w:t>المحقّق المذکور؛حیث عبّر عنه بأداء الواقع من الطریق المجعول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فأداء کلّ من الواقع الحقیقیّ و الواقع الجعلیّ لا یکون بنفسه امتثالا و إطاعة للأمر </w:t>
      </w:r>
      <w:r>
        <w:rPr>
          <w:rStyle w:val="FootnoteAnchor"/>
          <w:rtl w:val="true"/>
        </w:rPr>
        <w:footnoteReference w:id="1561"/>
      </w:r>
      <w:r>
        <w:rPr>
          <w:rFonts w:ascii="IRNazanin" w:hAnsi="IRNazanin" w:eastAsia="IRNazanin"/>
          <w:color w:val="111111"/>
          <w:sz w:val="28"/>
          <w:sz w:val="28"/>
          <w:szCs w:val="28"/>
          <w:rtl w:val="true"/>
          <w:lang w:bidi="fa-IR"/>
        </w:rPr>
        <w:t>المتعلّق به ما لم یحصل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کلّ من الأمرین المتعلّقین بالأداءین ممّا لا یعتبر فی سقوطه قصد الإطاعة و الامتثال،کان مجرّد إتیان کلّ منهما مسقطا للأمر من دون امتثال،و أمّا الامتثال للأمر بهما فلا یحصل إلاّ مع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هذین الأمرین مع التمکّن من امتثالهما یکون المکلّف مخیّرا فی امتثال أیّهما،بمعنی أنّ المکلّف مخیّر بین تحصیل العلم بالواقع فیتعیّن علیه و ینتفی موضوع الأمر الآخر؛إذ المفروض کونه ظاهریّا قد اخذ فی موضوعه عدم العلم بالواقع،و بین ترک تحصیل الواقع و امتثال الأمر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التمکّن من امتثالهما،و أمّا لو تعذّر علیه امتثال أحدهما تعیّن علیه امتثال الآخر،کما لو عجز عن تحصیل العلم بالواقع و تمکّن من سلوک الطریق المقرّر؛لکونه معلوما له،أو انعکس الأمر بأن تمکّن من العلم و انسدّ علیه باب سلوک الطریق المقرّر؛لعدم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عجز عنهما معا قام الظنّ بهما مقام العلم بهما بحکم العقل</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فترجیح الظنّ بسلوک الطریق المقرّر </w:t>
      </w:r>
      <w:r>
        <w:rPr>
          <w:rStyle w:val="FootnoteAnchor"/>
          <w:rtl w:val="true"/>
        </w:rPr>
        <w:footnoteReference w:id="1562"/>
      </w:r>
      <w:r>
        <w:rPr>
          <w:rFonts w:ascii="IRNazanin" w:hAnsi="IRNazanin" w:eastAsia="IRNazanin"/>
          <w:color w:val="111111"/>
          <w:sz w:val="28"/>
          <w:sz w:val="28"/>
          <w:szCs w:val="28"/>
          <w:rtl w:val="true"/>
          <w:lang w:bidi="fa-IR"/>
        </w:rPr>
        <w:t xml:space="preserve">علی الظنّ بسلوک الواقع </w:t>
      </w:r>
    </w:p>
    <w:p>
      <w:pPr>
        <w:pStyle w:val="BookText"/>
        <w:rPr/>
      </w:pPr>
      <w:r>
        <w:rPr>
          <w:rFonts w:ascii="IRNazanin" w:hAnsi="IRNazanin" w:eastAsia="IRNazanin"/>
          <w:color w:val="111111"/>
          <w:sz w:val="28"/>
          <w:sz w:val="28"/>
          <w:szCs w:val="28"/>
          <w:rtl w:val="true"/>
          <w:lang w:bidi="fa-IR"/>
        </w:rPr>
        <w:t xml:space="preserve">لم یعلم وجهه،بل الظنّ بالواقع أولی فی مقام الامتثال؛لما أشرنا إلیه سابقا </w:t>
      </w:r>
      <w:r>
        <w:rPr>
          <w:rStyle w:val="FootnoteAnchor"/>
          <w:rtl w:val="true"/>
        </w:rPr>
        <w:footnoteReference w:id="1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حکم العقل و النقل بأولویّة إحراز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الطریق المجعول فی عرض العلم بأن أذن فی سلوکه مع التمکّن من العلم،و أمّا إذا نصبه بشرط العجز عن تحصیل العلم،فهو أیضا کذلک؛ضرورة أنّ القائم مقام تحصیل العلم الموجب للإطاعة الواقعیّة عند تعذّره هی الإطاعة الظاهریّة المتوقّفة علی العلم بسلوک الطریق المجعول،لا علی مجرّد سلوکه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سلوک الطریق المجعول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أو عند تعذّر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مقابل العمل بالواقع،فکما أنّ العمل بالواقع مع قطع النظر عن العلم لا یوجب امتثالا،و إنّما یوجب فراغ الذمّة من المأمور به واقعا لو لم یؤخذ فیه تحقّقه علی وجه الامتثال،فکذلک سلوک الطریق المجعول، فکلّ منهما موجب لبراءة الذمّة واقعا و إن لم یعلم بحصوله،بل و لو اعتقد عدم 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العلم بالفراغ المعتبر فی الإطاعة فلا یتحقّق فی شیء منهما إلاّ بعد العلم أو الظنّ القائم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فالحکم بأنّ الظنّ بسلوک الطریق المجعول یوجب الظنّ بفراغ الذمّة،بخلاف الظنّ بأداء الواقع فإنّه لا یوجب الظنّ بفراغ الذمّة،إلاّ إذا ثبت حجّیّة ذلک الظنّ؛و إلاّ فربما یظنّ بأداء الواقع من طریق یعلم بعدم حجّیته،تحکّم صرف</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منشأ ما ذکره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تخیّل أنّ نفس سلوک الطریق الشرعیّ </w:t>
      </w:r>
      <w:bookmarkStart w:id="1219" w:name="pg12977_114501"/>
    </w:p>
    <w:p>
      <w:pPr>
        <w:pStyle w:val="BookText"/>
        <w:rPr/>
      </w:pPr>
      <w:bookmarkEnd w:id="1219"/>
      <w:r>
        <w:rPr>
          <w:rFonts w:ascii="IRNazanin" w:hAnsi="IRNazanin" w:eastAsia="IRNazanin"/>
          <w:color w:val="111111"/>
          <w:sz w:val="28"/>
          <w:sz w:val="28"/>
          <w:szCs w:val="28"/>
          <w:rtl w:val="true"/>
          <w:lang w:bidi="fa-IR"/>
        </w:rPr>
        <w:t>المجعول،فی مقابل سلوک الطریق العقلیّ الغیر المجعول و هو العلم بالواقع الذی هو سبب تامّ لبراءة الذمّة،فیکون هو أیضا کذلک،فیکون الظنّ بالسلوک ظنّا بالبراءة،بخلاف الظنّ بالواقع؛لأنّ نفس أداء الواقع لیس سببا تامّا للبراءة حتّی یحصل من الظنّ به الظنّ بالبراءة،فقد قاس الطریق الشرعیّ بالطریق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الطریق الشرعیّ لا یتّصف بالطریقیّة فعلا إلاّ بعد العلم به تفصیلا؛و إلاّ فسلوکه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مجرّد تطبیق الأعمال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قطع النظر عن حکم الشارع،لغو صرف؛و لذلک أطلنا الکلام فی أنّ سلوک الطریق المجعول فی مقابل العمل بالواقع،لا فی مقابل العلم بالعمل </w:t>
      </w:r>
      <w:r>
        <w:rPr>
          <w:rStyle w:val="FootnoteAnchor"/>
          <w:rtl w:val="true"/>
        </w:rPr>
        <w:footnoteReference w:id="1564"/>
      </w:r>
      <w:r>
        <w:rPr>
          <w:rFonts w:ascii="IRNazanin" w:hAnsi="IRNazanin" w:eastAsia="IRNazanin"/>
          <w:color w:val="111111"/>
          <w:sz w:val="28"/>
          <w:sz w:val="28"/>
          <w:szCs w:val="28"/>
          <w:rtl w:val="true"/>
          <w:lang w:bidi="fa-IR"/>
        </w:rPr>
        <w:t>بالواقع،و یلزم من ذلک کون کلّ من العلم و الظنّ المتعلّق بأحدهما فی مقابل المتعلّق بالآخر؛فدعوی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الظنّ بسلوک الطریق یستلزم الظنّ بالفراغ،بخلاف الظنّ بإتیان الواقع،فاسدة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کلّه،مع ما علمت سابقا فی ردّ 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إمکان منع جعل الشارع طریقا إلی الأحکام،و إنّما اقتصر علی الطرق المنجعلة عند العقلاء و هو العلم،ثمّ علی الظنّ الاطمئنانیّ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إنّک حیث عرفت أنّ مآل هذا القول إلی أخذ نتیجة دلیل الانسداد بالنسبة إلی المسائل الاصولیّة و هی حجّیّة الأمارات المحتملة للحجّیّة،لا بالنسبة إلی نفس الفروع،فاعلم</w:t>
      </w:r>
      <w:r>
        <w:rPr>
          <w:rFonts w:eastAsia="IRNazanin" w:cs="IRNazanin"/>
          <w:color w:val="111111"/>
          <w:sz w:val="28"/>
          <w:szCs w:val="28"/>
          <w:rtl w:val="true"/>
          <w:lang w:bidi="fa-IR"/>
        </w:rPr>
        <w:t>:</w:t>
      </w:r>
    </w:p>
    <w:p>
      <w:pPr>
        <w:pStyle w:val="Heading6"/>
        <w:numPr>
          <w:ilvl w:val="5"/>
          <w:numId w:val="1"/>
        </w:numPr>
        <w:rPr/>
      </w:pPr>
      <w:bookmarkStart w:id="1220" w:name="__RefHeading___Toc5447367_3224264995"/>
      <w:bookmarkStart w:id="1221" w:name="_Toc465"/>
      <w:bookmarkEnd w:id="1220"/>
      <w:r>
        <w:rPr>
          <w:rtl w:val="true"/>
        </w:rPr>
        <w:t>القول باعتبار الظنّ فی المسائل الفرعیّة دون الاصولیّة</w:t>
      </w:r>
      <w:bookmarkEnd w:id="1221"/>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فی مقابله قولا آخر لغیر واحد من مشایخنا المعاصرین قدّس اللّه أسرارهم </w:t>
      </w:r>
      <w:r>
        <w:rPr>
          <w:rStyle w:val="FootnoteAnchor"/>
          <w:rtl w:val="true"/>
        </w:rPr>
        <w:footnoteReference w:id="1565"/>
      </w:r>
      <w:r>
        <w:rPr>
          <w:rFonts w:ascii="IRNazanin" w:hAnsi="IRNazanin" w:eastAsia="IRNazanin"/>
          <w:color w:val="111111"/>
          <w:sz w:val="28"/>
          <w:sz w:val="28"/>
          <w:szCs w:val="28"/>
          <w:rtl w:val="true"/>
          <w:lang w:bidi="fa-IR"/>
        </w:rPr>
        <w:t xml:space="preserve">،و هو عدم جریان دلیل الانسداد علی وجه یشمل مثل </w:t>
      </w:r>
      <w:bookmarkStart w:id="1222" w:name="pg12977_114502"/>
    </w:p>
    <w:p>
      <w:pPr>
        <w:pStyle w:val="BookText"/>
        <w:rPr/>
      </w:pPr>
      <w:bookmarkEnd w:id="1222"/>
      <w:r>
        <w:rPr>
          <w:rFonts w:ascii="IRNazanin" w:hAnsi="IRNazanin" w:eastAsia="IRNazanin"/>
          <w:color w:val="111111"/>
          <w:sz w:val="28"/>
          <w:sz w:val="28"/>
          <w:szCs w:val="28"/>
          <w:rtl w:val="true"/>
          <w:lang w:bidi="fa-IR"/>
        </w:rPr>
        <w:t>هذه المسألة الاصولیّة،أعنی حجّیّة الأمارات المحتملة،و هذا هو القول الذی ذکرنا فی أوّل التنبیه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ذهب إلیه فریق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الکلام فیه عند التکلّم فی حجّیة الظنّ المتعلّق بالمسائل الاصولیّة إن شاء اللّه تعالی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23" w:name="__RefHeading___Toc5447369_3224264995"/>
      <w:bookmarkStart w:id="1224" w:name="_Toc466"/>
      <w:bookmarkEnd w:id="1223"/>
      <w:r>
        <w:rPr>
          <w:rtl w:val="true"/>
        </w:rPr>
        <w:t>ما ذکره صاحب ضوابط الاصول</w:t>
      </w:r>
      <w:bookmarkEnd w:id="1224"/>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 من لا خبرة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لم یفهم من دلیل الانسداد إلاّ ما تلقّن من لسان بعض مشایخه </w:t>
      </w:r>
      <w:r>
        <w:rPr>
          <w:rStyle w:val="FootnoteAnchor"/>
          <w:rtl w:val="true"/>
        </w:rPr>
        <w:footnoteReference w:id="1567"/>
      </w:r>
      <w:r>
        <w:rPr>
          <w:rFonts w:ascii="IRNazanin" w:hAnsi="IRNazanin" w:eastAsia="IRNazanin"/>
          <w:color w:val="111111"/>
          <w:sz w:val="28"/>
          <w:sz w:val="28"/>
          <w:szCs w:val="28"/>
          <w:rtl w:val="true"/>
          <w:lang w:bidi="fa-IR"/>
        </w:rPr>
        <w:t xml:space="preserve">و ظاهر عبارة کتاب القوانین </w:t>
      </w:r>
      <w:r>
        <w:rPr>
          <w:rStyle w:val="FootnoteAnchor"/>
          <w:rtl w:val="true"/>
        </w:rPr>
        <w:footnoteReference w:id="15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القول الذی ذکرناه أوّلا عن بعض المعاصرین </w:t>
      </w:r>
      <w:r>
        <w:rPr>
          <w:rStyle w:val="FootnoteAnchor"/>
          <w:rtl w:val="true"/>
        </w:rPr>
        <w:footnoteReference w:id="15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حجّیّة الظنّ فی الطریق لا فی نفس الأحکام،بمخالفته لإجماع العلماء؛ حیث زعم أنّهم بین من یعمّم دلیل الانسداد لجمیع المسائل العلمیّة </w:t>
      </w:r>
      <w:r>
        <w:rPr>
          <w:rStyle w:val="FootnoteAnchor"/>
          <w:rtl w:val="true"/>
        </w:rPr>
        <w:footnoteReference w:id="15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اصولیّة أو 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کصاحب القوانین </w:t>
      </w:r>
      <w:r>
        <w:rPr>
          <w:rStyle w:val="FootnoteAnchor"/>
          <w:rtl w:val="true"/>
        </w:rPr>
        <w:footnoteReference w:id="1571"/>
      </w:r>
      <w:r>
        <w:rPr>
          <w:rFonts w:ascii="IRNazanin" w:hAnsi="IRNazanin" w:eastAsia="IRNazanin"/>
          <w:color w:val="111111"/>
          <w:sz w:val="28"/>
          <w:sz w:val="28"/>
          <w:szCs w:val="28"/>
          <w:rtl w:val="true"/>
          <w:lang w:bidi="fa-IR"/>
        </w:rPr>
        <w:t xml:space="preserve">،و بین من یخصّصه بالمسائل الفرعیّة،فالقول بعکس هذا خرق للإجماع المرکّب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25" w:name="__RefHeading___Toc5447371_3224264995"/>
      <w:bookmarkStart w:id="1226" w:name="_Toc467"/>
      <w:bookmarkEnd w:id="1225"/>
      <w:r>
        <w:rPr>
          <w:rtl w:val="true"/>
        </w:rPr>
        <w:t>المناقشة فیما أفاده صاحب ضوابط الاصول</w:t>
      </w:r>
      <w:bookmarkEnd w:id="1226"/>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المسألة لیست من التوقیفیّات التی یدخلها الإجماع المرکّب،مع أنّ دعواه فی مثل هذه المسائل المستحدثة بشیعة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w:t>
      </w:r>
    </w:p>
    <w:p>
      <w:pPr>
        <w:pStyle w:val="BookText"/>
        <w:rPr/>
      </w:pPr>
      <w:r>
        <w:rPr>
          <w:rFonts w:ascii="IRNazanin" w:hAnsi="IRNazanin" w:eastAsia="IRNazanin"/>
          <w:color w:val="111111"/>
          <w:sz w:val="28"/>
          <w:sz w:val="28"/>
          <w:szCs w:val="28"/>
          <w:rtl w:val="true"/>
          <w:lang w:bidi="fa-IR"/>
        </w:rPr>
        <w:t xml:space="preserve">المسألة عقلیّة،فإذا فرض استقلال العقل بلزوم العمل بالظنّ فی مسألة تعیین الطرق </w:t>
      </w:r>
      <w:r>
        <w:rPr>
          <w:rStyle w:val="FootnoteAnchor"/>
          <w:rtl w:val="true"/>
        </w:rPr>
        <w:footnoteReference w:id="1573"/>
      </w:r>
      <w:r>
        <w:rPr>
          <w:rFonts w:ascii="IRNazanin" w:hAnsi="IRNazanin" w:eastAsia="IRNazanin"/>
          <w:color w:val="111111"/>
          <w:sz w:val="28"/>
          <w:sz w:val="28"/>
          <w:szCs w:val="28"/>
          <w:rtl w:val="true"/>
          <w:lang w:bidi="fa-IR"/>
        </w:rPr>
        <w:t>،فلا معنی لردّه بالإجماع المرکّب</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سبیل إلی ردّه إلاّ بمنع جریان حکم العقل،و جریان مقدّمات الانسداد فی خصوصها کما عرفته منّا،أو فیها فی ضمن مطلق الأحکام الشرعیّة،کما فعله غیر واحد من مشایخنا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 xml:space="preserve">. </w:t>
      </w:r>
      <w:bookmarkStart w:id="1227" w:name="pg12977_114504"/>
    </w:p>
    <w:p>
      <w:pPr>
        <w:pStyle w:val="Heading6"/>
        <w:numPr>
          <w:ilvl w:val="5"/>
          <w:numId w:val="1"/>
        </w:numPr>
        <w:rPr/>
      </w:pPr>
      <w:bookmarkStart w:id="1228" w:name="__RefHeading___Toc5447373_3224264995"/>
      <w:bookmarkStart w:id="1229" w:name="_Toc468"/>
      <w:bookmarkEnd w:id="1227"/>
      <w:bookmarkEnd w:id="1228"/>
      <w:r>
        <w:rPr>
          <w:rtl w:val="true"/>
        </w:rPr>
        <w:t>الأمر الثانی</w:t>
      </w:r>
      <w:r>
        <w:rPr>
          <w:rtl w:val="true"/>
        </w:rPr>
        <w:t>:</w:t>
      </w:r>
      <w:r>
        <w:rPr>
          <w:rtl w:val="true"/>
        </w:rPr>
        <w:t>الکلام فی مقامات</w:t>
      </w:r>
      <w:r>
        <w:rPr>
          <w:rtl w:val="true"/>
        </w:rPr>
        <w:t>:</w:t>
      </w:r>
      <w:bookmarkEnd w:id="1229"/>
    </w:p>
    <w:p>
      <w:pPr>
        <w:pStyle w:val="BookText"/>
        <w:rPr/>
      </w:pPr>
      <w:r>
        <w:rPr>
          <w:rFonts w:ascii="IRNazanin" w:hAnsi="IRNazanin" w:eastAsia="IRNazanin"/>
          <w:color w:val="111111"/>
          <w:sz w:val="28"/>
          <w:sz w:val="28"/>
          <w:szCs w:val="28"/>
          <w:rtl w:val="true"/>
          <w:lang w:bidi="fa-IR"/>
        </w:rPr>
        <w:t>و هو أهمّ الامور فی هذا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نتیجة دلیل الانسداد هل هی قضیّة مهملة من حیث أسباب الظنّ،فلا یعمّ الحکم لجمیع الأمارات الموجبة للظنّ إلاّ بعد ثبوت معمّم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لزوم ترجیح بلا مرجّح،أو إجماع مرکّب،أو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قضیّة کلّیّة لا تحتاج </w:t>
      </w:r>
      <w:r>
        <w:rPr>
          <w:rStyle w:val="FootnoteAnchor"/>
          <w:rtl w:val="true"/>
        </w:rPr>
        <w:footnoteReference w:id="1575"/>
      </w:r>
      <w:r>
        <w:rPr>
          <w:rFonts w:ascii="IRNazanin" w:hAnsi="IRNazanin" w:eastAsia="IRNazanin"/>
          <w:color w:val="111111"/>
          <w:sz w:val="28"/>
          <w:sz w:val="28"/>
          <w:szCs w:val="28"/>
          <w:rtl w:val="true"/>
          <w:lang w:bidi="fa-IR"/>
        </w:rPr>
        <w:t>فی التعمیم إلی شیء؟</w:t>
      </w:r>
    </w:p>
    <w:p>
      <w:pPr>
        <w:pStyle w:val="BookText"/>
        <w:rPr/>
      </w:pPr>
      <w:r>
        <w:rPr>
          <w:rFonts w:ascii="IRNazanin" w:hAnsi="IRNazanin" w:eastAsia="IRNazanin"/>
          <w:color w:val="111111"/>
          <w:sz w:val="28"/>
          <w:sz w:val="28"/>
          <w:szCs w:val="28"/>
          <w:rtl w:val="true"/>
          <w:lang w:bidi="fa-IR"/>
        </w:rPr>
        <w:t>و علی التقدیر الأوّل،فهل ثبت المرجّح لبعض الأسباب علی بعض أم لم یثبت؟</w:t>
      </w:r>
    </w:p>
    <w:p>
      <w:pPr>
        <w:pStyle w:val="BookText"/>
        <w:rPr/>
      </w:pPr>
      <w:r>
        <w:rPr>
          <w:rFonts w:ascii="IRNazanin" w:hAnsi="IRNazanin" w:eastAsia="IRNazanin"/>
          <w:color w:val="111111"/>
          <w:sz w:val="28"/>
          <w:sz w:val="28"/>
          <w:szCs w:val="28"/>
          <w:rtl w:val="true"/>
          <w:lang w:bidi="fa-IR"/>
        </w:rPr>
        <w:t>و علی التقدیر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کون القضیّة 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توجیه خروج القیاس،مع أنّ الدلیل العقلیّ لا یقبل التخصیص؟</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 مقامات</w:t>
      </w:r>
      <w:r>
        <w:rPr>
          <w:rFonts w:eastAsia="IRNazanin" w:cs="IRNazanin"/>
          <w:color w:val="111111"/>
          <w:sz w:val="28"/>
          <w:szCs w:val="28"/>
          <w:rtl w:val="true"/>
          <w:lang w:bidi="fa-IR"/>
        </w:rPr>
        <w:t xml:space="preserve">: </w:t>
      </w:r>
      <w:bookmarkStart w:id="1230" w:name="pg12977_114505"/>
    </w:p>
    <w:p>
      <w:pPr>
        <w:pStyle w:val="Heading6"/>
        <w:numPr>
          <w:ilvl w:val="5"/>
          <w:numId w:val="1"/>
        </w:numPr>
        <w:rPr/>
      </w:pPr>
      <w:bookmarkStart w:id="1231" w:name="__RefHeading___Toc5447375_3224264995"/>
      <w:bookmarkStart w:id="1232" w:name="_Toc469"/>
      <w:bookmarkEnd w:id="1230"/>
      <w:bookmarkEnd w:id="1231"/>
      <w:r>
        <w:rPr>
          <w:rtl w:val="true"/>
        </w:rPr>
        <w:t>المقام الأوّل فی کون نتیجة دلیل الانسداد مهملة أو معیّنة</w:t>
      </w:r>
      <w:r>
        <w:rPr>
          <w:rtl w:val="true"/>
        </w:rPr>
        <w:t>:</w:t>
      </w:r>
      <w:bookmarkEnd w:id="1232"/>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إشکال فی أنّ المقدّمات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حاصلها بقاء التکلیف،و عدم التمکّن من العلم،و عدم وجوب الاحتیاط،و عدم جواز الرجوع إلی القاعدة التی یقتضیها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جرت فی مسألة، تعیّن وجوب العمل بأیّ ظنّ حصل فی تلک المسألة من أیّ سبب، و هذا الظنّ کالعلم فی عدم الفرق فی اعتباره بین الأسباب و الموارد و الأشخاص،و هذا ثابت بالإجماع و بالعقل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سلک هذا المسلک صاحب القوانین؛حیث إنّه أبطل البراءة فی کلّ مسألة من غیر ملاحظة لزوم الخروج عن الدین،و أبطل لزوم الاحتیاط کذلک مع قطع النظر عن لزوم الحرج </w:t>
      </w:r>
      <w:r>
        <w:rPr>
          <w:rStyle w:val="FootnoteAnchor"/>
          <w:rtl w:val="true"/>
        </w:rPr>
        <w:footnoteReference w:id="1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أیضا من صاحبی المعالم </w:t>
      </w:r>
      <w:r>
        <w:rPr>
          <w:rStyle w:val="FootnoteAnchor"/>
          <w:rtl w:val="true"/>
        </w:rPr>
        <w:footnoteReference w:id="1577"/>
      </w:r>
      <w:r>
        <w:rPr>
          <w:rFonts w:ascii="Amiri" w:hAnsi="Amiri" w:eastAsia="Amiri" w:cs="Amiri"/>
          <w:color w:val="111111"/>
          <w:sz w:val="28"/>
          <w:sz w:val="28"/>
          <w:szCs w:val="28"/>
          <w:rtl w:val="true"/>
          <w:lang w:bidi="ar-SA"/>
        </w:rPr>
        <w:t xml:space="preserve">و الزبدة </w:t>
      </w:r>
      <w:r>
        <w:rPr>
          <w:rStyle w:val="FootnoteAnchor"/>
          <w:rtl w:val="true"/>
        </w:rPr>
        <w:footnoteReference w:id="1578"/>
      </w:r>
      <w:r>
        <w:rPr>
          <w:rFonts w:ascii="IRNazanin" w:hAnsi="IRNazanin" w:eastAsia="IRNazanin"/>
          <w:color w:val="111111"/>
          <w:sz w:val="28"/>
          <w:sz w:val="28"/>
          <w:szCs w:val="28"/>
          <w:rtl w:val="true"/>
          <w:lang w:bidi="fa-IR"/>
        </w:rPr>
        <w:t xml:space="preserve">بناء علی اقتضاء ما ذکراه لإثبات حجّیّة خبر الواحد للعمل </w:t>
      </w:r>
      <w:r>
        <w:rPr>
          <w:rStyle w:val="FootnoteAnchor"/>
          <w:rtl w:val="true"/>
        </w:rPr>
        <w:footnoteReference w:id="1579"/>
      </w:r>
      <w:r>
        <w:rPr>
          <w:rFonts w:ascii="IRNazanin" w:hAnsi="IRNazanin" w:eastAsia="IRNazanin"/>
          <w:color w:val="111111"/>
          <w:sz w:val="28"/>
          <w:sz w:val="28"/>
          <w:szCs w:val="28"/>
          <w:rtl w:val="true"/>
          <w:lang w:bidi="fa-IR"/>
        </w:rPr>
        <w:t>بمطلق الظنّ،فلاحظ</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لکنّک قد عرفت ممّا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دلیل علی منع </w:t>
      </w:r>
      <w:r>
        <w:rPr>
          <w:rStyle w:val="FootnoteAnchor"/>
          <w:rtl w:val="true"/>
        </w:rPr>
        <w:footnoteReference w:id="1580"/>
      </w:r>
      <w:r>
        <w:rPr>
          <w:rFonts w:ascii="IRNazanin" w:hAnsi="IRNazanin" w:eastAsia="IRNazanin"/>
          <w:color w:val="111111"/>
          <w:sz w:val="28"/>
          <w:sz w:val="28"/>
          <w:szCs w:val="28"/>
          <w:rtl w:val="true"/>
          <w:lang w:bidi="fa-IR"/>
        </w:rPr>
        <w:t xml:space="preserve">جریان </w:t>
      </w:r>
      <w:bookmarkStart w:id="1233" w:name="pg12977_114506"/>
    </w:p>
    <w:p>
      <w:pPr>
        <w:pStyle w:val="BookText"/>
        <w:rPr/>
      </w:pPr>
      <w:bookmarkEnd w:id="1233"/>
      <w:r>
        <w:rPr>
          <w:rFonts w:ascii="Amiri" w:hAnsi="Amiri" w:eastAsia="Amiri" w:cs="Amiri"/>
          <w:color w:val="111111"/>
          <w:sz w:val="28"/>
          <w:sz w:val="28"/>
          <w:szCs w:val="28"/>
          <w:rtl w:val="true"/>
          <w:lang w:bidi="ar-SA"/>
        </w:rPr>
        <w:t xml:space="preserve">أصالة البراءة و أصالة </w:t>
      </w:r>
      <w:r>
        <w:rPr>
          <w:rStyle w:val="FootnoteAnchor"/>
          <w:rtl w:val="true"/>
        </w:rPr>
        <w:footnoteReference w:id="1581"/>
      </w:r>
      <w:r>
        <w:rPr>
          <w:rFonts w:ascii="IRNazanin" w:hAnsi="IRNazanin" w:eastAsia="IRNazanin"/>
          <w:color w:val="111111"/>
          <w:sz w:val="28"/>
          <w:sz w:val="28"/>
          <w:szCs w:val="28"/>
          <w:rtl w:val="true"/>
          <w:lang w:bidi="fa-IR"/>
        </w:rPr>
        <w:t xml:space="preserve">الاحتیاط أو الاستصحاب </w:t>
      </w:r>
      <w:r>
        <w:rPr>
          <w:rStyle w:val="FootnoteAnchor"/>
          <w:rtl w:val="true"/>
        </w:rPr>
        <w:footnoteReference w:id="1582"/>
      </w:r>
      <w:r>
        <w:rPr>
          <w:rFonts w:ascii="IRNazanin" w:hAnsi="IRNazanin" w:eastAsia="IRNazanin"/>
          <w:color w:val="111111"/>
          <w:sz w:val="28"/>
          <w:sz w:val="28"/>
          <w:szCs w:val="28"/>
          <w:rtl w:val="true"/>
          <w:lang w:bidi="fa-IR"/>
        </w:rPr>
        <w:t xml:space="preserve">المطابق لإحداهما </w:t>
      </w:r>
      <w:r>
        <w:rPr>
          <w:rStyle w:val="FootnoteAnchor"/>
          <w:rtl w:val="true"/>
        </w:rPr>
        <w:footnoteReference w:id="1583"/>
      </w:r>
      <w:r>
        <w:rPr>
          <w:rFonts w:ascii="IRNazanin" w:hAnsi="IRNazanin" w:eastAsia="IRNazanin"/>
          <w:color w:val="111111"/>
          <w:sz w:val="28"/>
          <w:sz w:val="28"/>
          <w:szCs w:val="28"/>
          <w:rtl w:val="true"/>
          <w:lang w:bidi="fa-IR"/>
        </w:rPr>
        <w:t xml:space="preserve">فی کلّ مورد مورد </w:t>
      </w:r>
      <w:r>
        <w:rPr>
          <w:rStyle w:val="FootnoteAnchor"/>
          <w:rtl w:val="true"/>
        </w:rPr>
        <w:footnoteReference w:id="1584"/>
      </w:r>
      <w:r>
        <w:rPr>
          <w:rFonts w:ascii="IRNazanin" w:hAnsi="IRNazanin" w:eastAsia="IRNazanin"/>
          <w:color w:val="111111"/>
          <w:sz w:val="28"/>
          <w:sz w:val="28"/>
          <w:szCs w:val="28"/>
          <w:rtl w:val="true"/>
          <w:lang w:bidi="fa-IR"/>
        </w:rPr>
        <w:t>من مواردها بالخصوص،إنّما الممنوع جریانها فی جمیع المسائل؛للزوم المخالفة القطعیّة الکثیرة و لزوم الحرج عن الاحتیاط،و هذا المقدار لا یثبت إلاّ وجوب العمل بالظنّ فی الجملة، من دون تعمیم بحسب الأسباب و لا بحسب الموارد و لا بحسب مرتبة الظنّ</w:t>
      </w:r>
      <w:r>
        <w:rPr>
          <w:rFonts w:eastAsia="IRNazanin" w:cs="IRNazanin"/>
          <w:color w:val="111111"/>
          <w:sz w:val="28"/>
          <w:szCs w:val="28"/>
          <w:rtl w:val="true"/>
          <w:lang w:bidi="fa-IR"/>
        </w:rPr>
        <w:t>.</w:t>
      </w:r>
    </w:p>
    <w:p>
      <w:pPr>
        <w:pStyle w:val="Heading6"/>
        <w:numPr>
          <w:ilvl w:val="5"/>
          <w:numId w:val="1"/>
        </w:numPr>
        <w:rPr/>
      </w:pPr>
      <w:bookmarkStart w:id="1234" w:name="__RefHeading___Toc5447377_3224264995"/>
      <w:bookmarkStart w:id="1235" w:name="_Toc470"/>
      <w:bookmarkEnd w:id="1234"/>
      <w:r>
        <w:rPr>
          <w:rtl w:val="true"/>
        </w:rPr>
        <w:t>تقریر دلیل الانسداد بوجهین</w:t>
      </w:r>
      <w:r>
        <w:rPr>
          <w:rtl w:val="true"/>
        </w:rPr>
        <w:t>:</w:t>
      </w:r>
      <w:bookmarkEnd w:id="1235"/>
    </w:p>
    <w:p>
      <w:pPr>
        <w:pStyle w:val="Heading6"/>
        <w:numPr>
          <w:ilvl w:val="5"/>
          <w:numId w:val="1"/>
        </w:numPr>
        <w:rPr/>
      </w:pPr>
      <w:bookmarkStart w:id="1236" w:name="__RefHeading___Toc5447379_3224264995"/>
      <w:bookmarkStart w:id="1237" w:name="_Toc471"/>
      <w:bookmarkEnd w:id="1236"/>
      <w:r>
        <w:rPr/>
        <w:t>1</w:t>
      </w:r>
      <w:r>
        <w:rPr>
          <w:rtl w:val="true"/>
        </w:rPr>
        <w:t>-</w:t>
      </w:r>
      <w:r>
        <w:rPr>
          <w:rtl w:val="true"/>
        </w:rPr>
        <w:t>علی وجه الکشف</w:t>
      </w:r>
      <w:bookmarkEnd w:id="1237"/>
    </w:p>
    <w:p>
      <w:pPr>
        <w:pStyle w:val="BookText"/>
        <w:rPr/>
      </w:pPr>
      <w:r>
        <w:rPr>
          <w:rFonts w:ascii="IRNazanin" w:hAnsi="IRNazanin" w:eastAsia="IRNazanin"/>
          <w:color w:val="111111"/>
          <w:sz w:val="28"/>
          <w:sz w:val="28"/>
          <w:szCs w:val="28"/>
          <w:rtl w:val="true"/>
          <w:lang w:bidi="fa-IR"/>
        </w:rPr>
        <w:t>و حینئذ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إمّا أن یقرّر دلیل الانسداد علی وجه یکون کاشفا عن حکم الشارع بلزوم العمل بالظنّ،بأن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بقاء التکالیف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بأنّ الشارع لم یعذرنا فی ترک التعرّض لها و إهمالها، مع عدم إیجاب الاحتیاط علینا،و عدم بیان طریق مجعول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یکشف عن أنّ الظنّ جائز العمل،و أنّ العمل به ماض عند الشارع،و أنّه لا یعاقبنا علی ترک واجب إذا ظنّ بعدم وجوبه و لا بفعل محرّم إذا ظنّ بعدم تحریمه</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فحجّیة الظنّ علی هذا التقریر تعبّد شرعیّ کشف عنه العقل من جهة دوران الأمر بین امور کلّها باطلة سواه،فالاستدلال علیه من باب الاستدلال علی تعیین أحد طرفی المنفصلة أو أطرافها بنفی الباقی،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الشارع إمّا أن أعرض عن هذه التکالیف المعلومة إجمالا،أو </w:t>
      </w:r>
      <w:bookmarkStart w:id="1238" w:name="pg12977_114507"/>
    </w:p>
    <w:p>
      <w:pPr>
        <w:pStyle w:val="BookText"/>
        <w:rPr/>
      </w:pPr>
      <w:bookmarkEnd w:id="1238"/>
      <w:r>
        <w:rPr>
          <w:rFonts w:ascii="IRNazanin" w:hAnsi="IRNazanin" w:eastAsia="IRNazanin"/>
          <w:color w:val="111111"/>
          <w:sz w:val="28"/>
          <w:sz w:val="28"/>
          <w:szCs w:val="28"/>
          <w:rtl w:val="true"/>
          <w:lang w:bidi="fa-IR"/>
        </w:rPr>
        <w:t xml:space="preserve">أراد الامتثال بها علی </w:t>
      </w:r>
      <w:r>
        <w:rPr>
          <w:rStyle w:val="FootnoteAnchor"/>
          <w:rtl w:val="true"/>
        </w:rPr>
        <w:footnoteReference w:id="1585"/>
      </w:r>
      <w:r>
        <w:rPr>
          <w:rFonts w:ascii="IRNazanin" w:hAnsi="IRNazanin" w:eastAsia="IRNazanin"/>
          <w:color w:val="111111"/>
          <w:sz w:val="28"/>
          <w:sz w:val="28"/>
          <w:szCs w:val="28"/>
          <w:rtl w:val="true"/>
          <w:lang w:bidi="fa-IR"/>
        </w:rPr>
        <w:t>العلم،أو أراد الامتثال المعلوم إجمالا،أو أراد امتثالها من طریق خاصّ تعبّدی،أو أراد امتثالها الظنّی،و ما عدا الأخیر باطل،فتعیّن هو</w:t>
      </w:r>
      <w:r>
        <w:rPr>
          <w:rFonts w:eastAsia="IRNazanin" w:cs="IRNazanin"/>
          <w:color w:val="111111"/>
          <w:sz w:val="28"/>
          <w:szCs w:val="28"/>
          <w:rtl w:val="true"/>
          <w:lang w:bidi="fa-IR"/>
        </w:rPr>
        <w:t>.</w:t>
      </w:r>
    </w:p>
    <w:p>
      <w:pPr>
        <w:pStyle w:val="Heading6"/>
        <w:numPr>
          <w:ilvl w:val="5"/>
          <w:numId w:val="1"/>
        </w:numPr>
        <w:rPr/>
      </w:pPr>
      <w:bookmarkStart w:id="1239" w:name="__RefHeading___Toc5447381_3224264995"/>
      <w:bookmarkStart w:id="1240" w:name="_Toc472"/>
      <w:bookmarkEnd w:id="1239"/>
      <w:r>
        <w:rPr/>
        <w:t>2</w:t>
      </w:r>
      <w:r>
        <w:rPr>
          <w:rtl w:val="true"/>
        </w:rPr>
        <w:t>-</w:t>
      </w:r>
      <w:r>
        <w:rPr>
          <w:rtl w:val="true"/>
        </w:rPr>
        <w:t>علی وجه الحکومة</w:t>
      </w:r>
      <w:bookmarkEnd w:id="1240"/>
    </w:p>
    <w:p>
      <w:pPr>
        <w:pStyle w:val="BookText"/>
        <w:rPr/>
      </w:pPr>
      <w:r>
        <w:rPr>
          <w:rFonts w:ascii="IRNazanin" w:hAnsi="IRNazanin" w:eastAsia="IRNazanin"/>
          <w:color w:val="111111"/>
          <w:sz w:val="28"/>
          <w:sz w:val="28"/>
          <w:szCs w:val="28"/>
          <w:rtl w:val="true"/>
          <w:lang w:bidi="fa-IR"/>
        </w:rPr>
        <w:t>و إمّا أن یقرّر علی وجه یکون العقل منشأ للحکم بوجوب الامتثال الظنّی،بمعنی حسن المعاقبة علی ترکه و قبح المطالبة بأزید منه، کما یحکم بوجوب تحصیل العلم و عدم کفایة الظنّ عند التمکّن من تحصیل العلم،فهذا الحکم العقلیّ لیس من مجعولات الشارع؛إذ کما أنّ نفس وجوب الإطاعة و حرمة المعصیة بعد تحقّق الأمر و النهی من الشارع لیس من الأحکام المجعولة للشارع،بل شیء یستقلّ به العقل لا علی وجه الکشف،فکذلک کیفیّة الإطاعة و أنّه یکفی فیها الظنّ بتحصیل مراد الشارع فی مقام،و یعتبر فیها العلم بتحصیل المراد فی مقام آخر إمّا تفصیلا أو إجمالا</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یلزم علی هذا انفکاک حکم العقل عن حکم الشرع، مدفوع بما قرّرنا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التلازم بین الحکمین إنّما هو مع قابلیّة المورد لهما،أمّا لو کان قابلا لحکم العقل دون الشرع فلا تلازم </w:t>
      </w:r>
      <w:r>
        <w:rPr>
          <w:rStyle w:val="FootnoteAnchor"/>
          <w:rtl w:val="true"/>
        </w:rPr>
        <w:footnoteReference w:id="1586"/>
      </w:r>
      <w:r>
        <w:rPr>
          <w:rFonts w:ascii="IRNazanin" w:hAnsi="IRNazanin" w:eastAsia="IRNazanin"/>
          <w:color w:val="111111"/>
          <w:sz w:val="28"/>
          <w:sz w:val="28"/>
          <w:szCs w:val="28"/>
          <w:rtl w:val="true"/>
          <w:lang w:bidi="fa-IR"/>
        </w:rPr>
        <w:t>، کما فی الإطاعة و المعصیة،فإنّهما لا یقبلان لورود حکم الشارع علیهما بالوجوب و التحریم الشرعیّین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یرید فعل الاولی و ترک الثانیة بإرادة مستقلّة غیر إرادة فعل المأمور به و ترک المنهیّ عنه الحاصلة بالأمر و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أنّه لو صرّح بوجوب الإطاعة و تحریم المعصیة </w:t>
      </w:r>
      <w:bookmarkStart w:id="1241" w:name="pg12977_114508"/>
    </w:p>
    <w:p>
      <w:pPr>
        <w:pStyle w:val="BookText"/>
        <w:rPr/>
      </w:pPr>
      <w:bookmarkEnd w:id="1241"/>
      <w:r>
        <w:rPr>
          <w:rFonts w:ascii="IRNazanin" w:hAnsi="IRNazanin" w:eastAsia="IRNazanin"/>
          <w:color w:val="111111"/>
          <w:sz w:val="28"/>
          <w:sz w:val="28"/>
          <w:szCs w:val="28"/>
          <w:rtl w:val="true"/>
          <w:lang w:bidi="fa-IR"/>
        </w:rPr>
        <w:t xml:space="preserve">کان الأمر و النهی للإرشاد لا للتکلیف؛إذ لا یترتّب علی مخالفة هذا الأمر و النهی إلاّ ما یترتّب علی ذات المأمور به و المنهیّ عنه، أعنی نفس الإطاعة و المعصیة،و هذا </w:t>
      </w:r>
      <w:r>
        <w:rPr>
          <w:rStyle w:val="FootnoteAnchor"/>
          <w:rtl w:val="true"/>
        </w:rPr>
        <w:footnoteReference w:id="1587"/>
      </w:r>
      <w:r>
        <w:rPr>
          <w:rFonts w:ascii="IRNazanin" w:hAnsi="IRNazanin" w:eastAsia="IRNazanin"/>
          <w:color w:val="111111"/>
          <w:sz w:val="28"/>
          <w:sz w:val="28"/>
          <w:szCs w:val="28"/>
          <w:rtl w:val="true"/>
          <w:lang w:bidi="fa-IR"/>
        </w:rPr>
        <w:t>دلیل الإرشاد،کما فی أوامر الطبیب؛و لذا لا یحسن من الحکیم عقاب آخر أو ثواب آخر غیر ما یترتّب علی نفس المأمور به و المنهیّ عنه فعلا أو ترکا من الثواب و العقاب</w:t>
      </w:r>
      <w:r>
        <w:rPr>
          <w:rFonts w:eastAsia="IRNazanin" w:cs="IRNazanin"/>
          <w:color w:val="111111"/>
          <w:sz w:val="28"/>
          <w:szCs w:val="28"/>
          <w:rtl w:val="true"/>
          <w:lang w:bidi="fa-IR"/>
        </w:rPr>
        <w:t>.</w:t>
      </w:r>
    </w:p>
    <w:p>
      <w:pPr>
        <w:pStyle w:val="Heading6"/>
        <w:numPr>
          <w:ilvl w:val="5"/>
          <w:numId w:val="1"/>
        </w:numPr>
        <w:rPr/>
      </w:pPr>
      <w:bookmarkStart w:id="1242" w:name="__RefHeading___Toc5447383_3224264995"/>
      <w:bookmarkStart w:id="1243" w:name="_Toc473"/>
      <w:bookmarkEnd w:id="1242"/>
      <w:r>
        <w:rPr>
          <w:rtl w:val="true"/>
        </w:rPr>
        <w:t>التعمیم من حیث الموارد مشترک بین التقریرین</w:t>
      </w:r>
      <w:bookmarkEnd w:id="1243"/>
    </w:p>
    <w:p>
      <w:pPr>
        <w:pStyle w:val="BookText"/>
        <w:rPr/>
      </w:pPr>
      <w:r>
        <w:rPr>
          <w:rFonts w:ascii="IRNazanin" w:hAnsi="IRNazanin" w:eastAsia="IRNazanin"/>
          <w:color w:val="111111"/>
          <w:sz w:val="28"/>
          <w:sz w:val="28"/>
          <w:szCs w:val="28"/>
          <w:rtl w:val="true"/>
          <w:lang w:bidi="fa-IR"/>
        </w:rPr>
        <w:t>ثمّ إنّ هذین التقریرین مشترکان فی الدلالة علی التعمیم من حیث الموارد یعنی المسائل؛إذ علی الأوّل یدّعی الإجماع القطعیّ علی أنّ العمل بالظنّ لا یفرّق فیه بین أبواب الفقه،و علی الثانی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العقل مستقلّ بعدم الفرق فی باب الإطاعة و المعصیة بین واجبات الفروع من أوّل الفقه إلی آخره و لا بین محرّماتها کذلک،فیبقی التعمیم من جهتی الأسباب و مرتبة الظنّ</w:t>
      </w:r>
      <w:r>
        <w:rPr>
          <w:rFonts w:eastAsia="IRNazanin" w:cs="IRNazanin"/>
          <w:color w:val="111111"/>
          <w:sz w:val="28"/>
          <w:szCs w:val="28"/>
          <w:rtl w:val="true"/>
          <w:lang w:bidi="fa-IR"/>
        </w:rPr>
        <w:t>.</w:t>
      </w:r>
    </w:p>
    <w:p>
      <w:pPr>
        <w:pStyle w:val="Heading6"/>
        <w:numPr>
          <w:ilvl w:val="5"/>
          <w:numId w:val="1"/>
        </w:numPr>
        <w:rPr/>
      </w:pPr>
      <w:bookmarkStart w:id="1244" w:name="__RefHeading___Toc5447385_3224264995"/>
      <w:bookmarkStart w:id="1245" w:name="_Toc474"/>
      <w:bookmarkEnd w:id="1244"/>
      <w:r>
        <w:rPr>
          <w:rtl w:val="true"/>
        </w:rPr>
        <w:t>لازم الحکومة التعمیم من حیث الأسباب دون المراتب</w:t>
      </w:r>
      <w:bookmarkEnd w:id="1245"/>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التقریر الثانی،فهو یقتضی التعمیم و الکلّیة من حیث الأسباب؛ إذ العقل لا یفرّق فی باب الإطاعة الظنّیة </w:t>
      </w:r>
      <w:r>
        <w:rPr>
          <w:rStyle w:val="FootnoteAnchor"/>
          <w:rtl w:val="true"/>
        </w:rPr>
        <w:footnoteReference w:id="1588"/>
      </w:r>
      <w:r>
        <w:rPr>
          <w:rFonts w:ascii="IRNazanin" w:hAnsi="IRNazanin" w:eastAsia="IRNazanin"/>
          <w:color w:val="111111"/>
          <w:sz w:val="28"/>
          <w:sz w:val="28"/>
          <w:szCs w:val="28"/>
          <w:rtl w:val="true"/>
          <w:lang w:bidi="fa-IR"/>
        </w:rPr>
        <w:t>بین أسباب الظنّ،بل هو من هذه الجهة نظیر العلم لا یقصد منه إلاّ الانکشاف</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من حیث مرتبة الانکشاف قوّة و ضعفا فلا تعمیم فی النتیجة </w:t>
      </w:r>
      <w:r>
        <w:rPr>
          <w:rStyle w:val="FootnoteAnchor"/>
          <w:rtl w:val="true"/>
        </w:rPr>
        <w:footnoteReference w:id="1589"/>
      </w:r>
      <w:r>
        <w:rPr>
          <w:rFonts w:ascii="IRNazanin" w:hAnsi="IRNazanin" w:eastAsia="IRNazanin"/>
          <w:color w:val="111111"/>
          <w:sz w:val="28"/>
          <w:sz w:val="28"/>
          <w:szCs w:val="28"/>
          <w:rtl w:val="true"/>
          <w:lang w:bidi="fa-IR"/>
        </w:rPr>
        <w:t>إذ لا یلزم من بطلان کلّیة العمل بالاصول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هی طرق </w:t>
      </w:r>
      <w:bookmarkStart w:id="1246" w:name="pg12977_114509"/>
    </w:p>
    <w:p>
      <w:pPr>
        <w:pStyle w:val="BookText"/>
        <w:rPr/>
      </w:pPr>
      <w:bookmarkEnd w:id="1246"/>
      <w:r>
        <w:rPr>
          <w:rFonts w:ascii="IRNazanin" w:hAnsi="IRNazanin" w:eastAsia="IRNazanin"/>
          <w:color w:val="111111"/>
          <w:sz w:val="28"/>
          <w:sz w:val="28"/>
          <w:szCs w:val="28"/>
          <w:rtl w:val="true"/>
          <w:lang w:bidi="fa-IR"/>
        </w:rPr>
        <w:t>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عنها بالکلّیّة،بل یمکن الفرق فی مواردها بین الظنّ القویّ البالغ حدّ سکون النفس فی مقابلها فیؤخذ به،و بین ما دونه فیؤخذ بها</w:t>
      </w:r>
      <w:r>
        <w:rPr>
          <w:rFonts w:eastAsia="IRNazanin" w:cs="IRNazanin"/>
          <w:color w:val="111111"/>
          <w:sz w:val="28"/>
          <w:szCs w:val="28"/>
          <w:rtl w:val="true"/>
          <w:lang w:bidi="fa-IR"/>
        </w:rPr>
        <w:t>.</w:t>
      </w:r>
    </w:p>
    <w:p>
      <w:pPr>
        <w:pStyle w:val="Heading6"/>
        <w:numPr>
          <w:ilvl w:val="5"/>
          <w:numId w:val="1"/>
        </w:numPr>
        <w:rPr/>
      </w:pPr>
      <w:bookmarkStart w:id="1247" w:name="__RefHeading___Toc5447387_3224264995"/>
      <w:bookmarkStart w:id="1248" w:name="_Toc475"/>
      <w:bookmarkEnd w:id="1247"/>
      <w:r>
        <w:rPr>
          <w:rtl w:val="true"/>
        </w:rPr>
        <w:t>لازم الکشف الإهمال من حیث الأسباب و المراتب</w:t>
      </w:r>
      <w:bookmarkEnd w:id="1248"/>
    </w:p>
    <w:p>
      <w:pPr>
        <w:pStyle w:val="BookText"/>
        <w:rPr/>
      </w:pPr>
      <w:r>
        <w:rPr>
          <w:rFonts w:ascii="IRNazanin" w:hAnsi="IRNazanin" w:eastAsia="IRNazanin"/>
          <w:color w:val="111111"/>
          <w:sz w:val="28"/>
          <w:sz w:val="28"/>
          <w:szCs w:val="28"/>
          <w:rtl w:val="true"/>
          <w:lang w:bidi="fa-IR"/>
        </w:rPr>
        <w:t>و أمّا التقریر الأوّل،فالإهمال فیه ثابت من جهة الأسباب و من جهة المرتبة</w:t>
      </w:r>
      <w:r>
        <w:rPr>
          <w:rFonts w:eastAsia="IRNazanin" w:cs="IRNazanin"/>
          <w:color w:val="111111"/>
          <w:sz w:val="28"/>
          <w:szCs w:val="28"/>
          <w:rtl w:val="true"/>
          <w:lang w:bidi="fa-IR"/>
        </w:rPr>
        <w:t>.</w:t>
      </w:r>
    </w:p>
    <w:p>
      <w:pPr>
        <w:pStyle w:val="Heading6"/>
        <w:numPr>
          <w:ilvl w:val="5"/>
          <w:numId w:val="1"/>
        </w:numPr>
        <w:rPr/>
      </w:pPr>
      <w:bookmarkStart w:id="1249" w:name="__RefHeading___Toc5447389_3224264995"/>
      <w:bookmarkStart w:id="1250" w:name="_Toc476"/>
      <w:bookmarkEnd w:id="1249"/>
      <w:r>
        <w:rPr>
          <w:rtl w:val="true"/>
        </w:rPr>
        <w:t>الحقّ فی تقریر دلیل الانسداد هو الحکومة من وجوه</w:t>
      </w:r>
      <w:r>
        <w:rPr>
          <w:rtl w:val="true"/>
        </w:rPr>
        <w:t>:</w:t>
      </w:r>
      <w:bookmarkEnd w:id="1250"/>
    </w:p>
    <w:p>
      <w:pPr>
        <w:pStyle w:val="BookText"/>
        <w:rPr/>
      </w:pPr>
      <w:r>
        <w:rPr>
          <w:rFonts w:ascii="IRNazanin" w:hAnsi="IRNazanin" w:eastAsia="IRNazanin"/>
          <w:color w:val="111111"/>
          <w:sz w:val="28"/>
          <w:sz w:val="28"/>
          <w:szCs w:val="28"/>
          <w:rtl w:val="true"/>
          <w:lang w:bidi="fa-IR"/>
        </w:rPr>
        <w:t>إذا عرفت ذلک،فنقول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فی تقریر دلیل الانسداد هو التقریر الثانی،و أنّ التقریر علی وجه الکشف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فلأنّ المقدّمات المذکورة لا تستلزم جعل الشارع للظنّ </w:t>
      </w:r>
      <w:r>
        <w:rPr>
          <w:rStyle w:val="FootnoteAnchor"/>
          <w:rtl w:val="true"/>
        </w:rPr>
        <w:footnoteReference w:id="1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أو بشرط حصوله من أسباب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حجّة؛لجواز أن لا یجعل الشارع طریقا للامتثال بعد تعذّر العلم أصلا،بل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الوجه الأوّل من الإیراد علی القول باعتبار الظنّ فی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أیضا طریق العقلاء فی التکالیف العرفیّة؛حیث یعملون بالظنّ فی تکالیفهم العرفیّة مع القطع بعدم جعل طریق لها من جانب الموالی،و لا یجب علی الموالی نصب الطریق عند تعذّر العلم،نعم یجب علیهم الرضا بحکم العقل و یقبح علیهم المؤاخذة علی مخالفة الواقع الذی یؤدّی إلیه الامتثال الظنّی</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مجرّد إمکان ذلک ما لم یحصل العلم به لا یقدح فی إهمال النتیجة و إجمالها،فتأمّل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 xml:space="preserve">. </w:t>
      </w:r>
      <w:bookmarkStart w:id="1251" w:name="pg12977_114510"/>
    </w:p>
    <w:p>
      <w:pPr>
        <w:pStyle w:val="Heading6"/>
        <w:numPr>
          <w:ilvl w:val="5"/>
          <w:numId w:val="1"/>
        </w:numPr>
        <w:rPr/>
      </w:pPr>
      <w:bookmarkStart w:id="1252" w:name="__RefHeading___Toc5447391_3224264995"/>
      <w:bookmarkStart w:id="1253" w:name="_Toc477"/>
      <w:bookmarkEnd w:id="1251"/>
      <w:bookmarkEnd w:id="1252"/>
      <w:r>
        <w:rPr>
          <w:rtl w:val="true"/>
        </w:rPr>
        <w:t>الوجه الثانی</w:t>
      </w:r>
      <w:bookmarkEnd w:id="1253"/>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فلأنّه إذا بنی علی کشف المقدّمات المذکورة عن جعل الظنّ علی وجه الإهمال و الإجمال،صحّ المنع الذی أورده بعض المتعرّضین </w:t>
      </w:r>
      <w:r>
        <w:rPr>
          <w:rStyle w:val="FootnoteAnchor"/>
          <w:rtl w:val="true"/>
        </w:rPr>
        <w:footnoteReference w:id="1592"/>
      </w:r>
      <w:r>
        <w:rPr>
          <w:rFonts w:ascii="IRNazanin" w:hAnsi="IRNazanin" w:eastAsia="IRNazanin"/>
          <w:color w:val="111111"/>
          <w:sz w:val="28"/>
          <w:sz w:val="28"/>
          <w:szCs w:val="28"/>
          <w:rtl w:val="true"/>
          <w:lang w:bidi="fa-IR"/>
        </w:rPr>
        <w:t xml:space="preserve">لردّ هذا الدلیل،و قد أشرنا إلیه سابقا </w:t>
      </w:r>
      <w:r>
        <w:rPr>
          <w:rStyle w:val="FootnoteAnchor"/>
          <w:rtl w:val="true"/>
        </w:rPr>
        <w:footnoteReference w:id="1593"/>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کما یحتمل أن یکون الشارع قد جعل لنا مطلق الظنّ أو الظنّ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المتردّد بین الکلّ و البعض المردّد بین </w:t>
      </w:r>
      <w:r>
        <w:rPr>
          <w:rStyle w:val="FootnoteAnchor"/>
          <w:rtl w:val="true"/>
        </w:rPr>
        <w:footnoteReference w:id="1594"/>
      </w:r>
      <w:r>
        <w:rPr>
          <w:rFonts w:ascii="IRNazanin" w:hAnsi="IRNazanin" w:eastAsia="IRNazanin"/>
          <w:color w:val="111111"/>
          <w:sz w:val="28"/>
          <w:sz w:val="28"/>
          <w:szCs w:val="28"/>
          <w:rtl w:val="true"/>
          <w:lang w:bidi="fa-IR"/>
        </w:rPr>
        <w:t>الأبعاض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کذلک یحتمل أن یکون قد جعل لنا شیئا آخر حجّة من دون اعتبار إفادته الظنّ؛لأنّه أمر ممکن غیر مستحیل،و المفروض عدم استقلال العقل بحکم فی هذا المقام،فمن أین یثبت جعل الظنّ فی الجملة دون شیء آخر،و لم یکن لهذا المنع دفع أصلا؟إلاّ أن یدّعی الإجماع علی عدم نصب شیء آخر غیر الظنّ فی الجملة،فتأمّل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54" w:name="__RefHeading___Toc5447393_3224264995"/>
      <w:bookmarkStart w:id="1255" w:name="_Toc478"/>
      <w:bookmarkEnd w:id="1254"/>
      <w:r>
        <w:rPr>
          <w:rtl w:val="true"/>
        </w:rPr>
        <w:t>الوجه الثالث</w:t>
      </w:r>
      <w:bookmarkEnd w:id="1255"/>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 لو صحّ کون النتیجة مهملة مجملة لم ینفع أصلا إن بقیت علی إجمالها،و إن عیّنت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فإمّا أن تعیّن </w:t>
      </w:r>
      <w:r>
        <w:rPr>
          <w:rStyle w:val="FootnoteAnchor"/>
          <w:rtl w:val="true"/>
        </w:rPr>
        <w:footnoteReference w:id="1596"/>
      </w:r>
      <w:r>
        <w:rPr>
          <w:rFonts w:ascii="Amiri" w:hAnsi="Amiri" w:eastAsia="Amiri" w:cs="Amiri"/>
          <w:color w:val="111111"/>
          <w:sz w:val="28"/>
          <w:sz w:val="28"/>
          <w:szCs w:val="28"/>
          <w:rtl w:val="true"/>
          <w:lang w:bidi="ar-SA"/>
        </w:rPr>
        <w:t xml:space="preserve">فی ضمن کلّ الأسباب،و إمّا أن تعیّن </w:t>
      </w:r>
      <w:r>
        <w:rPr>
          <w:rStyle w:val="FootnoteAnchor"/>
          <w:rtl w:val="true"/>
        </w:rPr>
        <w:footnoteReference w:id="1597"/>
      </w:r>
      <w:r>
        <w:rPr>
          <w:rFonts w:ascii="IRNazanin" w:hAnsi="IRNazanin" w:eastAsia="IRNazanin"/>
          <w:color w:val="111111"/>
          <w:sz w:val="28"/>
          <w:sz w:val="28"/>
          <w:szCs w:val="28"/>
          <w:rtl w:val="true"/>
          <w:lang w:bidi="fa-IR"/>
        </w:rPr>
        <w:t xml:space="preserve">فی ضمن بعضها المعیّن،و سیجیء </w:t>
      </w:r>
      <w:r>
        <w:rPr>
          <w:rStyle w:val="FootnoteAnchor"/>
          <w:rtl w:val="true"/>
        </w:rPr>
        <w:footnoteReference w:id="1598"/>
      </w:r>
      <w:r>
        <w:rPr>
          <w:rFonts w:ascii="IRNazanin" w:hAnsi="IRNazanin" w:eastAsia="IRNazanin"/>
          <w:color w:val="111111"/>
          <w:sz w:val="28"/>
          <w:sz w:val="28"/>
          <w:szCs w:val="28"/>
          <w:rtl w:val="true"/>
          <w:lang w:bidi="fa-IR"/>
        </w:rPr>
        <w:t xml:space="preserve">عدم تمامیّة شیء من هذین إلاّ بضمیمة الإجماع،فیرجع الأمر بالأخرة إلی دعوی الإجماع علی حجّیّة مطلق الظنّ بعد الانسداد،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فتسمیته دلیلا عقلیّا لا یظهر له وجه،عدا کون الملازمة بین تلک المقدّمات الشرعیّة و نتیجتها عقلیّة،و هذا جار فی جمیع الأدلّة السمعیّة، کما لا یخفی</w:t>
      </w:r>
      <w:r>
        <w:rPr>
          <w:rFonts w:eastAsia="IRNazanin" w:cs="IRNazanin"/>
          <w:color w:val="111111"/>
          <w:sz w:val="28"/>
          <w:szCs w:val="28"/>
          <w:rtl w:val="true"/>
          <w:lang w:bidi="fa-IR"/>
        </w:rPr>
        <w:t xml:space="preserve">. </w:t>
      </w:r>
      <w:bookmarkStart w:id="1256" w:name="pg12977_114512"/>
    </w:p>
    <w:p>
      <w:pPr>
        <w:pStyle w:val="Heading6"/>
        <w:numPr>
          <w:ilvl w:val="5"/>
          <w:numId w:val="1"/>
        </w:numPr>
        <w:rPr/>
      </w:pPr>
      <w:bookmarkStart w:id="1257" w:name="__RefHeading___Toc5447395_3224264995"/>
      <w:bookmarkStart w:id="1258" w:name="_Toc479"/>
      <w:bookmarkEnd w:id="1256"/>
      <w:bookmarkEnd w:id="1257"/>
      <w:r>
        <w:rPr>
          <w:rtl w:val="true"/>
        </w:rPr>
        <w:t>المقام الثانی فی أنّه علی أحد التقریرین السابقین</w:t>
      </w:r>
      <w:bookmarkEnd w:id="1258"/>
    </w:p>
    <w:p>
      <w:pPr>
        <w:pStyle w:val="BookText"/>
        <w:rPr/>
      </w:pPr>
      <w:r>
        <w:rPr>
          <w:rFonts w:ascii="IRNazanin" w:hAnsi="IRNazanin" w:eastAsia="IRNazanin"/>
          <w:color w:val="111111"/>
          <w:sz w:val="28"/>
          <w:sz w:val="28"/>
          <w:szCs w:val="28"/>
          <w:rtl w:val="true"/>
          <w:lang w:bidi="fa-IR"/>
        </w:rPr>
        <w:t xml:space="preserve">المقام الثانی فی أنّه علی أحد التقریرین السابقین </w:t>
      </w:r>
      <w:r>
        <w:rPr>
          <w:rStyle w:val="FootnoteAnchor"/>
          <w:rtl w:val="true"/>
        </w:rPr>
        <w:footnoteReference w:id="1599"/>
      </w:r>
      <w:r>
        <w:rPr>
          <w:rFonts w:ascii="IRNazanin" w:hAnsi="IRNazanin" w:eastAsia="IRNazanin"/>
          <w:color w:val="111111"/>
          <w:sz w:val="28"/>
          <w:sz w:val="28"/>
          <w:szCs w:val="28"/>
          <w:rtl w:val="true"/>
          <w:lang w:bidi="fa-IR"/>
        </w:rPr>
        <w:t xml:space="preserve">هل یحکم بتعمیم الظنّ من حیث الأسباب و المرتبة </w:t>
      </w:r>
      <w:r>
        <w:rPr>
          <w:rStyle w:val="FootnoteAnchor"/>
          <w:rtl w:val="true"/>
        </w:rPr>
        <w:footnoteReference w:id="1600"/>
      </w:r>
      <w:r>
        <w:rPr>
          <w:rFonts w:ascii="IRNazanin" w:hAnsi="IRNazanin" w:eastAsia="IRNazanin"/>
          <w:color w:val="111111"/>
          <w:sz w:val="28"/>
          <w:sz w:val="28"/>
          <w:szCs w:val="28"/>
          <w:rtl w:val="true"/>
          <w:lang w:bidi="fa-IR"/>
        </w:rPr>
        <w:t>،أم لا؟</w:t>
      </w:r>
    </w:p>
    <w:p>
      <w:pPr>
        <w:pStyle w:val="Heading6"/>
        <w:numPr>
          <w:ilvl w:val="5"/>
          <w:numId w:val="1"/>
        </w:numPr>
        <w:rPr/>
      </w:pPr>
      <w:bookmarkStart w:id="1259" w:name="__RefHeading___Toc5447397_3224264995"/>
      <w:bookmarkStart w:id="1260" w:name="_Toc480"/>
      <w:bookmarkEnd w:id="1259"/>
      <w:r>
        <w:rPr>
          <w:rtl w:val="true"/>
        </w:rPr>
        <w:t>طرق التعمیم علی الکشف</w:t>
      </w:r>
      <w:bookmarkEnd w:id="1260"/>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علی تقدیر کون العقل کاشفا عن حکم الشارع بحجّیّة الظنّ فی الجملة،فقد عرفت أنّ الإهمال بحسب الأسباب و بحسب المرتبة،و یذکر للتعمیم من جهتهما </w:t>
      </w:r>
      <w:r>
        <w:rPr>
          <w:rStyle w:val="FootnoteAnchor"/>
          <w:rtl w:val="true"/>
        </w:rPr>
        <w:footnoteReference w:id="1601"/>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p>
    <w:p>
      <w:pPr>
        <w:pStyle w:val="Heading6"/>
        <w:numPr>
          <w:ilvl w:val="5"/>
          <w:numId w:val="1"/>
        </w:numPr>
        <w:rPr/>
      </w:pPr>
      <w:bookmarkStart w:id="1261" w:name="__RefHeading___Toc5447399_3224264995"/>
      <w:bookmarkStart w:id="1262" w:name="_Toc481"/>
      <w:bookmarkEnd w:id="1261"/>
      <w:r>
        <w:rPr>
          <w:rtl w:val="true"/>
        </w:rPr>
        <w:t>الطریق الأوّل</w:t>
      </w:r>
      <w:r>
        <w:rPr>
          <w:rtl w:val="true"/>
        </w:rPr>
        <w:t>:</w:t>
      </w:r>
      <w:r>
        <w:rPr>
          <w:rtl w:val="true"/>
        </w:rPr>
        <w:t>عدم المرجّح لبعضها علی بعض</w:t>
      </w:r>
      <w:bookmarkEnd w:id="1262"/>
    </w:p>
    <w:p>
      <w:pPr>
        <w:pStyle w:val="BookText"/>
        <w:rPr/>
      </w:pPr>
      <w:r>
        <w:rPr>
          <w:rFonts w:ascii="IRNazanin" w:hAnsi="IRNazanin" w:eastAsia="IRNazanin"/>
          <w:color w:val="111111"/>
          <w:sz w:val="28"/>
          <w:sz w:val="28"/>
          <w:szCs w:val="28"/>
          <w:rtl w:val="true"/>
          <w:lang w:bidi="fa-IR"/>
        </w:rPr>
        <w:t>،فیثبت التعمیم؛لبطلان الترجیح بلا مرجّح و الإجماع علی بطلان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التعمیم بهذا الوجه یحتاج إلی ذکر ما یصلح </w:t>
      </w:r>
      <w:r>
        <w:rPr>
          <w:rStyle w:val="FootnoteAnchor"/>
          <w:rtl w:val="true"/>
        </w:rPr>
        <w:footnoteReference w:id="1602"/>
      </w:r>
      <w:r>
        <w:rPr>
          <w:rFonts w:ascii="IRNazanin" w:hAnsi="IRNazanin" w:eastAsia="IRNazanin"/>
          <w:color w:val="111111"/>
          <w:sz w:val="28"/>
          <w:sz w:val="28"/>
          <w:szCs w:val="28"/>
          <w:rtl w:val="true"/>
          <w:lang w:bidi="fa-IR"/>
        </w:rPr>
        <w:t xml:space="preserve">أن یکون مرجّحا و إبطاله،و لیعلم أوّلا </w:t>
      </w:r>
      <w:r>
        <w:rPr>
          <w:rStyle w:val="FootnoteAnchor"/>
          <w:rtl w:val="true"/>
        </w:rPr>
        <w:footnoteReference w:id="1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أن یکون المعیّن و المرجّح معیّنا لبعض کاف،بحیث لا یلزم من الرجوع بعد الالتزام به إلی الاصول محذور؛ و إلاّ فوجوده لا یجدی</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تمهّد هذا،فنقول</w:t>
      </w:r>
      <w:r>
        <w:rPr>
          <w:rFonts w:eastAsia="IRNazanin" w:cs="IRNazanin"/>
          <w:color w:val="111111"/>
          <w:sz w:val="28"/>
          <w:szCs w:val="28"/>
          <w:rtl w:val="true"/>
          <w:lang w:bidi="fa-IR"/>
        </w:rPr>
        <w:t xml:space="preserve">: </w:t>
      </w:r>
      <w:bookmarkStart w:id="1263" w:name="pg12977_114513"/>
    </w:p>
    <w:p>
      <w:pPr>
        <w:pStyle w:val="Heading6"/>
        <w:numPr>
          <w:ilvl w:val="5"/>
          <w:numId w:val="1"/>
        </w:numPr>
        <w:rPr/>
      </w:pPr>
      <w:bookmarkStart w:id="1264" w:name="__RefHeading___Toc5447401_3224264995"/>
      <w:bookmarkStart w:id="1265" w:name="_Toc482"/>
      <w:bookmarkEnd w:id="1263"/>
      <w:bookmarkEnd w:id="1264"/>
      <w:r>
        <w:rPr>
          <w:rtl w:val="true"/>
        </w:rPr>
        <w:t>ما یصلح أن یکون معیّنا أو مرجّحا أحد امور ثلاثة</w:t>
      </w:r>
      <w:r>
        <w:rPr>
          <w:rtl w:val="true"/>
        </w:rPr>
        <w:t>:</w:t>
      </w:r>
      <w:bookmarkEnd w:id="1265"/>
    </w:p>
    <w:p>
      <w:pPr>
        <w:pStyle w:val="Heading6"/>
        <w:numPr>
          <w:ilvl w:val="5"/>
          <w:numId w:val="1"/>
        </w:numPr>
        <w:rPr/>
      </w:pPr>
      <w:bookmarkStart w:id="1266" w:name="__RefHeading___Toc5447403_3224264995"/>
      <w:bookmarkStart w:id="1267" w:name="_Toc483"/>
      <w:bookmarkEnd w:id="1266"/>
      <w:r>
        <w:rPr>
          <w:rtl w:val="true"/>
        </w:rPr>
        <w:t>الأوّل من هذه الامور</w:t>
      </w:r>
      <w:r>
        <w:rPr>
          <w:rtl w:val="true"/>
        </w:rPr>
        <w:t>:</w:t>
      </w:r>
      <w:r>
        <w:rPr>
          <w:rtl w:val="true"/>
        </w:rPr>
        <w:t>کون بعض الظنون متیقّنا</w:t>
      </w:r>
      <w:bookmarkEnd w:id="1267"/>
    </w:p>
    <w:p>
      <w:pPr>
        <w:pStyle w:val="BookText"/>
        <w:rPr/>
      </w:pPr>
      <w:r>
        <w:rPr>
          <w:rFonts w:ascii="IRNazanin" w:hAnsi="IRNazanin" w:eastAsia="IRNazanin"/>
          <w:color w:val="111111"/>
          <w:sz w:val="28"/>
          <w:sz w:val="28"/>
          <w:szCs w:val="28"/>
          <w:rtl w:val="true"/>
          <w:lang w:bidi="fa-IR"/>
        </w:rPr>
        <w:t>الأوّل من هذه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بعض الظنون متیقّنا </w:t>
      </w:r>
      <w:r>
        <w:rPr>
          <w:rStyle w:val="FootnoteAnchor"/>
          <w:rtl w:val="true"/>
        </w:rPr>
        <w:footnoteReference w:id="1604"/>
      </w:r>
      <w:r>
        <w:rPr>
          <w:rFonts w:ascii="IRNazanin" w:hAnsi="IRNazanin" w:eastAsia="IRNazanin"/>
          <w:color w:val="111111"/>
          <w:sz w:val="28"/>
          <w:sz w:val="28"/>
          <w:szCs w:val="28"/>
          <w:rtl w:val="true"/>
          <w:lang w:bidi="fa-IR"/>
        </w:rPr>
        <w:t>بالنسبة إلی الباقی</w:t>
      </w:r>
    </w:p>
    <w:p>
      <w:pPr>
        <w:pStyle w:val="BookText"/>
        <w:rPr/>
      </w:pPr>
      <w:r>
        <w:rPr>
          <w:rFonts w:ascii="IRNazanin" w:hAnsi="IRNazanin" w:eastAsia="IRNazanin"/>
          <w:color w:val="111111"/>
          <w:sz w:val="28"/>
          <w:sz w:val="28"/>
          <w:szCs w:val="28"/>
          <w:rtl w:val="true"/>
          <w:lang w:bidi="fa-IR"/>
        </w:rPr>
        <w:t>،بمعنی کونه واجب العمل قطعا علی کلّ تقدیر،فیؤخذ به و یطرح الباقی؛للشکّ فی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یقتصر فی القضیّة المهملة المخالفة للأصل علی المتیقّن،و إهمال النتیجة حینئذ من حیث الکمّ فقط؛لتردّده بین الأقلّ المعیّن </w:t>
      </w:r>
      <w:r>
        <w:rPr>
          <w:rStyle w:val="FootnoteAnchor"/>
          <w:rtl w:val="true"/>
        </w:rPr>
        <w:footnoteReference w:id="1605"/>
      </w:r>
      <w:r>
        <w:rPr>
          <w:rFonts w:ascii="IRNazanin" w:hAnsi="IRNazanin" w:eastAsia="IRNazanin"/>
          <w:color w:val="111111"/>
          <w:sz w:val="28"/>
          <w:sz w:val="28"/>
          <w:szCs w:val="28"/>
          <w:rtl w:val="true"/>
          <w:lang w:bidi="fa-IR"/>
        </w:rPr>
        <w:t>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المقدار المتیقّن حینئذ من الظنون الخاصّة؛ للقطع التفصیلیّ بحجّیّته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لاندفاعه بأنّ المراد بالظنّ </w:t>
      </w:r>
      <w:r>
        <w:rPr>
          <w:rStyle w:val="FootnoteAnchor"/>
          <w:rtl w:val="true"/>
        </w:rPr>
        <w:footnoteReference w:id="1606"/>
      </w:r>
      <w:r>
        <w:rPr>
          <w:rFonts w:ascii="IRNazanin" w:hAnsi="IRNazanin" w:eastAsia="IRNazanin"/>
          <w:color w:val="111111"/>
          <w:sz w:val="28"/>
          <w:sz w:val="28"/>
          <w:szCs w:val="28"/>
          <w:rtl w:val="true"/>
          <w:lang w:bidi="fa-IR"/>
        </w:rPr>
        <w:t>الخاصّ ما علم حجّیّته بغیر دلیل الانسداد،فتأمّل</w:t>
      </w:r>
      <w:r>
        <w:rPr>
          <w:rFonts w:eastAsia="IRNazanin" w:cs="IRNazanin"/>
          <w:color w:val="111111"/>
          <w:sz w:val="28"/>
          <w:szCs w:val="28"/>
          <w:rtl w:val="true"/>
          <w:lang w:bidi="fa-IR"/>
        </w:rPr>
        <w:t>.</w:t>
      </w:r>
    </w:p>
    <w:p>
      <w:pPr>
        <w:pStyle w:val="Heading6"/>
        <w:numPr>
          <w:ilvl w:val="5"/>
          <w:numId w:val="1"/>
        </w:numPr>
        <w:rPr/>
      </w:pPr>
      <w:bookmarkStart w:id="1268" w:name="__RefHeading___Toc5447405_3224264995"/>
      <w:bookmarkStart w:id="1269" w:name="_Toc484"/>
      <w:bookmarkEnd w:id="1268"/>
      <w:r>
        <w:rPr>
          <w:rtl w:val="true"/>
        </w:rPr>
        <w:t>الأمر الثانی</w:t>
      </w:r>
      <w:r>
        <w:rPr>
          <w:rtl w:val="true"/>
        </w:rPr>
        <w:t>:</w:t>
      </w:r>
      <w:r>
        <w:rPr>
          <w:rtl w:val="true"/>
        </w:rPr>
        <w:t>کون بعض الظنون أقوی من بعض</w:t>
      </w:r>
      <w:bookmarkEnd w:id="1269"/>
    </w:p>
    <w:p>
      <w:pPr>
        <w:pStyle w:val="BookText"/>
        <w:rPr/>
      </w:pPr>
      <w:r>
        <w:rPr>
          <w:rFonts w:ascii="IRNazanin" w:hAnsi="IRNazanin" w:eastAsia="IRNazanin"/>
          <w:color w:val="111111"/>
          <w:sz w:val="28"/>
          <w:sz w:val="28"/>
          <w:szCs w:val="28"/>
          <w:rtl w:val="true"/>
          <w:lang w:bidi="fa-IR"/>
        </w:rPr>
        <w:t xml:space="preserve">،فیتعیّن العمل علیه؛ للزوم الاقتصار فی مخالفة الاحتیاط اللازم فی کلّ واحد من محتملات التکالیف الواقعیّة من الواجبات و المحرّمات علی القدر المتیقّن،و هو ما کان الاحتمال المخالف </w:t>
      </w:r>
      <w:r>
        <w:rPr>
          <w:rStyle w:val="FootnoteAnchor"/>
          <w:rtl w:val="true"/>
        </w:rPr>
        <w:footnoteReference w:id="1607"/>
      </w:r>
      <w:r>
        <w:rPr>
          <w:rFonts w:ascii="IRNazanin" w:hAnsi="IRNazanin" w:eastAsia="IRNazanin"/>
          <w:color w:val="111111"/>
          <w:sz w:val="28"/>
          <w:sz w:val="28"/>
          <w:szCs w:val="28"/>
          <w:rtl w:val="true"/>
          <w:lang w:bidi="fa-IR"/>
        </w:rPr>
        <w:t xml:space="preserve">للاحتیاط فیه فی غایة البعد؛فإنّه کلّما ضعف الاحتمال المخالف </w:t>
      </w:r>
      <w:r>
        <w:rPr>
          <w:rStyle w:val="FootnoteAnchor"/>
          <w:rtl w:val="true"/>
        </w:rPr>
        <w:footnoteReference w:id="1608"/>
      </w:r>
      <w:r>
        <w:rPr>
          <w:rFonts w:ascii="IRNazanin" w:hAnsi="IRNazanin" w:eastAsia="IRNazanin"/>
          <w:color w:val="111111"/>
          <w:sz w:val="28"/>
          <w:sz w:val="28"/>
          <w:szCs w:val="28"/>
          <w:rtl w:val="true"/>
          <w:lang w:bidi="fa-IR"/>
        </w:rPr>
        <w:t>للاحتیاط کان ارتکابه أهون</w:t>
      </w:r>
      <w:r>
        <w:rPr>
          <w:rFonts w:eastAsia="IRNazanin" w:cs="IRNazanin"/>
          <w:color w:val="111111"/>
          <w:sz w:val="28"/>
          <w:szCs w:val="28"/>
          <w:rtl w:val="true"/>
          <w:lang w:bidi="fa-IR"/>
        </w:rPr>
        <w:t>.</w:t>
      </w:r>
    </w:p>
    <w:p>
      <w:pPr>
        <w:pStyle w:val="Heading6"/>
        <w:numPr>
          <w:ilvl w:val="5"/>
          <w:numId w:val="1"/>
        </w:numPr>
        <w:rPr/>
      </w:pPr>
      <w:bookmarkStart w:id="1270" w:name="__RefHeading___Toc5447407_3224264995"/>
      <w:bookmarkStart w:id="1271" w:name="_Toc485"/>
      <w:bookmarkEnd w:id="1270"/>
      <w:r>
        <w:rPr>
          <w:rtl w:val="true"/>
        </w:rPr>
        <w:t>الأمر الثالث</w:t>
      </w:r>
      <w:r>
        <w:rPr>
          <w:rtl w:val="true"/>
        </w:rPr>
        <w:t>:</w:t>
      </w:r>
      <w:r>
        <w:rPr>
          <w:rtl w:val="true"/>
        </w:rPr>
        <w:t>کون بعض الظنون مظنون الحجّیّة</w:t>
      </w:r>
      <w:bookmarkEnd w:id="1271"/>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فی مقام دوران </w:t>
      </w:r>
    </w:p>
    <w:p>
      <w:pPr>
        <w:pStyle w:val="BookText"/>
        <w:rPr/>
      </w:pPr>
      <w:r>
        <w:rPr>
          <w:rFonts w:ascii="IRNazanin" w:hAnsi="IRNazanin" w:eastAsia="IRNazanin"/>
          <w:color w:val="111111"/>
          <w:sz w:val="28"/>
          <w:sz w:val="28"/>
          <w:szCs w:val="28"/>
          <w:rtl w:val="true"/>
          <w:lang w:bidi="fa-IR"/>
        </w:rPr>
        <w:t>الأمر بینه و بین غیره یکون أولی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لکونه أقرب إلی الحجّیة من غیره،و معلوم أنّ القضیّة المهملة المجملة تحمل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صرفها إلی البعض بحکم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أقرب محتملاتها إلی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لأنّه أقرب إلی إحراز مصلحة الواقع؛لأنّ المفروض رجحان مطابقته للواقع؛لأن المفروض کونه من الامارات المفیدة للظنّ بالواقع، و رجحان کونه بدلا عن الواقع؛لأنّ المفروض الظنّ بکونه طریقا قائما مقام الواقع بحیث یتدارک مصلحة الواقع علی تقدیر مخالفته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فاحتمال مخالفة هذه الأمارة للواقع و لبدله موهوم فی موهوم، بخلاف احتمال مخالفة سائر الأمارات للواقع؛لأنّها علی تقدیر مخالفتها للواقع لا یظنّ کونها بدلا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تعلّق غرض المریض بدواء تعذّر الاطلاع العلمیّ علیه،فدار الأمر بین دواءین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یظنّ أنّه ذلک الدواء، و علی تقدیر کونه غیره یظنّ کونه بدلا عنه فی جمیع الخواصّ،و الآخر یظنّ أنّه ذلک الدواء،لکن لا یظنّ أنّه علی تقدیر المخالفة بدل عنه، و معلوم بالضرورة أنّ العمل بالأوّل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البعض المظنون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یعلم بالتفصیل،کما إذا ظنّ حجّیّة الخبر المزکّی رواته بعدل واحد أو حجّیّة الإجماع المنقول</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یعلم إجمالا وجوده بین أمارات،فالعمل بهذه الأمارات أرجح من غیرها الخارج عن محتملات ذلک المظنون الاعتبار،و هذا کما لو ظنّ عدم حجّیّة بعض الأمارات،کالأولویّة و الشهرة و الاستقراء و فتوی الجماعة الموجبة للظنّ،فإنّا إذا فرضنا نتیجة دلیل الانسداد مجملة </w:t>
      </w:r>
      <w:bookmarkStart w:id="1272" w:name="pg12977_114515"/>
    </w:p>
    <w:p>
      <w:pPr>
        <w:pStyle w:val="BookText"/>
        <w:rPr/>
      </w:pPr>
      <w:bookmarkEnd w:id="1272"/>
      <w:r>
        <w:rPr>
          <w:rFonts w:ascii="IRNazanin" w:hAnsi="IRNazanin" w:eastAsia="IRNazanin"/>
          <w:color w:val="111111"/>
          <w:sz w:val="28"/>
          <w:sz w:val="28"/>
          <w:szCs w:val="28"/>
          <w:rtl w:val="true"/>
          <w:lang w:bidi="fa-IR"/>
        </w:rPr>
        <w:t xml:space="preserve">مردّدة بین هذه الامور </w:t>
      </w:r>
      <w:r>
        <w:rPr>
          <w:rStyle w:val="FootnoteAnchor"/>
          <w:rtl w:val="true"/>
        </w:rPr>
        <w:footnoteReference w:id="1609"/>
      </w:r>
      <w:r>
        <w:rPr>
          <w:rFonts w:ascii="IRNazanin" w:hAnsi="IRNazanin" w:eastAsia="IRNazanin"/>
          <w:color w:val="111111"/>
          <w:sz w:val="28"/>
          <w:sz w:val="28"/>
          <w:szCs w:val="28"/>
          <w:rtl w:val="true"/>
          <w:lang w:bidi="fa-IR"/>
        </w:rPr>
        <w:t xml:space="preserve">و غیرها،و فرضنا الظنّ بعدم حجّیة هذه، لزم من ذلک الظنّ بأنّ الحجّة فی غیرها و إن کان مردّدا بین أبعاض ذلک الغیر،فکان الأخذ بالغیر أولی من الأخذ بها؛لعین ما تقدّم و إن لم یکن بین أبعاض ذلک </w:t>
      </w:r>
      <w:r>
        <w:rPr>
          <w:rStyle w:val="FootnoteAnchor"/>
          <w:rtl w:val="true"/>
        </w:rPr>
        <w:footnoteReference w:id="1610"/>
      </w:r>
      <w:r>
        <w:rPr>
          <w:rFonts w:ascii="IRNazanin" w:hAnsi="IRNazanin" w:eastAsia="IRNazanin"/>
          <w:color w:val="111111"/>
          <w:sz w:val="28"/>
          <w:sz w:val="28"/>
          <w:szCs w:val="28"/>
          <w:rtl w:val="true"/>
          <w:lang w:bidi="fa-IR"/>
        </w:rPr>
        <w:t>الغیر مرجّح،فافهم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غایة ما یمکن أن یقال فی ترجیح بعض الظنون علی بعض</w:t>
      </w:r>
      <w:r>
        <w:rPr>
          <w:rFonts w:eastAsia="IRNazanin" w:cs="IRNazanin"/>
          <w:color w:val="111111"/>
          <w:sz w:val="28"/>
          <w:szCs w:val="28"/>
          <w:rtl w:val="true"/>
          <w:lang w:bidi="fa-IR"/>
        </w:rPr>
        <w:t>.</w:t>
      </w:r>
    </w:p>
    <w:p>
      <w:pPr>
        <w:pStyle w:val="Heading6"/>
        <w:numPr>
          <w:ilvl w:val="5"/>
          <w:numId w:val="1"/>
        </w:numPr>
        <w:rPr/>
      </w:pPr>
      <w:bookmarkStart w:id="1273" w:name="__RefHeading___Toc5447409_3224264995"/>
      <w:bookmarkStart w:id="1274" w:name="_Toc486"/>
      <w:bookmarkEnd w:id="1273"/>
      <w:r>
        <w:rPr>
          <w:rtl w:val="true"/>
        </w:rPr>
        <w:t>المناقشة فی المرجّحات المذکورة</w:t>
      </w:r>
      <w:r>
        <w:rPr>
          <w:rtl w:val="true"/>
        </w:rPr>
        <w:t>:</w:t>
      </w:r>
      <w:bookmarkEnd w:id="1274"/>
    </w:p>
    <w:p>
      <w:pPr>
        <w:pStyle w:val="BookText"/>
        <w:rPr/>
      </w:pPr>
      <w:r>
        <w:rPr>
          <w:rFonts w:ascii="IRNazanin" w:hAnsi="IRNazanin" w:eastAsia="IRNazanin"/>
          <w:color w:val="111111"/>
          <w:sz w:val="28"/>
          <w:sz w:val="28"/>
          <w:szCs w:val="28"/>
          <w:rtl w:val="true"/>
          <w:lang w:bidi="fa-IR"/>
        </w:rPr>
        <w:t>لکن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المسلّم من هذه فی الترجیح لا ینفع،و الذی ینفع غیر مسلّم کونه مرجّحا</w:t>
      </w:r>
      <w:r>
        <w:rPr>
          <w:rFonts w:eastAsia="IRNazanin" w:cs="IRNazanin"/>
          <w:color w:val="111111"/>
          <w:sz w:val="28"/>
          <w:szCs w:val="28"/>
          <w:rtl w:val="true"/>
          <w:lang w:bidi="fa-IR"/>
        </w:rPr>
        <w:t>.</w:t>
      </w:r>
    </w:p>
    <w:p>
      <w:pPr>
        <w:pStyle w:val="Heading6"/>
        <w:numPr>
          <w:ilvl w:val="5"/>
          <w:numId w:val="1"/>
        </w:numPr>
        <w:rPr/>
      </w:pPr>
      <w:bookmarkStart w:id="1275" w:name="__RefHeading___Toc5447411_3224264995"/>
      <w:bookmarkStart w:id="1276" w:name="_Toc487"/>
      <w:bookmarkEnd w:id="1275"/>
      <w:r>
        <w:rPr/>
        <w:t>1</w:t>
      </w:r>
      <w:r>
        <w:rPr>
          <w:rtl w:val="true"/>
        </w:rPr>
        <w:t>-</w:t>
      </w:r>
      <w:r>
        <w:rPr>
          <w:rtl w:val="true"/>
        </w:rPr>
        <w:t>تیقّن البعض لا ینفع</w:t>
      </w:r>
      <w:bookmarkEnd w:id="1276"/>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المرجّح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تیقّن البعض بالنسبة إلی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من المرجّحات </w:t>
      </w:r>
      <w:r>
        <w:rPr>
          <w:rStyle w:val="FootnoteAnchor"/>
          <w:rtl w:val="true"/>
        </w:rPr>
        <w:footnoteReference w:id="1611"/>
      </w:r>
      <w:r>
        <w:rPr>
          <w:rFonts w:ascii="IRNazanin" w:hAnsi="IRNazanin" w:eastAsia="IRNazanin"/>
          <w:color w:val="111111"/>
          <w:sz w:val="28"/>
          <w:sz w:val="28"/>
          <w:szCs w:val="28"/>
          <w:rtl w:val="true"/>
          <w:lang w:bidi="fa-IR"/>
        </w:rPr>
        <w:t>،بل لا یقال له المرجّح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لکونه معلوم الحجّیة تفصیلا،و غیره مشکوک الحجّیّة،فیبقی تحت </w:t>
      </w:r>
      <w:r>
        <w:rPr>
          <w:rStyle w:val="FootnoteAnchor"/>
          <w:rtl w:val="true"/>
        </w:rPr>
        <w:footnoteReference w:id="1612"/>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لا ینفع؛لقلّته و عدم کفایته؛لأنّ القدر المتیقّن من هذه الأمارات هو الخبر الذی زکّی جمیع رواته بعدلین،و لم یعمل فی تصحیح رجاله و لا فی تمییز مشترکاته بظنّ أضعف نوعا من سائر الأمارات الأخر، و لم یوهن بمعارضة شیء </w:t>
      </w:r>
      <w:r>
        <w:rPr>
          <w:rStyle w:val="FootnoteAnchor"/>
          <w:rtl w:val="true"/>
        </w:rPr>
        <w:footnoteReference w:id="1613"/>
      </w:r>
      <w:r>
        <w:rPr>
          <w:rFonts w:ascii="IRNazanin" w:hAnsi="IRNazanin" w:eastAsia="IRNazanin"/>
          <w:color w:val="111111"/>
          <w:sz w:val="28"/>
          <w:sz w:val="28"/>
          <w:szCs w:val="28"/>
          <w:rtl w:val="true"/>
          <w:lang w:bidi="fa-IR"/>
        </w:rPr>
        <w:t xml:space="preserve">منها،و کان معمولا به عند الأصحاب کلاّ أو </w:t>
      </w:r>
      <w:bookmarkStart w:id="1277" w:name="pg12977_114516"/>
    </w:p>
    <w:p>
      <w:pPr>
        <w:pStyle w:val="BookText"/>
        <w:rPr/>
      </w:pPr>
      <w:bookmarkEnd w:id="1277"/>
      <w:r>
        <w:rPr>
          <w:rFonts w:ascii="IRNazanin" w:hAnsi="IRNazanin" w:eastAsia="IRNazanin"/>
          <w:color w:val="111111"/>
          <w:sz w:val="28"/>
          <w:sz w:val="28"/>
          <w:szCs w:val="28"/>
          <w:rtl w:val="true"/>
          <w:lang w:bidi="fa-IR"/>
        </w:rPr>
        <w:t xml:space="preserve">جلاّ،و مفیدا للظنّ الاطمئنانیّ بالصدور؛إذ لا ریب أنّه کلما انتفی أحد هذه القیود </w:t>
      </w:r>
      <w:r>
        <w:rPr>
          <w:rStyle w:val="FootnoteAnchor"/>
          <w:rtl w:val="true"/>
        </w:rPr>
        <w:footnoteReference w:id="1614"/>
      </w:r>
      <w:r>
        <w:rPr>
          <w:rFonts w:ascii="IRNazanin" w:hAnsi="IRNazanin" w:eastAsia="IRNazanin"/>
          <w:color w:val="111111"/>
          <w:sz w:val="28"/>
          <w:sz w:val="28"/>
          <w:szCs w:val="28"/>
          <w:rtl w:val="true"/>
          <w:lang w:bidi="fa-IR"/>
        </w:rPr>
        <w:t>الخمسة فی خبر احتمل کون غیره حجّة دونه،فلا یکون متیقّن الحجّیّة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عدم کفایة هذا الخبر لندرته </w:t>
      </w:r>
      <w:r>
        <w:rPr>
          <w:rStyle w:val="FootnoteAnchor"/>
          <w:rtl w:val="true"/>
        </w:rPr>
        <w:footnoteReference w:id="1615"/>
      </w:r>
      <w:r>
        <w:rPr>
          <w:rFonts w:ascii="IRNazanin" w:hAnsi="IRNazanin" w:eastAsia="IRNazanin"/>
          <w:color w:val="111111"/>
          <w:sz w:val="28"/>
          <w:sz w:val="28"/>
          <w:szCs w:val="28"/>
          <w:rtl w:val="true"/>
          <w:lang w:bidi="fa-IR"/>
        </w:rPr>
        <w:t xml:space="preserve">،فهو واضح،مع أنّه لو کان بنفسه کثیرا کافیا لکن یعلم إجمالا بوجود مخصّصات کثیرة و مقیّدات له فی الأمارات الأخر،فیکون نظیر ظواهر الکتاب فی عدم جواز التمسّک بها مع قطع النظر عن غیرها،إلاّ أن یؤخذ بعد الحاجة إلی التعدّی منها بما هو متیقّن </w:t>
      </w:r>
      <w:r>
        <w:rPr>
          <w:rStyle w:val="FootnoteAnchor"/>
          <w:rtl w:val="true"/>
        </w:rPr>
        <w:footnoteReference w:id="1616"/>
      </w:r>
      <w:r>
        <w:rPr>
          <w:rFonts w:ascii="IRNazanin" w:hAnsi="IRNazanin" w:eastAsia="IRNazanin"/>
          <w:color w:val="111111"/>
          <w:sz w:val="28"/>
          <w:sz w:val="28"/>
          <w:szCs w:val="28"/>
          <w:rtl w:val="true"/>
          <w:lang w:bidi="fa-IR"/>
        </w:rPr>
        <w:t>بالإضافة إلی ما بقی،فتأمّل</w:t>
      </w:r>
      <w:r>
        <w:rPr>
          <w:rFonts w:eastAsia="IRNazanin" w:cs="IRNazanin"/>
          <w:color w:val="111111"/>
          <w:sz w:val="28"/>
          <w:szCs w:val="28"/>
          <w:rtl w:val="true"/>
          <w:lang w:bidi="fa-IR"/>
        </w:rPr>
        <w:t>.</w:t>
      </w:r>
    </w:p>
    <w:p>
      <w:pPr>
        <w:pStyle w:val="Heading6"/>
        <w:numPr>
          <w:ilvl w:val="5"/>
          <w:numId w:val="1"/>
        </w:numPr>
        <w:rPr/>
      </w:pPr>
      <w:bookmarkStart w:id="1278" w:name="__RefHeading___Toc5447413_3224264995"/>
      <w:bookmarkStart w:id="1279" w:name="_Toc488"/>
      <w:bookmarkEnd w:id="1278"/>
      <w:r>
        <w:rPr/>
        <w:t>2</w:t>
      </w:r>
      <w:r>
        <w:rPr>
          <w:rtl w:val="true"/>
        </w:rPr>
        <w:t>-</w:t>
      </w:r>
      <w:r>
        <w:rPr>
          <w:rtl w:val="true"/>
        </w:rPr>
        <w:t>أقوائیّة البعض لا یمکن ضبطه</w:t>
      </w:r>
      <w:bookmarkEnd w:id="1279"/>
    </w:p>
    <w:p>
      <w:pPr>
        <w:pStyle w:val="BookText"/>
        <w:rPr/>
      </w:pPr>
      <w:r>
        <w:rPr>
          <w:rFonts w:ascii="IRNazanin" w:hAnsi="IRNazanin" w:eastAsia="IRNazanin"/>
          <w:color w:val="111111"/>
          <w:sz w:val="28"/>
          <w:sz w:val="28"/>
          <w:szCs w:val="28"/>
          <w:rtl w:val="true"/>
          <w:lang w:bidi="fa-IR"/>
        </w:rPr>
        <w:t>و أمّا المرجّح الثانی،و هو کون بعضها أقوی ظنّا من الباقی،ففیه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ضبط مرتبة خاصّة له متعسّر أو متعذّر؛لأنّ القوّة و الضعف إضافیّان،و لیس تعارض القویّ مع الضعیف هنا فی متعلّق واحد حتّی یذهب الظنّ من </w:t>
      </w:r>
      <w:r>
        <w:rPr>
          <w:rStyle w:val="FootnoteAnchor"/>
          <w:rtl w:val="true"/>
        </w:rPr>
        <w:footnoteReference w:id="1617"/>
      </w:r>
      <w:r>
        <w:rPr>
          <w:rFonts w:ascii="IRNazanin" w:hAnsi="IRNazanin" w:eastAsia="IRNazanin"/>
          <w:color w:val="111111"/>
          <w:sz w:val="28"/>
          <w:sz w:val="28"/>
          <w:szCs w:val="28"/>
          <w:rtl w:val="true"/>
          <w:lang w:bidi="fa-IR"/>
        </w:rPr>
        <w:t>الأضعف و یبقی فی الأمارة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یوجد مرتبة خاصّة،و هو الظنّ الاطمئنانیّ الملحق بالعلم حکما بل موضوعا،لکنّه نادر التحقّق</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کون القوّة معیّنة للقضیّة المجملة محلّ منع؛إذ لا یستحیل أن یعتبر الشارع فی حال الانسداد ظنّا یکون أضعف من غیره،کما هو المشاهد فی الظنون الخاصّة؛فإنّها لیست علی الإطلاق أقوی من غیرها </w:t>
      </w:r>
      <w:bookmarkStart w:id="1280" w:name="pg12977_114517"/>
    </w:p>
    <w:p>
      <w:pPr>
        <w:pStyle w:val="BookText"/>
        <w:rPr/>
      </w:pPr>
      <w:bookmarkEnd w:id="1280"/>
      <w:r>
        <w:rPr>
          <w:rFonts w:ascii="IRNazanin" w:hAnsi="IRNazanin" w:eastAsia="IRNazanin"/>
          <w:color w:val="111111"/>
          <w:sz w:val="28"/>
          <w:sz w:val="28"/>
          <w:szCs w:val="28"/>
          <w:rtl w:val="true"/>
          <w:lang w:bidi="fa-IR"/>
        </w:rPr>
        <w:t>بالبدیهة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تقدّم فی تقریب مرجّحیّة القوّة </w:t>
      </w:r>
      <w:r>
        <w:rPr>
          <w:rStyle w:val="FootnoteAnchor"/>
          <w:rtl w:val="true"/>
        </w:rPr>
        <w:footnoteReference w:id="1618"/>
      </w:r>
      <w:r>
        <w:rPr>
          <w:rFonts w:ascii="IRNazanin" w:hAnsi="IRNazanin" w:eastAsia="IRNazanin"/>
          <w:color w:val="111111"/>
          <w:sz w:val="28"/>
          <w:sz w:val="28"/>
          <w:szCs w:val="28"/>
          <w:rtl w:val="true"/>
          <w:lang w:bidi="fa-IR"/>
        </w:rPr>
        <w:t>،إنّما هو مع کون إیجاب العمل بالظنّ عند انسداد باب العلم من منشآت العقل و أحکامه،و أمّا علی تقدیر کشف مقدّمات الانسداد عن أنّ الشارع جعل الظنّ حجّة فی الجملة،و تردّد أمره فی أنظارنا بین الکلّ و الأبعاض،فلا یلزم من کون بعضها أقوی کونه هو المجعول حجّة؛لأنّا قد وجدنا تعبّد الشارع بالظنّ الأضعف و طرح الأقوی فی موارد کثیرة</w:t>
      </w:r>
      <w:r>
        <w:rPr>
          <w:rFonts w:eastAsia="IRNazanin" w:cs="IRNazanin"/>
          <w:color w:val="111111"/>
          <w:sz w:val="28"/>
          <w:szCs w:val="28"/>
          <w:rtl w:val="true"/>
          <w:lang w:bidi="fa-IR"/>
        </w:rPr>
        <w:t>.</w:t>
      </w:r>
    </w:p>
    <w:p>
      <w:pPr>
        <w:pStyle w:val="Heading6"/>
        <w:numPr>
          <w:ilvl w:val="5"/>
          <w:numId w:val="1"/>
        </w:numPr>
        <w:rPr/>
      </w:pPr>
      <w:bookmarkStart w:id="1281" w:name="__RefHeading___Toc5447415_3224264995"/>
      <w:bookmarkStart w:id="1282" w:name="_Toc489"/>
      <w:bookmarkEnd w:id="1281"/>
      <w:r>
        <w:rPr/>
        <w:t>3</w:t>
      </w:r>
      <w:r>
        <w:rPr>
          <w:rtl w:val="true"/>
        </w:rPr>
        <w:t>-</w:t>
      </w:r>
      <w:r>
        <w:rPr>
          <w:rtl w:val="true"/>
        </w:rPr>
        <w:t>الظنّ بحجیّة البعض لیست له ضابطة کلیّة أیضا</w:t>
      </w:r>
      <w:bookmarkEnd w:id="1282"/>
    </w:p>
    <w:p>
      <w:pPr>
        <w:pStyle w:val="BookText"/>
        <w:rPr/>
      </w:pPr>
      <w:r>
        <w:rPr>
          <w:rFonts w:ascii="IRNazanin" w:hAnsi="IRNazanin" w:eastAsia="IRNazanin"/>
          <w:color w:val="111111"/>
          <w:sz w:val="28"/>
          <w:sz w:val="28"/>
          <w:szCs w:val="28"/>
          <w:rtl w:val="true"/>
          <w:lang w:bidi="fa-IR"/>
        </w:rPr>
        <w:t xml:space="preserve">و أمّا المرجّح الثالث،و هو الظنّ باعتبار بعض فیؤخذ به لأحد الوجهین المتقدّمین </w:t>
      </w:r>
      <w:r>
        <w:rPr>
          <w:rStyle w:val="FootnoteAnchor"/>
          <w:rtl w:val="true"/>
        </w:rPr>
        <w:footnoteReference w:id="1619"/>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الوجه الثانی لا یفید لزوم التقدیم، بل أولویّته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الترجیح علی هذا الوجه یشبه الترجیح بالقوّة و الضعف فی أنّ مداره علی الأقرب إلی الواقع،و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w:t>
      </w:r>
      <w:r>
        <w:rPr>
          <w:rStyle w:val="FootnoteAnchor"/>
          <w:rtl w:val="true"/>
        </w:rPr>
        <w:footnoteReference w:id="1620"/>
      </w:r>
      <w:r>
        <w:rPr>
          <w:rFonts w:ascii="Amiri" w:hAnsi="Amiri" w:eastAsia="Amiri" w:cs="Amiri"/>
          <w:color w:val="111111"/>
          <w:sz w:val="28"/>
          <w:sz w:val="28"/>
          <w:szCs w:val="28"/>
          <w:rtl w:val="true"/>
          <w:lang w:bidi="ar-SA"/>
        </w:rPr>
        <w:t xml:space="preserve">فرضنا کون الظنّ الذی لم یظنّ حجّیته </w:t>
      </w:r>
      <w:r>
        <w:rPr>
          <w:rStyle w:val="FootnoteAnchor"/>
          <w:rtl w:val="true"/>
        </w:rPr>
        <w:footnoteReference w:id="1621"/>
      </w:r>
      <w:r>
        <w:rPr>
          <w:rFonts w:ascii="IRNazanin" w:hAnsi="IRNazanin" w:eastAsia="IRNazanin"/>
          <w:color w:val="111111"/>
          <w:sz w:val="28"/>
          <w:sz w:val="28"/>
          <w:szCs w:val="28"/>
          <w:rtl w:val="true"/>
          <w:lang w:bidi="fa-IR"/>
        </w:rPr>
        <w:t>أقوی ظنّا بمراتب من الظنّ الذی ظنّ حجّیّته،فلیس بناء العقلاء علی ترجیح الثانی،فیرجع الأمر إلی لزوم ملاحظة الموارد الخاصّة،و عدم وجود ضابطة کلّیّة بحیث یؤخذ بها فی ترجیح الظنّ المظنون الاعتبار</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نعم،لو فرض تساوی أبعاض الظنون دائما من حیث القوّة </w:t>
      </w:r>
      <w:bookmarkStart w:id="1283" w:name="pg12977_114518"/>
    </w:p>
    <w:p>
      <w:pPr>
        <w:pStyle w:val="BookText"/>
        <w:rPr/>
      </w:pPr>
      <w:bookmarkEnd w:id="1283"/>
      <w:r>
        <w:rPr>
          <w:rFonts w:ascii="IRNazanin" w:hAnsi="IRNazanin" w:eastAsia="IRNazanin"/>
          <w:color w:val="111111"/>
          <w:sz w:val="28"/>
          <w:sz w:val="28"/>
          <w:szCs w:val="28"/>
          <w:rtl w:val="true"/>
          <w:lang w:bidi="fa-IR"/>
        </w:rPr>
        <w:t>و الضعف،کان ذلک المرجّح بنفسه منضبطا،و لکنّ الفرض مستبعد بل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اللازم علی هذا أن لا یعمل بکلّ مظنون الحجّیّة،بل بما ظنّ حجّیّته بظنّ قد ظنّ حجّیته؛لأنّه أبعد عن مخالفة الواقع و بدله بناء علی التقریر المتقدّم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الوجه الأوّل المذکور فی تقریب ترجیح مظنون الاعتبار علی غیره،ففیه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أمارة تفید الظنّ بحجّیّة أمارة علی الإطلاق؛فإنّ أکثر ما اقیم علی حجّیّته </w:t>
      </w:r>
      <w:r>
        <w:rPr>
          <w:rStyle w:val="FootnoteAnchor"/>
          <w:rtl w:val="true"/>
        </w:rPr>
        <w:footnoteReference w:id="1623"/>
      </w:r>
      <w:r>
        <w:rPr>
          <w:rFonts w:ascii="IRNazanin" w:hAnsi="IRNazanin" w:eastAsia="IRNazanin"/>
          <w:color w:val="111111"/>
          <w:sz w:val="28"/>
          <w:sz w:val="28"/>
          <w:szCs w:val="28"/>
          <w:rtl w:val="true"/>
          <w:lang w:bidi="fa-IR"/>
        </w:rPr>
        <w:t>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الأمارات الظنّیّة المبحوث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الصحیح،و معلوم عند المنصف أنّ شیئا ممّا ذکروه لحجّیته </w:t>
      </w:r>
      <w:r>
        <w:rPr>
          <w:rStyle w:val="FootnoteAnchor"/>
          <w:rtl w:val="true"/>
        </w:rPr>
        <w:footnoteReference w:id="1624"/>
      </w:r>
      <w:r>
        <w:rPr>
          <w:rFonts w:ascii="IRNazanin" w:hAnsi="IRNazanin" w:eastAsia="IRNazanin"/>
          <w:color w:val="111111"/>
          <w:sz w:val="28"/>
          <w:sz w:val="28"/>
          <w:szCs w:val="28"/>
          <w:rtl w:val="true"/>
          <w:lang w:bidi="fa-IR"/>
        </w:rPr>
        <w:t>لا یوجب الظنّ بها علی الإطلاق</w:t>
      </w:r>
      <w:r>
        <w:rPr>
          <w:rFonts w:eastAsia="IRNazanin" w:cs="IRNazanin"/>
          <w:color w:val="111111"/>
          <w:sz w:val="28"/>
          <w:szCs w:val="28"/>
          <w:rtl w:val="true"/>
          <w:lang w:bidi="fa-IR"/>
        </w:rPr>
        <w:t>.</w:t>
      </w:r>
    </w:p>
    <w:p>
      <w:pPr>
        <w:pStyle w:val="Heading6"/>
        <w:numPr>
          <w:ilvl w:val="5"/>
          <w:numId w:val="1"/>
        </w:numPr>
        <w:rPr/>
      </w:pPr>
      <w:bookmarkStart w:id="1284" w:name="__RefHeading___Toc5447417_3224264995"/>
      <w:bookmarkStart w:id="1285" w:name="_Toc490"/>
      <w:bookmarkEnd w:id="1284"/>
      <w:r>
        <w:rPr>
          <w:rtl w:val="true"/>
        </w:rPr>
        <w:t>عدم اعتبار مطلق الظنّ فی تعیین القضیة المهملة</w:t>
      </w:r>
      <w:bookmarkEnd w:id="1285"/>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اعتبار مطلق الظنّ فی مسألة تعیین هذا الظنّ المجمل</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توهّم غیر واحد </w:t>
      </w:r>
      <w:r>
        <w:rPr>
          <w:rStyle w:val="FootnoteAnchor"/>
          <w:rtl w:val="true"/>
        </w:rPr>
        <w:footnoteReference w:id="16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المراد اعتبار مطلق الظنّ و حجّیّته فی مسألة تعیین القضیّة المهملة،و إنّما المقصود ترجیح بعضها علی بعض</w:t>
      </w:r>
      <w:r>
        <w:rPr>
          <w:rFonts w:eastAsia="IRNazanin" w:cs="IRNazanin"/>
          <w:color w:val="111111"/>
          <w:sz w:val="28"/>
          <w:szCs w:val="28"/>
          <w:rtl w:val="true"/>
          <w:lang w:bidi="fa-IR"/>
        </w:rPr>
        <w:t xml:space="preserve">. </w:t>
      </w:r>
      <w:bookmarkStart w:id="1286" w:name="pg12977_114519"/>
    </w:p>
    <w:p>
      <w:pPr>
        <w:pStyle w:val="BookText"/>
        <w:rPr/>
      </w:pPr>
      <w:bookmarkEnd w:id="1286"/>
      <w:r>
        <w:rPr>
          <w:rFonts w:ascii="IRNazanin" w:hAnsi="IRNazanin" w:eastAsia="IRNazanin"/>
          <w:color w:val="111111"/>
          <w:sz w:val="28"/>
          <w:sz w:val="28"/>
          <w:szCs w:val="28"/>
          <w:rtl w:val="true"/>
          <w:lang w:bidi="fa-IR"/>
        </w:rPr>
        <w:t xml:space="preserve">فقال بعضهم </w:t>
      </w:r>
      <w:r>
        <w:rPr>
          <w:rStyle w:val="FootnoteAnchor"/>
          <w:rtl w:val="true"/>
        </w:rPr>
        <w:footnoteReference w:id="1626"/>
      </w:r>
      <w:r>
        <w:rPr>
          <w:rFonts w:ascii="IRNazanin" w:hAnsi="IRNazanin" w:eastAsia="IRNazanin"/>
          <w:color w:val="111111"/>
          <w:sz w:val="28"/>
          <w:sz w:val="28"/>
          <w:szCs w:val="28"/>
          <w:rtl w:val="true"/>
          <w:lang w:bidi="fa-IR"/>
        </w:rPr>
        <w:t xml:space="preserve">فی توضیح </w:t>
      </w:r>
      <w:r>
        <w:rPr>
          <w:rStyle w:val="FootnoteAnchor"/>
          <w:rtl w:val="true"/>
        </w:rPr>
        <w:footnoteReference w:id="1627"/>
      </w:r>
      <w:r>
        <w:rPr>
          <w:rFonts w:ascii="IRNazanin" w:hAnsi="IRNazanin" w:eastAsia="IRNazanin"/>
          <w:color w:val="111111"/>
          <w:sz w:val="28"/>
          <w:sz w:val="28"/>
          <w:szCs w:val="28"/>
          <w:rtl w:val="true"/>
          <w:lang w:bidi="fa-IR"/>
        </w:rPr>
        <w:t>لزوم الأخذ بمظنون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الاعتراف بأنّه لیس المقصود هنا إثبات حجّیّة الظنون المظنونة الاعتبار بالأمارات الظنّیّة القائمة علیها،لیکون الاتّکال فی حجّیّتها علی مجرّد الظنّ</w:t>
      </w:r>
      <w:r>
        <w:rPr>
          <w:rFonts w:eastAsia="IRNazanin" w:cs="IRNazanin"/>
          <w:color w:val="111111"/>
          <w:sz w:val="28"/>
          <w:szCs w:val="28"/>
          <w:rtl w:val="true"/>
          <w:lang w:bidi="fa-IR"/>
        </w:rPr>
        <w:t>-:</w:t>
      </w:r>
    </w:p>
    <w:p>
      <w:pPr>
        <w:pStyle w:val="Heading6"/>
        <w:numPr>
          <w:ilvl w:val="5"/>
          <w:numId w:val="1"/>
        </w:numPr>
        <w:rPr/>
      </w:pPr>
      <w:bookmarkStart w:id="1287" w:name="__RefHeading___Toc5447419_3224264995"/>
      <w:bookmarkStart w:id="1288" w:name="_Toc491"/>
      <w:bookmarkEnd w:id="1287"/>
      <w:r>
        <w:rPr>
          <w:rtl w:val="true"/>
        </w:rPr>
        <w:t>کلام صاحب هدایة المسترشدین فی لزوم الاخذ بمظنون الحجیة</w:t>
      </w:r>
      <w:bookmarkEnd w:id="1288"/>
    </w:p>
    <w:p>
      <w:pPr>
        <w:pStyle w:val="BookText"/>
        <w:rPr/>
      </w:pPr>
      <w:r>
        <w:rPr>
          <w:rFonts w:ascii="IRNazanin" w:hAnsi="IRNazanin" w:eastAsia="IRNazanin"/>
          <w:color w:val="111111"/>
          <w:sz w:val="28"/>
          <w:sz w:val="28"/>
          <w:szCs w:val="28"/>
          <w:rtl w:val="true"/>
          <w:lang w:bidi="fa-IR"/>
        </w:rPr>
        <w:t>إنّ الدلیل العقلی المثبت لحجّیّتها هو الدلیل العقلیّ المذکور، و الحاصل من تلک الأمارات الظنّیّة هو ترجیح بعض الظنون علی البعض،فیمنع ذلک من إرجاع القضیّة المهملة إلی الکلّیّة،بل یقتصر فی مفاد القضیّة المهملة علی تلک الجملة،فالظنّ المفروض إنّما یبعث علی صرف مفاد الدلیل المذکور إلی ذلک و عدم صرفه إلی سائر الظنون؛ نظرا إلی حصول القوّة بالنسبة إلیها؛لانضمام الظنّ بحجّیتها إلی الظنّ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قطع العقل بحجّیة الظنّ بالقضیّة المهملة،ثمّ وجد الحجّیة متساویة بالنظر إلی الجمیع،حکم بحجّیّة الکلّ،و أمّا إذا وجدها مختلفة و کان جملة منها أقرب إلی الحجّیّة من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الظنّ بحجّیّتها دون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یقدّم المظنون علی المشکوک،و المشکوک علی الموهوم فی مقام الحیرة و الجهالة،فلیس الظنّ مثبتا لحجّیّة ذلک الظنّ، و إنّما هو قاض بتقدیم جانب الحجّیّة فی تلک الظنون،فینصرف إلیه ما قضی به الدلیل المذکور</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اعترض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صرف الدلیل إلیها إن کان علی وجه </w:t>
      </w:r>
      <w:bookmarkStart w:id="1289" w:name="pg12977_114520"/>
    </w:p>
    <w:p>
      <w:pPr>
        <w:pStyle w:val="BookText"/>
        <w:rPr/>
      </w:pPr>
      <w:bookmarkEnd w:id="1289"/>
      <w:r>
        <w:rPr>
          <w:rFonts w:ascii="Amiri" w:hAnsi="Amiri" w:eastAsia="Amiri" w:cs="Amiri"/>
          <w:color w:val="111111"/>
          <w:sz w:val="28"/>
          <w:sz w:val="28"/>
          <w:szCs w:val="28"/>
          <w:rtl w:val="true"/>
          <w:lang w:bidi="ar-SA"/>
        </w:rPr>
        <w:t>الیقین تمّ ما ذکر،و إلاّ کان اتّکالا علی الظنّ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قطع لصرف الدلیل إلی تلک الظنون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الاتّکال لیس علی الظنّ الحاصل بحجّیّتها، و لا علی الظنّ بترجیح تلک الظنون علی غیرها،بل التعویل علی القطع بالترجیح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قضیّة دلیل الانسداد حجّیّة الظنّ علی سبیل الإهمال،فیدور الأمر بین القول بحجّیّة الجمیع و البعض،ثمّ الأمر فی البعض یدور بین المظنون و غیره،و قضیّة العقل فی الدوران بین الکلّ و البعض هو الاقتصار علی البعض؛أخذا بالمتیقّن؛و لذا قال علماء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المهملة فی قوّة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یتعیّن البعض فی المقام و دارت الحجّیّة بینه و بین سائر الأبعاض من غیر تفاوت فی نظر العقل،لزم الحکم بحجّیّة الکلّ؛لبطلان الترجیح من غیر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کانت حجّیّة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فیه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مظنونة بخصوصه بخلاف الباقی،کان ذلک أقرب إلی الحجّیّة من غیره ممّا لم یقم علی حجّیّته دلیل،فیتعیّن عند العقل الأخذ به دون غیره؛فإنّ الرجحان حینئذ قطعیّ وجدانیّ،و الترجیح من جهته لیس ترجیحا بمرجّح ظنّی و إن کان ظنّا بحجّیّة تلک الظنون؛فإنّ کون المرجّح ظنّا لا یقتضی کون الترجیح ظنّیّا،و هو ظاهر </w:t>
      </w:r>
      <w:r>
        <w:rPr>
          <w:rStyle w:val="FootnoteAnchor"/>
          <w:rtl w:val="true"/>
        </w:rPr>
        <w:footnoteReference w:id="1628"/>
      </w:r>
      <w:r>
        <w:rPr>
          <w:rFonts w:ascii="IRNazanin" w:hAnsi="IRNazanin" w:eastAsia="IRNazanin"/>
          <w:color w:val="111111"/>
          <w:sz w:val="28"/>
          <w:sz w:val="28"/>
          <w:szCs w:val="28"/>
          <w:rtl w:val="true"/>
          <w:lang w:bidi="fa-IR"/>
        </w:rPr>
        <w:t>،انتهی کلامه رفع مقامه</w:t>
      </w:r>
      <w:r>
        <w:rPr>
          <w:rFonts w:eastAsia="IRNazanin" w:cs="IRNazanin"/>
          <w:color w:val="111111"/>
          <w:sz w:val="28"/>
          <w:szCs w:val="28"/>
          <w:rtl w:val="true"/>
          <w:lang w:bidi="fa-IR"/>
        </w:rPr>
        <w:t>.</w:t>
      </w:r>
    </w:p>
    <w:p>
      <w:pPr>
        <w:pStyle w:val="Heading6"/>
        <w:numPr>
          <w:ilvl w:val="5"/>
          <w:numId w:val="1"/>
        </w:numPr>
        <w:rPr/>
      </w:pPr>
      <w:bookmarkStart w:id="1290" w:name="__RefHeading___Toc5447421_3224264995"/>
      <w:bookmarkStart w:id="1291" w:name="_Toc492"/>
      <w:bookmarkEnd w:id="1290"/>
      <w:r>
        <w:rPr>
          <w:rtl w:val="true"/>
        </w:rPr>
        <w:t>المناقشة قیما افاده صاحب الهدایة</w:t>
      </w:r>
      <w:bookmarkEnd w:id="1291"/>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عرفت سابقا </w:t>
      </w:r>
      <w:r>
        <w:rPr>
          <w:rStyle w:val="FootnoteAnchor"/>
          <w:rtl w:val="true"/>
        </w:rPr>
        <w:footnoteReference w:id="1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مقدّمات دلیل الانسداد،إمّا أن </w:t>
      </w:r>
    </w:p>
    <w:p>
      <w:pPr>
        <w:pStyle w:val="BookText"/>
        <w:rPr/>
      </w:pPr>
      <w:r>
        <w:rPr>
          <w:rFonts w:ascii="IRNazanin" w:hAnsi="IRNazanin" w:eastAsia="IRNazanin"/>
          <w:color w:val="111111"/>
          <w:sz w:val="28"/>
          <w:sz w:val="28"/>
          <w:szCs w:val="28"/>
          <w:rtl w:val="true"/>
          <w:lang w:bidi="fa-IR"/>
        </w:rPr>
        <w:t>تجعل کاشفة عن کون الظنّ فی الجملة حجّة علینا بحکم الشارع،کما یشعر به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بعض الظنون أقرب إلی الحجّیّة من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إمّا أن تجعل </w:t>
      </w:r>
      <w:r>
        <w:rPr>
          <w:rStyle w:val="FootnoteAnchor"/>
          <w:rtl w:val="true"/>
        </w:rPr>
        <w:footnoteReference w:id="1630"/>
      </w:r>
      <w:r>
        <w:rPr>
          <w:rFonts w:ascii="IRNazanin" w:hAnsi="IRNazanin" w:eastAsia="IRNazanin"/>
          <w:color w:val="111111"/>
          <w:sz w:val="28"/>
          <w:sz w:val="28"/>
          <w:szCs w:val="28"/>
          <w:rtl w:val="true"/>
          <w:lang w:bidi="fa-IR"/>
        </w:rPr>
        <w:t xml:space="preserve">منشأ لحکم العقل بتعیّن </w:t>
      </w:r>
      <w:r>
        <w:rPr>
          <w:rStyle w:val="FootnoteAnchor"/>
          <w:rtl w:val="true"/>
        </w:rPr>
        <w:footnoteReference w:id="1631"/>
      </w:r>
      <w:r>
        <w:rPr>
          <w:rFonts w:ascii="IRNazanin" w:hAnsi="IRNazanin" w:eastAsia="IRNazanin"/>
          <w:color w:val="111111"/>
          <w:sz w:val="28"/>
          <w:sz w:val="28"/>
          <w:szCs w:val="28"/>
          <w:rtl w:val="true"/>
          <w:lang w:bidi="fa-IR"/>
        </w:rPr>
        <w:t>إطاعة اللّه سبحانه حین الانسداد علی وجه الظنّ،کما یشعر به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حصول القوّة لتلک الجملة؛ لانضمام الظنّ بحجّیّتها إلی الظنّ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الأوّل،إذا کان الظنّ المذکور مردّدا بین الکلّ و البعض </w:t>
      </w:r>
      <w:r>
        <w:rPr>
          <w:rStyle w:val="FootnoteAnchor"/>
          <w:rtl w:val="true"/>
        </w:rPr>
        <w:footnoteReference w:id="1632"/>
      </w:r>
      <w:r>
        <w:rPr>
          <w:rFonts w:ascii="IRNazanin" w:hAnsi="IRNazanin" w:eastAsia="IRNazanin"/>
          <w:color w:val="111111"/>
          <w:sz w:val="28"/>
          <w:sz w:val="28"/>
          <w:szCs w:val="28"/>
          <w:rtl w:val="true"/>
          <w:lang w:bidi="fa-IR"/>
        </w:rPr>
        <w:t>اقتصر علی البعض،کما ذکره؛لأنّه 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تردّد ذلک البعض بین الأبعاض،فالمعیّن لأحد المحتملین أو المحتملات لا یکون إلاّ بما یقطع بحجّیّته،کما أنّه إذا احتمل فی الواقعة الوجوب و الحرمة لا یمکن ترجیح أحدهما بمجرّد الظنّ به إلاّ بعد إثبات حجّیّة ذلک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المرجّح لأحد الدلیلین عند التعارض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کالمعیّن لأحد الاحتمالین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علی القطع باعتباره عقلا أو نقلا؛و إلاّ فأصالة عدم اعتبار الظنّ لا فرق فی مجراها بین جعله دلیلا و جعله مرجّحا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هذا،مع أنّ الظنّ المفروض إنّما قام علی حجّیّة بعض الظنون فی الواقع من حیث الخصوص،لا علی تعیین الثابت حجّیّته بدلیل الانسداد،فتأمّل</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علی الثانی،فالعقل إنّما یحکم بوجوب الإطاعة علی الوجه </w:t>
      </w:r>
      <w:bookmarkStart w:id="1292" w:name="pg12977_114522"/>
    </w:p>
    <w:p>
      <w:pPr>
        <w:pStyle w:val="BookText"/>
        <w:rPr/>
      </w:pPr>
      <w:bookmarkEnd w:id="1292"/>
      <w:r>
        <w:rPr>
          <w:rFonts w:ascii="IRNazanin" w:hAnsi="IRNazanin" w:eastAsia="IRNazanin"/>
          <w:color w:val="111111"/>
          <w:sz w:val="28"/>
          <w:sz w:val="28"/>
          <w:szCs w:val="28"/>
          <w:rtl w:val="true"/>
          <w:lang w:bidi="fa-IR"/>
        </w:rPr>
        <w:t>الأقرب إلی الواقع،فإذا فرضنا أنّ مشکوک الاعتبار یحصل منه ظنّ بالواقع أقوی ممّا یحصل من الظنّ المظنون الاعتبار،کان الأوّل أولی بالحجّیّة فی نظر العقل؛و لذا قال صاحب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العقل قاض بأنّ الظنّ إذا کان له جهات متعدّدة متفاوتة بالقوّة و الضعف،فالعدول عن القویّ منها إلی الضعیف قبیح </w:t>
      </w:r>
      <w:r>
        <w:rPr>
          <w:rStyle w:val="FootnoteAnchor"/>
          <w:rtl w:val="true"/>
        </w:rPr>
        <w:footnoteReference w:id="163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قیام الظنّ علی حجّیّة بعضها ممّا یوجب قوّتها فی نظر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جامعة لإدراک الواقع أو بدله علی سبیل الظنّ، بخلافه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الترجیح به إلی ما ذکرنا سابقا،و ذکرنا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الکلام 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الظنّ بالاعتبار إنّما یکون صارفا للقضیّة إلی ما قام علیه من الظنون إذا حصل القطع بحجّیّته فی تعیین الاحتمالات،أو صار موجبا لکون الإطاعة بمقتضاها أتمّ؛لجمعها بین الظنّ بالواقع و الظنّ بالبدل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موقوف علی حجّیّة مطلق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لا اطّراد له؛لأنّه قد یعارضها قوّة المشکوک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التزم بالأوّل بعض من أنکر حجّیّة مطلق الظنّ </w:t>
      </w:r>
      <w:r>
        <w:rPr>
          <w:rStyle w:val="FootnoteAnchor"/>
          <w:rtl w:val="true"/>
        </w:rPr>
        <w:footnoteReference w:id="1634"/>
      </w:r>
      <w:r>
        <w:rPr>
          <w:rFonts w:ascii="IRNazanin" w:hAnsi="IRNazanin" w:eastAsia="IRNazanin"/>
          <w:color w:val="111111"/>
          <w:sz w:val="28"/>
          <w:sz w:val="28"/>
          <w:szCs w:val="28"/>
          <w:rtl w:val="true"/>
          <w:lang w:bidi="fa-IR"/>
        </w:rPr>
        <w:t xml:space="preserve">،و أورده إلزاما علی العاملین </w:t>
      </w:r>
      <w:r>
        <w:rPr>
          <w:rStyle w:val="FootnoteAnchor"/>
          <w:rtl w:val="true"/>
        </w:rPr>
        <w:footnoteReference w:id="1635"/>
      </w:r>
      <w:r>
        <w:rPr>
          <w:rFonts w:ascii="IRNazanin" w:hAnsi="IRNazanin" w:eastAsia="IRNazanin"/>
          <w:color w:val="111111"/>
          <w:sz w:val="28"/>
          <w:sz w:val="28"/>
          <w:szCs w:val="28"/>
          <w:rtl w:val="true"/>
          <w:lang w:bidi="fa-IR"/>
        </w:rPr>
        <w:t>بمطلق الظنّ،فقال</w:t>
      </w:r>
      <w:r>
        <w:rPr>
          <w:rFonts w:eastAsia="IRNazanin" w:cs="IRNazanin"/>
          <w:color w:val="111111"/>
          <w:sz w:val="28"/>
          <w:szCs w:val="28"/>
          <w:rtl w:val="true"/>
          <w:lang w:bidi="fa-IR"/>
        </w:rPr>
        <w:t>:</w:t>
      </w:r>
    </w:p>
    <w:p>
      <w:pPr>
        <w:pStyle w:val="Heading6"/>
        <w:numPr>
          <w:ilvl w:val="5"/>
          <w:numId w:val="1"/>
        </w:numPr>
        <w:rPr/>
      </w:pPr>
      <w:bookmarkStart w:id="1293" w:name="__RefHeading___Toc5447423_3224264995"/>
      <w:bookmarkStart w:id="1294" w:name="_Toc493"/>
      <w:bookmarkEnd w:id="1293"/>
      <w:r>
        <w:rPr>
          <w:rtl w:val="true"/>
        </w:rPr>
        <w:t>کلام الفاضل النراقی الزاما علی القائلین بحجیه مطلق الظن</w:t>
      </w:r>
      <w:bookmarkEnd w:id="1294"/>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یقولون یجب علینا فی کلّ واقعة البناء علی حکم؛و لعدم کونه معلوما یجب فی تعیینه العمل بالظنّ،فکذا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ما وجب علینا العمل بالظنّ و لم نعلم تعیینه،یجب علینا فی تعیین هذا الظنّ </w:t>
      </w:r>
      <w:bookmarkStart w:id="1295" w:name="pg12977_114523"/>
    </w:p>
    <w:p>
      <w:pPr>
        <w:pStyle w:val="BookText"/>
        <w:rPr/>
      </w:pPr>
      <w:bookmarkEnd w:id="1295"/>
      <w:r>
        <w:rPr>
          <w:rFonts w:ascii="IRNazanin" w:hAnsi="IRNazanin" w:eastAsia="IRNazanin"/>
          <w:color w:val="111111"/>
          <w:sz w:val="28"/>
          <w:sz w:val="28"/>
          <w:szCs w:val="28"/>
          <w:rtl w:val="true"/>
          <w:lang w:bidi="fa-IR"/>
        </w:rPr>
        <w:t>العمل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اعترض علی نفسه بما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وجوب العمل بمظنون الحجّیّة لا ینفی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لکن لا یکون حینئذ دلیل علی حجّیّة ظنّ آخر؛إذ بعد ثبوت حجّیّة الظنّ المظنون الحجّیّة ینفتح باب الأحکام و لا یجری دلیلک فیه و یبقی تحت أصالة عدم الحجّیة</w:t>
      </w:r>
      <w:r>
        <w:rPr>
          <w:rFonts w:eastAsia="IRNazanin" w:cs="IRNazanin"/>
          <w:color w:val="111111"/>
          <w:sz w:val="28"/>
          <w:szCs w:val="28"/>
          <w:rtl w:val="true"/>
          <w:lang w:bidi="fa-IR"/>
        </w:rPr>
        <w:t xml:space="preserve">»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96" w:name="__RefHeading___Toc5447425_3224264995"/>
      <w:bookmarkStart w:id="1297" w:name="_Toc494"/>
      <w:bookmarkEnd w:id="1296"/>
      <w:r>
        <w:rPr>
          <w:rtl w:val="true"/>
        </w:rPr>
        <w:t>المناقشة فی کلام الفاضل النراقی</w:t>
      </w:r>
      <w:bookmarkEnd w:id="1297"/>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التزم باقتضاء مقدّمات الانسداد مع فرض عدم المرجّح العمل بمطلق الظنّ فی الفروع،دخل الظنّ المشکوک الاعتبار و موهومه،فلا مورد للترجیح و التعیین حتّی یعیّن بمطلق الظنّ؛لأنّ الحاجة إلی التعیین بمطلق الظنّ فرع عدم العمل بمطلق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مطلق الظنّ حجّة و إمّا لا،فعلی الأوّل لا مورد للتعیین و الترجیح،و علی الثانی لا یجوز الترجیح بمطلق الظنّ،فالترجیح بمطلق الظنّ ساقط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للمعترض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إن ثبت حجّیة مطلق الظنّ تعیّن ترجیح مظنون الاعتبار به؛إذ علی تقدیر ثبوت حجّیّة مطلق الظنّ لا یتعقّل ترجیح حتّی یتعیّن الترجیح بمطلق الظنّ</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لهذا المعترض </w:t>
      </w:r>
      <w:r>
        <w:rPr>
          <w:rStyle w:val="FootnoteAnchor"/>
          <w:rtl w:val="true"/>
        </w:rPr>
        <w:footnoteReference w:id="1637"/>
      </w:r>
      <w:r>
        <w:rPr>
          <w:rFonts w:ascii="IRNazanin" w:hAnsi="IRNazanin" w:eastAsia="IRNazanin"/>
          <w:color w:val="111111"/>
          <w:sz w:val="28"/>
          <w:sz w:val="28"/>
          <w:szCs w:val="28"/>
          <w:rtl w:val="true"/>
          <w:lang w:bidi="fa-IR"/>
        </w:rPr>
        <w:t>کلاما فی ترجیح مظنون الاعتبار بمطلق الظنّ،لا من حیث حجّیة مطلق الظنّ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بعد ثبوتها لا مورد للترجیح،لا بأس بالإشارة إلیه و إلی ما وقع من الخلط </w:t>
      </w:r>
      <w:bookmarkStart w:id="1298" w:name="pg12977_114524"/>
    </w:p>
    <w:p>
      <w:pPr>
        <w:pStyle w:val="BookText"/>
        <w:rPr/>
      </w:pPr>
      <w:bookmarkEnd w:id="1298"/>
      <w:r>
        <w:rPr>
          <w:rFonts w:ascii="IRNazanin" w:hAnsi="IRNazanin" w:eastAsia="IRNazanin"/>
          <w:color w:val="111111"/>
          <w:sz w:val="28"/>
          <w:sz w:val="28"/>
          <w:szCs w:val="28"/>
          <w:rtl w:val="true"/>
          <w:lang w:bidi="fa-IR"/>
        </w:rPr>
        <w:t>و الغفلة منه فی المراد بالترجیح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معترضا علی القائل بما قدّمنا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ترجیح أحد المحتملین عین تعیینه بالاستدلال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Heading6"/>
        <w:numPr>
          <w:ilvl w:val="5"/>
          <w:numId w:val="1"/>
        </w:numPr>
        <w:rPr/>
      </w:pPr>
      <w:bookmarkStart w:id="1299" w:name="__RefHeading___Toc5447427_3224264995"/>
      <w:bookmarkStart w:id="1300" w:name="_Toc495"/>
      <w:bookmarkEnd w:id="1299"/>
      <w:r>
        <w:rPr>
          <w:rtl w:val="true"/>
        </w:rPr>
        <w:t>کلام اخر للفاضل النراقی فی ترجیح مظنون الاعتبار بطلق الظن</w:t>
      </w:r>
      <w:bookmarkEnd w:id="1300"/>
    </w:p>
    <w:p>
      <w:pPr>
        <w:pStyle w:val="BookText"/>
        <w:rPr/>
      </w:pPr>
      <w:r>
        <w:rPr>
          <w:rFonts w:ascii="IRNazanin" w:hAnsi="IRNazanin" w:eastAsia="IRNazanin"/>
          <w:color w:val="111111"/>
          <w:sz w:val="28"/>
          <w:sz w:val="28"/>
          <w:szCs w:val="28"/>
          <w:rtl w:val="true"/>
          <w:lang w:bidi="fa-IR"/>
        </w:rPr>
        <w:t>إنّ هذا القائل خلط بین ترجیح الشیء و تعیینه و لم یعرف الفرق بینهما،و لبیان هذا المطلب نقدّم مقدّمة،ثمّ نجیب عن کلامه،و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ریب فی بطلان الترجیح بلا مرجّح؛فإنّه ممّا یحکم بقبحه العقل و العرف و العادة،بل یقولون بامتناعه الذاتیّ کالترجّح بلا مرجّح، و المراد بالترجیح بلا مرجّح هو سکون النفس إلی أحد الطرفین و المیل إلیه من غیر مرجّح و إن لم یحکم بتعیینه وجوبا،و أمّا الحکم بذلک فهو أمر آخر وراء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أوضح ذلک بأمثلة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دار أمر العبد فی أحکام السلطان المرسلة إلیه بین امور،و کان بعضها مظنونا بظنّ لم یعلم حجّیّته من طرف السلطان، صحّ له ترجیح المظنون،و لا یجوز له الحکم بلزوم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اقدم </w:t>
      </w:r>
      <w:r>
        <w:rPr>
          <w:rStyle w:val="FootnoteAnchor"/>
          <w:rtl w:val="true"/>
        </w:rPr>
        <w:footnoteReference w:id="1638"/>
      </w:r>
      <w:r>
        <w:rPr>
          <w:rFonts w:ascii="IRNazanin" w:hAnsi="IRNazanin" w:eastAsia="IRNazanin"/>
          <w:color w:val="111111"/>
          <w:sz w:val="28"/>
          <w:sz w:val="28"/>
          <w:szCs w:val="28"/>
          <w:rtl w:val="true"/>
          <w:lang w:bidi="fa-IR"/>
        </w:rPr>
        <w:t xml:space="preserve">إلی </w:t>
      </w:r>
      <w:r>
        <w:rPr>
          <w:rStyle w:val="FootnoteAnchor"/>
          <w:rtl w:val="true"/>
        </w:rPr>
        <w:footnoteReference w:id="1639"/>
      </w:r>
      <w:r>
        <w:rPr>
          <w:rFonts w:ascii="IRNazanin" w:hAnsi="IRNazanin" w:eastAsia="IRNazanin"/>
          <w:color w:val="111111"/>
          <w:sz w:val="28"/>
          <w:sz w:val="28"/>
          <w:szCs w:val="28"/>
          <w:rtl w:val="true"/>
          <w:lang w:bidi="fa-IR"/>
        </w:rPr>
        <w:t>أحد طعامان أحدهما ألذّ من الآخر فاختاره علیه،لم یرتکب ترجیحا بلا مرجّح،و إن لم یلزم أکل الألذّ، و لکن لو حکم بلزوم الأکل لا بدّ من تحقّق دلیل علیه،و لا یکفی مجرّد الألذّیّة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أحدهما مضرّا صحّ الحکم باللزوم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فالحکم بلا دلیل غیر الترجیح بلا مرجّح،فالمرجّح غیر الدلیل،و الأوّل یکون فی مقام المیل و العمل،و الثانی یکون فی مقام </w:t>
      </w:r>
      <w:bookmarkStart w:id="1301" w:name="pg12977_114525"/>
    </w:p>
    <w:p>
      <w:pPr>
        <w:pStyle w:val="BookText"/>
        <w:rPr/>
      </w:pPr>
      <w:bookmarkEnd w:id="1301"/>
      <w:r>
        <w:rPr>
          <w:rFonts w:ascii="IRNazanin" w:hAnsi="IRNazanin" w:eastAsia="IRNazanin"/>
          <w:color w:val="111111"/>
          <w:sz w:val="28"/>
          <w:sz w:val="28"/>
          <w:szCs w:val="28"/>
          <w:rtl w:val="true"/>
          <w:lang w:bidi="fa-IR"/>
        </w:rPr>
        <w:t>التصدیق و الحکم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لیس المراد أنّه یجب العمل بالظنّ المظنون حجّیّته و أنّه الذی یجب العمل به بعد انسداد باب العلم،بل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ما وجب علی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لانسداد باب العلم و بقاء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بالظنّ،و لا یعلم أیّ ظنّ،لو عمل بالظنّ المظنون حجّیّته أیّ نقص یلزم علیه؟</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ترجیح بلا مرجّح،فقد غلطت غلطا ظاهرا،و إن کان غیره،فبیّنه حتّی ننظر </w:t>
      </w:r>
      <w:r>
        <w:rPr>
          <w:rStyle w:val="FootnoteAnchor"/>
          <w:rtl w:val="true"/>
        </w:rPr>
        <w:footnoteReference w:id="1640"/>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Heading6"/>
        <w:numPr>
          <w:ilvl w:val="5"/>
          <w:numId w:val="1"/>
        </w:numPr>
        <w:rPr/>
      </w:pPr>
      <w:bookmarkStart w:id="1302" w:name="__RefHeading___Toc5447429_3224264995"/>
      <w:bookmarkStart w:id="1303" w:name="_Toc496"/>
      <w:bookmarkEnd w:id="1302"/>
      <w:r>
        <w:rPr>
          <w:rtl w:val="true"/>
        </w:rPr>
        <w:t>المناقشه فیما افاده الفاضل النراقی ایضا</w:t>
      </w:r>
      <w:bookmarkEnd w:id="130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یخفی أنّه لیس المراد من أصل دلیل الانسداد إلاّ وجوب العمل بالظنّ،فإذا فرض أنّ هذا الواجب تردّد بین ظنون، فلا غرض إلاّ فی تعیینه بحیث یحکم بأنّ هذا هو الذی یجب العمل به شرعا،حتّی یبنی المجتهد علیه فی مقام العمل و یلتزم بمؤدّاه علی أنّه حکم شرعیّ عزمیّ </w:t>
      </w:r>
      <w:r>
        <w:rPr>
          <w:rStyle w:val="FootnoteAnchor"/>
          <w:rtl w:val="true"/>
        </w:rPr>
        <w:footnoteReference w:id="1641"/>
      </w:r>
      <w:r>
        <w:rPr>
          <w:rFonts w:ascii="IRNazanin" w:hAnsi="IRNazanin" w:eastAsia="IRNazanin"/>
          <w:color w:val="111111"/>
          <w:sz w:val="28"/>
          <w:sz w:val="28"/>
          <w:szCs w:val="28"/>
          <w:rtl w:val="true"/>
          <w:lang w:bidi="fa-IR"/>
        </w:rPr>
        <w:t>من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دواعی ارتکاب بعض الظنون دون بعض فهی مختلفة غیر منضبطة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یکون الداعی إلی الاختیار موجودا فی موهوم الاعتبار لغرض من الأغراض،و قد یکون فی مظنون الاعتبار</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فلیس الکلام إلاّ فی أنّ الظنّ بحجّیّة بعض الظنون هل یوجب الأخذ بذلک الظنّ شرعا،بحیث یکون الآخذ بغیره لداع من الدواعی معاقبا </w:t>
      </w:r>
    </w:p>
    <w:p>
      <w:pPr>
        <w:pStyle w:val="BookText"/>
        <w:rPr/>
      </w:pPr>
      <w:r>
        <w:rPr>
          <w:rFonts w:ascii="IRNazanin" w:hAnsi="IRNazanin" w:eastAsia="IRNazanin"/>
          <w:color w:val="111111"/>
          <w:sz w:val="28"/>
          <w:sz w:val="28"/>
          <w:szCs w:val="28"/>
          <w:rtl w:val="true"/>
          <w:lang w:bidi="fa-IR"/>
        </w:rPr>
        <w:t>عند اللّه فی ترک ما هو وظیفته من سلوک الطریق؟و بعبارة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یجوز شرعا أن یعمل المجتهد بغیر مظنون الاعتبار،أم لا یجوز؟</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الدلیل الشرعیّ بعد جواز العمل بالظنّ فی الجملة علی أنّ تلک المهملة غیر هذه الجزئیّة؟</w:t>
      </w:r>
    </w:p>
    <w:p>
      <w:pPr>
        <w:pStyle w:val="BookText"/>
        <w:rPr/>
      </w:pPr>
      <w:r>
        <w:rPr>
          <w:rFonts w:ascii="IRNazanin" w:hAnsi="IRNazanin" w:eastAsia="IRNazanin"/>
          <w:color w:val="111111"/>
          <w:sz w:val="28"/>
          <w:sz w:val="28"/>
          <w:szCs w:val="28"/>
          <w:rtl w:val="true"/>
          <w:lang w:bidi="fa-IR"/>
        </w:rPr>
        <w:t>و 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w:t>
      </w:r>
      <w:r>
        <w:rPr>
          <w:rStyle w:val="FootnoteAnchor"/>
          <w:rtl w:val="true"/>
        </w:rPr>
        <w:footnoteReference w:id="1642"/>
      </w:r>
      <w:r>
        <w:rPr>
          <w:rFonts w:ascii="IRNazanin" w:hAnsi="IRNazanin" w:eastAsia="IRNazanin"/>
          <w:color w:val="111111"/>
          <w:sz w:val="28"/>
          <w:sz w:val="28"/>
          <w:szCs w:val="28"/>
          <w:rtl w:val="true"/>
          <w:lang w:bidi="fa-IR"/>
        </w:rPr>
        <w:t>،لکن بدلا عن مظنون الاعتبار لا جمعا بینهما، فهذا هو التخییر الذی التزم المعمّم ببطلانه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قلت یجوز جمعا بینهما،فهذا هو مطلب المعمّم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المراد بالمرجّح ما یکون داعیا إلی إرادة أحد الطرفین،بل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دلیلا علی حکم الشارع،و من المعلوم أنّ هذا الحکم الوجوبیّ لا یکون إلاّ عن حجّة شرعیّة،فلو کان هی مجرّد الظنّ بوجوب العمل بذلک البعض فقد لزم العمل بمطلق الظنّ عند اشتباه الحکم الشرعیّ،فإذا جاز ذلک فی هذا المقام لم لا یجوز فی سائر المقامات؟فلم 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نتیجة دلیل الانسداد حجّیّة الظنّ فی الجملة؟</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اقتضی انسداد باب العلم فی الأحکام تعیین الأحکام المجهولة بمطلق الظنّ،فلم منعتم إفادة ذلک الدلیل إلاّ لإثبات حجّیّة الظنّ فی الجملة؟و إن اقتضی تعیین الأحکام بالظنّ فی الجملة، لم یوجب انسداد باب العلم فی تعیین الظنّ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وجب العمل به بمقتضی الانسداد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فی تعیینه بمطلق الظنّ</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المراد من المرجّح هنا هو المعیّن و الدلیل </w:t>
      </w:r>
      <w:bookmarkStart w:id="1304" w:name="pg12977_114527"/>
    </w:p>
    <w:p>
      <w:pPr>
        <w:pStyle w:val="BookText"/>
        <w:rPr/>
      </w:pPr>
      <w:bookmarkEnd w:id="1304"/>
      <w:r>
        <w:rPr>
          <w:rFonts w:ascii="IRNazanin" w:hAnsi="IRNazanin" w:eastAsia="IRNazanin"/>
          <w:color w:val="111111"/>
          <w:sz w:val="28"/>
          <w:sz w:val="28"/>
          <w:szCs w:val="28"/>
          <w:rtl w:val="true"/>
          <w:lang w:bidi="fa-IR"/>
        </w:rPr>
        <w:t>الملزم من جانب الشارع لیس إلاّ،فإن کان فی المقام شیء غیر الظنّ فلیذکر،و إن کان مجرّد الظنّ فلم تثبت حجّیّة مطلق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 من جمیع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الکلام لیس فی المرجّح للفعل،بل المطلوب المرجّح للحکم بأنّ الشارع أوجب بعد الانسداد العمل بهذا دون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یظهر ما فی آخر کلام البعض المتقدّم ذکره </w:t>
      </w:r>
      <w:r>
        <w:rPr>
          <w:rStyle w:val="FootnoteAnchor"/>
          <w:rtl w:val="true"/>
        </w:rPr>
        <w:footnoteReference w:id="1643"/>
      </w:r>
      <w:r>
        <w:rPr>
          <w:rFonts w:ascii="IRNazanin" w:hAnsi="IRNazanin" w:eastAsia="IRNazanin"/>
          <w:color w:val="111111"/>
          <w:sz w:val="28"/>
          <w:sz w:val="28"/>
          <w:szCs w:val="28"/>
          <w:rtl w:val="true"/>
          <w:lang w:bidi="fa-IR"/>
        </w:rPr>
        <w:t>فی توضیح مطلبه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کون المرجّح ظنّا لا یقتضی کون الترجیح ظنّیا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کون المرجّح قطعیّا لا یقتضی ذلک،بل إن قام دلیل علی اعتبار ذلک المرجّح شرعا </w:t>
      </w:r>
      <w:r>
        <w:rPr>
          <w:rStyle w:val="FootnoteAnchor"/>
          <w:rtl w:val="true"/>
        </w:rPr>
        <w:footnoteReference w:id="1644"/>
      </w:r>
      <w:r>
        <w:rPr>
          <w:rFonts w:ascii="Amiri" w:hAnsi="Amiri" w:eastAsia="Amiri" w:cs="Amiri"/>
          <w:color w:val="111111"/>
          <w:sz w:val="28"/>
          <w:sz w:val="28"/>
          <w:szCs w:val="28"/>
          <w:rtl w:val="true"/>
          <w:lang w:bidi="ar-SA"/>
        </w:rPr>
        <w:t>کان الترجیح به قطعیّا،و إلاّ فلیس ظنّیّا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ما ذکره الأخیر فی مقدّمته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الترجیح بلا مرجّح قبیح بل محال،یظهر منه خلط بین الترجیح بلا مرجّح فی الإیجاد و التکوین،و بینه فی مقام الإلزام و التکلیف؛فإنّ الأوّل محال لا قبیح، و الثانی قبیح لا محال؛فالإضراب فی کلامه عن القبح إلی الاستحالة لا مورد له،فافهم</w:t>
      </w:r>
      <w:r>
        <w:rPr>
          <w:rFonts w:eastAsia="IRNazanin" w:cs="IRNazanin"/>
          <w:color w:val="111111"/>
          <w:sz w:val="28"/>
          <w:szCs w:val="28"/>
          <w:rtl w:val="true"/>
          <w:lang w:bidi="fa-IR"/>
        </w:rPr>
        <w:t>.</w:t>
      </w:r>
    </w:p>
    <w:p>
      <w:pPr>
        <w:pStyle w:val="Heading6"/>
        <w:numPr>
          <w:ilvl w:val="5"/>
          <w:numId w:val="1"/>
        </w:numPr>
        <w:rPr/>
      </w:pPr>
      <w:bookmarkStart w:id="1305" w:name="__RefHeading___Toc5447431_3224264995"/>
      <w:bookmarkStart w:id="1306" w:name="_Toc497"/>
      <w:bookmarkEnd w:id="1305"/>
      <w:r>
        <w:rPr>
          <w:rtl w:val="true"/>
        </w:rPr>
        <w:t>عدم صحّة تعیین بعض الظنون لأجل الظنّ بعدم حجّیة ما سواه</w:t>
      </w:r>
      <w:bookmarkEnd w:id="1306"/>
    </w:p>
    <w:p>
      <w:pPr>
        <w:pStyle w:val="BookText"/>
        <w:rPr/>
      </w:pPr>
      <w:r>
        <w:rPr>
          <w:rFonts w:ascii="IRNazanin" w:hAnsi="IRNazanin" w:eastAsia="IRNazanin"/>
          <w:color w:val="111111"/>
          <w:sz w:val="28"/>
          <w:sz w:val="28"/>
          <w:szCs w:val="28"/>
          <w:rtl w:val="true"/>
          <w:lang w:bidi="fa-IR"/>
        </w:rPr>
        <w:t>فثبت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تعیین الظنّ فی الجملة من بین الظنون بالظنّ غیر مستقیم</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لو عیّن بعض الظنون لأجل الظنّ بعدم حجّیة ما </w:t>
      </w:r>
    </w:p>
    <w:p>
      <w:pPr>
        <w:pStyle w:val="BookText"/>
        <w:rPr/>
      </w:pPr>
      <w:r>
        <w:rPr>
          <w:rFonts w:ascii="IRNazanin" w:hAnsi="IRNazanin" w:eastAsia="IRNazanin"/>
          <w:color w:val="111111"/>
          <w:sz w:val="28"/>
          <w:sz w:val="28"/>
          <w:szCs w:val="28"/>
          <w:rtl w:val="true"/>
          <w:lang w:bidi="fa-IR"/>
        </w:rPr>
        <w:t>سواه،کالأولویّة و الاستقراء بل الشهرة؛حیث إنّ المشهور علی عدم اعتبارها،بل لا یبعد دخول الأوّلین تحت القیاس المنهیّ عنه،بل النهی عن العمل بالاولی منهما وارد فی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المتضمّنة لحکم دیة أصابع المرأة </w:t>
      </w:r>
      <w:r>
        <w:rPr>
          <w:rStyle w:val="FootnoteAnchor"/>
          <w:rtl w:val="true"/>
        </w:rPr>
        <w:footnoteReference w:id="1645"/>
      </w:r>
      <w:r>
        <w:rPr>
          <w:rFonts w:ascii="IRNazanin" w:hAnsi="IRNazanin" w:eastAsia="IRNazanin"/>
          <w:color w:val="111111"/>
          <w:sz w:val="28"/>
          <w:sz w:val="28"/>
          <w:szCs w:val="28"/>
          <w:rtl w:val="true"/>
          <w:lang w:bidi="fa-IR"/>
        </w:rPr>
        <w:t>فإنّه یظنّ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الظنّ المعتبر بحکم الانسداد فی ما عدا هذه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ضعف ذلک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استقامة تعیین القضیّة المهملة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نزید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دعوی حصول الظنّ علی عدم اعتبار هذه الامور ممنوعة؛لأنّ مستند الشهرة علی عدم اعتبارها لیس إلاّ عدم الدلیل عند المشهور علی اعتبارها،فیبقی تحت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لکونها منهیّا عنها بالخصوص کالقیاس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هذه الشهرة المستندة إلی الأصل لا یوجب الظنّ بالواقع</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دعوی کون الأوّلین قیاسا،فنکذّبه بعمل غیر واحد من أصحابنا </w:t>
      </w:r>
      <w:r>
        <w:rPr>
          <w:rStyle w:val="FootnoteAnchor"/>
          <w:rtl w:val="true"/>
        </w:rPr>
        <w:footnoteReference w:id="1646"/>
      </w:r>
      <w:r>
        <w:rPr>
          <w:rFonts w:ascii="IRNazanin" w:hAnsi="IRNazanin" w:eastAsia="IRNazanin"/>
          <w:color w:val="111111"/>
          <w:sz w:val="28"/>
          <w:sz w:val="28"/>
          <w:szCs w:val="28"/>
          <w:rtl w:val="true"/>
          <w:lang w:bidi="fa-IR"/>
        </w:rPr>
        <w:t xml:space="preserve">علیهما،بل الأولویّة قد عمل بها غیر واحد من أهل الظنون الخاصّة فی بعض الموارد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 xml:space="preserve">. </w:t>
      </w:r>
      <w:bookmarkStart w:id="1307" w:name="pg12977_114529"/>
    </w:p>
    <w:p>
      <w:pPr>
        <w:pStyle w:val="BookText"/>
        <w:rPr/>
      </w:pPr>
      <w:bookmarkEnd w:id="1307"/>
      <w:r>
        <w:rPr>
          <w:rFonts w:ascii="IRNazanin" w:hAnsi="IRNazanin" w:eastAsia="IRNazanin"/>
          <w:color w:val="111111"/>
          <w:sz w:val="28"/>
          <w:sz w:val="28"/>
          <w:szCs w:val="28"/>
          <w:rtl w:val="true"/>
          <w:lang w:bidi="fa-IR"/>
        </w:rPr>
        <w:t>و منه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الوهن فی دلالة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حرمة العمل علیها بالخصوص،فلا یبقی ظنّ من الروایة بحرمة العمل علیها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الأولویّة فی ما قام الدلیل علی عدم اعتباره؛لأنّ الظنّ الحاصل من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متیقّن الاعتبار بالنسبة إلی الأولویّة؛فحجّیّتها مع عدم حجّیّة الخبر الدالّ علی المنع عنها غیر محتملة،فتأمّل</w:t>
      </w:r>
      <w:r>
        <w:rPr>
          <w:rFonts w:eastAsia="IRNazanin" w:cs="IRNazanin"/>
          <w:color w:val="111111"/>
          <w:sz w:val="28"/>
          <w:szCs w:val="28"/>
          <w:rtl w:val="true"/>
          <w:lang w:bidi="fa-IR"/>
        </w:rPr>
        <w:t>.</w:t>
      </w:r>
    </w:p>
    <w:p>
      <w:pPr>
        <w:pStyle w:val="Heading6"/>
        <w:numPr>
          <w:ilvl w:val="5"/>
          <w:numId w:val="1"/>
        </w:numPr>
        <w:rPr/>
      </w:pPr>
      <w:bookmarkStart w:id="1308" w:name="__RefHeading___Toc5447433_3224264995"/>
      <w:bookmarkStart w:id="1309" w:name="_Toc498"/>
      <w:bookmarkEnd w:id="1308"/>
      <w:r>
        <w:rPr>
          <w:rtl w:val="true"/>
        </w:rPr>
        <w:t>صحّة تعیین القضیّة المهملة بمطلق الظنّ فی مواضع</w:t>
      </w:r>
      <w:bookmarkEnd w:id="1309"/>
    </w:p>
    <w:p>
      <w:pPr>
        <w:pStyle w:val="BookText"/>
        <w:rPr/>
      </w:pPr>
      <w:r>
        <w:rPr>
          <w:rFonts w:ascii="IRNazanin" w:hAnsi="IRNazanin" w:eastAsia="IRNazanin"/>
          <w:color w:val="111111"/>
          <w:sz w:val="28"/>
          <w:sz w:val="28"/>
          <w:szCs w:val="28"/>
          <w:rtl w:val="true"/>
          <w:lang w:bidi="fa-IR"/>
        </w:rPr>
        <w:t>ثمّ بعد 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استقامة تعیین القضیّة المهملة بمطلق الظنّ،فاعلم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یصحّ تعیینها بالظنّ 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الظنّ القائم علی حجّیّة بعض الظنون من المتیقّن اعتباره بعد الانسداد،إمّا مطلقا کما إذا قام فرد من الخبر الصحیح المتیقّن </w:t>
      </w:r>
      <w:r>
        <w:rPr>
          <w:rStyle w:val="FootnoteAnchor"/>
          <w:rtl w:val="true"/>
        </w:rPr>
        <w:footnoteReference w:id="1648"/>
      </w:r>
      <w:r>
        <w:rPr>
          <w:rFonts w:ascii="IRNazanin" w:hAnsi="IRNazanin" w:eastAsia="IRNazanin"/>
          <w:color w:val="111111"/>
          <w:sz w:val="28"/>
          <w:sz w:val="28"/>
          <w:szCs w:val="28"/>
          <w:rtl w:val="true"/>
          <w:lang w:bidi="fa-IR"/>
        </w:rPr>
        <w:t>اعتباره من بین سائر الأخبار و سائر الأمارات علی حجّیّة بعض ما دونه،فإنّه یصیر حینئذ متیقّن الاعتبار؛لأجل قیام الظنّ المتیقّن الاعتبار علی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إمّا بالإضافة إلی ما قام علی اعتباره إذا ثبت حجّیّة ذلک الظنّ القائم،کما لو قام الإجماع المنقول علی حجّیّة الاستقراء مثلا؛فإنّه یصیر بعد إثبات حجّیّة الإجماع المنقول ببعض </w:t>
      </w:r>
      <w:r>
        <w:rPr>
          <w:rStyle w:val="FootnoteAnchor"/>
          <w:rtl w:val="true"/>
        </w:rPr>
        <w:footnoteReference w:id="1649"/>
      </w:r>
      <w:r>
        <w:rPr>
          <w:rFonts w:ascii="IRNazanin" w:hAnsi="IRNazanin" w:eastAsia="IRNazanin"/>
          <w:color w:val="111111"/>
          <w:sz w:val="28"/>
          <w:sz w:val="28"/>
          <w:szCs w:val="28"/>
          <w:rtl w:val="true"/>
          <w:lang w:bidi="fa-IR"/>
        </w:rPr>
        <w:t>الوجوه ظنّا معتبرا</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یلحق </w:t>
      </w:r>
      <w:r>
        <w:rPr>
          <w:rStyle w:val="FootnoteAnchor"/>
          <w:rtl w:val="true"/>
        </w:rPr>
        <w:footnoteReference w:id="1650"/>
      </w:r>
      <w:r>
        <w:rPr>
          <w:rFonts w:ascii="IRNazanin" w:hAnsi="IRNazanin" w:eastAsia="IRNazanin"/>
          <w:color w:val="111111"/>
          <w:sz w:val="28"/>
          <w:sz w:val="28"/>
          <w:szCs w:val="28"/>
          <w:rtl w:val="true"/>
          <w:lang w:bidi="fa-IR"/>
        </w:rPr>
        <w:t xml:space="preserve">به ما هو متیقّن بالنسبة إلیه،کالشهرة إذا کانت متیقّنة </w:t>
      </w:r>
    </w:p>
    <w:p>
      <w:pPr>
        <w:pStyle w:val="BookText"/>
        <w:rPr/>
      </w:pPr>
      <w:r>
        <w:rPr>
          <w:rFonts w:ascii="IRNazanin" w:hAnsi="IRNazanin" w:eastAsia="IRNazanin"/>
          <w:color w:val="111111"/>
          <w:sz w:val="28"/>
          <w:sz w:val="28"/>
          <w:szCs w:val="28"/>
          <w:rtl w:val="true"/>
          <w:lang w:bidi="fa-IR"/>
        </w:rPr>
        <w:t xml:space="preserve">الاعتبار بالنسبة إلی الاستقراء بحیث لا یحتمل اعتباره دونها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لکن،هذا مبنیّ علی عدم الفرق فی حجّیّة الظنّ بین کونه فی المسائل الفروعیّة و کونه فی المسائل الاصولیّة؛و إلاّ فلو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الظنّ فی الجملة الذی قضی به مقدّمات </w:t>
      </w:r>
      <w:r>
        <w:rPr>
          <w:rStyle w:val="FootnoteAnchor"/>
          <w:rtl w:val="true"/>
        </w:rPr>
        <w:footnoteReference w:id="1652"/>
      </w:r>
      <w:r>
        <w:rPr>
          <w:rFonts w:ascii="IRNazanin" w:hAnsi="IRNazanin" w:eastAsia="IRNazanin"/>
          <w:color w:val="111111"/>
          <w:sz w:val="28"/>
          <w:sz w:val="28"/>
          <w:szCs w:val="28"/>
          <w:rtl w:val="true"/>
          <w:lang w:bidi="fa-IR"/>
        </w:rPr>
        <w:t>الانسداد،إنّما هو المتعلّق بالمسائل الفرعیّة دون غیرها،فالقدر المتیقّن إنّما هو متیقّن بالنسبة إلی الفروع،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ذکرنا سابقا </w:t>
      </w:r>
      <w:r>
        <w:rPr>
          <w:rStyle w:val="FootnoteAnchor"/>
          <w:rtl w:val="true"/>
        </w:rPr>
        <w:footnoteReference w:id="16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عدم الفرق بین تعلّق الظنّ بنفس الحکم الفرعیّ و بین تعلّقه بما جعل طریقا إلیه،إنّما هو بناء علی ما هو التحقیق من تقریر مقدّمات الانسداد علی وجه یوجب حکومة العقل دون کشفه عن جعل الشارع،و القدر المتیقّن مبنیّ علی الکشف،کما سیجیء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القدر المتیقّن فی الفروع هو متیقّن فی المسائل الاصولیّة أیضا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 xml:space="preserve">. </w:t>
      </w:r>
      <w:bookmarkStart w:id="1310" w:name="pg12977_114531"/>
    </w:p>
    <w:p>
      <w:pPr>
        <w:pStyle w:val="Heading6"/>
        <w:numPr>
          <w:ilvl w:val="5"/>
          <w:numId w:val="1"/>
        </w:numPr>
        <w:rPr/>
      </w:pPr>
      <w:bookmarkStart w:id="1311" w:name="__RefHeading___Toc5447435_3224264995"/>
      <w:bookmarkStart w:id="1312" w:name="_Toc499"/>
      <w:bookmarkEnd w:id="1310"/>
      <w:bookmarkEnd w:id="1311"/>
      <w:r>
        <w:rPr>
          <w:rtl w:val="true"/>
        </w:rPr>
        <w:t>الموضع الثانی</w:t>
      </w:r>
      <w:bookmarkEnd w:id="1312"/>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الظنّ القائم علی حجّیّة ظنّ متّحدا لا تعدّد فیه، کما إذا کان مظنون الاعتبار منحصرا فیما قامت أمارة واحدة علی حجّیّته،فإنّه یعمل به فی تعیین المتّبع و إن کان أضعف الظنون؛لأنّه إذا انسدّ باب العلم فی مسألة تعیین ما هو المتّبع بعد الانسداد و لم یجز الرجوع فیها إلی الاصول حتّی الاحتیاط کما سیجیء </w:t>
      </w:r>
      <w:r>
        <w:rPr>
          <w:rStyle w:val="FootnoteAnchor"/>
          <w:rtl w:val="true"/>
        </w:rPr>
        <w:footnoteReference w:id="1656"/>
      </w:r>
      <w:r>
        <w:rPr>
          <w:rFonts w:ascii="IRNazanin" w:hAnsi="IRNazanin" w:eastAsia="IRNazanin"/>
          <w:color w:val="111111"/>
          <w:sz w:val="28"/>
          <w:sz w:val="28"/>
          <w:szCs w:val="28"/>
          <w:rtl w:val="true"/>
          <w:lang w:bidi="fa-IR"/>
        </w:rPr>
        <w:t xml:space="preserve">،تعیّن الرجوع إلی الظنّ الموجود فی المسألة فیؤخذ به؛لما عرفت </w:t>
      </w:r>
      <w:r>
        <w:rPr>
          <w:rStyle w:val="FootnoteAnchor"/>
          <w:rtl w:val="true"/>
        </w:rPr>
        <w:footnoteReference w:id="16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کلّ مسألة انسدّ فیها باب العلم و فرض عدم صحّة الرجوع فیها إلی مقتضی الاصول،تعیّن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بأیّ ظنّ وجد فی تلک المسألة</w:t>
      </w:r>
      <w:r>
        <w:rPr>
          <w:rFonts w:eastAsia="IRNazanin" w:cs="IRNazanin"/>
          <w:color w:val="111111"/>
          <w:sz w:val="28"/>
          <w:szCs w:val="28"/>
          <w:rtl w:val="true"/>
          <w:lang w:bidi="fa-IR"/>
        </w:rPr>
        <w:t>.</w:t>
      </w:r>
    </w:p>
    <w:p>
      <w:pPr>
        <w:pStyle w:val="Heading6"/>
        <w:numPr>
          <w:ilvl w:val="5"/>
          <w:numId w:val="1"/>
        </w:numPr>
        <w:rPr/>
      </w:pPr>
      <w:bookmarkStart w:id="1313" w:name="__RefHeading___Toc5447437_3224264995"/>
      <w:bookmarkStart w:id="1314" w:name="_Toc500"/>
      <w:bookmarkEnd w:id="1313"/>
      <w:r>
        <w:rPr>
          <w:rtl w:val="true"/>
        </w:rPr>
        <w:t>الموضع الثالث</w:t>
      </w:r>
      <w:bookmarkEnd w:id="1314"/>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یتعدّد الظنون فی مسألة تعیین المتّبع بعد الانسداد بحیث یقوم کلّ واحد منها علی اعتبار طائفة من الأمارات کافیة فی الفقه،لکن یکون هذه الظنون القائمة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مرتبة لا یکون اعتبار بعضها مظنونا،فحینئذ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بحکم مقدّمات </w:t>
      </w:r>
      <w:r>
        <w:rPr>
          <w:rStyle w:val="FootnoteAnchor"/>
          <w:rtl w:val="true"/>
        </w:rPr>
        <w:footnoteReference w:id="1658"/>
      </w:r>
      <w:r>
        <w:rPr>
          <w:rFonts w:ascii="IRNazanin" w:hAnsi="IRNazanin" w:eastAsia="IRNazanin"/>
          <w:color w:val="111111"/>
          <w:sz w:val="28"/>
          <w:sz w:val="28"/>
          <w:szCs w:val="28"/>
          <w:rtl w:val="true"/>
          <w:lang w:bidi="fa-IR"/>
        </w:rPr>
        <w:t>الانسداد فی مسألة تعیین المتّبع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الرجوع فیها إلی الظنّ فی الجملة،و المفروض تساوی الظنون الموجودة فی تلک المسألة و عدم المرجّح لبعضها،وجب الأخذ بالکلّ بعد بطلان التخییر بالإجماع و تعسّر ضبط البعض الذی لا یلزم العسر من الاحتیاط فیه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15" w:name="__RefHeading___Toc5447439_3224264995"/>
      <w:bookmarkStart w:id="1316" w:name="_Toc501"/>
      <w:bookmarkEnd w:id="1315"/>
      <w:r>
        <w:rPr>
          <w:rtl w:val="true"/>
        </w:rPr>
        <w:t>وجوب الاقتصار علی القدر المتیقّن بناء علی الکشف</w:t>
      </w:r>
      <w:bookmarkEnd w:id="1316"/>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علی تقدیر صحّة تقریر دلیل الانسداد علی وجه الکشف، </w:t>
      </w:r>
      <w:bookmarkStart w:id="1317" w:name="pg12977_114532"/>
    </w:p>
    <w:p>
      <w:pPr>
        <w:pStyle w:val="BookText"/>
        <w:rPr/>
      </w:pPr>
      <w:bookmarkEnd w:id="1317"/>
      <w:r>
        <w:rPr>
          <w:rFonts w:ascii="IRNazanin" w:hAnsi="IRNazanin" w:eastAsia="IRNazanin"/>
          <w:color w:val="111111"/>
          <w:sz w:val="28"/>
          <w:sz w:val="28"/>
          <w:szCs w:val="28"/>
          <w:rtl w:val="true"/>
          <w:lang w:bidi="fa-IR"/>
        </w:rPr>
        <w:t xml:space="preserve">فالذی ینبغی أن یقال </w:t>
      </w:r>
      <w:r>
        <w:rPr>
          <w:rStyle w:val="FootnoteAnchor"/>
          <w:rtl w:val="true"/>
        </w:rPr>
        <w:footnoteReference w:id="16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اللازم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الاقتصار علی المتیقّن من الظنون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یلحق به کلّ ما قام المتیقّن علی اعتباره؟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أقواهما العدم کما تقدّم؛إذ بناء علی هذا التقریر لا نسلّم </w:t>
      </w:r>
      <w:r>
        <w:rPr>
          <w:rStyle w:val="FootnoteAnchor"/>
          <w:rtl w:val="true"/>
        </w:rPr>
        <w:footnoteReference w:id="1661"/>
      </w:r>
      <w:r>
        <w:rPr>
          <w:rFonts w:ascii="IRNazanin" w:hAnsi="IRNazanin" w:eastAsia="IRNazanin"/>
          <w:color w:val="111111"/>
          <w:sz w:val="28"/>
          <w:sz w:val="28"/>
          <w:szCs w:val="28"/>
          <w:rtl w:val="true"/>
          <w:lang w:bidi="fa-IR"/>
        </w:rPr>
        <w:t>کشف العقل بواسطة مقدّمات الانسداد إلاّ عن اعتبار الظنّ فی الجملة فی الفروع دون الاصول،و الظنّ بحجّیّة الأمارة الفلانیّة ظنّ بالمسألة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نعم،مقتضی تقریر الدلیل علی وجه حکومة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 بین تعلّق الظنّ بالحکم الفرعیّ أو بحجّیّة طریق</w:t>
      </w:r>
      <w:r>
        <w:rPr>
          <w:rFonts w:eastAsia="IRNazanin" w:cs="IRNazanin"/>
          <w:color w:val="111111"/>
          <w:sz w:val="28"/>
          <w:szCs w:val="28"/>
          <w:rtl w:val="true"/>
          <w:lang w:bidi="fa-IR"/>
        </w:rPr>
        <w:t>.</w:t>
      </w:r>
    </w:p>
    <w:p>
      <w:pPr>
        <w:pStyle w:val="Heading6"/>
        <w:numPr>
          <w:ilvl w:val="5"/>
          <w:numId w:val="1"/>
        </w:numPr>
        <w:rPr/>
      </w:pPr>
      <w:bookmarkStart w:id="1318" w:name="__RefHeading___Toc5447441_3224264995"/>
      <w:bookmarkStart w:id="1319" w:name="_Toc502"/>
      <w:bookmarkEnd w:id="1318"/>
      <w:r>
        <w:rPr>
          <w:rtl w:val="true"/>
        </w:rPr>
        <w:t>لو لم یکن القدر المتیقّن کافیا</w:t>
      </w:r>
      <w:bookmarkEnd w:id="1319"/>
    </w:p>
    <w:p>
      <w:pPr>
        <w:pStyle w:val="BookText"/>
        <w:rPr/>
      </w:pPr>
      <w:r>
        <w:rPr>
          <w:rFonts w:ascii="IRNazanin" w:hAnsi="IRNazanin" w:eastAsia="IRNazanin"/>
          <w:color w:val="111111"/>
          <w:sz w:val="28"/>
          <w:sz w:val="28"/>
          <w:szCs w:val="28"/>
          <w:rtl w:val="true"/>
          <w:lang w:bidi="fa-IR"/>
        </w:rPr>
        <w:t>ثمّ إن کان القدر المتیقّن کافیا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 لا یلزم من العمل بالاصول فی مجاریها المحذور اللازم علی تقدیر الاقتصار علی المعلومات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فهو،و إلاّ فالواجب الأخذ بما هو المتیقّن من الأمارات الباقیة الثابتة </w:t>
      </w:r>
      <w:r>
        <w:rPr>
          <w:rStyle w:val="FootnoteAnchor"/>
          <w:rtl w:val="true"/>
        </w:rPr>
        <w:footnoteReference w:id="1662"/>
      </w:r>
      <w:r>
        <w:rPr>
          <w:rFonts w:ascii="IRNazanin" w:hAnsi="IRNazanin" w:eastAsia="IRNazanin"/>
          <w:color w:val="111111"/>
          <w:sz w:val="28"/>
          <w:sz w:val="28"/>
          <w:szCs w:val="28"/>
          <w:rtl w:val="true"/>
          <w:lang w:bidi="fa-IR"/>
        </w:rPr>
        <w:t>بالنسبة إلی غیرها،فإن کفی فی الفقه بالمعنی الذی ذکرنا فهو،و إلاّ فیؤخذ بما هو المتیقّن بالنسبة،و هکذا</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لو فرضنا عدم القدر المتیقّن بین الأمارات أو عدم کفایة ما هو </w:t>
      </w:r>
      <w:r>
        <w:rPr>
          <w:rStyle w:val="FootnoteAnchor"/>
          <w:rtl w:val="true"/>
        </w:rPr>
        <w:footnoteReference w:id="1663"/>
      </w:r>
      <w:r>
        <w:rPr>
          <w:rFonts w:ascii="IRNazanin" w:hAnsi="IRNazanin" w:eastAsia="IRNazanin"/>
          <w:color w:val="111111"/>
          <w:sz w:val="28"/>
          <w:sz w:val="28"/>
          <w:szCs w:val="28"/>
          <w:rtl w:val="true"/>
          <w:lang w:bidi="fa-IR"/>
        </w:rPr>
        <w:t>المتیقّن مطلقا أو بالنسبة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لم یکن علی شیء منها أمارة فاللازم الأخذ بالکلّ؛لبطلان التخییر بالإجماع و بطلان طرح الکلّ </w:t>
      </w:r>
    </w:p>
    <w:p>
      <w:pPr>
        <w:pStyle w:val="BookText"/>
        <w:rPr/>
      </w:pPr>
      <w:r>
        <w:rPr>
          <w:rFonts w:ascii="IRNazanin" w:hAnsi="IRNazanin" w:eastAsia="IRNazanin"/>
          <w:color w:val="111111"/>
          <w:sz w:val="28"/>
          <w:sz w:val="28"/>
          <w:szCs w:val="28"/>
          <w:rtl w:val="true"/>
          <w:lang w:bidi="fa-IR"/>
        </w:rPr>
        <w:t xml:space="preserve">بالفرض و فقد المرجّح،فتعیّن الجمع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قام علی بعضها أمارة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أمارة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قامت الشهرة علی حجّیّة جملة من الأمارات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اللازم الأخذ بها؛ لتعیین </w:t>
      </w:r>
      <w:r>
        <w:rPr>
          <w:rStyle w:val="FootnoteAnchor"/>
          <w:rtl w:val="true"/>
        </w:rPr>
        <w:footnoteReference w:id="1665"/>
      </w:r>
      <w:r>
        <w:rPr>
          <w:rFonts w:ascii="IRNazanin" w:hAnsi="IRNazanin" w:eastAsia="IRNazanin"/>
          <w:color w:val="111111"/>
          <w:sz w:val="28"/>
          <w:sz w:val="28"/>
          <w:szCs w:val="28"/>
          <w:rtl w:val="true"/>
          <w:lang w:bidi="fa-IR"/>
        </w:rPr>
        <w:t>الرجوع إلی الشهرة فی تعیین المتّبع من بین الظنون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أمارات متعدّدة قامت کلّ واحدة منها علی حجّیّة ظنّ مع الحاجة إلی جمیع تلک الظنون فی الفقه و عدم کفایة بعضها،عمل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حینئذ بین تساوی تلک الأمارات القائمة من حیث الظنّ بالاعتبار و العدم،و بین تفاوتها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قامت کلّ واحدة منها علی مقدار من الأمارات کاف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تتفاوت الأمارات القائمة فی الظنّ بالاعتبار،وجب الأخذ بالکلّ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کالأمارة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؛لفقد المرجّح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تفاوتت،فما قام متیقّن الاعتبار و مظنون الاعتبار علی اعتباره یصیر معیّنا </w:t>
      </w:r>
      <w:r>
        <w:rPr>
          <w:rStyle w:val="FootnoteAnchor"/>
          <w:rtl w:val="true"/>
        </w:rPr>
        <w:footnoteReference w:id="1666"/>
      </w:r>
      <w:r>
        <w:rPr>
          <w:rFonts w:ascii="IRNazanin" w:hAnsi="IRNazanin" w:eastAsia="IRNazanin"/>
          <w:color w:val="111111"/>
          <w:sz w:val="28"/>
          <w:sz w:val="28"/>
          <w:szCs w:val="28"/>
          <w:rtl w:val="true"/>
          <w:lang w:bidi="fa-IR"/>
        </w:rPr>
        <w:t>،کما إذا قام الإجماع المنقول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کونه مظنون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حجّیّة أمارة غیر مظنون الاعتبار،و قامت تلک الأمارة،فإنّها تتعیّن </w:t>
      </w:r>
      <w:r>
        <w:rPr>
          <w:rStyle w:val="FootnoteAnchor"/>
          <w:rtl w:val="true"/>
        </w:rPr>
        <w:footnoteReference w:id="1667"/>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تقدیر کون دلیل الانسداد کاشفا</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علی ما هو المختار من کونه حاکما،فسیجیء الکلام فیه </w:t>
      </w:r>
      <w:r>
        <w:rPr>
          <w:rStyle w:val="FootnoteAnchor"/>
          <w:rtl w:val="true"/>
        </w:rPr>
        <w:footnoteReference w:id="1668"/>
      </w:r>
      <w:bookmarkStart w:id="1320" w:name="pg12977_114534"/>
    </w:p>
    <w:p>
      <w:pPr>
        <w:pStyle w:val="BookText"/>
        <w:rPr/>
      </w:pPr>
      <w:bookmarkEnd w:id="1320"/>
      <w:r>
        <w:rPr>
          <w:rFonts w:ascii="IRNazanin" w:hAnsi="IRNazanin" w:eastAsia="IRNazanin"/>
          <w:color w:val="111111"/>
          <w:sz w:val="28"/>
          <w:sz w:val="28"/>
          <w:szCs w:val="28"/>
          <w:rtl w:val="true"/>
          <w:lang w:bidi="fa-IR"/>
        </w:rPr>
        <w:t>بعد الفراغ عن المعمّمات التی ذکروها لتعمیم النتیجة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فاللازم علی المجتهد أن یتأمّل فی الأمارات، حتّی یعرف المتیقّن منها حقیقة أو بالإضافة إلی غیره </w:t>
      </w:r>
      <w:r>
        <w:rPr>
          <w:rStyle w:val="FootnoteAnchor"/>
          <w:rtl w:val="true"/>
        </w:rPr>
        <w:footnoteReference w:id="1669"/>
      </w:r>
      <w:r>
        <w:rPr>
          <w:rFonts w:ascii="IRNazanin" w:hAnsi="IRNazanin" w:eastAsia="IRNazanin"/>
          <w:color w:val="111111"/>
          <w:sz w:val="28"/>
          <w:sz w:val="28"/>
          <w:szCs w:val="28"/>
          <w:rtl w:val="true"/>
          <w:lang w:bidi="fa-IR"/>
        </w:rPr>
        <w:t>،و یحصّل ما یمکن تحصیله من الأمارات القائمة علی حجّیة تلک الأمارات،و یمیّز بین تلک الأمارات القائمة من حیث التساوی و التفاوت من حیث الظنّ بحجّیة بعضها من أمارة اخری،و یعرف کفایة ما أحرز اعتباره من تلک الأمارات و عدم کفایته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یحتاج إلی سیر مسائل الفقه إجمالا،حتّی یعرف أنّ القدر المتیقّن من الأخبار لا یکفی مثلا فی الفقه،بحیث یرجع فی موارد خلت عن هذا الخبر إلی الاصول التی یقتضیها الجهل بالحکم فی ذلک المورد، و أنّه إذا انضمّ إلیه قسم آخر من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متیقّنا إضافیّا،أو لکونه مظنون الاعتبار بظنّ متّبع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یکفی أم لا؟فلیس له الفتوی علی وجه یوجب طرح سائر الظنون حتّی یعرف کفایة ما أحرزه من جهة الیقین أو الظنّ المتّبع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وفّقنا اللّه للاجتهاد الذی هو أشدّ من طول الجهاد،بحقّ محمّد و آله الأمجاد</w:t>
      </w:r>
      <w:r>
        <w:rPr>
          <w:rFonts w:eastAsia="IRNazanin" w:cs="IRNazanin"/>
          <w:color w:val="111111"/>
          <w:sz w:val="28"/>
          <w:szCs w:val="28"/>
          <w:rtl w:val="true"/>
          <w:lang w:bidi="fa-IR"/>
        </w:rPr>
        <w:t>.</w:t>
      </w:r>
    </w:p>
    <w:p>
      <w:pPr>
        <w:pStyle w:val="Heading6"/>
        <w:numPr>
          <w:ilvl w:val="5"/>
          <w:numId w:val="1"/>
        </w:numPr>
        <w:rPr/>
      </w:pPr>
      <w:bookmarkStart w:id="1321" w:name="__RefHeading___Toc5447443_3224264995"/>
      <w:bookmarkStart w:id="1322" w:name="_Toc503"/>
      <w:bookmarkEnd w:id="1321"/>
      <w:r>
        <w:rPr>
          <w:rtl w:val="true"/>
        </w:rPr>
        <w:t>الطریق الثانی للتعمیم</w:t>
      </w:r>
      <w:r>
        <w:rPr>
          <w:rtl w:val="true"/>
        </w:rPr>
        <w:t>:</w:t>
      </w:r>
      <w:r>
        <w:rPr>
          <w:rtl w:val="true"/>
        </w:rPr>
        <w:t>عدم کفایة الظنون المعتبرة</w:t>
      </w:r>
      <w:bookmarkEnd w:id="1322"/>
    </w:p>
    <w:p>
      <w:pPr>
        <w:pStyle w:val="BookText"/>
        <w:rPr/>
      </w:pPr>
      <w:r>
        <w:rPr>
          <w:rFonts w:ascii="IRNazanin" w:hAnsi="IRNazanin" w:eastAsia="IRNazanin"/>
          <w:color w:val="111111"/>
          <w:sz w:val="28"/>
          <w:sz w:val="28"/>
          <w:szCs w:val="28"/>
          <w:rtl w:val="true"/>
          <w:lang w:bidi="fa-IR"/>
        </w:rPr>
        <w:t>الثانی من طرق التعمیم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سلکه غیر واحد من المعاصرین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عدم الکفایة؛حیث اعترفوا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تقسیم الظنون إلی مظنون </w:t>
      </w:r>
    </w:p>
    <w:p>
      <w:pPr>
        <w:pStyle w:val="BookText"/>
        <w:rPr/>
      </w:pPr>
      <w:r>
        <w:rPr>
          <w:rFonts w:ascii="IRNazanin" w:hAnsi="IRNazanin" w:eastAsia="IRNazanin"/>
          <w:color w:val="111111"/>
          <w:sz w:val="28"/>
          <w:sz w:val="28"/>
          <w:szCs w:val="28"/>
          <w:rtl w:val="true"/>
          <w:lang w:bidi="fa-IR"/>
        </w:rPr>
        <w:t>الاعتبار و مشکوکه و موهومه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مقتضی القاعدة بعد إهمال النتیجة الاقتصار علی مظنون الاعتبار،ثمّ علی المشکوک،ثمّ یتسرّی إلی الموهوم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الظنون المظنونة الاعتبار غیر کافیة،إمّا بأنفسها؛بناء علی انحصارها فی الأخبار الصحیحة بتزکیة عدلین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إمّا لأجل العلم الإجمالیّ بمخالفة کثیر من ظواهرها للمعانی الظاهرة </w:t>
      </w:r>
      <w:r>
        <w:rPr>
          <w:rStyle w:val="FootnoteAnchor"/>
          <w:rtl w:val="true"/>
        </w:rPr>
        <w:footnoteReference w:id="1671"/>
      </w:r>
      <w:r>
        <w:rPr>
          <w:rFonts w:ascii="IRNazanin" w:hAnsi="IRNazanin" w:eastAsia="IRNazanin"/>
          <w:color w:val="111111"/>
          <w:sz w:val="28"/>
          <w:sz w:val="28"/>
          <w:szCs w:val="28"/>
          <w:rtl w:val="true"/>
          <w:lang w:bidi="fa-IR"/>
        </w:rPr>
        <w:t>منها و وجود ما یظنّ منه ذلک فی الظنون المشکوکة الاعتبار،فلا یجوز التمسّک بتلک الظواهر؛ للعلم الإجمالیّ المذکور،فیکون حالها حال ظاهر الکتاب و السنّة المتواترة فی عدم الوفاء بمعظم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التسرّی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بمقتضی قاعدة الانسداد و لزوم المحذور من الرجوع إلی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الظنون المشکوکة الاعتبار التی دلّت علی إرادة خلاف الظاهر فی ظواهر مظنون الاعتبار،فیعمل بما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مشکوک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 لعمومات مظنون الاعتبار و مقیّد لإطلاقاته و قرائن لمجازاته</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وجب العمل بهذه الطائفة من مشکوک الاعتبار ثبت وجوب العمل بغیرها </w:t>
      </w:r>
      <w:r>
        <w:rPr>
          <w:rStyle w:val="FootnoteAnchor"/>
          <w:rtl w:val="true"/>
        </w:rPr>
        <w:footnoteReference w:id="1672"/>
      </w:r>
      <w:r>
        <w:rPr>
          <w:rFonts w:ascii="IRNazanin" w:hAnsi="IRNazanin" w:eastAsia="IRNazanin"/>
          <w:color w:val="111111"/>
          <w:sz w:val="28"/>
          <w:sz w:val="28"/>
          <w:szCs w:val="28"/>
          <w:rtl w:val="true"/>
          <w:lang w:bidi="fa-IR"/>
        </w:rPr>
        <w:t xml:space="preserve">ممّا لیس فیها معارضة لظواهر الأمارات المظنونة الاعتبار،بالإجماع علی عدم الفرق بین أفراد مشکوک الاعتبار؛فإنّ أحدا لم یفرّق بین الخبر الحسن المعارض لإطلاق الصحیح،و بین خبر حسن آخر غیر معارض لخبر صحیح،بل بالأولویّة القطعیّة؛لأنّه إذا </w:t>
      </w:r>
      <w:bookmarkStart w:id="1323" w:name="pg12977_114536"/>
    </w:p>
    <w:p>
      <w:pPr>
        <w:pStyle w:val="BookText"/>
        <w:rPr/>
      </w:pPr>
      <w:bookmarkEnd w:id="1323"/>
      <w:r>
        <w:rPr>
          <w:rFonts w:ascii="IRNazanin" w:hAnsi="IRNazanin" w:eastAsia="IRNazanin"/>
          <w:color w:val="111111"/>
          <w:sz w:val="28"/>
          <w:sz w:val="28"/>
          <w:szCs w:val="28"/>
          <w:rtl w:val="true"/>
          <w:lang w:bidi="fa-IR"/>
        </w:rPr>
        <w:t>وجب العمل بمشکوک الاعتبار الذی له معارضة لظاهر مظنون الاعتبار، فالعمل بما لیس له معارض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ظواهر مشکوک الاعتبار موارد کثیرة یعلم إجمالا بعدم إرادة المعانی الظاهرة،و الکاشف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الأمارات الموهومة الاعتبار،فنعمل بتلک الأمارات،ثمّ نعمل بباقی أفراد الموهوم الاعتبار بالإجماع المرکّب؛حیث إنّ أحدا لم یفرّق بین الشهرة المعارضة للخبر الحسن بالعموم و الخصوص و بین غیر المعارض له،بل بالأولویّة،کما عرفت</w:t>
      </w:r>
      <w:r>
        <w:rPr>
          <w:rFonts w:eastAsia="IRNazanin" w:cs="IRNazanin"/>
          <w:color w:val="111111"/>
          <w:sz w:val="28"/>
          <w:szCs w:val="28"/>
          <w:rtl w:val="true"/>
          <w:lang w:bidi="fa-IR"/>
        </w:rPr>
        <w:t>.</w:t>
      </w:r>
    </w:p>
    <w:p>
      <w:pPr>
        <w:pStyle w:val="Heading6"/>
        <w:numPr>
          <w:ilvl w:val="5"/>
          <w:numId w:val="1"/>
        </w:numPr>
        <w:rPr/>
      </w:pPr>
      <w:bookmarkStart w:id="1324" w:name="__RefHeading___Toc5447445_3224264995"/>
      <w:bookmarkStart w:id="1325" w:name="_Toc504"/>
      <w:bookmarkEnd w:id="1324"/>
      <w:r>
        <w:rPr>
          <w:rtl w:val="true"/>
        </w:rPr>
        <w:t>المناقشة فی هذه الطریقة</w:t>
      </w:r>
      <w:bookmarkEnd w:id="132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التعمیم بهذا الطریق أضعف من التخصیص بمظنون الاعتبار؛لأنّ هذا المعمّم قد جمع ضعف القولین؛حیث اعترف بأنّ مقتضی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عدم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الاقتصار علی مظنون الاعتبار، و قد عرفت أنّه لا دلیل علی اعتبار مطلق الظنّ بالاعتبار إلاّ إذا ثبت جواز العمل بمطلق الظنّ عند انسداد باب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التعمیم لعدم </w:t>
      </w:r>
      <w:r>
        <w:rPr>
          <w:rStyle w:val="FootnoteAnchor"/>
          <w:rtl w:val="true"/>
        </w:rPr>
        <w:footnoteReference w:id="1673"/>
      </w:r>
      <w:r>
        <w:rPr>
          <w:rFonts w:ascii="IRNazanin" w:hAnsi="IRNazanin" w:eastAsia="IRNazanin"/>
          <w:color w:val="111111"/>
          <w:sz w:val="28"/>
          <w:sz w:val="28"/>
          <w:szCs w:val="28"/>
          <w:rtl w:val="true"/>
          <w:lang w:bidi="fa-IR"/>
        </w:rPr>
        <w:t>الکفایة،ففیه</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مبنیّ علی زعم کون مظنون الاعتبار منحصرا فی الخبر الصحیح بتزکیة عدلین،و لیس کذلک،بل الأمارات الظنّیّة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الشهرة، و ما دلّ علی اعتبار قول الثقة،مضافا إلی ما استفید من سیرة القدماء فی العمل بما یوجب سکون النفس من الروایات و فی تشخیص أحوال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توجب الظنّ القویّ بحجّیّة الخبر الصحیح بتزکیة عدل واحد، و الخبر الموثّق،و الضعیف المنجبر بالشهرة من حیث الروایة،و من </w:t>
      </w:r>
    </w:p>
    <w:p>
      <w:pPr>
        <w:pStyle w:val="BookText"/>
        <w:rPr/>
      </w:pPr>
      <w:r>
        <w:rPr>
          <w:rFonts w:ascii="IRNazanin" w:hAnsi="IRNazanin" w:eastAsia="IRNazanin"/>
          <w:color w:val="111111"/>
          <w:sz w:val="28"/>
          <w:sz w:val="28"/>
          <w:szCs w:val="28"/>
          <w:rtl w:val="true"/>
          <w:lang w:bidi="fa-IR"/>
        </w:rPr>
        <w:t>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ذلک و عدم لزوم محذور من الرجوع فی موارد فقد تلک الأمارات إلی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العلم الإجمالیّ الذی ادّعاه یرجع حاصله إلی العلم بمطابقة بعض مشکوکات الاعتبار للواقع من جهة کشفها عن المرادات فی مظنونات الاعتبار،و من المعلوم أنّ العمل بها لأجل ذلک لا یوجب التعدّی إلی ما لیس فیه هذه العلّة،أعنی مشکوکات الاعتبار الغیر الکاشفة عن مرادات مظنونات الاعتبار؛فإنّ العلم الإجمالیّ بوجود شهرات متعدّدة مقیّدة لإطلاقات </w:t>
      </w:r>
      <w:r>
        <w:rPr>
          <w:rStyle w:val="FootnoteAnchor"/>
          <w:rtl w:val="true"/>
        </w:rPr>
        <w:footnoteReference w:id="1674"/>
      </w:r>
      <w:r>
        <w:rPr>
          <w:rFonts w:ascii="IRNazanin" w:hAnsi="IRNazanin" w:eastAsia="IRNazanin"/>
          <w:color w:val="111111"/>
          <w:sz w:val="28"/>
          <w:sz w:val="28"/>
          <w:szCs w:val="28"/>
          <w:rtl w:val="true"/>
          <w:lang w:bidi="fa-IR"/>
        </w:rPr>
        <w:t>الأخبار أو مخصّصة لعموماتها، لا یوجب التعدّی إلی الشهرات الغیر المزاحمة للأخبار بتقیید أو تخصیص،فضلا عن التسرّی إلی الاستقراء و 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الإجماع لا یخفی ما فیها؛لأنّ الحکم بالحجّیّة فی القسم الأوّل لعلّة غیر مطّردة فی القسم الثانی حکم عقلیّ نعلم </w:t>
      </w:r>
      <w:r>
        <w:rPr>
          <w:rStyle w:val="FootnoteAnchor"/>
          <w:rtl w:val="true"/>
        </w:rPr>
        <w:footnoteReference w:id="1675"/>
      </w:r>
      <w:r>
        <w:rPr>
          <w:rFonts w:ascii="IRNazanin" w:hAnsi="IRNazanin" w:eastAsia="IRNazanin"/>
          <w:color w:val="111111"/>
          <w:sz w:val="28"/>
          <w:sz w:val="28"/>
          <w:szCs w:val="28"/>
          <w:rtl w:val="true"/>
          <w:lang w:bidi="fa-IR"/>
        </w:rPr>
        <w:t>بعدم تعرّض الإمام علیه السّلام له قولا و لا فعلا،إلاّ من باب تقریر حکم العقل،و المفروض عدم جریان حکم العقل فی غیر مورد العلّة،و هی وجود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یعرف الکلام فی دعوی الأولویّة؛فإنّ المناط فی العمل بالقسم الأوّل إذا کان هو العلم الإجمالیّ،فکیف یتعدّی إلی ما لا یوجد فیه المناط،فضلا عن کونه أولی؟</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کأنّ متوهّم الإجماع رأی أنّ أحدا من العلماء لم یفرّق بین أفراد </w:t>
      </w:r>
      <w:bookmarkStart w:id="1326" w:name="pg12977_114538"/>
    </w:p>
    <w:p>
      <w:pPr>
        <w:pStyle w:val="BookText"/>
        <w:rPr/>
      </w:pPr>
      <w:bookmarkEnd w:id="1326"/>
      <w:r>
        <w:rPr>
          <w:rFonts w:ascii="IRNazanin" w:hAnsi="IRNazanin" w:eastAsia="IRNazanin"/>
          <w:color w:val="111111"/>
          <w:sz w:val="28"/>
          <w:sz w:val="28"/>
          <w:szCs w:val="28"/>
          <w:rtl w:val="true"/>
          <w:lang w:bidi="fa-IR"/>
        </w:rPr>
        <w:t xml:space="preserve">الخبر الحسن أو </w:t>
      </w:r>
      <w:r>
        <w:rPr>
          <w:rStyle w:val="FootnoteAnchor"/>
          <w:rtl w:val="true"/>
        </w:rPr>
        <w:footnoteReference w:id="1676"/>
      </w:r>
      <w:r>
        <w:rPr>
          <w:rFonts w:ascii="IRNazanin" w:hAnsi="IRNazanin" w:eastAsia="IRNazanin"/>
          <w:color w:val="111111"/>
          <w:sz w:val="28"/>
          <w:sz w:val="28"/>
          <w:szCs w:val="28"/>
          <w:rtl w:val="true"/>
          <w:lang w:bidi="fa-IR"/>
        </w:rPr>
        <w:t>أفراد الشهرة،و لم یعلم أنّ الوجه عندهم ثبوت الدلیل علیهما مطلقا أو نفیه کذلک؛لأنّهم أهل الظنون الخاصّة،بل لو ادّعی الإجماع علی أنّ کلّ من عمل بجملة من الأخبار الحسان أو شهرات لأجل العلم الإجمالیّ بمطابقة بعضها للواقع لم یعمل بالباقی لخالی عن هذا العلم الإجمالیّ،کان فی محلّه</w:t>
      </w:r>
      <w:r>
        <w:rPr>
          <w:rFonts w:eastAsia="IRNazanin" w:cs="IRNazanin"/>
          <w:color w:val="111111"/>
          <w:sz w:val="28"/>
          <w:szCs w:val="28"/>
          <w:rtl w:val="true"/>
          <w:lang w:bidi="fa-IR"/>
        </w:rPr>
        <w:t>.</w:t>
      </w:r>
    </w:p>
    <w:p>
      <w:pPr>
        <w:pStyle w:val="Heading6"/>
        <w:numPr>
          <w:ilvl w:val="5"/>
          <w:numId w:val="1"/>
        </w:numPr>
        <w:rPr/>
      </w:pPr>
      <w:bookmarkStart w:id="1327" w:name="__RefHeading___Toc5447447_3224264995"/>
      <w:bookmarkStart w:id="1328" w:name="_Toc505"/>
      <w:bookmarkEnd w:id="1327"/>
      <w:r>
        <w:rPr>
          <w:rtl w:val="true"/>
        </w:rPr>
        <w:t>الثالث من طرق التعمیم</w:t>
      </w:r>
      <w:r>
        <w:rPr>
          <w:rtl w:val="true"/>
        </w:rPr>
        <w:t>:</w:t>
      </w:r>
      <w:r>
        <w:rPr>
          <w:rtl w:val="true"/>
        </w:rPr>
        <w:t>قاعدة الاشتغال</w:t>
      </w:r>
      <w:bookmarkEnd w:id="1328"/>
    </w:p>
    <w:p>
      <w:pPr>
        <w:pStyle w:val="BookText"/>
        <w:rPr/>
      </w:pPr>
      <w:r>
        <w:rPr>
          <w:rFonts w:ascii="IRNazanin" w:hAnsi="IRNazanin" w:eastAsia="IRNazanin"/>
          <w:color w:val="111111"/>
          <w:sz w:val="28"/>
          <w:sz w:val="28"/>
          <w:szCs w:val="28"/>
          <w:rtl w:val="true"/>
          <w:lang w:bidi="fa-IR"/>
        </w:rPr>
        <w:t xml:space="preserve">ما ذکره بعض مشایخنا طاب ثراه </w:t>
      </w:r>
      <w:r>
        <w:rPr>
          <w:rStyle w:val="FootnoteAnchor"/>
          <w:rtl w:val="true"/>
        </w:rPr>
        <w:footnoteReference w:id="1677"/>
      </w:r>
      <w:r>
        <w:rPr>
          <w:rFonts w:ascii="IRNazanin" w:hAnsi="IRNazanin" w:eastAsia="IRNazanin"/>
          <w:color w:val="111111"/>
          <w:sz w:val="28"/>
          <w:sz w:val="28"/>
          <w:szCs w:val="28"/>
          <w:rtl w:val="true"/>
          <w:lang w:bidi="fa-IR"/>
        </w:rPr>
        <w:t>، من قاعدة الاشتغال؛بناء علی أنّ الثابت من دلیل الانسداد وجوب العمل بالظنّ فی الجملة،فإذا لم یکن قدر متیقّن کاف فی الفقه وجب العمل بکلّ 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منع جریان قاعدة الاشتغال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 ما عدا واجب العمل من الظنون محرّم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Style w:val="FootnoteAnchor"/>
          <w:rtl w:val="true"/>
        </w:rPr>
        <w:footnoteReference w:id="1678"/>
      </w:r>
      <w:r>
        <w:rPr>
          <w:rFonts w:ascii="IRNazanin" w:hAnsi="IRNazanin" w:eastAsia="IRNazanin"/>
          <w:color w:val="111111"/>
          <w:sz w:val="28"/>
          <w:sz w:val="28"/>
          <w:szCs w:val="28"/>
          <w:rtl w:val="true"/>
          <w:lang w:bidi="fa-IR"/>
        </w:rPr>
        <w:t>عرفت الجواب عنه فی بعض أجوبة الدلیل الأوّل من أدلّة اعتبار الظنّ بالطریق</w:t>
      </w:r>
      <w:r>
        <w:rPr>
          <w:rFonts w:eastAsia="IRNazanin" w:cs="IRNazanin"/>
          <w:color w:val="111111"/>
          <w:sz w:val="28"/>
          <w:szCs w:val="28"/>
          <w:rtl w:val="true"/>
          <w:lang w:bidi="fa-IR"/>
        </w:rPr>
        <w:t>.</w:t>
      </w:r>
    </w:p>
    <w:p>
      <w:pPr>
        <w:pStyle w:val="Heading6"/>
        <w:numPr>
          <w:ilvl w:val="5"/>
          <w:numId w:val="1"/>
        </w:numPr>
        <w:rPr/>
      </w:pPr>
      <w:bookmarkStart w:id="1329" w:name="__RefHeading___Toc5447449_3224264995"/>
      <w:bookmarkStart w:id="1330" w:name="_Toc506"/>
      <w:bookmarkEnd w:id="1329"/>
      <w:r>
        <w:rPr>
          <w:rtl w:val="true"/>
        </w:rPr>
        <w:t>المناقشة فی هذه الطریقة أیضا</w:t>
      </w:r>
      <w:bookmarkEnd w:id="1330"/>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قاعدة الاشتغال فی مسألة العمل بالظنّ معارضة فی بعض الموارد بقاعدة الاشتغال فی المسألة الفرعیّة،کما إذا اقتضی الاحتیاط فی الفرع </w:t>
      </w:r>
      <w:r>
        <w:rPr>
          <w:rStyle w:val="FootnoteAnchor"/>
          <w:rtl w:val="true"/>
        </w:rPr>
        <w:footnoteReference w:id="1679"/>
      </w:r>
      <w:r>
        <w:rPr>
          <w:rFonts w:ascii="IRNazanin" w:hAnsi="IRNazanin" w:eastAsia="IRNazanin"/>
          <w:color w:val="111111"/>
          <w:sz w:val="28"/>
          <w:sz w:val="28"/>
          <w:szCs w:val="28"/>
          <w:rtl w:val="true"/>
          <w:lang w:bidi="fa-IR"/>
        </w:rPr>
        <w:t xml:space="preserve">وجوب السورة،و کان ظنّ مشکوک الاعتبار علی عدم وجوبها،فإنّه یجب مراعاة قاعدة الاحتیاط فی الفروع و قراءة </w:t>
      </w:r>
    </w:p>
    <w:p>
      <w:pPr>
        <w:pStyle w:val="BookText"/>
        <w:rPr/>
      </w:pPr>
      <w:r>
        <w:rPr>
          <w:rFonts w:ascii="IRNazanin" w:hAnsi="IRNazanin" w:eastAsia="IRNazanin"/>
          <w:color w:val="111111"/>
          <w:sz w:val="28"/>
          <w:sz w:val="28"/>
          <w:szCs w:val="28"/>
          <w:rtl w:val="true"/>
          <w:lang w:bidi="fa-IR"/>
        </w:rPr>
        <w:t>السورة؛لاحتمال وجوبها،و لا ینافیه الاحتیاط فی المسألة الاصولیّة؛ لأنّ الحکم الاصولیّ المعلوم بالإجمال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وجوب العمل بالظنّ القائم علی عدم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معناه وجوب العمل علی وجه ینطبق مع عدم الوجوب،و یکفی فیه أن یقع الفعل علی وجه الوجوب،و لا تنافی بین الاحتیاط و فعل </w:t>
      </w:r>
      <w:r>
        <w:rPr>
          <w:rStyle w:val="FootnoteAnchor"/>
          <w:rtl w:val="true"/>
        </w:rPr>
        <w:footnoteReference w:id="1680"/>
      </w:r>
      <w:r>
        <w:rPr>
          <w:rFonts w:ascii="IRNazanin" w:hAnsi="IRNazanin" w:eastAsia="IRNazanin"/>
          <w:color w:val="111111"/>
          <w:sz w:val="28"/>
          <w:sz w:val="28"/>
          <w:szCs w:val="28"/>
          <w:rtl w:val="true"/>
          <w:lang w:bidi="fa-IR"/>
        </w:rPr>
        <w:t>السورة لاحتمال الوجوب،و کونه لا علی وجه الوجوب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معنی وجوب العمل بالظنّ وجوب تطبیق عمله علیه،فإذا فرضنا أنّه یدلّ علی عدم وجوب شیء،فلیس معنی وجوب العمل به إلاّ أنّه لا یتعیّن علیه ذلک الفعل،فإذا </w:t>
      </w:r>
      <w:r>
        <w:rPr>
          <w:rStyle w:val="FootnoteAnchor"/>
          <w:rtl w:val="true"/>
        </w:rPr>
        <w:footnoteReference w:id="1681"/>
      </w:r>
      <w:r>
        <w:rPr>
          <w:rFonts w:ascii="IRNazanin" w:hAnsi="IRNazanin" w:eastAsia="IRNazanin"/>
          <w:color w:val="111111"/>
          <w:sz w:val="28"/>
          <w:sz w:val="28"/>
          <w:szCs w:val="28"/>
          <w:rtl w:val="true"/>
          <w:lang w:bidi="fa-IR"/>
        </w:rPr>
        <w:t>اختار فعل ذلک فیجب أن یقع الفعل لا علی وجه الوجوب،کما لو لم یکن هذا الظنّ و کان غیر واجب بمقتضی الأصل،لا أنّه یجب أن یقع علی وجه عدم الوجوب؛إذ لا یعتبر فی الأفعال الغیر الواجبة قصد عدم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نعم،یجب التشرّع و التدیّن بعدم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فعله أو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وجوب التدیّن بجمیع ما علم من الشرع</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تردّد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المذکور بین ظنون تعلّقت بعدم وجوب امور،فمعنی وجوب ملاحظة ذلک الظنّ المجمل المعلوم إجمالا وجوب </w:t>
      </w:r>
      <w:r>
        <w:rPr>
          <w:rStyle w:val="FootnoteAnchor"/>
          <w:rtl w:val="true"/>
        </w:rPr>
        <w:footnoteReference w:id="1682"/>
      </w:r>
      <w:r>
        <w:rPr>
          <w:rFonts w:ascii="IRNazanin" w:hAnsi="IRNazanin" w:eastAsia="IRNazanin"/>
          <w:color w:val="111111"/>
          <w:sz w:val="28"/>
          <w:sz w:val="28"/>
          <w:szCs w:val="28"/>
          <w:rtl w:val="true"/>
          <w:lang w:bidi="fa-IR"/>
        </w:rPr>
        <w:t xml:space="preserve">أن لا یکون فعله لهذه الامور علی وجه الوجوب،کما لو لم یکن هذه الظنون و کانت هذه الامور مباحة </w:t>
      </w:r>
    </w:p>
    <w:p>
      <w:pPr>
        <w:pStyle w:val="BookText"/>
        <w:rPr/>
      </w:pPr>
      <w:r>
        <w:rPr>
          <w:rFonts w:ascii="IRNazanin" w:hAnsi="IRNazanin" w:eastAsia="IRNazanin"/>
          <w:color w:val="111111"/>
          <w:sz w:val="28"/>
          <w:sz w:val="28"/>
          <w:szCs w:val="28"/>
          <w:rtl w:val="true"/>
          <w:lang w:bidi="fa-IR"/>
        </w:rPr>
        <w:t>بحکم الأصل؛و لذا یستحبّ الاحتیاط و إتیان الفعل لاحتمال أنّه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إذا فرض العلم الإجمالیّ من الخارج بوجوب أحد هذه الأشیاء علی وجه یجب الاحتیاط و الجمع بین تلک الامور،فیجب علی المکلّف الالتزام بفعل کلّ واحد </w:t>
      </w:r>
      <w:r>
        <w:rPr>
          <w:rStyle w:val="FootnoteAnchor"/>
          <w:rtl w:val="true"/>
        </w:rPr>
        <w:footnoteReference w:id="1683"/>
      </w:r>
      <w:r>
        <w:rPr>
          <w:rFonts w:ascii="IRNazanin" w:hAnsi="IRNazanin" w:eastAsia="IRNazanin"/>
          <w:color w:val="111111"/>
          <w:sz w:val="28"/>
          <w:sz w:val="28"/>
          <w:szCs w:val="28"/>
          <w:rtl w:val="true"/>
          <w:lang w:bidi="fa-IR"/>
        </w:rPr>
        <w:t>منها؛لاحتمال أن یکون هو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اقتضاه الظنّ القائم علی عدم 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وجوب أن یکون فعله لا علی وجه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 بحاله؛لأنّ الاحتیاط فی الجمیع لا یقتضی إتیان کلّ منها بعنوان الوجوب الواقعیّ،بل بعنوان أنّه محتمل الوجوب،و الظنّ القائم علی عدم وجوبه لا یمنع من لزوم إتیانه علی هذا الوجه،کما أنّه لو فرضنا ظنّا معتبرا معلوما بالتفصیل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کظاهر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علی عدم وجوب شیء،لم یناف مؤدّاه لاستحباب الإتیان بهذا الشیء لاحتمال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أمّا ما قرع سمعک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تقدیم قاعدة الاحتیاط فی المسألة الاصولیّة علی الاحتیاط فی المسألة الفرعیّة أو تعارضهما،فلیس فی مثل المقام</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مثال الأوّل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إذا کان العمل بالاحتیاط فی المسألة الاصولیّة مزیلا للشکّ الموجب للاحتیاط فی المسألة الفرعیّة،کما إذا تردّد الواجب بین القصر و الإتمام و دلّ علی أحدهما أمارة من الأمارات التی یعلم إجمالا بوجوب العمل ببعضها؛فإنّه إذا قلنا بوجوب العمل </w:t>
      </w:r>
    </w:p>
    <w:p>
      <w:pPr>
        <w:pStyle w:val="BookText"/>
        <w:rPr/>
      </w:pPr>
      <w:r>
        <w:rPr>
          <w:rFonts w:ascii="IRNazanin" w:hAnsi="IRNazanin" w:eastAsia="IRNazanin"/>
          <w:color w:val="111111"/>
          <w:sz w:val="28"/>
          <w:sz w:val="28"/>
          <w:szCs w:val="28"/>
          <w:rtl w:val="true"/>
          <w:lang w:bidi="fa-IR"/>
        </w:rPr>
        <w:t xml:space="preserve">بهذه الأمارات </w:t>
      </w:r>
      <w:r>
        <w:rPr>
          <w:rStyle w:val="FootnoteAnchor"/>
          <w:rtl w:val="true"/>
        </w:rPr>
        <w:footnoteReference w:id="1684"/>
      </w:r>
      <w:r>
        <w:rPr>
          <w:rFonts w:ascii="IRNazanin" w:hAnsi="IRNazanin" w:eastAsia="IRNazanin"/>
          <w:color w:val="111111"/>
          <w:sz w:val="28"/>
          <w:sz w:val="28"/>
          <w:szCs w:val="28"/>
          <w:rtl w:val="true"/>
          <w:lang w:bidi="fa-IR"/>
        </w:rPr>
        <w:t xml:space="preserve">یصیر </w:t>
      </w:r>
      <w:r>
        <w:rPr>
          <w:rStyle w:val="FootnoteAnchor"/>
          <w:rtl w:val="true"/>
        </w:rPr>
        <w:footnoteReference w:id="1685"/>
      </w:r>
      <w:r>
        <w:rPr>
          <w:rFonts w:ascii="IRNazanin" w:hAnsi="IRNazanin" w:eastAsia="IRNazanin"/>
          <w:color w:val="111111"/>
          <w:sz w:val="28"/>
          <w:sz w:val="28"/>
          <w:szCs w:val="28"/>
          <w:rtl w:val="true"/>
          <w:lang w:bidi="fa-IR"/>
        </w:rPr>
        <w:t>حجّة معیّنة لإحدی الصلاتین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الاحتیاط فی المسألة الاصولیّة إنّما یقتضی </w:t>
      </w:r>
      <w:r>
        <w:rPr>
          <w:rStyle w:val="FootnoteAnchor"/>
          <w:rtl w:val="true"/>
        </w:rPr>
        <w:footnoteReference w:id="1686"/>
      </w:r>
      <w:r>
        <w:rPr>
          <w:rFonts w:ascii="IRNazanin" w:hAnsi="IRNazanin" w:eastAsia="IRNazanin"/>
          <w:color w:val="111111"/>
          <w:sz w:val="28"/>
          <w:sz w:val="28"/>
          <w:szCs w:val="28"/>
          <w:rtl w:val="true"/>
          <w:lang w:bidi="fa-IR"/>
        </w:rPr>
        <w:t>إتیانها لا نفی غیرها،فالصلاة الاخری حکمها حکم السورة فی عدم جواز إتیانها علی وجه الوجوب،فلا ینافی وجوب إتیانها لاحتمال الوجوب،فیصیر نظیر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و هو مورد المعارضة،فهو کما إذا علمنا إجمالا بحرمة شیء من بین أشیاء،و دلّت علی وجوب کلّ منها أمارات نعلم إجمالا بحجّیّة إحداها؛فإنّ مقتضی هذا وجوب الإتیان بالجمیع،و مقتضی ذاک ترک الجمیع،فافهم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إذا ثبت وجوب العمل بکلّ ظنّ فی مقابل غیر الاحتیاط من الاصول وجب العمل به فی مقابل الاحتیاط؛للإجماع المرکّب،فقد عرفت شناعته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عملنا فی مقابل الاحتیاط بکلّ ظنّ یقتضی التکلیف و عملنا فی مورد الاحتیاط بالاحتیاط،لزم العسر و الحرج؛ إذ یجمع حینئذ بین کلّ مظنون الوجوب و کلّ مشکوک الوجوب أو </w:t>
      </w:r>
      <w:r>
        <w:rPr>
          <w:rStyle w:val="FootnoteAnchor"/>
          <w:rtl w:val="true"/>
        </w:rPr>
        <w:footnoteReference w:id="1688"/>
      </w:r>
    </w:p>
    <w:p>
      <w:pPr>
        <w:pStyle w:val="BookText"/>
        <w:rPr/>
      </w:pPr>
      <w:r>
        <w:rPr>
          <w:rFonts w:ascii="IRNazanin" w:hAnsi="IRNazanin" w:eastAsia="IRNazanin"/>
          <w:color w:val="111111"/>
          <w:sz w:val="28"/>
          <w:sz w:val="28"/>
          <w:szCs w:val="28"/>
          <w:rtl w:val="true"/>
          <w:lang w:bidi="fa-IR"/>
        </w:rPr>
        <w:t xml:space="preserve">موهوم الوجوب مع کونه مطابقا للاحتیاط اللازم،فإذا فرض لزوم العسر من مراعاة الاحتیاطین معا فی الفقه تعیّن دفعه بعدم وجوب الاحتیاط فی مقابل الظنّ،فإذا فرض </w:t>
      </w:r>
      <w:r>
        <w:rPr>
          <w:rStyle w:val="FootnoteAnchor"/>
          <w:rtl w:val="true"/>
        </w:rPr>
        <w:footnoteReference w:id="1689"/>
      </w:r>
      <w:r>
        <w:rPr>
          <w:rFonts w:ascii="IRNazanin" w:hAnsi="IRNazanin" w:eastAsia="IRNazanin"/>
          <w:color w:val="111111"/>
          <w:sz w:val="28"/>
          <w:sz w:val="28"/>
          <w:szCs w:val="28"/>
          <w:rtl w:val="true"/>
          <w:lang w:bidi="fa-IR"/>
        </w:rPr>
        <w:t>هذا الظنّ مجملا لزم العمل بکلّ ظنّ ممّا یقتضی الظنّ بالتکلیف احتیاطا،و أمّا الظنون المخالفة للاحتیاط اللازم فیعمل بها؛فرارا عن لزوم العسر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دفع العسر یمکن بالعمل ببعضها،فما المعمّم؟فیرجع الأمر إلی أنّ قاعدة الاشتغال لا تنفع و لا تثمر </w:t>
      </w:r>
      <w:r>
        <w:rPr>
          <w:rStyle w:val="FootnoteAnchor"/>
          <w:rtl w:val="true"/>
        </w:rPr>
        <w:footnoteReference w:id="1690"/>
      </w:r>
      <w:r>
        <w:rPr>
          <w:rFonts w:ascii="IRNazanin" w:hAnsi="IRNazanin" w:eastAsia="IRNazanin"/>
          <w:color w:val="111111"/>
          <w:sz w:val="28"/>
          <w:sz w:val="28"/>
          <w:szCs w:val="28"/>
          <w:rtl w:val="true"/>
          <w:lang w:bidi="fa-IR"/>
        </w:rPr>
        <w:t xml:space="preserve">فی الظنون المخالفة للاحتیاط؛ لأنّک عرفت </w:t>
      </w:r>
      <w:r>
        <w:rPr>
          <w:rStyle w:val="FootnoteAnchor"/>
          <w:rtl w:val="true"/>
        </w:rPr>
        <w:footnoteReference w:id="1691"/>
      </w:r>
      <w:r>
        <w:rPr>
          <w:rFonts w:ascii="IRNazanin" w:hAnsi="IRNazanin" w:eastAsia="IRNazanin"/>
          <w:color w:val="111111"/>
          <w:sz w:val="28"/>
          <w:sz w:val="28"/>
          <w:szCs w:val="28"/>
          <w:rtl w:val="true"/>
          <w:lang w:bidi="fa-IR"/>
        </w:rPr>
        <w:t>أنّه لا یثبت وجوب التسرّی إلیها فضلا عن التعمیم فیها؛لأنّ التسرّی إلیها کان للزوم العسر،فافهم</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علی تقدیر مقدّمات دلیل الانسداد علی وجه یکشف عن حکم الشارع بوجوب العمل بالظنّ فی الجملة،و قد عرفت </w:t>
      </w:r>
      <w:r>
        <w:rPr>
          <w:rStyle w:val="FootnoteAnchor"/>
          <w:rtl w:val="true"/>
        </w:rPr>
        <w:footnoteReference w:id="1692"/>
      </w:r>
      <w:r>
        <w:rPr>
          <w:rFonts w:ascii="IRNazanin" w:hAnsi="IRNazanin" w:eastAsia="IRNazanin"/>
          <w:color w:val="111111"/>
          <w:sz w:val="28"/>
          <w:sz w:val="28"/>
          <w:szCs w:val="28"/>
          <w:rtl w:val="true"/>
          <w:lang w:bidi="fa-IR"/>
        </w:rPr>
        <w:t xml:space="preserve">أنّ التحقیق خلاف هذا التقریر،و عرفت </w:t>
      </w:r>
      <w:r>
        <w:rPr>
          <w:rStyle w:val="FootnoteAnchor"/>
          <w:rtl w:val="true"/>
        </w:rPr>
        <w:footnoteReference w:id="1693"/>
      </w:r>
      <w:r>
        <w:rPr>
          <w:rFonts w:ascii="IRNazanin" w:hAnsi="IRNazanin" w:eastAsia="IRNazanin"/>
          <w:color w:val="111111"/>
          <w:sz w:val="28"/>
          <w:sz w:val="28"/>
          <w:szCs w:val="28"/>
          <w:rtl w:val="true"/>
          <w:lang w:bidi="fa-IR"/>
        </w:rPr>
        <w:t>أیضا ما ینبغی سلوکه علی تقدیر تمامیّته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وجوب اعتبار 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أو بالإضافة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ملاحظة مظنون الاعتبار بالتفصیل الذی تقدّم فی آخر المعمّم الأوّل من المعمّمات الثلاثة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 xml:space="preserve">. </w:t>
      </w:r>
      <w:bookmarkStart w:id="1331" w:name="pg12977_114543"/>
    </w:p>
    <w:p>
      <w:pPr>
        <w:pStyle w:val="Heading6"/>
        <w:numPr>
          <w:ilvl w:val="5"/>
          <w:numId w:val="1"/>
        </w:numPr>
        <w:rPr/>
      </w:pPr>
      <w:bookmarkStart w:id="1332" w:name="__RefHeading___Toc5447451_3224264995"/>
      <w:bookmarkStart w:id="1333" w:name="_Toc507"/>
      <w:bookmarkEnd w:id="1331"/>
      <w:bookmarkEnd w:id="1332"/>
      <w:r>
        <w:rPr>
          <w:rtl w:val="true"/>
        </w:rPr>
        <w:t>وجوب الاقتصار علی الظنّ الاطمئنانی بناء علی الحکومة</w:t>
      </w:r>
      <w:bookmarkEnd w:id="1333"/>
    </w:p>
    <w:p>
      <w:pPr>
        <w:pStyle w:val="BookText"/>
        <w:rPr/>
      </w:pPr>
      <w:r>
        <w:rPr>
          <w:rFonts w:ascii="IRNazanin" w:hAnsi="IRNazanin" w:eastAsia="IRNazanin"/>
          <w:color w:val="111111"/>
          <w:sz w:val="28"/>
          <w:sz w:val="28"/>
          <w:szCs w:val="28"/>
          <w:rtl w:val="true"/>
          <w:lang w:bidi="fa-IR"/>
        </w:rPr>
        <w:t xml:space="preserve">و أمّا علی تقدیر تقریرها علی وجه یوجب حکومة العقل بوجوب الإطاعة الظنّیّة و الفرار عن المخالفة الظنّیّة،و أنّه یقبح من الشارع تعالی إرادة أزید من ذلک کما یقبح من المکلّف الاکتفاء بما دون ذلک، فالتعمیم و عدمه لا یتصوّر بالنسبة إلی الأسباب؛لاستقلال العقل بعدم الفرق فیما إذا کان المقصود الانکشاف الظنّی بین الأسباب المحصّلة له، کما لا فرق فیما </w:t>
      </w:r>
      <w:r>
        <w:rPr>
          <w:rStyle w:val="FootnoteAnchor"/>
          <w:rtl w:val="true"/>
        </w:rPr>
        <w:footnoteReference w:id="1695"/>
      </w:r>
      <w:r>
        <w:rPr>
          <w:rFonts w:ascii="IRNazanin" w:hAnsi="IRNazanin" w:eastAsia="IRNazanin"/>
          <w:color w:val="111111"/>
          <w:sz w:val="28"/>
          <w:sz w:val="28"/>
          <w:szCs w:val="28"/>
          <w:rtl w:val="true"/>
          <w:lang w:bidi="fa-IR"/>
        </w:rPr>
        <w:t>کان المقصود الانکشاف الجزمیّ بین أسبابه،و إنّما یتصوّر من حیث مرتبة الظنّ و وجوب الاقتصار علی الظنّ القویّ الذی یرتفع معه التحیّر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الثابت من مقدّمتی بقاء التکلیف و عدم التمکّن من العلم التفصیلیّ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وجوب الامتثال الإجمالیّ بالاحتیاط فی إتیان کلّ ما یحتمل الوجوب و ترک کلّ ما یحتمل الحرمة،لکن المقدّمة الثالثة النافیة للاحتیاط إنّما أبطلت </w:t>
      </w:r>
      <w:r>
        <w:rPr>
          <w:rStyle w:val="FootnoteAnchor"/>
          <w:rtl w:val="true"/>
        </w:rPr>
        <w:footnoteReference w:id="1696"/>
      </w:r>
      <w:r>
        <w:rPr>
          <w:rFonts w:ascii="IRNazanin" w:hAnsi="IRNazanin" w:eastAsia="IRNazanin"/>
          <w:color w:val="111111"/>
          <w:sz w:val="28"/>
          <w:sz w:val="28"/>
          <w:szCs w:val="28"/>
          <w:rtl w:val="true"/>
          <w:lang w:bidi="fa-IR"/>
        </w:rPr>
        <w:t>وجوبه علی وجه الموجبة الکلّیة،بأن یحتاط فی کلّ واقعة قابلة للاحتیاط أو یرجع إلی الأصل کذلک،و من المعلوم أنّ إبطال الموجبة الکلیّة لا یستلزم صدق السالبة الکلیّة، و حینئذ فلا یثبت من ذلک إلاّ وجوب العمل بالظنّ علی خلاف الاحتیاط و الاصول فی الجملة</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العقل حاکم بأنّ الظنّ القویّ الاطمئنانیّ أقرب إلی العلم عند تعذّره،و أنّه إذا لم یمکن القطع بإطاعة مراد الشارع و ترک ما یکرهه وجب تحصیل ذلک بالظنّ الأقرب إلی العلم</w:t>
      </w:r>
      <w:r>
        <w:rPr>
          <w:rFonts w:eastAsia="IRNazanin" w:cs="IRNazanin"/>
          <w:color w:val="111111"/>
          <w:sz w:val="28"/>
          <w:szCs w:val="28"/>
          <w:rtl w:val="true"/>
          <w:lang w:bidi="fa-IR"/>
        </w:rPr>
        <w:t xml:space="preserve">. </w:t>
      </w:r>
      <w:bookmarkStart w:id="1334" w:name="pg12977_114544"/>
    </w:p>
    <w:p>
      <w:pPr>
        <w:pStyle w:val="BookText"/>
        <w:rPr/>
      </w:pPr>
      <w:bookmarkEnd w:id="1334"/>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فکلّ واقعة تقتضی </w:t>
      </w:r>
      <w:r>
        <w:rPr>
          <w:rStyle w:val="FootnoteAnchor"/>
          <w:rtl w:val="true"/>
        </w:rPr>
        <w:footnoteReference w:id="1697"/>
      </w:r>
      <w:r>
        <w:rPr>
          <w:rFonts w:ascii="IRNazanin" w:hAnsi="IRNazanin" w:eastAsia="IRNazanin"/>
          <w:color w:val="111111"/>
          <w:sz w:val="28"/>
          <w:sz w:val="28"/>
          <w:szCs w:val="28"/>
          <w:rtl w:val="true"/>
          <w:lang w:bidi="fa-IR"/>
        </w:rPr>
        <w:t xml:space="preserve">الاحتیاط الخاصّ بنفس المسألة أو الاحتیاط العامّ من جهة کونها إحدی المسائل التی نقطع </w:t>
      </w:r>
      <w:r>
        <w:rPr>
          <w:rStyle w:val="FootnoteAnchor"/>
          <w:rtl w:val="true"/>
        </w:rPr>
        <w:footnoteReference w:id="1698"/>
      </w:r>
      <w:r>
        <w:rPr>
          <w:rFonts w:ascii="IRNazanin" w:hAnsi="IRNazanin" w:eastAsia="IRNazanin"/>
          <w:color w:val="111111"/>
          <w:sz w:val="28"/>
          <w:sz w:val="28"/>
          <w:szCs w:val="28"/>
          <w:rtl w:val="true"/>
          <w:lang w:bidi="fa-IR"/>
        </w:rPr>
        <w:t>بتحقّق التکلیف فیها،إن قام علی خلاف مقتضی الاحتیاط أمارة ظنّیّة توجب الاطمئنان بمطابقة الواقع ترکنا الاحتیاط و أخذنا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 واقعة لیست فیها أمارة کذلک،نعمل </w:t>
      </w:r>
      <w:r>
        <w:rPr>
          <w:rStyle w:val="FootnoteAnchor"/>
          <w:rtl w:val="true"/>
        </w:rPr>
        <w:footnoteReference w:id="1699"/>
      </w:r>
      <w:r>
        <w:rPr>
          <w:rFonts w:ascii="IRNazanin" w:hAnsi="IRNazanin" w:eastAsia="IRNazanin"/>
          <w:color w:val="111111"/>
          <w:sz w:val="28"/>
          <w:sz w:val="28"/>
          <w:szCs w:val="28"/>
          <w:rtl w:val="true"/>
          <w:lang w:bidi="fa-IR"/>
        </w:rPr>
        <w:t xml:space="preserve">فیها بالاحتیاط، سواء لم توجد </w:t>
      </w:r>
      <w:r>
        <w:rPr>
          <w:rStyle w:val="FootnoteAnchor"/>
          <w:rtl w:val="true"/>
        </w:rPr>
        <w:footnoteReference w:id="1700"/>
      </w:r>
      <w:r>
        <w:rPr>
          <w:rFonts w:ascii="IRNazanin" w:hAnsi="IRNazanin" w:eastAsia="IRNazanin"/>
          <w:color w:val="111111"/>
          <w:sz w:val="28"/>
          <w:sz w:val="28"/>
          <w:szCs w:val="28"/>
          <w:rtl w:val="true"/>
          <w:lang w:bidi="fa-IR"/>
        </w:rPr>
        <w:t xml:space="preserve">أمارة أصلا کالوقائع المشکوکة،أو کانت و لم تبلغ </w:t>
      </w:r>
      <w:r>
        <w:rPr>
          <w:rStyle w:val="FootnoteAnchor"/>
          <w:rtl w:val="true"/>
        </w:rPr>
        <w:footnoteReference w:id="1701"/>
      </w:r>
      <w:r>
        <w:rPr>
          <w:rFonts w:ascii="Amiri" w:hAnsi="Amiri" w:eastAsia="Amiri" w:cs="Amiri"/>
          <w:color w:val="111111"/>
          <w:sz w:val="28"/>
          <w:sz w:val="28"/>
          <w:szCs w:val="28"/>
          <w:rtl w:val="true"/>
          <w:lang w:bidi="ar-SA"/>
        </w:rPr>
        <w:t>مرتبة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واقعة </w:t>
      </w:r>
      <w:r>
        <w:rPr>
          <w:rStyle w:val="FootnoteAnchor"/>
          <w:rtl w:val="true"/>
        </w:rPr>
        <w:footnoteReference w:id="1702"/>
      </w:r>
      <w:r>
        <w:rPr>
          <w:rFonts w:ascii="IRNazanin" w:hAnsi="IRNazanin" w:eastAsia="IRNazanin"/>
          <w:color w:val="111111"/>
          <w:sz w:val="28"/>
          <w:sz w:val="28"/>
          <w:szCs w:val="28"/>
          <w:rtl w:val="true"/>
          <w:lang w:bidi="fa-IR"/>
        </w:rPr>
        <w:t xml:space="preserve">لم یمکن فیها الاحتیاط،تعیّن التخییر فی الأوّل، و العمل بالظنّ فی الثانی و إن کان فی غایة الضعف؛لأنّ الموافقة الظنّیّة أولی من غیرها،و المفروض عدم جریان البراءة و الاستصحاب؛ لانتقاضهما بالعلم الإجمالیّ،فلم یبق من الاصول إلاّ التخییر،و محلّه عدم رجحان أحد الاحتمالین،و إلاّ فیؤخذ بالراجح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35" w:name="__RefHeading___Toc5447453_3224264995"/>
      <w:bookmarkStart w:id="1336" w:name="_Toc508"/>
      <w:bookmarkEnd w:id="1335"/>
      <w:r>
        <w:rPr>
          <w:rtl w:val="true"/>
        </w:rPr>
        <w:t>النتیجة بناء علی الحکومة هو التبعیض فی الاحتیاط</w:t>
      </w:r>
      <w:bookmarkEnd w:id="1336"/>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نتیجة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الاحتیاط فی المشکوکات و المظنونات بالظنّ الغیر الاطمئنانیّ إن أمکن </w:t>
      </w:r>
      <w:r>
        <w:rPr>
          <w:rStyle w:val="FootnoteAnchor"/>
          <w:rtl w:val="true"/>
        </w:rPr>
        <w:footnoteReference w:id="1704"/>
      </w:r>
      <w:r>
        <w:rPr>
          <w:rFonts w:ascii="IRNazanin" w:hAnsi="IRNazanin" w:eastAsia="IRNazanin"/>
          <w:color w:val="111111"/>
          <w:sz w:val="28"/>
          <w:sz w:val="28"/>
          <w:szCs w:val="28"/>
          <w:rtl w:val="true"/>
          <w:lang w:bidi="fa-IR"/>
        </w:rPr>
        <w:t xml:space="preserve">،و العمل بالظنّ فی الوقائع المظنونة بالظنّ </w:t>
      </w:r>
    </w:p>
    <w:p>
      <w:pPr>
        <w:pStyle w:val="BookText"/>
        <w:rPr/>
      </w:pPr>
      <w:r>
        <w:rPr>
          <w:rFonts w:ascii="IRNazanin" w:hAnsi="IRNazanin" w:eastAsia="IRNazanin"/>
          <w:color w:val="111111"/>
          <w:sz w:val="28"/>
          <w:sz w:val="28"/>
          <w:szCs w:val="28"/>
          <w:rtl w:val="true"/>
          <w:lang w:bidi="fa-IR"/>
        </w:rPr>
        <w:t xml:space="preserve">الاطمئنانیّ،فإذا عمل المکلّف قطع بأنّه لم یترک القطع بالموافقة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 الواجب علی المکلّف من جهة العسر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إلی الموافقة الاطمئنانیّة، فیکون مدار العمل علی العلم بالبراءة و الظنّ الاطمئنانیّ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مورد التخییر،فالعمل فیه علی الظنّ الموجود فی المسألة و إن کان ضعیفا،فهو خارج عن الکلام؛لأنّ العقل لا یحکم فیه بالاحتیاط حتّی یکون التنزّل منه إلی شیء آخر،بل التخییر أو العمل بالظنّ الموجود تنزّل من العلم التفصیلیّ إلیهما بلا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العمل فی الفقه فی موارد </w:t>
      </w:r>
      <w:r>
        <w:rPr>
          <w:rStyle w:val="FootnoteAnchor"/>
          <w:rtl w:val="true"/>
        </w:rPr>
        <w:footnoteReference w:id="1705"/>
      </w:r>
      <w:r>
        <w:rPr>
          <w:rFonts w:ascii="IRNazanin" w:hAnsi="IRNazanin" w:eastAsia="IRNazanin"/>
          <w:color w:val="111111"/>
          <w:sz w:val="28"/>
          <w:sz w:val="28"/>
          <w:szCs w:val="28"/>
          <w:rtl w:val="true"/>
          <w:lang w:bidi="fa-IR"/>
        </w:rPr>
        <w:t>الانسداد علی الظنّ الاطمئنانیّ و مطلق الظنّ و التخییر،کلّ فی مورد خاصّ،و هذا هو الذی یحکم به العقل المستقلّ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سبق لذلک مثال فی الخارج،و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علمنا بوجود شیاه محرّمة فی قطیع،و کان أقسام القطیع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احتمال کونها مصداقا للمحرّمات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خمسة،قسم منها یظنّ کونها محرّمة بالظنّ القویّ الاطمئنانیّ لا أنّ المحرّم منحصر فیه،و قسم منها یظنّ ذلک فیها بظنّ قریب من الشکّ و التحیّر،و ثالث یشکّ فی کونها محرّمة،و قسم منها فی مقابل الظنّ الأوّل،و قسم منها </w:t>
      </w:r>
      <w:r>
        <w:rPr>
          <w:rStyle w:val="FootnoteAnchor"/>
          <w:rtl w:val="true"/>
        </w:rPr>
        <w:footnoteReference w:id="1706"/>
      </w:r>
      <w:r>
        <w:rPr>
          <w:rFonts w:ascii="IRNazanin" w:hAnsi="IRNazanin" w:eastAsia="IRNazanin"/>
          <w:color w:val="111111"/>
          <w:sz w:val="28"/>
          <w:sz w:val="28"/>
          <w:szCs w:val="28"/>
          <w:rtl w:val="true"/>
          <w:lang w:bidi="fa-IR"/>
        </w:rPr>
        <w:t>فی مقابل الظنّ الثانی،ثمّ فرضنا فی المشکوکات و هذا القسم من الموهومات ما یحتمل أن یکون واجب الارتکاب</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فمقتضی الاحتیاط وجوب اجتناب الجمیع ممّا لا یحتمل </w:t>
      </w:r>
      <w:bookmarkStart w:id="1337" w:name="pg12977_114546"/>
    </w:p>
    <w:p>
      <w:pPr>
        <w:pStyle w:val="BookText"/>
        <w:rPr/>
      </w:pPr>
      <w:bookmarkEnd w:id="1337"/>
      <w:r>
        <w:rPr>
          <w:rFonts w:ascii="IRNazanin" w:hAnsi="IRNazanin" w:eastAsia="IRNazanin"/>
          <w:color w:val="111111"/>
          <w:sz w:val="28"/>
          <w:sz w:val="28"/>
          <w:szCs w:val="28"/>
          <w:rtl w:val="true"/>
          <w:lang w:bidi="fa-IR"/>
        </w:rPr>
        <w:t>الوجوب،فإذا انتفی وجوب الاحتیاط لأجل العسر و احتیج إلی ارتکاب موهوم الحرمة،کان ارتکاب الموهوم فی مقابل الظنّ الاطمئنانیّ أولی من الکلّ،فیبنی علی العمل به،و یتخیّر فی المشکوک الذی یحتمل الوجوب،و یعمل بمطلق الظنّ فی المظنون منه</w:t>
      </w:r>
      <w:r>
        <w:rPr>
          <w:rFonts w:eastAsia="IRNazanin" w:cs="IRNazanin"/>
          <w:color w:val="111111"/>
          <w:sz w:val="28"/>
          <w:szCs w:val="28"/>
          <w:rtl w:val="true"/>
          <w:lang w:bidi="fa-IR"/>
        </w:rPr>
        <w:t>.</w:t>
      </w:r>
    </w:p>
    <w:p>
      <w:pPr>
        <w:pStyle w:val="Heading6"/>
        <w:numPr>
          <w:ilvl w:val="5"/>
          <w:numId w:val="1"/>
        </w:numPr>
        <w:rPr/>
      </w:pPr>
      <w:bookmarkStart w:id="1338" w:name="__RefHeading___Toc5447455_3224264995"/>
      <w:bookmarkStart w:id="1339" w:name="_Toc509"/>
      <w:bookmarkEnd w:id="1338"/>
      <w:r>
        <w:rPr>
          <w:rtl w:val="true"/>
        </w:rPr>
        <w:t>الفرق بین العمل بالظنّ بعنوان التبعیض فی الاحتیاط أو بعنوان الحجیّة</w:t>
      </w:r>
      <w:bookmarkEnd w:id="1339"/>
    </w:p>
    <w:p>
      <w:pPr>
        <w:pStyle w:val="BookText"/>
        <w:rPr/>
      </w:pPr>
      <w:r>
        <w:rPr>
          <w:rFonts w:ascii="IRNazanin" w:hAnsi="IRNazanin" w:eastAsia="IRNazanin"/>
          <w:color w:val="111111"/>
          <w:sz w:val="28"/>
          <w:sz w:val="28"/>
          <w:szCs w:val="28"/>
          <w:rtl w:val="true"/>
          <w:lang w:bidi="fa-IR"/>
        </w:rPr>
        <w:t>لکنّک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لیس من حجّیّة مطلق الظنّ و لا الظنّ الاطمئنانیّ فی شیء؛لأنّ معنی حجّیته أن یکون دلیلا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بحیث یرجع فی موارد وجوده إلیه لا إلی غیره،و فی موارد عدمه إلی مقتضی الأصل </w:t>
      </w:r>
      <w:r>
        <w:rPr>
          <w:rStyle w:val="FootnoteAnchor"/>
          <w:rtl w:val="true"/>
        </w:rPr>
        <w:footnoteReference w:id="1707"/>
      </w:r>
      <w:r>
        <w:rPr>
          <w:rFonts w:ascii="IRNazanin" w:hAnsi="IRNazanin" w:eastAsia="IRNazanin"/>
          <w:color w:val="111111"/>
          <w:sz w:val="28"/>
          <w:sz w:val="28"/>
          <w:szCs w:val="28"/>
          <w:rtl w:val="true"/>
          <w:lang w:bidi="fa-IR"/>
        </w:rPr>
        <w:t>الذی یقتضیه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الظنّ هنا لیس کذلک؛إذ العمل</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فی موارد وجوده </w:t>
      </w:r>
      <w:r>
        <w:rPr>
          <w:rStyle w:val="FootnoteAnchor"/>
          <w:rtl w:val="true"/>
        </w:rPr>
        <w:footnoteReference w:id="1708"/>
      </w:r>
      <w:r>
        <w:rPr>
          <w:rFonts w:ascii="IRNazanin" w:hAnsi="IRNazanin" w:eastAsia="IRNazanin"/>
          <w:color w:val="111111"/>
          <w:sz w:val="28"/>
          <w:sz w:val="28"/>
          <w:szCs w:val="28"/>
          <w:rtl w:val="true"/>
          <w:lang w:bidi="fa-IR"/>
        </w:rPr>
        <w:t xml:space="preserve">،ففیما طابق منه الاحتیاط </w:t>
      </w:r>
      <w:r>
        <w:rPr>
          <w:rStyle w:val="FootnoteAnchor"/>
          <w:rtl w:val="true"/>
        </w:rPr>
        <w:footnoteReference w:id="1709"/>
      </w:r>
      <w:r>
        <w:rPr>
          <w:rFonts w:ascii="IRNazanin" w:hAnsi="IRNazanin" w:eastAsia="IRNazanin"/>
          <w:color w:val="111111"/>
          <w:sz w:val="28"/>
          <w:sz w:val="28"/>
          <w:szCs w:val="28"/>
          <w:rtl w:val="true"/>
          <w:lang w:bidi="fa-IR"/>
        </w:rPr>
        <w:t xml:space="preserve">علی الاحتیاط لا علیه؛إذ لم یدلّ </w:t>
      </w:r>
      <w:r>
        <w:rPr>
          <w:rStyle w:val="FootnoteAnchor"/>
          <w:rtl w:val="true"/>
        </w:rPr>
        <w:footnoteReference w:id="1710"/>
      </w:r>
      <w:r>
        <w:rPr>
          <w:rFonts w:ascii="IRNazanin" w:hAnsi="IRNazanin" w:eastAsia="IRNazanin"/>
          <w:color w:val="111111"/>
          <w:sz w:val="28"/>
          <w:sz w:val="28"/>
          <w:szCs w:val="28"/>
          <w:rtl w:val="true"/>
          <w:lang w:bidi="fa-IR"/>
        </w:rPr>
        <w:t xml:space="preserve">علی ذلک مقدّمات الانسداد،و فیما خالف الاحتیاط لا یعوّل علیه إلاّ بمقدار مخالفة الاحتیاط لدفع العسر، و إلاّ فلو فرض فیه جهة اخری لم یکن معتبرا من تلک الجهة </w:t>
      </w:r>
      <w:r>
        <w:rPr>
          <w:rStyle w:val="FootnoteAnchor"/>
          <w:rtl w:val="true"/>
        </w:rPr>
        <w:footnoteReference w:id="1711"/>
      </w:r>
      <w:r>
        <w:rPr>
          <w:rFonts w:ascii="IRNazanin" w:hAnsi="IRNazanin" w:eastAsia="IRNazanin"/>
          <w:color w:val="111111"/>
          <w:sz w:val="28"/>
          <w:sz w:val="28"/>
          <w:szCs w:val="28"/>
          <w:rtl w:val="true"/>
          <w:lang w:bidi="fa-IR"/>
        </w:rPr>
        <w:t>،کما لو دار الأمر بین شرطیّة شیء و إباحته و استحبابه،فظنّ باستحبابه،فإنّه لا یدلّ مقدّمات دلیل الانسداد إلاّ علی عدم وجوب الاحتیاط فی ذلک الشیء،و الأخذ بالظنّ فی عدم وجوبه،لا فی إثبات استحبابه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أمّا فی موارد عدمه و هو الشکّ،فلا یجوز العمل إلاّ بالاحتیاط الکلّی الحاصل من احتمال کون الواقعة من موارد التکلیف المعلوم </w:t>
      </w:r>
      <w:r>
        <w:rPr>
          <w:rStyle w:val="FootnoteAnchor"/>
          <w:rtl w:val="true"/>
        </w:rPr>
        <w:footnoteReference w:id="1712"/>
      </w:r>
      <w:r>
        <w:rPr>
          <w:rFonts w:ascii="IRNazanin" w:hAnsi="IRNazanin" w:eastAsia="IRNazanin"/>
          <w:color w:val="111111"/>
          <w:sz w:val="28"/>
          <w:sz w:val="28"/>
          <w:szCs w:val="28"/>
          <w:rtl w:val="true"/>
          <w:lang w:bidi="fa-IR"/>
        </w:rPr>
        <w:t xml:space="preserve">إجمالا و إن کان لا یقتضیه نفس المسألة،کما إذا شکّ فی حرمة عصیر التمر أو وجوب الاستقبال بالمحتضر،بل العمل علی هذا الوجه یتبعّض </w:t>
      </w:r>
      <w:r>
        <w:rPr>
          <w:rStyle w:val="FootnoteAnchor"/>
          <w:rtl w:val="true"/>
        </w:rPr>
        <w:footnoteReference w:id="1713"/>
      </w:r>
      <w:r>
        <w:rPr>
          <w:rFonts w:ascii="IRNazanin" w:hAnsi="IRNazanin" w:eastAsia="IRNazanin"/>
          <w:color w:val="111111"/>
          <w:sz w:val="28"/>
          <w:sz w:val="28"/>
          <w:szCs w:val="28"/>
          <w:rtl w:val="true"/>
          <w:lang w:bidi="fa-IR"/>
        </w:rPr>
        <w:t>فی الاحتیاط و طرحه فی بعض الموارد دفعا للحرج،ثمّ یعیّن العقل للطرح البعض الذی یکون وجود التکلیف فیها احتمالا ضعیفا فی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العمل بالاحتیاط فی المشکوکات منضمّة إلی المظنونات </w:t>
      </w:r>
      <w:r>
        <w:rPr>
          <w:rStyle w:val="FootnoteAnchor"/>
          <w:rtl w:val="true"/>
        </w:rPr>
        <w:footnoteReference w:id="1714"/>
      </w:r>
      <w:r>
        <w:rPr>
          <w:rFonts w:ascii="IRNazanin" w:hAnsi="IRNazanin" w:eastAsia="IRNazanin"/>
          <w:color w:val="111111"/>
          <w:sz w:val="28"/>
          <w:sz w:val="28"/>
          <w:szCs w:val="28"/>
          <w:rtl w:val="true"/>
          <w:lang w:bidi="fa-IR"/>
        </w:rPr>
        <w:t xml:space="preserve">یوجب العسر فضلا عن انضمام العمل به فی الموهومات المقابلة للظنّ الغیر القویّ </w:t>
      </w:r>
      <w:r>
        <w:rPr>
          <w:rStyle w:val="FootnoteAnchor"/>
          <w:rtl w:val="true"/>
        </w:rPr>
        <w:footnoteReference w:id="1715"/>
      </w:r>
      <w:r>
        <w:rPr>
          <w:rFonts w:ascii="IRNazanin" w:hAnsi="IRNazanin" w:eastAsia="IRNazanin"/>
          <w:color w:val="111111"/>
          <w:sz w:val="28"/>
          <w:sz w:val="28"/>
          <w:szCs w:val="28"/>
          <w:rtl w:val="true"/>
          <w:lang w:bidi="fa-IR"/>
        </w:rPr>
        <w:t xml:space="preserve">،فیثبت وجوب العمل بمطلق الظنّ و وجوب الرجوع فی المشکوکات إلی مقتضی الأصل </w:t>
      </w:r>
      <w:r>
        <w:rPr>
          <w:rStyle w:val="FootnoteAnchor"/>
          <w:rtl w:val="true"/>
        </w:rPr>
        <w:footnoteReference w:id="1716"/>
      </w:r>
      <w:r>
        <w:rPr>
          <w:rFonts w:ascii="IRNazanin" w:hAnsi="IRNazanin" w:eastAsia="IRNazanin"/>
          <w:color w:val="111111"/>
          <w:sz w:val="28"/>
          <w:sz w:val="28"/>
          <w:szCs w:val="28"/>
          <w:rtl w:val="true"/>
          <w:lang w:bidi="fa-IR"/>
        </w:rPr>
        <w:t>،و هذا مساو فی المعنی لحجّیة الظنّ المطلق،و إن کان حقیقة تبعیضا فی الاحتیاط الکلّیّ،لکنّه لا یقدح بعد عدم الفرق فی العمل</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نسلّم لزوم الحرج من مراعاة الاحتیاط فی المظنونات </w:t>
      </w:r>
    </w:p>
    <w:p>
      <w:pPr>
        <w:pStyle w:val="BookText"/>
        <w:rPr/>
      </w:pPr>
      <w:r>
        <w:rPr>
          <w:rFonts w:ascii="IRNazanin" w:hAnsi="IRNazanin" w:eastAsia="IRNazanin"/>
          <w:color w:val="111111"/>
          <w:sz w:val="28"/>
          <w:sz w:val="28"/>
          <w:szCs w:val="28"/>
          <w:rtl w:val="true"/>
          <w:lang w:bidi="fa-IR"/>
        </w:rPr>
        <w:t xml:space="preserve">بالظنّ الغیر القویّ فی نفی التکلیف،فضلا </w:t>
      </w:r>
      <w:r>
        <w:rPr>
          <w:rStyle w:val="FootnoteAnchor"/>
          <w:rtl w:val="true"/>
        </w:rPr>
        <w:footnoteReference w:id="1717"/>
      </w:r>
      <w:r>
        <w:rPr>
          <w:rFonts w:ascii="IRNazanin" w:hAnsi="IRNazanin" w:eastAsia="IRNazanin"/>
          <w:color w:val="111111"/>
          <w:sz w:val="28"/>
          <w:sz w:val="28"/>
          <w:szCs w:val="28"/>
          <w:rtl w:val="true"/>
          <w:lang w:bidi="fa-IR"/>
        </w:rPr>
        <w:t>عن لزومه من الاحتیاط فی المشکوکات فقط بعد الموهومات؛و ذلک لأنّ حصول الظنّ الاطمئنانیّ غیر عزیز فی الأخبار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غیرها؛فلأنّه کثیرا ما یحصل الاطمئنان من الشهرة و الإجماع المنقول و الاستقراء و 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الأخبار؛فلأنّ الظنّ المبحوث عنه فی هذا المقام هو الظنّ بصدور المتن،و هو یحصل غالبا من خبر من یوثق بصدقه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فی خصوص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إمامیّا أو ثقة علی الإطلاق؛إذ ربما یتسامح فی غیر الروایات بما لا یتسامح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احتمال الإرسال،فمخالف لظاهر کلام الراوی،و هو داخل فی ظواهر الألفاظ،فلا یعتبر فیها إفادة الظنّ فضلا عن الاطمئنانیّ منه، فلو فرض عدم حصول الظنّ بالصدور لأجل عدم الظنّ بالإسناد، لم یقدح فی اعتبار ذلک الخبر؛لأنّ الجهة التی یعتبر فیها </w:t>
      </w:r>
      <w:r>
        <w:rPr>
          <w:rStyle w:val="FootnoteAnchor"/>
          <w:rtl w:val="true"/>
        </w:rPr>
        <w:footnoteReference w:id="1718"/>
      </w:r>
      <w:r>
        <w:rPr>
          <w:rFonts w:ascii="IRNazanin" w:hAnsi="IRNazanin" w:eastAsia="IRNazanin"/>
          <w:color w:val="111111"/>
          <w:sz w:val="28"/>
          <w:sz w:val="28"/>
          <w:szCs w:val="28"/>
          <w:rtl w:val="true"/>
          <w:lang w:bidi="fa-IR"/>
        </w:rPr>
        <w:t>الظنّ الاطمئنانیّ هو جهة صدق الراوی فی إخباره عمّن یروی عنه،و أمّا أنّ إخباره بلا واسطة فهو ظهور لفظیّ لا بأس بعدم إفادته للظنّ، فیکون صدور المتن غیر مظنون أصلا؛لأنّ النتیجة تابعة لأخسّ المقدّمتین</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فدعوی کثرة الظنون الاطمئنانیّة فی الأخبار و غیرها </w:t>
      </w:r>
      <w:bookmarkStart w:id="1340" w:name="pg12977_114549"/>
    </w:p>
    <w:p>
      <w:pPr>
        <w:pStyle w:val="BookText"/>
        <w:rPr/>
      </w:pPr>
      <w:bookmarkEnd w:id="1340"/>
      <w:r>
        <w:rPr>
          <w:rFonts w:ascii="IRNazanin" w:hAnsi="IRNazanin" w:eastAsia="IRNazanin"/>
          <w:color w:val="111111"/>
          <w:sz w:val="28"/>
          <w:sz w:val="28"/>
          <w:szCs w:val="28"/>
          <w:rtl w:val="true"/>
          <w:lang w:bidi="fa-IR"/>
        </w:rPr>
        <w:t xml:space="preserve">من الأمارات،بحیث لا یحتاج إلی ما دونها،و لا یلزم من الرجوع فی الموارد الخالیة عنها إلی الاحتیاط </w:t>
      </w:r>
      <w:r>
        <w:rPr>
          <w:rStyle w:val="FootnoteAnchor"/>
          <w:rtl w:val="true"/>
        </w:rPr>
        <w:footnoteReference w:id="1719"/>
      </w:r>
      <w:r>
        <w:rPr>
          <w:rFonts w:ascii="IRNazanin" w:hAnsi="IRNazanin" w:eastAsia="IRNazanin"/>
          <w:color w:val="111111"/>
          <w:sz w:val="28"/>
          <w:sz w:val="28"/>
          <w:szCs w:val="28"/>
          <w:rtl w:val="true"/>
          <w:lang w:bidi="fa-IR"/>
        </w:rPr>
        <w:t>محذور و إن کان هناک ظنون لا تبلغ مرتبة الاطمئنان،قریبة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یحتاج إلی مزید تتبّع فی الروایات و أحوال الرواة و فتاوی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أری الظنّ الاطمئنانی الحاصل من الأخبار و غیرها من الأمارات أقلّ عددا من الأخبار المصحّحة بعدلین،بل لعلّ هذا </w:t>
      </w:r>
      <w:r>
        <w:rPr>
          <w:rStyle w:val="FootnoteAnchor"/>
          <w:rtl w:val="true"/>
        </w:rPr>
        <w:footnoteReference w:id="1720"/>
      </w:r>
      <w:r>
        <w:rPr>
          <w:rFonts w:ascii="IRNazanin" w:hAnsi="IRNazanin" w:eastAsia="IRNazanin"/>
          <w:color w:val="111111"/>
          <w:sz w:val="28"/>
          <w:sz w:val="28"/>
          <w:szCs w:val="28"/>
          <w:rtl w:val="true"/>
          <w:lang w:bidi="fa-IR"/>
        </w:rPr>
        <w:t>أکثر</w:t>
      </w:r>
      <w:r>
        <w:rPr>
          <w:rFonts w:eastAsia="IRNazanin" w:cs="IRNazanin"/>
          <w:color w:val="111111"/>
          <w:sz w:val="28"/>
          <w:szCs w:val="28"/>
          <w:rtl w:val="true"/>
          <w:lang w:bidi="fa-IR"/>
        </w:rPr>
        <w:t>.</w:t>
      </w:r>
    </w:p>
    <w:p>
      <w:pPr>
        <w:pStyle w:val="Heading6"/>
        <w:numPr>
          <w:ilvl w:val="5"/>
          <w:numId w:val="1"/>
        </w:numPr>
        <w:rPr/>
      </w:pPr>
      <w:bookmarkStart w:id="1341" w:name="__RefHeading___Toc5447457_3224264995"/>
      <w:bookmarkStart w:id="1342" w:name="_Toc510"/>
      <w:bookmarkEnd w:id="1341"/>
      <w:r>
        <w:rPr>
          <w:rtl w:val="true"/>
        </w:rPr>
        <w:t>عدم الفرق فی الظنّ الاطمینانی بین الظنّ بالحکم أو الظنّ بالطریق</w:t>
      </w:r>
      <w:bookmarkEnd w:id="1342"/>
    </w:p>
    <w:p>
      <w:pPr>
        <w:pStyle w:val="BookText"/>
        <w:rPr/>
      </w:pPr>
      <w:r>
        <w:rPr>
          <w:rFonts w:ascii="IRNazanin" w:hAnsi="IRNazanin" w:eastAsia="IRNazanin"/>
          <w:color w:val="111111"/>
          <w:sz w:val="28"/>
          <w:sz w:val="28"/>
          <w:szCs w:val="28"/>
          <w:rtl w:val="true"/>
          <w:lang w:bidi="fa-IR"/>
        </w:rPr>
        <w:t xml:space="preserve">ثمّ إنّ الظنّ الاطمئنانی من أمارة أو أمارات إذا تعلّقت </w:t>
      </w:r>
      <w:r>
        <w:rPr>
          <w:rStyle w:val="FootnoteAnchor"/>
          <w:rtl w:val="true"/>
        </w:rPr>
        <w:footnoteReference w:id="1721"/>
      </w:r>
      <w:r>
        <w:rPr>
          <w:rFonts w:ascii="IRNazanin" w:hAnsi="IRNazanin" w:eastAsia="IRNazanin"/>
          <w:color w:val="111111"/>
          <w:sz w:val="28"/>
          <w:sz w:val="28"/>
          <w:szCs w:val="28"/>
          <w:rtl w:val="true"/>
          <w:lang w:bidi="fa-IR"/>
        </w:rPr>
        <w:t xml:space="preserve">بحجّیة أمارة ظنّیة کانت فی حکم الاطمئنان و إن لم تفده،بناء علی ما تقدّم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عدم الفرق بین الظنّ بالحکم و الظنّ بالطریق </w:t>
      </w:r>
      <w:r>
        <w:rPr>
          <w:rStyle w:val="FootnoteAnchor"/>
          <w:rtl w:val="true"/>
        </w:rPr>
        <w:footnoteReference w:id="1723"/>
      </w:r>
      <w:r>
        <w:rPr>
          <w:rFonts w:ascii="IRNazanin" w:hAnsi="IRNazanin" w:eastAsia="IRNazanin"/>
          <w:color w:val="111111"/>
          <w:sz w:val="28"/>
          <w:sz w:val="28"/>
          <w:szCs w:val="28"/>
          <w:rtl w:val="true"/>
          <w:lang w:bidi="fa-IR"/>
        </w:rPr>
        <w:t>،إلاّ أن یدّعی مدّع قلّتها بالنسبة إلی نفسه؛لعدم الاطمئنان له غالبا من الأمارات القویّة و عدم ثبوت حجّیة أمارة بها أیضا،و حینئذ فیتعیّن فی حقّه التعدّی منه إلی مطلق الظنّ</w:t>
      </w:r>
      <w:r>
        <w:rPr>
          <w:rFonts w:eastAsia="IRNazanin" w:cs="IRNazanin"/>
          <w:color w:val="111111"/>
          <w:sz w:val="28"/>
          <w:szCs w:val="28"/>
          <w:rtl w:val="true"/>
          <w:lang w:bidi="fa-IR"/>
        </w:rPr>
        <w:t>.</w:t>
      </w:r>
    </w:p>
    <w:p>
      <w:pPr>
        <w:pStyle w:val="Heading6"/>
        <w:numPr>
          <w:ilvl w:val="5"/>
          <w:numId w:val="1"/>
        </w:numPr>
        <w:rPr/>
      </w:pPr>
      <w:bookmarkStart w:id="1343" w:name="__RefHeading___Toc5447459_3224264995"/>
      <w:bookmarkStart w:id="1344" w:name="_Toc511"/>
      <w:bookmarkEnd w:id="1343"/>
      <w:r>
        <w:rPr>
          <w:rtl w:val="true"/>
        </w:rPr>
        <w:t>الإشکال فی العمل بما یقتضیه الأصل فی المشکوکات</w:t>
      </w:r>
      <w:bookmarkEnd w:id="1344"/>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العمل فی المشکوکات </w:t>
      </w:r>
      <w:r>
        <w:rPr>
          <w:rStyle w:val="FootnoteAnchor"/>
          <w:rtl w:val="true"/>
        </w:rPr>
        <w:footnoteReference w:id="1724"/>
      </w:r>
      <w:r>
        <w:rPr>
          <w:rFonts w:ascii="IRNazanin" w:hAnsi="IRNazanin" w:eastAsia="IRNazanin"/>
          <w:color w:val="111111"/>
          <w:sz w:val="28"/>
          <w:sz w:val="28"/>
          <w:szCs w:val="28"/>
          <w:rtl w:val="true"/>
          <w:lang w:bidi="fa-IR"/>
        </w:rPr>
        <w:t xml:space="preserve">بما یقتضیه الأصل فی المورد، فلم یثبت،بل اللازم بقاؤه علی الاحتیاط؛نظرا إلی کون المشکوکات </w:t>
      </w:r>
    </w:p>
    <w:p>
      <w:pPr>
        <w:pStyle w:val="BookText"/>
        <w:rPr/>
      </w:pPr>
      <w:r>
        <w:rPr>
          <w:rFonts w:ascii="IRNazanin" w:hAnsi="IRNazanin" w:eastAsia="IRNazanin"/>
          <w:color w:val="111111"/>
          <w:sz w:val="28"/>
          <w:sz w:val="28"/>
          <w:szCs w:val="28"/>
          <w:rtl w:val="true"/>
          <w:lang w:bidi="fa-IR"/>
        </w:rPr>
        <w:t>من المحتملات التی یعلم إجمالا بتحقّق التکلیف فیها وجوبا و تحریما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عسر فی الاحتیاط فیها؛نظرا إلی قلّة المشکوکات؛لأنّ أغلب المسائل یحصل فیها الظنّ بأحد الطرفین،کما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الفرق بین الاحتیاط فی جمیعها و العمل بالاصول الجاریة فی خصوص مواردها إنّما یظهر فی الاصول المخالفة للاحتیاط،و لا ریب أنّ العسر لا یحدث بالاحتیاط فیها،خصوصا مع کون مقتضی الاحتیاط فی شبهة التحریم الترک،و هو غیر موجب للعسر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یثبت المدّعی،من حجّیّة الظنّ و کونه دلیلا بحیث یرجع فی موارد عدمه إلی الأصل،بل یثبت عدم وجوب الاحتیاط فی المظنونات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العمل بالظنّ من باب الاحتیاط </w:t>
      </w:r>
      <w:r>
        <w:rPr>
          <w:rStyle w:val="FootnoteAnchor"/>
          <w:rtl w:val="true"/>
        </w:rPr>
        <w:footnoteReference w:id="1725"/>
      </w:r>
      <w:r>
        <w:rPr>
          <w:rFonts w:ascii="IRNazanin" w:hAnsi="IRNazanin" w:eastAsia="IRNazanin"/>
          <w:color w:val="111111"/>
          <w:sz w:val="28"/>
          <w:sz w:val="28"/>
          <w:szCs w:val="28"/>
          <w:rtl w:val="true"/>
          <w:lang w:bidi="fa-IR"/>
        </w:rPr>
        <w:t>لا یخرج المشکوکات عن حکم الاحتیاط الکلّی الثابت بمقتضی العلم الإجمالیّ فی الوقائع</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نعم،لو ثبت بحکم العقل أنّ الظنّ عند انسداد باب العلم مرجع فی الأحکام الشرعیّة نفیا و إثباتا کالعلم،انقلب التکلیف إلی الظنّ، و حکمنا بأنّ الشارع لا یرید إلاّ الامتثال الظنّیّ،و حیث </w:t>
      </w:r>
      <w:r>
        <w:rPr>
          <w:rStyle w:val="FootnoteAnchor"/>
          <w:rtl w:val="true"/>
        </w:rPr>
        <w:footnoteReference w:id="1726"/>
      </w:r>
      <w:r>
        <w:rPr>
          <w:rFonts w:ascii="IRNazanin" w:hAnsi="IRNazanin" w:eastAsia="IRNazanin"/>
          <w:color w:val="111111"/>
          <w:sz w:val="28"/>
          <w:sz w:val="28"/>
          <w:szCs w:val="28"/>
          <w:rtl w:val="true"/>
          <w:lang w:bidi="fa-IR"/>
        </w:rPr>
        <w:t>لا 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المشکوکات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فالمرجع إلی الاصول الموجودة فی خصوصیّات المقام، فیکون کما لو انفتح باب العلم أو الظنّ الخاصّ،فیصیر لزوم العسر حکمة فی عدم ملاحظة الشارع العلم الإجمالی فی الامتثال بعد تعذّر </w:t>
      </w:r>
      <w:bookmarkStart w:id="1345" w:name="pg12977_114551"/>
    </w:p>
    <w:p>
      <w:pPr>
        <w:pStyle w:val="BookText"/>
        <w:rPr/>
      </w:pPr>
      <w:bookmarkEnd w:id="1345"/>
      <w:r>
        <w:rPr>
          <w:rFonts w:ascii="IRNazanin" w:hAnsi="IRNazanin" w:eastAsia="IRNazanin"/>
          <w:color w:val="111111"/>
          <w:sz w:val="28"/>
          <w:sz w:val="28"/>
          <w:szCs w:val="28"/>
          <w:rtl w:val="true"/>
          <w:lang w:bidi="fa-IR"/>
        </w:rPr>
        <w:t>التفصیلیّ،لا علّة حتّی یدور الحکم مدارها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المقدّمات المذکورة لا تنتج هذه النتیجة،کما یظهر لمن راجعها و تأمّلها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نعم،لو ثبت أنّ الاحتیاط فی المشکوکات یوجب العسر ثبتت </w:t>
      </w:r>
      <w:r>
        <w:rPr>
          <w:rStyle w:val="FootnoteAnchor"/>
          <w:rtl w:val="true"/>
        </w:rPr>
        <w:footnoteReference w:id="1727"/>
      </w:r>
      <w:r>
        <w:rPr>
          <w:rFonts w:ascii="IRNazanin" w:hAnsi="IRNazanin" w:eastAsia="IRNazanin"/>
          <w:color w:val="111111"/>
          <w:sz w:val="28"/>
          <w:sz w:val="28"/>
          <w:szCs w:val="28"/>
          <w:rtl w:val="true"/>
          <w:lang w:bidi="fa-IR"/>
        </w:rPr>
        <w:t xml:space="preserve">النتیجة المذکورة،لکن عرفت </w:t>
      </w:r>
      <w:r>
        <w:rPr>
          <w:rStyle w:val="FootnoteAnchor"/>
          <w:rtl w:val="true"/>
        </w:rPr>
        <w:footnoteReference w:id="1728"/>
      </w:r>
      <w:r>
        <w:rPr>
          <w:rFonts w:ascii="IRNazanin" w:hAnsi="IRNazanin" w:eastAsia="IRNazanin"/>
          <w:color w:val="111111"/>
          <w:sz w:val="28"/>
          <w:sz w:val="28"/>
          <w:szCs w:val="28"/>
          <w:rtl w:val="true"/>
          <w:lang w:bidi="fa-IR"/>
        </w:rPr>
        <w:t xml:space="preserve">فساد دعواه فی الغایة،کدعوی أنّ العلم الإجمالیّ المقتضی للاحتیاط الکلّی إنّما هو فی موارد الأمارات دون المشکوکات،فلا مقتضی فیها للعدول عمّا تقتضیه </w:t>
      </w:r>
      <w:r>
        <w:rPr>
          <w:rStyle w:val="FootnoteAnchor"/>
          <w:rtl w:val="true"/>
        </w:rPr>
        <w:footnoteReference w:id="1729"/>
      </w:r>
      <w:r>
        <w:rPr>
          <w:rFonts w:ascii="IRNazanin" w:hAnsi="IRNazanin" w:eastAsia="IRNazanin"/>
          <w:color w:val="111111"/>
          <w:sz w:val="28"/>
          <w:sz w:val="28"/>
          <w:szCs w:val="28"/>
          <w:rtl w:val="true"/>
          <w:lang w:bidi="fa-IR"/>
        </w:rPr>
        <w:t>الاصول الخاصّة فی مواردها؛فإنّ هذه الدعوی یکذّبها ثبوت العلم الإجمالیّ بالتکلیف الإلزامیّ قبل استقصاء الأمارات،بل قبل الاطّلاع علیها،و قد مرّ تضعیفه سابقا،فتأمّل فیه؛فإنّ ادّعاء ذلک لیس کلّ البعید</w:t>
      </w:r>
      <w:r>
        <w:rPr>
          <w:rFonts w:eastAsia="IRNazanin" w:cs="IRNazanin"/>
          <w:color w:val="111111"/>
          <w:sz w:val="28"/>
          <w:szCs w:val="28"/>
          <w:rtl w:val="true"/>
          <w:lang w:bidi="fa-IR"/>
        </w:rPr>
        <w:t>.</w:t>
      </w:r>
    </w:p>
    <w:p>
      <w:pPr>
        <w:pStyle w:val="Heading6"/>
        <w:numPr>
          <w:ilvl w:val="5"/>
          <w:numId w:val="1"/>
        </w:numPr>
        <w:rPr/>
      </w:pPr>
      <w:bookmarkStart w:id="1346" w:name="__RefHeading___Toc5447461_3224264995"/>
      <w:bookmarkStart w:id="1347" w:name="_Toc512"/>
      <w:bookmarkEnd w:id="1346"/>
      <w:r>
        <w:rPr>
          <w:rtl w:val="true"/>
        </w:rPr>
        <w:t>الإشکال فی الاصول اللفظیّة أیضا</w:t>
      </w:r>
      <w:bookmarkEnd w:id="1347"/>
    </w:p>
    <w:p>
      <w:pPr>
        <w:pStyle w:val="BookText"/>
        <w:rPr/>
      </w:pPr>
      <w:r>
        <w:rPr>
          <w:rFonts w:ascii="IRNazanin" w:hAnsi="IRNazanin" w:eastAsia="IRNazanin"/>
          <w:color w:val="111111"/>
          <w:sz w:val="28"/>
          <w:sz w:val="28"/>
          <w:szCs w:val="28"/>
          <w:rtl w:val="true"/>
          <w:lang w:bidi="fa-IR"/>
        </w:rPr>
        <w:t>ثمّ إنّ نظیر هذا الإشکال الوارد فی المشکوکات من حیث الرجوع فیها بعد العمل بالظنّ إلی الاصول العملیّة،وارد فیها من حیث الرجوع فیها بعد العمل بالظنّ إلی الاصول اللفظیّة الجاریة فی ظواهر الکتاب و السنّة المتواترة و الأخبار المتیقّن کونها ظنونا خاصّة</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من مقدّمات دلیل الانسداد </w:t>
      </w:r>
      <w:r>
        <w:rPr>
          <w:rStyle w:val="FootnoteAnchor"/>
          <w:rtl w:val="true"/>
        </w:rPr>
        <w:footnoteReference w:id="1730"/>
      </w:r>
      <w:r>
        <w:rPr>
          <w:rFonts w:ascii="IRNazanin" w:hAnsi="IRNazanin" w:eastAsia="IRNazanin"/>
          <w:color w:val="111111"/>
          <w:sz w:val="28"/>
          <w:sz w:val="28"/>
          <w:szCs w:val="28"/>
          <w:rtl w:val="true"/>
          <w:lang w:bidi="fa-IR"/>
        </w:rPr>
        <w:t xml:space="preserve">إثبات عدم جواز العمل بتلک </w:t>
      </w:r>
      <w:r>
        <w:rPr>
          <w:rStyle w:val="FootnoteAnchor"/>
          <w:rtl w:val="true"/>
        </w:rPr>
        <w:footnoteReference w:id="1731"/>
      </w:r>
      <w:r>
        <w:rPr>
          <w:rFonts w:ascii="IRNazanin" w:hAnsi="IRNazanin" w:eastAsia="IRNazanin"/>
          <w:color w:val="111111"/>
          <w:sz w:val="28"/>
          <w:sz w:val="28"/>
          <w:szCs w:val="28"/>
          <w:rtl w:val="true"/>
          <w:lang w:bidi="fa-IR"/>
        </w:rPr>
        <w:t xml:space="preserve">الظواهر؛للعلم الإجمالیّ بمخالفة ظواهرها فی کثیر من </w:t>
      </w:r>
    </w:p>
    <w:p>
      <w:pPr>
        <w:pStyle w:val="BookText"/>
        <w:rPr/>
      </w:pPr>
      <w:r>
        <w:rPr>
          <w:rFonts w:ascii="IRNazanin" w:hAnsi="IRNazanin" w:eastAsia="IRNazanin"/>
          <w:color w:val="111111"/>
          <w:sz w:val="28"/>
          <w:sz w:val="28"/>
          <w:szCs w:val="28"/>
          <w:rtl w:val="true"/>
          <w:lang w:bidi="fa-IR"/>
        </w:rPr>
        <w:t>الموارد؛فتصیر مجملة لا تصلح للاستدلال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فرضنا رجوع الأمر إلی ترک الاحتیاط فی المظنونات أو فی المشکوکات أیضا،و جواز العمل بالظنّ المخالف للاحتیاط و بالأصل المخالف للاحتیاط؛فما الذی أخرج تلک الظواهر عن الإجمال حتّی یصحّ الاستدلال بها </w:t>
      </w:r>
      <w:r>
        <w:rPr>
          <w:rStyle w:val="FootnoteAnchor"/>
          <w:rtl w:val="true"/>
        </w:rPr>
        <w:footnoteReference w:id="1732"/>
      </w:r>
      <w:r>
        <w:rPr>
          <w:rFonts w:ascii="IRNazanin" w:hAnsi="IRNazanin" w:eastAsia="IRNazanin"/>
          <w:color w:val="111111"/>
          <w:sz w:val="28"/>
          <w:sz w:val="28"/>
          <w:szCs w:val="28"/>
          <w:rtl w:val="true"/>
          <w:lang w:bidi="fa-IR"/>
        </w:rPr>
        <w:t xml:space="preserve">فی المشکوکات؛إذ </w:t>
      </w:r>
      <w:r>
        <w:rPr>
          <w:rStyle w:val="FootnoteAnchor"/>
          <w:rtl w:val="true"/>
        </w:rPr>
        <w:footnoteReference w:id="1733"/>
      </w:r>
      <w:r>
        <w:rPr>
          <w:rFonts w:ascii="IRNazanin" w:hAnsi="IRNazanin" w:eastAsia="IRNazanin"/>
          <w:color w:val="111111"/>
          <w:sz w:val="28"/>
          <w:sz w:val="28"/>
          <w:szCs w:val="28"/>
          <w:rtl w:val="true"/>
          <w:lang w:bidi="fa-IR"/>
        </w:rPr>
        <w:t xml:space="preserve">لم یثبت کون الظنّ مرجعا کالعلم، بحیث یکفی فی الرجوع </w:t>
      </w:r>
      <w:r>
        <w:rPr>
          <w:rStyle w:val="FootnoteAnchor"/>
          <w:rtl w:val="true"/>
        </w:rPr>
        <w:footnoteReference w:id="1734"/>
      </w:r>
      <w:r>
        <w:rPr>
          <w:rFonts w:ascii="IRNazanin" w:hAnsi="IRNazanin" w:eastAsia="IRNazanin"/>
          <w:color w:val="111111"/>
          <w:sz w:val="28"/>
          <w:sz w:val="28"/>
          <w:szCs w:val="28"/>
          <w:rtl w:val="true"/>
          <w:lang w:bidi="fa-IR"/>
        </w:rPr>
        <w:t>إلی الظواهر عدم الظنّ بالمخالفة؟</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أردنا التمسّک ب أَوْفُوا بِالْعُقُودِ </w:t>
      </w:r>
      <w:r>
        <w:rPr>
          <w:rStyle w:val="FootnoteAnchor"/>
          <w:rtl w:val="true"/>
        </w:rPr>
        <w:footnoteReference w:id="1735"/>
      </w:r>
      <w:r>
        <w:rPr>
          <w:rFonts w:ascii="IRNazanin" w:hAnsi="IRNazanin" w:eastAsia="IRNazanin"/>
          <w:color w:val="111111"/>
          <w:sz w:val="28"/>
          <w:sz w:val="28"/>
          <w:szCs w:val="28"/>
          <w:rtl w:val="true"/>
          <w:lang w:bidi="fa-IR"/>
        </w:rPr>
        <w:t>لإثبات صحّة عقد انعقدت أمارة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کالشهرة أو الإجماع المنقول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فساده،قیل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التمسّک بعمومه؛للعلم الإجمالیّ بخروج کثیر من العقود عن هذا العموم لا نعلم تفصیلها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ثبت وجوب العمل بالظنّ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عدم إمکان الاحتیاط فی بعض الموارد،و کون الاحتیاط فی جمیع موارد إمکانه مستلزما للحرج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شکّ فی صحّة عقد لم یقم علی حکمه أمارة ظنّیة،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الواجب الرجوع إلی عموم الآیة،و لا یخفی أنّ إجمالها لا یرتفع بمجرّد حکم العقل بعدم وجوب الاحتیاط فیما ظنّ فیه بعدم التکلیف</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دفع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کالإشکال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منحصر فی أن یکون نتیجة دلیل </w:t>
      </w:r>
    </w:p>
    <w:p>
      <w:pPr>
        <w:pStyle w:val="BookText"/>
        <w:rPr/>
      </w:pPr>
      <w:r>
        <w:rPr>
          <w:rFonts w:ascii="IRNazanin" w:hAnsi="IRNazanin" w:eastAsia="IRNazanin"/>
          <w:color w:val="111111"/>
          <w:sz w:val="28"/>
          <w:sz w:val="28"/>
          <w:szCs w:val="28"/>
          <w:rtl w:val="true"/>
          <w:lang w:bidi="fa-IR"/>
        </w:rPr>
        <w:t>الانسداد حجّیّة الظنّ کالعلم،لیرتفع الإجمال فی الظواهر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لقیامه فی کثیر من مواردها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ارتفاع العلم الإجمالیّ،کما لو علم تفصیلا بعض تلک الموارد بحیث لا یبقی علم إجمالا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یدّعی أنّ العلم الإجمالیّ الحاصل فی تلک الظواهر إنّما هو بملاحظة موارد الأمارات،فلا یقدح فی المشکوکات سواء ثبت حجّیّة الظنّ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دعوی النتیجة علی الوجه المذکور یکذّبها مقدّمات دلیل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 المعلوم إجمالا من مخالفة الظواهر بموارد الأمارات،مضعّفة بأنّ هذا العلم حاصل بملاحظة </w:t>
      </w:r>
      <w:r>
        <w:rPr>
          <w:rStyle w:val="FootnoteAnchor"/>
          <w:rtl w:val="true"/>
        </w:rPr>
        <w:footnoteReference w:id="1736"/>
      </w:r>
      <w:r>
        <w:rPr>
          <w:rFonts w:ascii="IRNazanin" w:hAnsi="IRNazanin" w:eastAsia="IRNazanin"/>
          <w:color w:val="111111"/>
          <w:sz w:val="28"/>
          <w:sz w:val="28"/>
          <w:szCs w:val="28"/>
          <w:rtl w:val="true"/>
          <w:lang w:bidi="fa-IR"/>
        </w:rPr>
        <w:t>الأمارات و مواردها، و قد تقدّم سابقا أنّ المعیار فی دخول طائفة من المحتملات فی أطراف العلم الإجمالیّ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لنراعی فیها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دخولها،هو تبدیل طائفة من المحتملات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المعلوم لها دخل فی العلم الإجمالیّ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الطائفة المشکوک دخولها،فإن حصل العلم الإجمالیّ کانت من أطراف العلم،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یدفع الاشکالان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قیام الإجماع بل الضرورة علی أنّ المرجع فی المشکوکات إلی العمل بالاصول اللفظیّة إن کانت،و إلاّ فإلی الاصول العملیّة</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الإجماع مع ملاحظة الاصول فی أنفسها،و أمّا مع طروّ العلم الإجمالیّ بمخالفتها فی کثیر من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الکثرة</w:t>
      </w:r>
      <w:r>
        <w:rPr>
          <w:rFonts w:eastAsia="IRNazanin" w:cs="IRNazanin"/>
          <w:color w:val="111111"/>
          <w:sz w:val="28"/>
          <w:szCs w:val="28"/>
          <w:rtl w:val="true"/>
          <w:lang w:bidi="fa-IR"/>
        </w:rPr>
        <w:t xml:space="preserve">- </w:t>
      </w:r>
      <w:bookmarkStart w:id="1348" w:name="pg12977_114554"/>
    </w:p>
    <w:p>
      <w:pPr>
        <w:pStyle w:val="BookText"/>
        <w:rPr/>
      </w:pPr>
      <w:bookmarkEnd w:id="1348"/>
      <w:r>
        <w:rPr>
          <w:rFonts w:ascii="IRNazanin" w:hAnsi="IRNazanin" w:eastAsia="IRNazanin"/>
          <w:color w:val="111111"/>
          <w:sz w:val="28"/>
          <w:sz w:val="28"/>
          <w:szCs w:val="28"/>
          <w:rtl w:val="true"/>
          <w:lang w:bidi="fa-IR"/>
        </w:rPr>
        <w:t>فالإجماع علی سقوط العمل بالاصول مطلقا،لا علی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هذا العلم الإجمالیّ و إن کان حاصلا لکلّ أحد قبل تمییز </w:t>
      </w:r>
      <w:r>
        <w:rPr>
          <w:rStyle w:val="FootnoteAnchor"/>
          <w:rtl w:val="true"/>
        </w:rPr>
        <w:footnoteReference w:id="1737"/>
      </w:r>
      <w:r>
        <w:rPr>
          <w:rFonts w:ascii="IRNazanin" w:hAnsi="IRNazanin" w:eastAsia="IRNazanin"/>
          <w:color w:val="111111"/>
          <w:sz w:val="28"/>
          <w:sz w:val="28"/>
          <w:szCs w:val="28"/>
          <w:rtl w:val="true"/>
          <w:lang w:bidi="fa-IR"/>
        </w:rPr>
        <w:t xml:space="preserve">الأدلّة عن غیرها،إلاّ أنّ من تعیّنت له الأدلّة و قام الدلیل القطعیّ عنده علی بعض الظنون عمل بمؤدّاها،و صار المعلوم بالإجماع عنده معلوما بالتفصیل،کما إذا قامت أمارة معتبرة کالبیّنة و الید علی حرمة بعض </w:t>
      </w:r>
      <w:r>
        <w:rPr>
          <w:rStyle w:val="FootnoteAnchor"/>
          <w:rtl w:val="true"/>
        </w:rPr>
        <w:footnoteReference w:id="1738"/>
      </w:r>
      <w:r>
        <w:rPr>
          <w:rFonts w:ascii="IRNazanin" w:hAnsi="IRNazanin" w:eastAsia="IRNazanin"/>
          <w:color w:val="111111"/>
          <w:sz w:val="28"/>
          <w:sz w:val="28"/>
          <w:szCs w:val="28"/>
          <w:rtl w:val="true"/>
          <w:lang w:bidi="fa-IR"/>
        </w:rPr>
        <w:t>القطیع الذی علم بحرمة کثیر من شیاهها،فإنّه یعمل بمقتضی الأمارة،ثمّ یرجع فی مورد فقدها إلی أصالة الحلّ؛لأنّ المعلوم إجمالا صار معلوما بالتفصیل،و الحرام الزائد علیه غیر معلوم التحقّق فی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من لم یقم عنده الدلیل </w:t>
      </w:r>
      <w:r>
        <w:rPr>
          <w:rStyle w:val="FootnoteAnchor"/>
          <w:rtl w:val="true"/>
        </w:rPr>
        <w:footnoteReference w:id="1739"/>
      </w:r>
      <w:r>
        <w:rPr>
          <w:rFonts w:ascii="IRNazanin" w:hAnsi="IRNazanin" w:eastAsia="IRNazanin"/>
          <w:color w:val="111111"/>
          <w:sz w:val="28"/>
          <w:sz w:val="28"/>
          <w:szCs w:val="28"/>
          <w:rtl w:val="true"/>
          <w:lang w:bidi="fa-IR"/>
        </w:rPr>
        <w:t xml:space="preserve">علی أمارة،إلاّ أنّه ثبت له عدم وجوب الاحتیاط،و العمل بالأمارات لا من حیث إنّها أدلّة،بل من حیث إنّها مخالفة للاحتیاط و ترک الاحتیاط فیها موجب لاندفاع العسر،فلا رافع </w:t>
      </w:r>
      <w:r>
        <w:rPr>
          <w:rStyle w:val="FootnoteAnchor"/>
          <w:rtl w:val="true"/>
        </w:rPr>
        <w:footnoteReference w:id="1740"/>
      </w:r>
      <w:r>
        <w:rPr>
          <w:rFonts w:ascii="IRNazanin" w:hAnsi="IRNazanin" w:eastAsia="IRNazanin"/>
          <w:color w:val="111111"/>
          <w:sz w:val="28"/>
          <w:sz w:val="28"/>
          <w:szCs w:val="28"/>
          <w:rtl w:val="true"/>
          <w:lang w:bidi="fa-IR"/>
        </w:rPr>
        <w:t>لذلک العلم الإجمالیّ لهذا الشخص بالنسبة إلی المشکوکات</w:t>
      </w:r>
      <w:r>
        <w:rPr>
          <w:rFonts w:eastAsia="IRNazanin" w:cs="IRNazanin"/>
          <w:color w:val="111111"/>
          <w:sz w:val="28"/>
          <w:szCs w:val="28"/>
          <w:rtl w:val="true"/>
          <w:lang w:bidi="fa-IR"/>
        </w:rPr>
        <w:t>.</w:t>
      </w:r>
    </w:p>
    <w:p>
      <w:pPr>
        <w:pStyle w:val="Heading6"/>
        <w:numPr>
          <w:ilvl w:val="5"/>
          <w:numId w:val="1"/>
        </w:numPr>
        <w:rPr/>
      </w:pPr>
      <w:bookmarkStart w:id="1349" w:name="__RefHeading___Toc5447463_3224264995"/>
      <w:bookmarkStart w:id="1350" w:name="_Toc513"/>
      <w:bookmarkEnd w:id="1349"/>
      <w:r>
        <w:rPr>
          <w:rtl w:val="true"/>
        </w:rPr>
        <w:t>حاصل الکلام فی المسالة</w:t>
      </w:r>
      <w:bookmarkEnd w:id="1350"/>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فعلم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مقدّمات دلیل الانسداد علی تقریر الحکومة و إن کانت تامّة فی الإنتاج إلاّ أنّ نتیجتها لا تفی بالمقصود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حجّیة </w:t>
      </w:r>
    </w:p>
    <w:p>
      <w:pPr>
        <w:pStyle w:val="BookText"/>
        <w:rPr/>
      </w:pPr>
      <w:r>
        <w:rPr>
          <w:rFonts w:ascii="Amiri" w:hAnsi="Amiri" w:eastAsia="Amiri" w:cs="Amiri"/>
          <w:color w:val="111111"/>
          <w:sz w:val="28"/>
          <w:sz w:val="28"/>
          <w:szCs w:val="28"/>
          <w:rtl w:val="true"/>
          <w:lang w:bidi="ar-SA"/>
        </w:rPr>
        <w:t>الظنّ و جعله کالعلم أو کالظنّ الخاصّ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علی تقریر الکشف،فالمستنتج منها و إن کان عین المقصود، إلاّ أنّ الإشکال و النظر بل المنع فی استنتاج تلک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کنت تقدر علی إثبات حجّیّة قسم من الخبر لا یلزم من الاقتصار علیه محذور،کان أحسن،و إلاّ فلا تتعدّ علی تقریر الکشف عمّا </w:t>
      </w:r>
      <w:r>
        <w:rPr>
          <w:rStyle w:val="FootnoteAnchor"/>
          <w:rtl w:val="true"/>
        </w:rPr>
        <w:footnoteReference w:id="1741"/>
      </w:r>
      <w:r>
        <w:rPr>
          <w:rFonts w:ascii="IRNazanin" w:hAnsi="IRNazanin" w:eastAsia="IRNazanin"/>
          <w:color w:val="111111"/>
          <w:sz w:val="28"/>
          <w:sz w:val="28"/>
          <w:szCs w:val="28"/>
          <w:rtl w:val="true"/>
          <w:lang w:bidi="fa-IR"/>
        </w:rPr>
        <w:t xml:space="preserve">ذکرناه </w:t>
      </w:r>
      <w:r>
        <w:rPr>
          <w:rStyle w:val="FootnoteAnchor"/>
          <w:rtl w:val="true"/>
        </w:rPr>
        <w:footnoteReference w:id="1742"/>
      </w:r>
      <w:r>
        <w:rPr>
          <w:rFonts w:ascii="IRNazanin" w:hAnsi="IRNazanin" w:eastAsia="IRNazanin"/>
          <w:color w:val="111111"/>
          <w:sz w:val="28"/>
          <w:sz w:val="28"/>
          <w:szCs w:val="28"/>
          <w:rtl w:val="true"/>
          <w:lang w:bidi="fa-IR"/>
        </w:rPr>
        <w:t>من المسلک فی آخره،و علی تقدیر الحکومة ما بیّنا هنا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الاقتصار فی مقابل الاحتیاط علی الظنّ الاطمئنانیّ بالحکم أو بطریقیّة أمارة دلّت علی الحکم و إن لم تفد اطمئنانا بل و لا ظنّا، بناء علی ما عرفت من مسلکنا المتقدّم </w:t>
      </w:r>
      <w:r>
        <w:rPr>
          <w:rStyle w:val="FootnoteAnchor"/>
          <w:rtl w:val="true"/>
        </w:rPr>
        <w:footnoteReference w:id="17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الفرق بین الظنّ بالحکم و الظنّ بالطریق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ما لا یمکن الاحتیاط،فالمتّبع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علی ما تقدّم </w:t>
      </w:r>
      <w:r>
        <w:rPr>
          <w:rStyle w:val="FootnoteAnchor"/>
          <w:rtl w:val="true"/>
        </w:rPr>
        <w:footnoteReference w:id="1744"/>
      </w:r>
      <w:r>
        <w:rPr>
          <w:rFonts w:ascii="IRNazanin" w:hAnsi="IRNazanin" w:eastAsia="IRNazanin"/>
          <w:color w:val="111111"/>
          <w:sz w:val="28"/>
          <w:sz w:val="28"/>
          <w:szCs w:val="28"/>
          <w:rtl w:val="true"/>
          <w:lang w:bidi="fa-IR"/>
        </w:rPr>
        <w:t>فی المقدّمات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سقوط الاصول عن الاعتبار؛للعلم الإجمالیّ بمخالفة الواقع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مطلق الظنّ إن وجد،و إلاّ فالتخییر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رفع الید عن الاحتیاط فی الدین مهما أمکن إلاّ مع الاطمئنان بخلافه</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علیک بمراجعة ما قدّمنا من الأمارات علی حجّیّة الأخبار، عساک تظفر فیها بأمارات توجب الاطمئنان بوجوب العمل بخبر الثقة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 إذا أفاد الظنّ و إن لم یفد الاطمئنان،بل لعلّک تظفر فیها بخبر مصحّح بعدلین مطابق لعمل المشهور مفید للاطمئنان یدلّ علی حجّیّة المصحّح بواحد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حجّیة قول الثقة المعدّل فی تعدیله، فیصیر بمنزلة المعدّل بعدلین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یکون المصحّح بعدل واحد متّبعا؛بناء علی دلیل الانسداد بکلا تقریریه؛لأنّ المفروض حصول الاطمئنان من الخبر القائم علی حجّیة قول الثقة </w:t>
      </w:r>
      <w:r>
        <w:rPr>
          <w:rStyle w:val="FootnoteAnchor"/>
          <w:rtl w:val="true"/>
        </w:rPr>
        <w:footnoteReference w:id="1745"/>
      </w:r>
      <w:r>
        <w:rPr>
          <w:rFonts w:ascii="IRNazanin" w:hAnsi="IRNazanin" w:eastAsia="IRNazanin"/>
          <w:color w:val="111111"/>
          <w:sz w:val="28"/>
          <w:sz w:val="28"/>
          <w:szCs w:val="28"/>
          <w:rtl w:val="true"/>
          <w:lang w:bidi="fa-IR"/>
        </w:rPr>
        <w:t xml:space="preserve">المستلزم لحجّیة المصحّح بعدل واحد؛بناء علی شمول دلیل اعتبار خبر الثقة للتعدیلات </w:t>
      </w:r>
      <w:r>
        <w:rPr>
          <w:rStyle w:val="FootnoteAnchor"/>
          <w:rtl w:val="true"/>
        </w:rPr>
        <w:footnoteReference w:id="1746"/>
      </w:r>
      <w:r>
        <w:rPr>
          <w:rFonts w:ascii="IRNazanin" w:hAnsi="IRNazanin" w:eastAsia="IRNazanin"/>
          <w:color w:val="111111"/>
          <w:sz w:val="28"/>
          <w:sz w:val="28"/>
          <w:szCs w:val="28"/>
          <w:rtl w:val="true"/>
          <w:lang w:bidi="fa-IR"/>
        </w:rPr>
        <w:t>،فیقضی به تقریر الحکومة،و کون مثله متیقّن الاعتبار من بین الأمارات فیقضی به تقریر الکشف</w:t>
      </w:r>
      <w:r>
        <w:rPr>
          <w:rFonts w:eastAsia="IRNazanin" w:cs="IRNazanin"/>
          <w:color w:val="111111"/>
          <w:sz w:val="28"/>
          <w:szCs w:val="28"/>
          <w:rtl w:val="true"/>
          <w:lang w:bidi="fa-IR"/>
        </w:rPr>
        <w:t xml:space="preserve">. </w:t>
      </w:r>
      <w:bookmarkStart w:id="1351" w:name="pg12977_114557"/>
    </w:p>
    <w:p>
      <w:pPr>
        <w:pStyle w:val="Heading6"/>
        <w:numPr>
          <w:ilvl w:val="5"/>
          <w:numId w:val="1"/>
        </w:numPr>
        <w:rPr/>
      </w:pPr>
      <w:bookmarkStart w:id="1352" w:name="__RefHeading___Toc5447465_3224264995"/>
      <w:bookmarkStart w:id="1353" w:name="_Toc514"/>
      <w:bookmarkEnd w:id="1351"/>
      <w:bookmarkEnd w:id="1352"/>
      <w:r>
        <w:rPr>
          <w:rtl w:val="true"/>
        </w:rPr>
        <w:t>المقام الثالث</w:t>
      </w:r>
      <w:bookmarkEnd w:id="1353"/>
    </w:p>
    <w:p>
      <w:pPr>
        <w:pStyle w:val="BookText"/>
        <w:rPr/>
      </w:pPr>
      <w:r>
        <w:rPr>
          <w:rFonts w:ascii="IRNazanin" w:hAnsi="IRNazanin" w:eastAsia="IRNazanin"/>
          <w:color w:val="111111"/>
          <w:sz w:val="28"/>
          <w:sz w:val="28"/>
          <w:szCs w:val="28"/>
          <w:rtl w:val="true"/>
          <w:lang w:bidi="fa-IR"/>
        </w:rPr>
        <w:t xml:space="preserve">المقام الثالث </w:t>
      </w:r>
      <w:r>
        <w:rPr>
          <w:rStyle w:val="FootnoteAnchor"/>
          <w:rtl w:val="true"/>
        </w:rPr>
        <w:footnoteReference w:id="17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الإشکال فی خروج الظنّ القیاسی علی الکشف</w:t>
      </w:r>
    </w:p>
    <w:p>
      <w:pPr>
        <w:pStyle w:val="BookText"/>
        <w:rPr/>
      </w:pPr>
      <w:r>
        <w:rPr>
          <w:rFonts w:ascii="IRNazanin" w:hAnsi="IRNazanin" w:eastAsia="IRNazanin"/>
          <w:color w:val="111111"/>
          <w:sz w:val="28"/>
          <w:sz w:val="28"/>
          <w:szCs w:val="28"/>
          <w:rtl w:val="true"/>
          <w:lang w:bidi="fa-IR"/>
        </w:rPr>
        <w:t xml:space="preserve">فی أنّه إذا بنی علی تعمیم الظنّ،فإن کان التعمیم علی تقریر الکشف،بأن یکون مقدّمات الانسداد کاشفة عن حکم الشارع بوجوب العمل بالظنّ فی الجملة ثمّ تعمیمه بأحد </w:t>
      </w:r>
      <w:r>
        <w:rPr>
          <w:rStyle w:val="FootnoteAnchor"/>
          <w:rtl w:val="true"/>
        </w:rPr>
        <w:footnoteReference w:id="1748"/>
      </w:r>
      <w:r>
        <w:rPr>
          <w:rFonts w:ascii="IRNazanin" w:hAnsi="IRNazanin" w:eastAsia="IRNazanin"/>
          <w:color w:val="111111"/>
          <w:sz w:val="28"/>
          <w:sz w:val="28"/>
          <w:szCs w:val="28"/>
          <w:rtl w:val="true"/>
          <w:lang w:bidi="fa-IR"/>
        </w:rPr>
        <w:t xml:space="preserve">المعمّمات المتقدّمة، فلا إشکال </w:t>
      </w:r>
      <w:r>
        <w:rPr>
          <w:rStyle w:val="FootnoteAnchor"/>
          <w:rtl w:val="true"/>
        </w:rPr>
        <w:footnoteReference w:id="1749"/>
      </w:r>
      <w:r>
        <w:rPr>
          <w:rFonts w:ascii="IRNazanin" w:hAnsi="IRNazanin" w:eastAsia="IRNazanin"/>
          <w:color w:val="111111"/>
          <w:sz w:val="28"/>
          <w:sz w:val="28"/>
          <w:szCs w:val="28"/>
          <w:rtl w:val="true"/>
          <w:lang w:bidi="fa-IR"/>
        </w:rPr>
        <w:t xml:space="preserve">من جهة العلم بخروج القیاس عن هذا العموم؛لعدم جریان المعمّم فیه بعد وجود الدلیل علی حرمة العمل به </w:t>
      </w:r>
      <w:r>
        <w:rPr>
          <w:rStyle w:val="FootnoteAnchor"/>
          <w:rtl w:val="true"/>
        </w:rPr>
        <w:footnoteReference w:id="1750"/>
      </w:r>
      <w:r>
        <w:rPr>
          <w:rFonts w:ascii="IRNazanin" w:hAnsi="IRNazanin" w:eastAsia="IRNazanin"/>
          <w:color w:val="111111"/>
          <w:sz w:val="28"/>
          <w:sz w:val="28"/>
          <w:szCs w:val="28"/>
          <w:rtl w:val="true"/>
          <w:lang w:bidi="fa-IR"/>
        </w:rPr>
        <w:t>،فیکون التعمیم بالنسبة إلی ما عداه،کما لا یخفی علی من راجع المعمّمات المتقدّمة</w:t>
      </w:r>
      <w:r>
        <w:rPr>
          <w:rFonts w:eastAsia="IRNazanin" w:cs="IRNazanin"/>
          <w:color w:val="111111"/>
          <w:sz w:val="28"/>
          <w:szCs w:val="28"/>
          <w:rtl w:val="true"/>
          <w:lang w:bidi="fa-IR"/>
        </w:rPr>
        <w:t>.</w:t>
      </w:r>
    </w:p>
    <w:p>
      <w:pPr>
        <w:pStyle w:val="Heading6"/>
        <w:numPr>
          <w:ilvl w:val="5"/>
          <w:numId w:val="1"/>
        </w:numPr>
        <w:rPr/>
      </w:pPr>
      <w:bookmarkStart w:id="1354" w:name="__RefHeading___Toc5447467_3224264995"/>
      <w:bookmarkStart w:id="1355" w:name="_Toc515"/>
      <w:bookmarkEnd w:id="1354"/>
      <w:r>
        <w:rPr>
          <w:rtl w:val="true"/>
        </w:rPr>
        <w:t>توجّه الإشکال علی الحکومة</w:t>
      </w:r>
      <w:bookmarkEnd w:id="1355"/>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علی تقریر الحکومة،بأن یکون مقدّمات الدلیل موجبة لحکومة العقل بقبح إرادة الشارع ما عدا الظنّ و قبح اکتفاء المکلّف بما دونه </w:t>
      </w:r>
      <w:r>
        <w:rPr>
          <w:rStyle w:val="FootnoteAnchor"/>
          <w:rtl w:val="true"/>
        </w:rPr>
        <w:footnoteReference w:id="1751"/>
      </w:r>
      <w:r>
        <w:rPr>
          <w:rFonts w:ascii="IRNazanin" w:hAnsi="IRNazanin" w:eastAsia="IRNazanin"/>
          <w:color w:val="111111"/>
          <w:sz w:val="28"/>
          <w:sz w:val="28"/>
          <w:szCs w:val="28"/>
          <w:rtl w:val="true"/>
          <w:lang w:bidi="fa-IR"/>
        </w:rPr>
        <w:t>،فیشکل توجیه خروج القیاس،و کیف یجامع حکم العقل بکون الظنّ کالعلم مناطا للإطاعة و المعصیة و یقبح من الآمر و المأمور التعدّی عنه،و مع ذلک یحصل الظنّ أو خصوص الاطمئنان من القیاس، و لا یجوّز الشارع العمل به؟فإنّ المنع عن العمل بما یقتضیه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bookmarkStart w:id="1356" w:name="pg12977_114558"/>
    </w:p>
    <w:p>
      <w:pPr>
        <w:pStyle w:val="BookText"/>
        <w:rPr/>
      </w:pPr>
      <w:bookmarkEnd w:id="1356"/>
      <w:r>
        <w:rPr>
          <w:rFonts w:ascii="IRNazanin" w:hAnsi="IRNazanin" w:eastAsia="IRNazanin"/>
          <w:color w:val="111111"/>
          <w:sz w:val="28"/>
          <w:sz w:val="28"/>
          <w:szCs w:val="28"/>
          <w:rtl w:val="true"/>
          <w:lang w:bidi="fa-IR"/>
        </w:rPr>
        <w:t>الظنّ أو خصوص الاطمئنان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 ممکنا جری فی غیر القیاس، فلا یکون العقل مستقلا؛إذ لعلّه نهی عن أمارة مثل ما نهی عن القیاس بل و أزید،و اختفی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رافع </w:t>
      </w:r>
      <w:r>
        <w:rPr>
          <w:rStyle w:val="FootnoteAnchor"/>
          <w:rtl w:val="true"/>
        </w:rPr>
        <w:footnoteReference w:id="1752"/>
      </w:r>
      <w:r>
        <w:rPr>
          <w:rFonts w:ascii="IRNazanin" w:hAnsi="IRNazanin" w:eastAsia="IRNazanin"/>
          <w:color w:val="111111"/>
          <w:sz w:val="28"/>
          <w:sz w:val="28"/>
          <w:szCs w:val="28"/>
          <w:rtl w:val="true"/>
          <w:lang w:bidi="fa-IR"/>
        </w:rPr>
        <w:t>لهذا الاحتمال إلاّ قبح ذلک علی الشارع؛إذ احتمال صدور الممکن بالذات عن الحکیم لا یرتفع إلاّ بقبحه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أفراد ما اشتهر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الدلیل العقلیّ لا یقبل التخصیص،و منشؤه لزوم التناقض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یندفع إلاّ بکون الفرد الخارج عن الحکم خارجا عن الموضوع و هو التخصّص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التناقض فی تخصیص العمومات اللفظیّة إنّما هو لکون العموم صوریّا،فلا یلزم إلاّ التناقض الصوریّ</w:t>
      </w:r>
      <w:r>
        <w:rPr>
          <w:rFonts w:eastAsia="IRNazanin" w:cs="IRNazanin"/>
          <w:color w:val="111111"/>
          <w:sz w:val="28"/>
          <w:szCs w:val="28"/>
          <w:rtl w:val="true"/>
          <w:lang w:bidi="fa-IR"/>
        </w:rPr>
        <w:t>.</w:t>
      </w:r>
    </w:p>
    <w:p>
      <w:pPr>
        <w:pStyle w:val="Heading6"/>
        <w:numPr>
          <w:ilvl w:val="5"/>
          <w:numId w:val="1"/>
        </w:numPr>
        <w:rPr/>
      </w:pPr>
      <w:bookmarkStart w:id="1357" w:name="__RefHeading___Toc5447469_3224264995"/>
      <w:bookmarkStart w:id="1358" w:name="_Toc516"/>
      <w:bookmarkEnd w:id="1357"/>
      <w:r>
        <w:rPr>
          <w:rtl w:val="true"/>
        </w:rPr>
        <w:t>ثمّ إنّ الإشکال هنا فی مقامین</w:t>
      </w:r>
      <w:r>
        <w:rPr>
          <w:rtl w:val="true"/>
        </w:rPr>
        <w:t>:</w:t>
      </w:r>
      <w:bookmarkEnd w:id="1358"/>
    </w:p>
    <w:p>
      <w:pPr>
        <w:pStyle w:val="Heading6"/>
        <w:numPr>
          <w:ilvl w:val="5"/>
          <w:numId w:val="1"/>
        </w:numPr>
        <w:rPr/>
      </w:pPr>
      <w:bookmarkStart w:id="1359" w:name="__RefHeading___Toc5447471_3224264995"/>
      <w:bookmarkStart w:id="1360" w:name="_Toc517"/>
      <w:bookmarkEnd w:id="1359"/>
      <w:r>
        <w:rPr>
          <w:rtl w:val="true"/>
        </w:rPr>
        <w:t>المقام الأوّل</w:t>
      </w:r>
      <w:r>
        <w:rPr>
          <w:rtl w:val="true"/>
        </w:rPr>
        <w:t>:</w:t>
      </w:r>
      <w:r>
        <w:rPr>
          <w:rtl w:val="true"/>
        </w:rPr>
        <w:t>فی خروج الظنّ القیاسی عن حجیّة مطلق الظنّ</w:t>
      </w:r>
      <w:bookmarkEnd w:id="1360"/>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خروج مثل القیاس و أمثاله ممّا نقطع بعدم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الظنّ الذی قام علی عدم اعتباره ظنّ آخر؛ حیث إنّ الظنّ المانع و الممنوع متساویان فی الدخول تحت دلیل الانسداد و لا یجوز العمل بهما،فهل یطرحان أو یرجّح المانع أو الممنوع منه أو یرجع إلی الترجیح؟وجوه بل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الأوّل،فقد قیل فی توجیهه امور</w:t>
      </w:r>
      <w:r>
        <w:rPr>
          <w:rFonts w:eastAsia="IRNazanin" w:cs="IRNazanin"/>
          <w:color w:val="111111"/>
          <w:sz w:val="28"/>
          <w:szCs w:val="28"/>
          <w:rtl w:val="true"/>
          <w:lang w:bidi="fa-IR"/>
        </w:rPr>
        <w:t>:</w:t>
      </w:r>
    </w:p>
    <w:p>
      <w:pPr>
        <w:pStyle w:val="Heading6"/>
        <w:numPr>
          <w:ilvl w:val="5"/>
          <w:numId w:val="1"/>
        </w:numPr>
        <w:rPr/>
      </w:pPr>
      <w:bookmarkStart w:id="1361" w:name="__RefHeading___Toc5447473_3224264995"/>
      <w:bookmarkStart w:id="1362" w:name="_Toc518"/>
      <w:bookmarkEnd w:id="1361"/>
      <w:r>
        <w:rPr>
          <w:rtl w:val="true"/>
        </w:rPr>
        <w:t>ما قیل فی توجیه خروج القیاس</w:t>
      </w:r>
      <w:bookmarkEnd w:id="136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 حرمة العمل بالقیاس فی زمان الانسداد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مال إلیه أو قال به بعض </w:t>
      </w:r>
      <w:r>
        <w:rPr>
          <w:rStyle w:val="FootnoteAnchor"/>
          <w:rtl w:val="true"/>
        </w:rPr>
        <w:footnoteReference w:id="17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منع حرمة العمل </w:t>
      </w:r>
      <w:bookmarkStart w:id="1363" w:name="pg12977_114559"/>
    </w:p>
    <w:p>
      <w:pPr>
        <w:pStyle w:val="BookText"/>
        <w:rPr/>
      </w:pPr>
      <w:bookmarkEnd w:id="1363"/>
      <w:r>
        <w:rPr>
          <w:rFonts w:ascii="IRNazanin" w:hAnsi="IRNazanin" w:eastAsia="IRNazanin"/>
          <w:color w:val="111111"/>
          <w:sz w:val="28"/>
          <w:sz w:val="28"/>
          <w:szCs w:val="28"/>
          <w:rtl w:val="true"/>
          <w:lang w:bidi="fa-IR"/>
        </w:rPr>
        <w:t>بالقیاس فی أمثال زماننا،و توجیهه بتوضیح منّا</w:t>
      </w:r>
      <w:r>
        <w:rPr>
          <w:rFonts w:eastAsia="IRNazanin" w:cs="IRNazanin"/>
          <w:color w:val="111111"/>
          <w:sz w:val="28"/>
          <w:szCs w:val="28"/>
          <w:rtl w:val="true"/>
          <w:lang w:bidi="fa-IR"/>
        </w:rPr>
        <w:t>:</w:t>
      </w:r>
    </w:p>
    <w:p>
      <w:pPr>
        <w:pStyle w:val="Heading6"/>
        <w:numPr>
          <w:ilvl w:val="5"/>
          <w:numId w:val="1"/>
        </w:numPr>
        <w:rPr/>
      </w:pPr>
      <w:bookmarkStart w:id="1364" w:name="__RefHeading___Toc5447475_3224264995"/>
      <w:bookmarkStart w:id="1365" w:name="_Toc519"/>
      <w:bookmarkEnd w:id="1364"/>
      <w:r>
        <w:rPr>
          <w:rtl w:val="true"/>
        </w:rPr>
        <w:t>الأوّل</w:t>
      </w:r>
      <w:r>
        <w:rPr>
          <w:rtl w:val="true"/>
        </w:rPr>
        <w:t xml:space="preserve">: </w:t>
      </w:r>
      <w:r>
        <w:rPr>
          <w:rtl w:val="true"/>
        </w:rPr>
        <w:t>منع حرمة العمل بالقیاس فی زمان الانسداد</w:t>
      </w:r>
      <w:bookmarkEnd w:id="1365"/>
    </w:p>
    <w:p>
      <w:pPr>
        <w:pStyle w:val="BookText"/>
        <w:rPr/>
      </w:pPr>
      <w:r>
        <w:rPr>
          <w:rFonts w:ascii="IRNazanin" w:hAnsi="IRNazanin" w:eastAsia="IRNazanin"/>
          <w:color w:val="111111"/>
          <w:sz w:val="28"/>
          <w:sz w:val="28"/>
          <w:szCs w:val="28"/>
          <w:rtl w:val="true"/>
          <w:lang w:bidi="fa-IR"/>
        </w:rPr>
        <w:t>أنّ الدلیل علی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هی الأخبار المتواترة معنی فی الحرمة </w:t>
      </w:r>
      <w:r>
        <w:rPr>
          <w:rStyle w:val="FootnoteAnchor"/>
          <w:rtl w:val="true"/>
        </w:rPr>
        <w:footnoteReference w:id="1754"/>
      </w:r>
      <w:r>
        <w:rPr>
          <w:rFonts w:ascii="IRNazanin" w:hAnsi="IRNazanin" w:eastAsia="IRNazanin"/>
          <w:color w:val="111111"/>
          <w:sz w:val="28"/>
          <w:sz w:val="28"/>
          <w:szCs w:val="28"/>
          <w:rtl w:val="true"/>
          <w:lang w:bidi="fa-IR"/>
        </w:rPr>
        <w:t xml:space="preserve">،فلا ریب أنّ بعض تلک الأخبار فی مقابلة معاصری الأئمّة صلوات اللّه علیهم من العامّة التارکین للثقلین </w:t>
      </w:r>
      <w:r>
        <w:rPr>
          <w:rStyle w:val="FootnoteAnchor"/>
          <w:rtl w:val="true"/>
        </w:rPr>
        <w:footnoteReference w:id="1755"/>
      </w:r>
      <w:r>
        <w:rPr>
          <w:rFonts w:ascii="IRNazanin" w:hAnsi="IRNazanin" w:eastAsia="IRNazanin"/>
          <w:color w:val="111111"/>
          <w:sz w:val="28"/>
          <w:sz w:val="28"/>
          <w:szCs w:val="28"/>
          <w:rtl w:val="true"/>
          <w:lang w:bidi="fa-IR"/>
        </w:rPr>
        <w:t>،حیث ترکوا الثقل الأصغر الذی عنده علم الثقل الأکبر،و رجعوا إلی اجتهاداتهم و آرائهم، فقاسوا و استحسنوا و ضلّوا و أضلّوا،و إلیهم أشار النبیّ صلّی اللّه علیه و آله و سلم فی بیان من یأتی من بعده من الأقوام،فقال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برهة یعملون بالقیاس</w:t>
      </w:r>
      <w:r>
        <w:rPr>
          <w:rFonts w:eastAsia="IRNazanin" w:cs="IRNazanin"/>
          <w:color w:val="111111"/>
          <w:sz w:val="28"/>
          <w:szCs w:val="28"/>
          <w:rtl w:val="true"/>
          <w:lang w:bidi="fa-IR"/>
        </w:rPr>
        <w:t xml:space="preserve">» </w:t>
      </w:r>
      <w:r>
        <w:rPr>
          <w:rStyle w:val="FootnoteAnchor"/>
          <w:rtl w:val="true"/>
        </w:rPr>
        <w:footnoteReference w:id="1756"/>
      </w:r>
      <w:r>
        <w:rPr>
          <w:rFonts w:ascii="IRNazanin" w:hAnsi="IRNazanin" w:eastAsia="IRNazanin"/>
          <w:color w:val="111111"/>
          <w:sz w:val="28"/>
          <w:sz w:val="28"/>
          <w:szCs w:val="28"/>
          <w:rtl w:val="true"/>
          <w:lang w:bidi="fa-IR"/>
        </w:rPr>
        <w:t>،و الأمیر صلوات اللّه علیه بما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قوما تفلّتت عنهم الأحادیث أن یحفظوها و أعوزتهم النصوص أن یعوها،فتمسّکوا بآرائهم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الروایة</w:t>
      </w:r>
      <w:r>
        <w:rPr>
          <w:rFonts w:eastAsia="IRNazanin" w:cs="IRNazanin"/>
          <w:color w:val="111111"/>
          <w:sz w:val="28"/>
          <w:szCs w:val="28"/>
          <w:rtl w:val="true"/>
          <w:lang w:bidi="fa-IR"/>
        </w:rPr>
        <w:t xml:space="preserve">»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w:t>
      </w:r>
      <w:r>
        <w:rPr>
          <w:rStyle w:val="FootnoteAnchor"/>
          <w:rtl w:val="true"/>
        </w:rPr>
        <w:footnoteReference w:id="1758"/>
      </w:r>
      <w:r>
        <w:rPr>
          <w:rFonts w:ascii="IRNazanin" w:hAnsi="IRNazanin" w:eastAsia="IRNazanin"/>
          <w:color w:val="111111"/>
          <w:sz w:val="28"/>
          <w:sz w:val="28"/>
          <w:szCs w:val="28"/>
          <w:rtl w:val="true"/>
          <w:lang w:bidi="fa-IR"/>
        </w:rPr>
        <w:t>یدلّ علی الحرمة من حیث إنّه ظنّ لا یغنی من الحقّ شیئا</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یدلّ علی الحرمة من حیث استلزامه لإبطال الدین و محق السنّة؛لاستلزامه الوقوع غالبا فی خلاف الواقع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بعض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یدلّ علی الحرمة و وجوب التوقّف إذا لم یوجد ما عداه </w:t>
      </w:r>
      <w:r>
        <w:rPr>
          <w:rStyle w:val="FootnoteAnchor"/>
          <w:rtl w:val="true"/>
        </w:rPr>
        <w:footnoteReference w:id="1760"/>
      </w:r>
      <w:r>
        <w:rPr>
          <w:rFonts w:ascii="IRNazanin" w:hAnsi="IRNazanin" w:eastAsia="IRNazanin"/>
          <w:color w:val="111111"/>
          <w:sz w:val="28"/>
          <w:sz w:val="28"/>
          <w:szCs w:val="28"/>
          <w:rtl w:val="true"/>
          <w:lang w:bidi="fa-IR"/>
        </w:rPr>
        <w:t>،و لازمه الاختصاص بصورة التمکّن من إزالة التوقّف لأجل العمل بالرجوع إلی أئمّة الهدی علیهم السّلام،أو بصورة ما إذا کانت المسألة من غیر العملیّات،أو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شیئا من الأخبار الواردة علی أحد هذه الوجوه المتقدّمة،لا یدلّ علی حرمة العمل بالقیاس الکاشف عن صدور الحکم عموما أو خصوصا عن النبیّ صلّی اللّه علیه و آله أو أحد امنائه صلوات اللّه علیهم أجمعین،مع عدم التمکّن من تحصیل العلم به و لا الطریق الشرعیّ، و دوران الأمر بین العمل بما یظنّ أنّه صدر منهم علیهم السّلام و العمل بما یظنّ أنّ خلافه صدر منهم،کمقتضی الاصول المخالفة للقیاس فی موارده أو الأمارات </w:t>
      </w:r>
      <w:r>
        <w:rPr>
          <w:rStyle w:val="FootnoteAnchor"/>
          <w:rtl w:val="true"/>
        </w:rPr>
        <w:footnoteReference w:id="1761"/>
      </w:r>
      <w:r>
        <w:rPr>
          <w:rFonts w:ascii="IRNazanin" w:hAnsi="IRNazanin" w:eastAsia="IRNazanin"/>
          <w:color w:val="111111"/>
          <w:sz w:val="28"/>
          <w:sz w:val="28"/>
          <w:szCs w:val="28"/>
          <w:rtl w:val="true"/>
          <w:lang w:bidi="fa-IR"/>
        </w:rPr>
        <w:t>المعارضة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ذکرنا واضح علی من راعی الإنصاف و جانب الاعتساف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الدلیل هو الإجماع،بل الضرورة عند علماء المذهب کما ادّعی </w:t>
      </w:r>
      <w:r>
        <w:rPr>
          <w:rStyle w:val="FootnoteAnchor"/>
          <w:rtl w:val="true"/>
        </w:rPr>
        <w:footnoteReference w:id="1762"/>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کذلک،إلاّ أنّ دعوی الإجماع و الضرورة علی الحرمة فی کلّ زمان ممنوعة</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انسداد باب الظنّ من الطرق السمعیّة لعامّة المکلّفین أو لمکلّف واحد باعتبار ما سنح له من البعد عن بلاد الإسلام،فهل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یحرم علیه العمل بما یظنّ </w:t>
      </w:r>
      <w:bookmarkStart w:id="1366" w:name="pg12977_114561"/>
    </w:p>
    <w:p>
      <w:pPr>
        <w:pStyle w:val="BookText"/>
        <w:rPr/>
      </w:pPr>
      <w:bookmarkEnd w:id="1366"/>
      <w:r>
        <w:rPr>
          <w:rFonts w:ascii="IRNazanin" w:hAnsi="IRNazanin" w:eastAsia="IRNazanin"/>
          <w:color w:val="111111"/>
          <w:sz w:val="28"/>
          <w:sz w:val="28"/>
          <w:szCs w:val="28"/>
          <w:rtl w:val="true"/>
          <w:lang w:bidi="fa-IR"/>
        </w:rPr>
        <w:t>بواسطة القیاس أنّه الحکم الشرعیّ المتداول بین المتشرّعة،و أنّه مخیّر بین العمل به و العمل بما یقابله من الاحتمال الموهوم،ثمّ تدّعی الضرورة علی ما ادّعیته من الحرمة؟حاشاک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 بین زماننا هذا و زمان انطماس جمیع الأمارات السمعیّة ممنوعة؛لأنّ المفروض أنّ الأمارات السمعیّة الموجودة بأیدینا لم تثبت کونها مقدّمة </w:t>
      </w:r>
      <w:r>
        <w:rPr>
          <w:rStyle w:val="FootnoteAnchor"/>
          <w:rtl w:val="true"/>
        </w:rPr>
        <w:footnoteReference w:id="1763"/>
      </w:r>
      <w:r>
        <w:rPr>
          <w:rFonts w:ascii="IRNazanin" w:hAnsi="IRNazanin" w:eastAsia="IRNazanin"/>
          <w:color w:val="111111"/>
          <w:sz w:val="28"/>
          <w:sz w:val="28"/>
          <w:szCs w:val="28"/>
          <w:rtl w:val="true"/>
          <w:lang w:bidi="fa-IR"/>
        </w:rPr>
        <w:t>فی نظر الشارع علی القیاس؛لأنّ تقدّمها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لخصوصیّة فیها،فالمفروض بعد انسداد باب الظنّ الخاصّ عدم ثبوت خصوصیّة فیها،و احتمالها بل ظنّها لا یجدی،بل نفرض الکلام فیما إذا قطعنا بأنّ الشارع لم ینصب تلک الأمارات </w:t>
      </w:r>
      <w:r>
        <w:rPr>
          <w:rStyle w:val="FootnoteAnchor"/>
          <w:rtl w:val="true"/>
        </w:rPr>
        <w:footnoteReference w:id="1764"/>
      </w:r>
      <w:r>
        <w:rPr>
          <w:rFonts w:ascii="IRNazanin" w:hAnsi="IRNazanin" w:eastAsia="IRNazanin"/>
          <w:color w:val="111111"/>
          <w:sz w:val="28"/>
          <w:sz w:val="28"/>
          <w:szCs w:val="28"/>
          <w:rtl w:val="true"/>
          <w:lang w:bidi="fa-IR"/>
        </w:rPr>
        <w:t>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لخصوصیّة فی القیاس أوجبت کونه دونها فی المرتبة، فلیس الکلام إلاّ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کان،فدعوی الإجماع و الضرورة فی ذلک فی الجملة مسلّمة،و أمّا کلّیّة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الدعوی لیست بأولی من دعوی السیّد ضرورة المذهب علی حرمة العمل بأخبار الآحاد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67" w:name="__RefHeading___Toc5447477_3224264995"/>
      <w:bookmarkStart w:id="1368" w:name="_Toc520"/>
      <w:bookmarkEnd w:id="1367"/>
      <w:r>
        <w:rPr>
          <w:rtl w:val="true"/>
        </w:rPr>
        <w:t>المناقشة فی هذا الوجه</w:t>
      </w:r>
      <w:bookmarkEnd w:id="1368"/>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إطلاق بعض الأخبار و جمیع معاقد الإجماعات یوجب الظنّ المتاخم للعلم بل العلم بأنّه لیس ممّا یرکن إلیه فی الدین مع وجود الأمارات السمعیّة،فهو حینئذ ممّا قام الدلیل علی عدم حجّیّته،بل العمل بالقیاس المفید للظنّ فی مقابل الخبر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هو </w:t>
      </w:r>
      <w:bookmarkStart w:id="1369" w:name="pg12977_114562"/>
    </w:p>
    <w:p>
      <w:pPr>
        <w:pStyle w:val="BookText"/>
        <w:rPr/>
      </w:pPr>
      <w:bookmarkEnd w:id="1369"/>
      <w:r>
        <w:rPr>
          <w:rFonts w:ascii="IRNazanin" w:hAnsi="IRNazanin" w:eastAsia="IRNazanin"/>
          <w:color w:val="111111"/>
          <w:sz w:val="28"/>
          <w:sz w:val="28"/>
          <w:szCs w:val="28"/>
          <w:rtl w:val="true"/>
          <w:lang w:bidi="fa-IR"/>
        </w:rPr>
        <w:t>لازم القول بدخول القیاس فی مطلق الظنّ المحکوم بحجّیّته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 البطلان فی المذهب</w:t>
      </w:r>
      <w:r>
        <w:rPr>
          <w:rFonts w:eastAsia="IRNazanin" w:cs="IRNazanin"/>
          <w:color w:val="111111"/>
          <w:sz w:val="28"/>
          <w:szCs w:val="28"/>
          <w:rtl w:val="true"/>
          <w:lang w:bidi="fa-IR"/>
        </w:rPr>
        <w:t>.</w:t>
      </w:r>
    </w:p>
    <w:p>
      <w:pPr>
        <w:pStyle w:val="Heading6"/>
        <w:numPr>
          <w:ilvl w:val="5"/>
          <w:numId w:val="1"/>
        </w:numPr>
        <w:rPr/>
      </w:pPr>
      <w:bookmarkStart w:id="1370" w:name="__RefHeading___Toc5447479_3224264995"/>
      <w:bookmarkStart w:id="1371" w:name="_Toc521"/>
      <w:bookmarkEnd w:id="1370"/>
      <w:r>
        <w:rPr>
          <w:rtl w:val="true"/>
        </w:rPr>
        <w:t xml:space="preserve">الثانی </w:t>
      </w:r>
      <w:r>
        <w:rPr>
          <w:rtl w:val="true"/>
        </w:rPr>
        <w:t>:</w:t>
      </w:r>
      <w:r>
        <w:rPr>
          <w:rtl w:val="true"/>
        </w:rPr>
        <w:t>منع افادة القیاس للظن</w:t>
      </w:r>
      <w:bookmarkEnd w:id="1371"/>
    </w:p>
    <w:p>
      <w:pPr>
        <w:pStyle w:val="BookText"/>
        <w:rPr/>
      </w:pPr>
      <w:r>
        <w:rPr>
          <w:rFonts w:ascii="IRNazanin" w:hAnsi="IRNazanin" w:eastAsia="IRNazanin"/>
          <w:color w:val="111111"/>
          <w:sz w:val="28"/>
          <w:sz w:val="28"/>
          <w:szCs w:val="28"/>
          <w:rtl w:val="true"/>
          <w:lang w:bidi="fa-IR"/>
        </w:rPr>
        <w:t xml:space="preserve">الثانی </w:t>
      </w:r>
      <w:r>
        <w:rPr>
          <w:rStyle w:val="FootnoteAnchor"/>
          <w:rtl w:val="true"/>
        </w:rPr>
        <w:footnoteReference w:id="17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إفادة القیاس للظنّ</w:t>
      </w:r>
    </w:p>
    <w:p>
      <w:pPr>
        <w:pStyle w:val="BookText"/>
        <w:rPr/>
      </w:pPr>
      <w:r>
        <w:rPr>
          <w:rFonts w:ascii="IRNazanin" w:hAnsi="IRNazanin" w:eastAsia="IRNazanin"/>
          <w:color w:val="111111"/>
          <w:sz w:val="28"/>
          <w:sz w:val="28"/>
          <w:szCs w:val="28"/>
          <w:rtl w:val="true"/>
          <w:lang w:bidi="fa-IR"/>
        </w:rPr>
        <w:t>،خصوصا بعد ملاحظة أنّ الشارع جمع فی الحکم بین ما یتراءی متخالفة،و فرّق بین ما یتخیّل متآلفة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کفاک فی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 ما ورد من </w:t>
      </w:r>
      <w:r>
        <w:rPr>
          <w:rStyle w:val="FootnoteAnchor"/>
          <w:rtl w:val="true"/>
        </w:rPr>
        <w:footnoteReference w:id="17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دین اللّه لا یصاب بالعقول</w:t>
      </w:r>
      <w:r>
        <w:rPr>
          <w:rFonts w:eastAsia="IRNazanin" w:cs="IRNazanin"/>
          <w:color w:val="111111"/>
          <w:sz w:val="28"/>
          <w:szCs w:val="28"/>
          <w:rtl w:val="true"/>
          <w:lang w:bidi="fa-IR"/>
        </w:rPr>
        <w:t xml:space="preserve">» </w:t>
      </w:r>
      <w:r>
        <w:rPr>
          <w:rStyle w:val="FootnoteAnchor"/>
          <w:rtl w:val="true"/>
        </w:rPr>
        <w:footnoteReference w:id="176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السنّة إذا قیست محق الدین</w:t>
      </w:r>
      <w:r>
        <w:rPr>
          <w:rFonts w:eastAsia="IRNazanin" w:cs="IRNazanin"/>
          <w:color w:val="111111"/>
          <w:sz w:val="28"/>
          <w:szCs w:val="28"/>
          <w:rtl w:val="true"/>
          <w:lang w:bidi="fa-IR"/>
        </w:rPr>
        <w:t xml:space="preserve">» </w:t>
      </w:r>
      <w:r>
        <w:rPr>
          <w:rStyle w:val="FootnoteAnchor"/>
          <w:rtl w:val="true"/>
        </w:rPr>
        <w:footnoteReference w:id="176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شیء أبعد عن عقول الرجال من دین اللّه</w:t>
      </w:r>
      <w:r>
        <w:rPr>
          <w:rFonts w:eastAsia="IRNazanin" w:cs="IRNazanin"/>
          <w:color w:val="111111"/>
          <w:sz w:val="28"/>
          <w:szCs w:val="28"/>
          <w:rtl w:val="true"/>
          <w:lang w:bidi="fa-IR"/>
        </w:rPr>
        <w:t xml:space="preserve">» </w:t>
      </w:r>
      <w:r>
        <w:rPr>
          <w:rStyle w:val="FootnoteAnchor"/>
          <w:rtl w:val="true"/>
        </w:rPr>
        <w:footnoteReference w:id="1770"/>
      </w:r>
      <w:r>
        <w:rPr>
          <w:rFonts w:ascii="IRNazanin" w:hAnsi="IRNazanin" w:eastAsia="IRNazanin"/>
          <w:color w:val="111111"/>
          <w:sz w:val="28"/>
          <w:sz w:val="28"/>
          <w:szCs w:val="28"/>
          <w:rtl w:val="true"/>
          <w:lang w:bidi="fa-IR"/>
        </w:rPr>
        <w:t xml:space="preserve">،و غیرها ممّا دلّ علی غلبة مخالفة الواقع فی العمل بالقیاس </w:t>
      </w:r>
      <w:r>
        <w:rPr>
          <w:rStyle w:val="FootnoteAnchor"/>
          <w:rtl w:val="true"/>
        </w:rPr>
        <w:footnoteReference w:id="1771"/>
      </w:r>
      <w:r>
        <w:rPr>
          <w:rFonts w:ascii="IRNazanin" w:hAnsi="IRNazanin" w:eastAsia="IRNazanin"/>
          <w:color w:val="111111"/>
          <w:sz w:val="28"/>
          <w:sz w:val="28"/>
          <w:szCs w:val="28"/>
          <w:rtl w:val="true"/>
          <w:lang w:bidi="fa-IR"/>
        </w:rPr>
        <w:t xml:space="preserve">،و خصوص روایة أبان بن تغلب الواردة فی دیة أصابع الرجل و المرأة الآتیة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72" w:name="__RefHeading___Toc5447481_3224264995"/>
      <w:bookmarkStart w:id="1373" w:name="_Toc522"/>
      <w:bookmarkEnd w:id="1372"/>
      <w:r>
        <w:rPr>
          <w:rtl w:val="true"/>
        </w:rPr>
        <w:t>المناقشة فی هذا الوجه</w:t>
      </w:r>
      <w:bookmarkEnd w:id="1373"/>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منع حصول الظنّ من القیاس فی بعض الأحیان مکابرة مع الوجدان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کثرة تفریق الشارع بین المؤتلفات و تألیفه بین المختلفات،فلا یؤثّر فی منع الظنّ؛لأنّ هذه الموارد بالنسبة إلی موارد </w:t>
      </w:r>
      <w:bookmarkStart w:id="1374" w:name="pg12977_114563"/>
    </w:p>
    <w:p>
      <w:pPr>
        <w:pStyle w:val="BookText"/>
        <w:rPr/>
      </w:pPr>
      <w:bookmarkEnd w:id="1374"/>
      <w:r>
        <w:rPr>
          <w:rFonts w:ascii="IRNazanin" w:hAnsi="IRNazanin" w:eastAsia="IRNazanin"/>
          <w:color w:val="111111"/>
          <w:sz w:val="28"/>
          <w:sz w:val="28"/>
          <w:szCs w:val="28"/>
          <w:rtl w:val="true"/>
          <w:lang w:bidi="fa-IR"/>
        </w:rPr>
        <w:t>الجمع بین المؤتلفات أقلّ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 ذکر من الأخبار فی منع العمل بالقیاس </w:t>
      </w:r>
      <w:r>
        <w:rPr>
          <w:rStyle w:val="FootnoteAnchor"/>
          <w:rtl w:val="true"/>
        </w:rPr>
        <w:footnoteReference w:id="1773"/>
      </w:r>
      <w:r>
        <w:rPr>
          <w:rFonts w:ascii="IRNazanin" w:hAnsi="IRNazanin" w:eastAsia="IRNazanin"/>
          <w:color w:val="111111"/>
          <w:sz w:val="28"/>
          <w:sz w:val="28"/>
          <w:szCs w:val="28"/>
          <w:rtl w:val="true"/>
          <w:lang w:bidi="fa-IR"/>
        </w:rPr>
        <w:t>موهن قویّ یوجب غالبا ارتفاع الظنّ الحاصل منه فی بادئ النظر،أمّا منعه عن ذلک دائما فلا؛کیف؟و قد یحصل من القیاس القطع،و هو المسمّی عندهم بتنقیح المناط القطعیّ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فالأولویّة الاعتباریّة من أقسام القیاس،و من المعلوم إفادتها للظنّ،و لا ریب أنّ منشأ الظنّ فیها هو استنباط المناط ظنّا،و أمّا آکدیّته فی الفرع فلا مدخل له فی حصول الظنّ</w:t>
      </w:r>
      <w:r>
        <w:rPr>
          <w:rFonts w:eastAsia="IRNazanin" w:cs="IRNazanin"/>
          <w:color w:val="111111"/>
          <w:sz w:val="28"/>
          <w:szCs w:val="28"/>
          <w:rtl w:val="true"/>
          <w:lang w:bidi="fa-IR"/>
        </w:rPr>
        <w:t>.</w:t>
      </w:r>
    </w:p>
    <w:p>
      <w:pPr>
        <w:pStyle w:val="Heading6"/>
        <w:numPr>
          <w:ilvl w:val="5"/>
          <w:numId w:val="1"/>
        </w:numPr>
        <w:rPr/>
      </w:pPr>
      <w:bookmarkStart w:id="1375" w:name="__RefHeading___Toc5447483_3224264995"/>
      <w:bookmarkStart w:id="1376" w:name="_Toc523"/>
      <w:bookmarkEnd w:id="1375"/>
      <w:r>
        <w:rPr>
          <w:rtl w:val="true"/>
        </w:rPr>
        <w:t xml:space="preserve">الثالث </w:t>
      </w:r>
      <w:r>
        <w:rPr>
          <w:rtl w:val="true"/>
        </w:rPr>
        <w:t xml:space="preserve">: </w:t>
      </w:r>
      <w:r>
        <w:rPr>
          <w:rtl w:val="true"/>
        </w:rPr>
        <w:t>ان باب العلم فی القیاس</w:t>
      </w:r>
      <w:bookmarkEnd w:id="1376"/>
    </w:p>
    <w:p>
      <w:pPr>
        <w:pStyle w:val="BookText"/>
        <w:rPr/>
      </w:pPr>
      <w:r>
        <w:rPr>
          <w:rFonts w:ascii="IRNazanin" w:hAnsi="IRNazanin" w:eastAsia="IRNazanin"/>
          <w:color w:val="111111"/>
          <w:sz w:val="28"/>
          <w:sz w:val="28"/>
          <w:szCs w:val="28"/>
          <w:rtl w:val="true"/>
          <w:lang w:bidi="fa-IR"/>
        </w:rPr>
        <w:t xml:space="preserve">الثالث </w:t>
      </w:r>
      <w:r>
        <w:rPr>
          <w:rStyle w:val="FootnoteAnchor"/>
          <w:rtl w:val="true"/>
        </w:rPr>
        <w:footnoteReference w:id="17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باب العلم فی مورد القیاس و مثله مفتوح</w:t>
      </w:r>
    </w:p>
    <w:p>
      <w:pPr>
        <w:pStyle w:val="BookText"/>
        <w:rPr/>
      </w:pPr>
      <w:r>
        <w:rPr>
          <w:rFonts w:ascii="IRNazanin" w:hAnsi="IRNazanin" w:eastAsia="IRNazanin"/>
          <w:color w:val="111111"/>
          <w:sz w:val="28"/>
          <w:sz w:val="28"/>
          <w:szCs w:val="28"/>
          <w:rtl w:val="true"/>
          <w:lang w:bidi="fa-IR"/>
        </w:rPr>
        <w:t>؛للعلم بأنّ الشارع أرجعنا فی هذه الموارد إلی الاصول اللفظیّة أو العملیّة، فلا یقضی دلیل الانسداد باعتبار ظنّ القیاس فی موارده</w:t>
      </w:r>
      <w:r>
        <w:rPr>
          <w:rFonts w:eastAsia="IRNazanin" w:cs="IRNazanin"/>
          <w:color w:val="111111"/>
          <w:sz w:val="28"/>
          <w:szCs w:val="28"/>
          <w:rtl w:val="true"/>
          <w:lang w:bidi="fa-IR"/>
        </w:rPr>
        <w:t>.</w:t>
      </w:r>
    </w:p>
    <w:p>
      <w:pPr>
        <w:pStyle w:val="Heading6"/>
        <w:numPr>
          <w:ilvl w:val="5"/>
          <w:numId w:val="1"/>
        </w:numPr>
        <w:rPr/>
      </w:pPr>
      <w:bookmarkStart w:id="1377" w:name="__RefHeading___Toc5447485_3224264995"/>
      <w:bookmarkStart w:id="1378" w:name="_Toc524"/>
      <w:bookmarkEnd w:id="1377"/>
      <w:r>
        <w:rPr>
          <w:rtl w:val="true"/>
        </w:rPr>
        <w:t>المناقشة فی هذا الوجه</w:t>
      </w:r>
      <w:bookmarkEnd w:id="1378"/>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هذا العلم إنّما حصل من جهة النهی عن القیاس، و لا کلام فی وجوب الامتناع عنه بعد منع الشارع،إنّما الکلام فی توجیه نهی الشارع </w:t>
      </w:r>
      <w:r>
        <w:rPr>
          <w:rStyle w:val="FootnoteAnchor"/>
          <w:rtl w:val="true"/>
        </w:rPr>
        <w:footnoteReference w:id="1775"/>
      </w:r>
      <w:r>
        <w:rPr>
          <w:rFonts w:ascii="IRNazanin" w:hAnsi="IRNazanin" w:eastAsia="IRNazanin"/>
          <w:color w:val="111111"/>
          <w:sz w:val="28"/>
          <w:sz w:val="28"/>
          <w:szCs w:val="28"/>
          <w:rtl w:val="true"/>
          <w:lang w:bidi="fa-IR"/>
        </w:rPr>
        <w:t xml:space="preserve">عن العمل به مع أنّ موارده و موارد سائر الأمارات متساویة،فإن أمکن منع الشارع عن العمل بالقیاس أمکن ذلک فی أمارة اخری،فلا یستقلّ العقل بوجوب العمل بالظنّ و قبح </w:t>
      </w:r>
      <w:bookmarkStart w:id="1379" w:name="pg12977_114564"/>
    </w:p>
    <w:p>
      <w:pPr>
        <w:pStyle w:val="BookText"/>
        <w:rPr/>
      </w:pPr>
      <w:bookmarkEnd w:id="1379"/>
      <w:r>
        <w:rPr>
          <w:rFonts w:ascii="IRNazanin" w:hAnsi="IRNazanin" w:eastAsia="IRNazanin"/>
          <w:color w:val="111111"/>
          <w:sz w:val="28"/>
          <w:sz w:val="28"/>
          <w:szCs w:val="28"/>
          <w:rtl w:val="true"/>
          <w:lang w:bidi="fa-IR"/>
        </w:rPr>
        <w:t xml:space="preserve">الاکتفاء بغیره من المکلّف </w:t>
      </w:r>
      <w:r>
        <w:rPr>
          <w:rStyle w:val="FootnoteAnchor"/>
          <w:rtl w:val="true"/>
        </w:rPr>
        <w:footnoteReference w:id="17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أنّه لو لا ثبوت القبح فی التکلیف بالخلاف لم یستقلّ العقل بتعیّن </w:t>
      </w:r>
      <w:r>
        <w:rPr>
          <w:rStyle w:val="FootnoteAnchor"/>
          <w:rtl w:val="true"/>
        </w:rPr>
        <w:footnoteReference w:id="1777"/>
      </w:r>
      <w:r>
        <w:rPr>
          <w:rFonts w:ascii="IRNazanin" w:hAnsi="IRNazanin" w:eastAsia="IRNazanin"/>
          <w:color w:val="111111"/>
          <w:sz w:val="28"/>
          <w:sz w:val="28"/>
          <w:szCs w:val="28"/>
          <w:rtl w:val="true"/>
          <w:lang w:bidi="fa-IR"/>
        </w:rPr>
        <w:t>العمل بالظنّ؛إذ لا مانع عقلا عن وقوع الفعل الممکن ذاتا من الحکیم إلاّ قبحه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الانفتاح المدّعی إن کان مع قطع النظر عن منع الشارع فهو خلاف المفروض،و إن کان بملاحظة منع الشارع،فالإشکال فی صحّة المنع و مجامعته مع استقلال العقل بوجوب العمل بالظنّ،فالکلام هنا فی توجیه المنع،لا فی تحقّقه</w:t>
      </w:r>
      <w:r>
        <w:rPr>
          <w:rFonts w:eastAsia="IRNazanin" w:cs="IRNazanin"/>
          <w:color w:val="111111"/>
          <w:sz w:val="28"/>
          <w:szCs w:val="28"/>
          <w:rtl w:val="true"/>
          <w:lang w:bidi="fa-IR"/>
        </w:rPr>
        <w:t>.</w:t>
      </w:r>
    </w:p>
    <w:p>
      <w:pPr>
        <w:pStyle w:val="Heading6"/>
        <w:numPr>
          <w:ilvl w:val="5"/>
          <w:numId w:val="1"/>
        </w:numPr>
        <w:rPr/>
      </w:pPr>
      <w:bookmarkStart w:id="1380" w:name="__RefHeading___Toc5447487_3224264995"/>
      <w:bookmarkStart w:id="1381" w:name="_Toc525"/>
      <w:bookmarkEnd w:id="1380"/>
      <w:r>
        <w:rPr>
          <w:rtl w:val="true"/>
        </w:rPr>
        <w:t>الرابع</w:t>
      </w:r>
      <w:r>
        <w:rPr>
          <w:rtl w:val="true"/>
        </w:rPr>
        <w:t>:</w:t>
      </w:r>
      <w:r>
        <w:rPr>
          <w:rtl w:val="true"/>
        </w:rPr>
        <w:t>عدم حجیّة مطلق الظنّ النفس الأمری</w:t>
      </w:r>
      <w:bookmarkEnd w:id="1381"/>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Style w:val="FootnoteAnchor"/>
          <w:rtl w:val="true"/>
        </w:rPr>
        <w:footnoteReference w:id="17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مقدّمات دلیل الانسداد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انسداد باب العلم مع العلم ببقاء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توجب جواز العمل بما یفید الظنّ،یعنی </w:t>
      </w:r>
      <w:r>
        <w:rPr>
          <w:rStyle w:val="FootnoteAnchor"/>
          <w:rtl w:val="true"/>
        </w:rPr>
        <w:footnoteReference w:id="1779"/>
      </w:r>
      <w:r>
        <w:rPr>
          <w:rFonts w:ascii="IRNazanin" w:hAnsi="IRNazanin" w:eastAsia="IRNazanin"/>
          <w:color w:val="111111"/>
          <w:sz w:val="28"/>
          <w:sz w:val="28"/>
          <w:szCs w:val="28"/>
          <w:rtl w:val="true"/>
          <w:lang w:bidi="fa-IR"/>
        </w:rPr>
        <w:t>فی نفسه و مع قطع النظر عمّا یفید ظنّا أقوی،و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تدلّ علی حجّیّة الأدلّة الظنّیة دون مطلق الظنّ النفس الأمریّ،و الأوّل أمر قابل للاستثناء؛إذ یصحّ </w:t>
      </w:r>
      <w:r>
        <w:rPr>
          <w:rStyle w:val="FootnoteAnchor"/>
          <w:rtl w:val="true"/>
        </w:rPr>
        <w:footnoteReference w:id="1780"/>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یجوز العمل بکلّ ما یفید الظنّ بنفسه و یدلّ علی مراد الشارع ظنّا إلاّ الدلیل الفلانیّ،و بعد إخراج ما خرج عن ذلک یکون باقی الأدلّة </w:t>
      </w:r>
      <w:r>
        <w:rPr>
          <w:rStyle w:val="FootnoteAnchor"/>
          <w:rtl w:val="true"/>
        </w:rPr>
        <w:footnoteReference w:id="1781"/>
      </w:r>
      <w:r>
        <w:rPr>
          <w:rFonts w:ascii="IRNazanin" w:hAnsi="IRNazanin" w:eastAsia="IRNazanin"/>
          <w:color w:val="111111"/>
          <w:sz w:val="28"/>
          <w:sz w:val="28"/>
          <w:szCs w:val="28"/>
          <w:rtl w:val="true"/>
          <w:lang w:bidi="fa-IR"/>
        </w:rPr>
        <w:t xml:space="preserve">المفیدة للظنّ حجّة معتبرة،فإذا تعارضت تلک الأدلّة لزم الأخذ بما هو الأقوی و ترک ما هو الأضعف، </w:t>
      </w:r>
    </w:p>
    <w:p>
      <w:pPr>
        <w:pStyle w:val="BookText"/>
        <w:rPr/>
      </w:pPr>
      <w:r>
        <w:rPr>
          <w:rFonts w:ascii="IRNazanin" w:hAnsi="IRNazanin" w:eastAsia="IRNazanin"/>
          <w:color w:val="111111"/>
          <w:sz w:val="28"/>
          <w:sz w:val="28"/>
          <w:szCs w:val="28"/>
          <w:rtl w:val="true"/>
          <w:lang w:bidi="fa-IR"/>
        </w:rPr>
        <w:t xml:space="preserve">فالمعتبر حینئذ هو الظنّ بالواقع،و یکون مفاد الأقوی حینئذ ظنّا و الأضعف وهما،فیؤخذ بالظنّ و یترک غیره </w:t>
      </w:r>
      <w:r>
        <w:rPr>
          <w:rStyle w:val="FootnoteAnchor"/>
          <w:rtl w:val="true"/>
        </w:rPr>
        <w:footnoteReference w:id="178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غرضه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فرض جعل الاصول من باب الظنّ و عدم وجوب العمل بالاحتیاط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انسداد باب العلم فی الوقائع مع بقاء التکلیف فیها یوجب عقلا الرجوع إلی طائفة من الأمارات الظنّیة، و هذه القضیّة یمکن أن تکون مهملة و یکون القیاس خارجا عن حکمها، لا أنّ </w:t>
      </w:r>
      <w:r>
        <w:rPr>
          <w:rStyle w:val="FootnoteAnchor"/>
          <w:rtl w:val="true"/>
        </w:rPr>
        <w:footnoteReference w:id="1783"/>
      </w:r>
      <w:r>
        <w:rPr>
          <w:rFonts w:ascii="IRNazanin" w:hAnsi="IRNazanin" w:eastAsia="IRNazanin"/>
          <w:color w:val="111111"/>
          <w:sz w:val="28"/>
          <w:sz w:val="28"/>
          <w:szCs w:val="28"/>
          <w:rtl w:val="true"/>
          <w:lang w:bidi="fa-IR"/>
        </w:rPr>
        <w:t>العقل یحکم بعمومها و یخرج الشارع القیاس؛لأنّ هذا عین ما فرّ منه من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علم بخروج القیاس عن هذا الحکم فلا بدّ من إعمال الباقی فی مواردها،فإذا وجد فی مورد أصل و أمارة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أنّ الأصل لا یفید الظنّ فی مقابل الأمارة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الأخذ بها،و إذا فرض خلوّ المورد عن الأمارة اخذ بالأصل؛لأنّه یوجب الظنّ بمقتضاه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بهذا </w:t>
      </w:r>
      <w:r>
        <w:rPr>
          <w:rStyle w:val="FootnoteAnchor"/>
          <w:rtl w:val="true"/>
        </w:rPr>
        <w:footnoteReference w:id="1784"/>
      </w:r>
      <w:r>
        <w:rPr>
          <w:rFonts w:ascii="IRNazanin" w:hAnsi="IRNazanin" w:eastAsia="IRNazanin"/>
          <w:color w:val="111111"/>
          <w:sz w:val="28"/>
          <w:sz w:val="28"/>
          <w:szCs w:val="28"/>
          <w:rtl w:val="true"/>
          <w:lang w:bidi="fa-IR"/>
        </w:rPr>
        <w:t>التقریر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منع الشارع عن القیاس،بخلاف ما لو قرّرنا دلیل الانسداد علی وجه یقتضی الرجوع فی کلّ مسألة إلی الظنّ الموجود فیها؛فإنّ هذه القضیّة لا تقبل الإهمال و لا التخصیص؛إذ لیس فی کلّ مسألة إلاّ ظنّ واحد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معنی قوله فی مقام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القیاس مستثنی من الأدلّة الظنّیة،لا أنّ الظنّ القیاسیّ مستثنی من مطلق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بالاستثناء </w:t>
      </w:r>
      <w:bookmarkStart w:id="1382" w:name="pg12977_114566"/>
    </w:p>
    <w:p>
      <w:pPr>
        <w:pStyle w:val="BookText"/>
        <w:rPr/>
      </w:pPr>
      <w:bookmarkEnd w:id="1382"/>
      <w:r>
        <w:rPr>
          <w:rFonts w:ascii="IRNazanin" w:hAnsi="IRNazanin" w:eastAsia="IRNazanin"/>
          <w:color w:val="111111"/>
          <w:sz w:val="28"/>
          <w:sz w:val="28"/>
          <w:szCs w:val="28"/>
          <w:rtl w:val="true"/>
          <w:lang w:bidi="fa-IR"/>
        </w:rPr>
        <w:t>هنا إخراج ما لولاه لکان قابلا للدخول،لا داخلا بالفعل؛و إلاّ لم یصحّ بالنسبة إلی 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غایة ما یخطر بالبال فی کشف مراده</w:t>
      </w:r>
      <w:r>
        <w:rPr>
          <w:rFonts w:eastAsia="IRNazanin" w:cs="IRNazanin"/>
          <w:color w:val="111111"/>
          <w:sz w:val="28"/>
          <w:szCs w:val="28"/>
          <w:rtl w:val="true"/>
          <w:lang w:bidi="fa-IR"/>
        </w:rPr>
        <w:t>.</w:t>
      </w:r>
    </w:p>
    <w:p>
      <w:pPr>
        <w:pStyle w:val="Heading6"/>
        <w:numPr>
          <w:ilvl w:val="5"/>
          <w:numId w:val="1"/>
        </w:numPr>
        <w:rPr/>
      </w:pPr>
      <w:bookmarkStart w:id="1383" w:name="__RefHeading___Toc5447489_3224264995"/>
      <w:bookmarkStart w:id="1384" w:name="_Toc526"/>
      <w:bookmarkEnd w:id="1383"/>
      <w:r>
        <w:rPr>
          <w:rtl w:val="true"/>
        </w:rPr>
        <w:t>المناقشة فی هذا الوجه</w:t>
      </w:r>
      <w:bookmarkEnd w:id="1384"/>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نتیجة المقدّمات المذکورة لا تتغیّر بتقریرها علی وجه دون وجه؛فإنّ مرجع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الحکم بوجوب الرجوع إلی الأمارات الظنّیة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العمل بالظنّ فی الجملة </w:t>
      </w:r>
      <w:r>
        <w:rPr>
          <w:rStyle w:val="FootnoteAnchor"/>
          <w:rtl w:val="true"/>
        </w:rPr>
        <w:footnoteReference w:id="1785"/>
      </w:r>
      <w:r>
        <w:rPr>
          <w:rFonts w:ascii="IRNazanin" w:hAnsi="IRNazanin" w:eastAsia="IRNazanin"/>
          <w:color w:val="111111"/>
          <w:sz w:val="28"/>
          <w:sz w:val="28"/>
          <w:szCs w:val="28"/>
          <w:rtl w:val="true"/>
          <w:lang w:bidi="fa-IR"/>
        </w:rPr>
        <w:t xml:space="preserve">إذ لیس لذات الأمارة مدخلیّة فی الحجّیّة فی لحاظ العقل،و المناط هو وصف الظنّ،سواء اعتبر مطلقا أو علی وجه الإهمال،و قد تقدّم </w:t>
      </w:r>
      <w:r>
        <w:rPr>
          <w:rStyle w:val="FootnoteAnchor"/>
          <w:rtl w:val="true"/>
        </w:rPr>
        <w:footnoteReference w:id="17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النتیجة علی تقریر الحکومة لیست مهملة،بل هی معیّنة للظنّ الاطمئنانیّ مع الکفایة،و مع عدمها فمطلق الظنّ،و علی کلا التقدیرین لا وجه لإخراج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علی تقریر الکشف فهی مهملة لا یشکل معها خروج القیاس؛إذ الإشکال </w:t>
      </w:r>
      <w:r>
        <w:rPr>
          <w:rStyle w:val="FootnoteAnchor"/>
          <w:rtl w:val="true"/>
        </w:rPr>
        <w:footnoteReference w:id="1787"/>
      </w:r>
      <w:r>
        <w:rPr>
          <w:rFonts w:ascii="IRNazanin" w:hAnsi="IRNazanin" w:eastAsia="IRNazanin"/>
          <w:color w:val="111111"/>
          <w:sz w:val="28"/>
          <w:sz w:val="28"/>
          <w:szCs w:val="28"/>
          <w:rtl w:val="true"/>
          <w:lang w:bidi="fa-IR"/>
        </w:rPr>
        <w:t xml:space="preserve">مبنیّ علی عدم الإهمال و عموم النتیجة، کما عرفت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85" w:name="__RefHeading___Toc5447491_3224264995"/>
      <w:bookmarkStart w:id="1386" w:name="_Toc527"/>
      <w:bookmarkEnd w:id="1385"/>
      <w:r>
        <w:rPr>
          <w:rtl w:val="true"/>
        </w:rPr>
        <w:t>الخامس</w:t>
      </w:r>
      <w:r>
        <w:rPr>
          <w:rtl w:val="true"/>
        </w:rPr>
        <w:t>:</w:t>
      </w:r>
      <w:r>
        <w:rPr>
          <w:rtl w:val="true"/>
        </w:rPr>
        <w:t>عدم حجیّة الظنّ الذی قام علی حجیّته دلیل</w:t>
      </w:r>
      <w:bookmarkEnd w:id="1386"/>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Style w:val="FootnoteAnchor"/>
          <w:rtl w:val="true"/>
        </w:rPr>
        <w:footnoteReference w:id="17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دلیل الانسداد إنّما یثبت حجّیّة الظنّ الذی لم یقم علی عدم حجّیّته دلیل،فخروج القیاس علی وجه التخصّص دون </w:t>
      </w:r>
      <w:bookmarkStart w:id="1387" w:name="pg12977_114567"/>
    </w:p>
    <w:p>
      <w:pPr>
        <w:pStyle w:val="BookText"/>
        <w:rPr/>
      </w:pPr>
      <w:bookmarkEnd w:id="1387"/>
      <w:r>
        <w:rPr>
          <w:rFonts w:ascii="IRNazanin" w:hAnsi="IRNazanin" w:eastAsia="IRNazanin"/>
          <w:color w:val="111111"/>
          <w:sz w:val="28"/>
          <w:sz w:val="28"/>
          <w:szCs w:val="28"/>
          <w:rtl w:val="true"/>
          <w:lang w:bidi="fa-IR"/>
        </w:rPr>
        <w:t>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العقل إنّما یحکم باعتبار الظنّ و عدم الاعتناء بالاحتمال الموهوم فی مقام الامتثال؛لأنّ البراءة الظنّیة تقوم مقام العلمیّة،أمّا إذا حصل بواسطة منع الشارع القطع بعدم البراءة بالعمل بالقیاس،فلا یبقی براءة ظنّیة حتّی یحکم العقل بوجوبها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استوضح ذلک من حکم العقل بحرمة العمل بالظنّ و طرح الاحتمال الموهوم عند انفتاح باب العلم فی المسألة،کما تقدّم </w:t>
      </w:r>
      <w:r>
        <w:rPr>
          <w:rStyle w:val="FootnoteAnchor"/>
          <w:rtl w:val="true"/>
        </w:rPr>
        <w:footnoteReference w:id="1790"/>
      </w:r>
      <w:r>
        <w:rPr>
          <w:rFonts w:ascii="IRNazanin" w:hAnsi="IRNazanin" w:eastAsia="IRNazanin"/>
          <w:color w:val="111111"/>
          <w:sz w:val="28"/>
          <w:sz w:val="28"/>
          <w:szCs w:val="28"/>
          <w:rtl w:val="true"/>
          <w:lang w:bidi="fa-IR"/>
        </w:rPr>
        <w:t xml:space="preserve">فی تقریر أصالة حرمة العمل بالظنّ،فإذا فرض قیام الدلیل من الشارع علی اعتبار ظنّ و وجوب العمل به،فإنّ هذا لا یکون </w:t>
      </w:r>
      <w:r>
        <w:rPr>
          <w:rStyle w:val="FootnoteAnchor"/>
          <w:rtl w:val="true"/>
        </w:rPr>
        <w:footnoteReference w:id="1791"/>
      </w:r>
      <w:r>
        <w:rPr>
          <w:rFonts w:ascii="IRNazanin" w:hAnsi="IRNazanin" w:eastAsia="IRNazanin"/>
          <w:color w:val="111111"/>
          <w:sz w:val="28"/>
          <w:sz w:val="28"/>
          <w:szCs w:val="28"/>
          <w:rtl w:val="true"/>
          <w:lang w:bidi="fa-IR"/>
        </w:rPr>
        <w:t>تخصیصا فی حکم العقل بحرمة العمل بالظنّ؛لأنّ حرمة العمل بالظنّ مع التمکّن إنّما هو لقبح الاکتفاء بما دون الامتثال العلمیّ مع التمکّن من العلمیّ،فإذا فرض الدلیل علی اعتبار ظنّ و وجوب العمل به صار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العمل بمؤدّاه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علمیّا،فلا یشمله حکم العقل بقبح الاکتفاء بما دون الامتثال العلمیّ،فما نحن فیه علی العکس من ذلک</w:t>
      </w:r>
      <w:r>
        <w:rPr>
          <w:rFonts w:eastAsia="IRNazanin" w:cs="IRNazanin"/>
          <w:color w:val="111111"/>
          <w:sz w:val="28"/>
          <w:szCs w:val="28"/>
          <w:rtl w:val="true"/>
          <w:lang w:bidi="fa-IR"/>
        </w:rPr>
        <w:t>.</w:t>
      </w:r>
    </w:p>
    <w:p>
      <w:pPr>
        <w:pStyle w:val="Heading6"/>
        <w:numPr>
          <w:ilvl w:val="5"/>
          <w:numId w:val="1"/>
        </w:numPr>
        <w:rPr/>
      </w:pPr>
      <w:bookmarkStart w:id="1388" w:name="__RefHeading___Toc5447493_3224264995"/>
      <w:bookmarkStart w:id="1389" w:name="_Toc528"/>
      <w:bookmarkEnd w:id="1388"/>
      <w:r>
        <w:rPr>
          <w:rtl w:val="true"/>
        </w:rPr>
        <w:t>المناقشة فی هذا الوجه</w:t>
      </w:r>
      <w:bookmarkEnd w:id="1389"/>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التکلّم فی مذهب ابن قبة </w:t>
      </w:r>
      <w:r>
        <w:rPr>
          <w:rStyle w:val="FootnoteAnchor"/>
          <w:rtl w:val="true"/>
        </w:rPr>
        <w:footnoteReference w:id="17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التعبّد بالظنّ مع التمکّن من العلم علی وجهین</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وجه الطریقیّة بحیث لا یلاحظ الشارع فی أمره عدا کون الظنّ انکشافا ظنّیّا للواقع بحیث لا یترتّب علی العمل به عدا </w:t>
      </w:r>
    </w:p>
    <w:p>
      <w:pPr>
        <w:pStyle w:val="BookText"/>
        <w:rPr/>
      </w:pPr>
      <w:r>
        <w:rPr>
          <w:rFonts w:ascii="IRNazanin" w:hAnsi="IRNazanin" w:eastAsia="IRNazanin"/>
          <w:color w:val="111111"/>
          <w:sz w:val="28"/>
          <w:sz w:val="28"/>
          <w:szCs w:val="28"/>
          <w:rtl w:val="true"/>
          <w:lang w:bidi="fa-IR"/>
        </w:rPr>
        <w:t>مصلحة الواقع علی تقدیر المطابقة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یکون فی سلوکه مصلحة یتدارک بها مصلحة الواقع الفائتة علی تقدیر مخالفة الظنّ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عرفت </w:t>
      </w:r>
      <w:r>
        <w:rPr>
          <w:rStyle w:val="FootnoteAnchor"/>
          <w:rtl w:val="true"/>
        </w:rPr>
        <w:footnoteReference w:id="17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بالعمل بالظنّ مع التمکّن من العلم علی الوجه الأوّل قبیح جدّا؛لأنّه مخالف لحکم العقل بعدم الاکتفاء فی الوصول إلی الواقع بسلوک طریق ظنّیّ یحتمل الإفضاء إلی خلاف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نعم،إنّما یصحّ التعبّد علی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فی ما نحن فیه کذلک؛فإنّه بعد ما حکم العقل بانحصار الامتثال عند فقد العلم فی سلوک الطریق الظنّی،فنهی الشارع عن العمل ببعض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علی وجه الطریقیّة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نهی عند فقد العلم عن سلوک هذا الطریق من حیث إنّه ظنّ یحتمل فیه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قبیح؛لأنّه معرّض لفوات الواقع فینتقض به الغرض،کما کان یلزم ذلک من الأمر بسلوکه علی وجه الطریقیّة عند التمکّن من العلم؛لأنّ حال الظنّ عند الانسداد من حیث الطریقیّة حال العلم مع الانفتاح لا یجوز النهی عنه من هذه الحیثیّة فی الأوّل کما لا یجوز الأمر به فی الثانی،فالنهی عنه و إن کان مخرجا للعمل به عن ظنّ البراءة إلی القطع بعدمها،إلاّ أنّ الکلام فی جواز هذا النهی؛لما عرفت من أنّه قبیح</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علی وجه یکشف النهی عن وجود مفسدة فی العمل بهذا الظنّ یغلب علی مفسدة مخالفة الواقع اللازمة عند طرحه،فهذا و إن </w:t>
      </w:r>
      <w:bookmarkStart w:id="1390" w:name="pg12977_114569"/>
    </w:p>
    <w:p>
      <w:pPr>
        <w:pStyle w:val="BookText"/>
        <w:rPr/>
      </w:pPr>
      <w:bookmarkEnd w:id="1390"/>
      <w:r>
        <w:rPr>
          <w:rFonts w:ascii="IRNazanin" w:hAnsi="IRNazanin" w:eastAsia="IRNazanin"/>
          <w:color w:val="111111"/>
          <w:sz w:val="28"/>
          <w:sz w:val="28"/>
          <w:szCs w:val="28"/>
          <w:rtl w:val="true"/>
          <w:lang w:bidi="fa-IR"/>
        </w:rPr>
        <w:t xml:space="preserve">کان جائزا حسنا نظیر الأمر به علی هذا الوجه مع الانفتاح،إلاّ أنّه یرجع إلی ما سنذکره </w:t>
      </w:r>
      <w:r>
        <w:rPr>
          <w:rStyle w:val="FootnoteAnchor"/>
          <w:rtl w:val="true"/>
        </w:rPr>
        <w:footnoteReference w:id="1794"/>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91" w:name="__RefHeading___Toc5447495_3224264995"/>
      <w:bookmarkStart w:id="1392" w:name="_Toc529"/>
      <w:bookmarkEnd w:id="1391"/>
      <w:r>
        <w:rPr>
          <w:rtl w:val="true"/>
        </w:rPr>
        <w:t>السادس</w:t>
      </w:r>
      <w:r>
        <w:rPr>
          <w:rtl w:val="true"/>
        </w:rPr>
        <w:t>:</w:t>
      </w:r>
      <w:r>
        <w:rPr>
          <w:rtl w:val="true"/>
        </w:rPr>
        <w:t>و هو الذی اخترناه سابقا</w:t>
      </w:r>
      <w:bookmarkEnd w:id="1392"/>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اخترناه سابقا </w:t>
      </w:r>
      <w:r>
        <w:rPr>
          <w:rStyle w:val="FootnoteAnchor"/>
          <w:rtl w:val="true"/>
        </w:rPr>
        <w:footnoteReference w:id="1796"/>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النهی یکشف عن وجود مفسدة غالبة علی المصلحة الواقعیّة المدرکة علی تقدیر العمل به،فالنهی عن الظنون الخاصّة فی مقابل حکم العقل بوجوب العمل بالظنّ مع الانسداد نظیر الأمر بالظنون الخاصّة فی مقابل حکم العقل بحرمة العمل بالظنّ مع الانفتاح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بنی علی ذلک،فکلّ ظنّ من الظنون یحتمل أن یکون فی العمل به مفسدة کذلک</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نعم،و لکن احتمال المفسدة لا یقدح فی حکم العقل بوجوب سلوک طریق یظنّ معه بالبراءة عند الانسداد،کما أنّ احتمال وجود المصلحة المتدارکة لمصلحة الواقع فی ظنّ لا یقدح فی حکم العقل بحرمة العمل بالظنّ مع الانفتاح،و قد تقدّم فی آخر مقدّمات الانسداد </w:t>
      </w:r>
      <w:r>
        <w:rPr>
          <w:rStyle w:val="FootnoteAnchor"/>
          <w:rtl w:val="true"/>
        </w:rPr>
        <w:footnoteReference w:id="17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العقل مستقلّ بوجوب العمل بالظنّ مع انسداد باب العلم </w:t>
      </w:r>
      <w:r>
        <w:rPr>
          <w:rStyle w:val="FootnoteAnchor"/>
          <w:rtl w:val="true"/>
        </w:rPr>
        <w:footnoteReference w:id="1798"/>
      </w:r>
      <w:r>
        <w:rPr>
          <w:rFonts w:ascii="IRNazanin" w:hAnsi="IRNazanin" w:eastAsia="IRNazanin"/>
          <w:color w:val="111111"/>
          <w:sz w:val="28"/>
          <w:sz w:val="28"/>
          <w:szCs w:val="28"/>
          <w:rtl w:val="true"/>
          <w:lang w:bidi="fa-IR"/>
        </w:rPr>
        <w:t xml:space="preserve">،و لا اعتبار باحتمال کون شیء آخر هو المتعبّد به غیر الظنّ؛إذ لا یحصل من العمل </w:t>
      </w:r>
      <w:bookmarkStart w:id="1393" w:name="pg12977_114570"/>
    </w:p>
    <w:p>
      <w:pPr>
        <w:pStyle w:val="BookText"/>
        <w:rPr/>
      </w:pPr>
      <w:bookmarkEnd w:id="1393"/>
      <w:r>
        <w:rPr>
          <w:rFonts w:ascii="IRNazanin" w:hAnsi="IRNazanin" w:eastAsia="IRNazanin"/>
          <w:color w:val="111111"/>
          <w:sz w:val="28"/>
          <w:sz w:val="28"/>
          <w:szCs w:val="28"/>
          <w:rtl w:val="true"/>
          <w:lang w:bidi="fa-IR"/>
        </w:rPr>
        <w:t>بذلک المحتمل سوی الشکّ فی البراءة أو توهّمها،و لا یجوز العدول عن البراءة الظنّیة إلیهما</w:t>
      </w:r>
      <w:r>
        <w:rPr>
          <w:rFonts w:eastAsia="IRNazanin" w:cs="IRNazanin"/>
          <w:color w:val="111111"/>
          <w:sz w:val="28"/>
          <w:szCs w:val="28"/>
          <w:rtl w:val="true"/>
          <w:lang w:bidi="fa-IR"/>
        </w:rPr>
        <w:t>.</w:t>
      </w:r>
    </w:p>
    <w:p>
      <w:pPr>
        <w:pStyle w:val="Heading6"/>
        <w:numPr>
          <w:ilvl w:val="5"/>
          <w:numId w:val="1"/>
        </w:numPr>
        <w:rPr/>
      </w:pPr>
      <w:bookmarkStart w:id="1394" w:name="__RefHeading___Toc5447497_3224264995"/>
      <w:bookmarkStart w:id="1395" w:name="_Toc530"/>
      <w:bookmarkEnd w:id="1394"/>
      <w:r>
        <w:rPr>
          <w:rtl w:val="true"/>
        </w:rPr>
        <w:t>عدم تمامیّة هذا الوجه أیضا</w:t>
      </w:r>
      <w:bookmarkEnd w:id="1395"/>
    </w:p>
    <w:p>
      <w:pPr>
        <w:pStyle w:val="BookText"/>
        <w:rPr/>
      </w:pPr>
      <w:r>
        <w:rPr>
          <w:rFonts w:ascii="IRNazanin" w:hAnsi="IRNazanin" w:eastAsia="IRNazanin"/>
          <w:color w:val="111111"/>
          <w:sz w:val="28"/>
          <w:sz w:val="28"/>
          <w:szCs w:val="28"/>
          <w:rtl w:val="true"/>
          <w:lang w:bidi="fa-IR"/>
        </w:rPr>
        <w:t>و هذا الوجه و إن کان حسنا و قد اخترناه سابقا،إلاّ أنّ ظاهر أکثر الأخبار الناهیة عن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مفسدة فیه إلاّ الوقوع فی خلاف الواقع،و إن کان بعضها ساکتا عن ذلک و بعضها ظاهرا فی ثبوت المفسدة الذاتیّة،إلاّ أنّ دلالة الأکثر أظهر،فهی الحاکمة </w:t>
      </w:r>
      <w:r>
        <w:rPr>
          <w:rStyle w:val="FootnoteAnchor"/>
          <w:rtl w:val="true"/>
        </w:rPr>
        <w:footnoteReference w:id="1799"/>
      </w:r>
      <w:r>
        <w:rPr>
          <w:rFonts w:ascii="IRNazanin" w:hAnsi="IRNazanin" w:eastAsia="IRNazanin"/>
          <w:color w:val="111111"/>
          <w:sz w:val="28"/>
          <w:sz w:val="28"/>
          <w:szCs w:val="28"/>
          <w:rtl w:val="true"/>
          <w:lang w:bidi="fa-IR"/>
        </w:rPr>
        <w:t xml:space="preserve">علی غیرها، کما یظهر لمن راجع الجمیع،فالنهی راجع إلی سلوکه من باب الطریقیّة، و قد عرفت الاشکال فی النهی علی هذا الوجه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النواهی اللفظیّة عن العمل بالقیاس من حیث الطریقیّة لا بدّ من حملها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العقل المستقلّ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صورة انفتاح باب العلم بالرجوع إلی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الأدلّة القطعیّة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کالإجماع المنعقد علی حرمة العمل به حتّی مع الانسداد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له غیر المفسدة الذاتیّة،کما أنّه إذا قام دلیل علی حجّیّة ظنّ مع التمکّن من العلم نحمله علی وجود المصلحة المتدارکة لمخالفة الواقع؛لأنّ حمله علی العمل من حیث الطریقیّة مخالف لحکم العقل بقبح الاکتفاء بغیر العلم مع تیسّره</w:t>
      </w:r>
      <w:r>
        <w:rPr>
          <w:rFonts w:eastAsia="IRNazanin" w:cs="IRNazanin"/>
          <w:color w:val="111111"/>
          <w:sz w:val="28"/>
          <w:szCs w:val="28"/>
          <w:rtl w:val="true"/>
          <w:lang w:bidi="fa-IR"/>
        </w:rPr>
        <w:t>.</w:t>
      </w:r>
    </w:p>
    <w:p>
      <w:pPr>
        <w:pStyle w:val="Heading6"/>
        <w:numPr>
          <w:ilvl w:val="5"/>
          <w:numId w:val="1"/>
        </w:numPr>
        <w:rPr/>
      </w:pPr>
      <w:bookmarkStart w:id="1396" w:name="__RefHeading___Toc5447499_3224264995"/>
      <w:bookmarkStart w:id="1397" w:name="_Toc531"/>
      <w:bookmarkEnd w:id="1396"/>
      <w:r>
        <w:rPr>
          <w:rtl w:val="true"/>
        </w:rPr>
        <w:t>الوجه السابع</w:t>
      </w:r>
      <w:r>
        <w:rPr>
          <w:rtl w:val="true"/>
        </w:rPr>
        <w:t xml:space="preserve">: </w:t>
      </w:r>
      <w:r>
        <w:rPr>
          <w:rtl w:val="true"/>
        </w:rPr>
        <w:t>مختار المصنّف فی التوجیه</w:t>
      </w:r>
      <w:bookmarkEnd w:id="1397"/>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أنّ خصوصیّة القیاس من بین سائر الأمارات هی غلبة مخالفتها للواقع؛کما یشهد به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السنّة إذا قیست محق الدّین</w:t>
      </w:r>
      <w:r>
        <w:rPr>
          <w:rFonts w:eastAsia="IRNazanin" w:cs="IRNazanin"/>
          <w:color w:val="111111"/>
          <w:sz w:val="28"/>
          <w:szCs w:val="28"/>
          <w:rtl w:val="true"/>
          <w:lang w:bidi="fa-IR"/>
        </w:rPr>
        <w:t xml:space="preserve">» </w:t>
      </w:r>
      <w:r>
        <w:rPr>
          <w:rStyle w:val="FootnoteAnchor"/>
          <w:rtl w:val="true"/>
        </w:rPr>
        <w:footnoteReference w:id="1801"/>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ما یفسده أکثر ممّا یصلحه</w:t>
      </w:r>
      <w:r>
        <w:rPr>
          <w:rFonts w:eastAsia="IRNazanin" w:cs="IRNazanin"/>
          <w:color w:val="111111"/>
          <w:sz w:val="28"/>
          <w:szCs w:val="28"/>
          <w:rtl w:val="true"/>
          <w:lang w:bidi="fa-IR"/>
        </w:rPr>
        <w:t xml:space="preserve">» </w:t>
      </w:r>
      <w:r>
        <w:rPr>
          <w:rStyle w:val="FootnoteAnchor"/>
          <w:rtl w:val="true"/>
        </w:rPr>
        <w:footnoteReference w:id="1802"/>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شیء أبعد عن عقول الرّجال من دین اللّه</w:t>
      </w:r>
      <w:r>
        <w:rPr>
          <w:rFonts w:eastAsia="IRNazanin" w:cs="IRNazanin"/>
          <w:color w:val="111111"/>
          <w:sz w:val="28"/>
          <w:szCs w:val="28"/>
          <w:rtl w:val="true"/>
          <w:lang w:bidi="fa-IR"/>
        </w:rPr>
        <w:t xml:space="preserve">» </w:t>
      </w:r>
      <w:r>
        <w:rPr>
          <w:rStyle w:val="FootnoteAnchor"/>
          <w:rtl w:val="true"/>
        </w:rPr>
        <w:footnoteReference w:id="1803"/>
      </w:r>
      <w:r>
        <w:rPr>
          <w:rFonts w:ascii="IRNazanin" w:hAnsi="IRNazanin" w:eastAsia="IRNazanin"/>
          <w:color w:val="111111"/>
          <w:sz w:val="28"/>
          <w:sz w:val="28"/>
          <w:szCs w:val="28"/>
          <w:rtl w:val="true"/>
          <w:lang w:bidi="fa-IR"/>
        </w:rPr>
        <w:t xml:space="preserve">،و غیر ذلک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المعنی لمّا </w:t>
      </w:r>
      <w:r>
        <w:rPr>
          <w:rStyle w:val="FootnoteAnchor"/>
          <w:rtl w:val="true"/>
        </w:rPr>
        <w:footnoteReference w:id="1805"/>
      </w:r>
      <w:r>
        <w:rPr>
          <w:rFonts w:ascii="IRNazanin" w:hAnsi="IRNazanin" w:eastAsia="IRNazanin"/>
          <w:color w:val="111111"/>
          <w:sz w:val="28"/>
          <w:sz w:val="28"/>
          <w:szCs w:val="28"/>
          <w:rtl w:val="true"/>
          <w:lang w:bidi="fa-IR"/>
        </w:rPr>
        <w:t>خفی علی العقل الحاکم بوجوب سلوک الطرق الظنّیة عند فقد العلم،فهو إنّما یحکم بها لإدراک أکثر الواقعیّات المجهولة بها،فإذا کشف الشارع عن حال القیاس و تبیّن عند العقل حال القیاس فیحکم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 إجمالیّا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جواز الرکون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نعم،إذا حصل الظنّ منه فی خصوص مورد،لا یحکم بترجیح غیره علیه فی مقام البراءة عن الواقع،لکن یصحّ للشارع المنع عنه تعبّدا بحیث یظهر </w:t>
      </w:r>
      <w:r>
        <w:rPr>
          <w:rStyle w:val="FootnoteAnchor"/>
          <w:rtl w:val="true"/>
        </w:rPr>
        <w:footnoteReference w:id="18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أنّی ما ارید الواقعیّات التی تضمّنها </w:t>
      </w:r>
      <w:r>
        <w:rPr>
          <w:rStyle w:val="FootnoteAnchor"/>
          <w:rtl w:val="true"/>
        </w:rPr>
        <w:footnoteReference w:id="1807"/>
      </w:r>
      <w:r>
        <w:rPr>
          <w:rFonts w:ascii="IRNazanin" w:hAnsi="IRNazanin" w:eastAsia="IRNazanin"/>
          <w:color w:val="111111"/>
          <w:sz w:val="28"/>
          <w:sz w:val="28"/>
          <w:szCs w:val="28"/>
          <w:rtl w:val="true"/>
          <w:lang w:bidi="fa-IR"/>
        </w:rPr>
        <w:t>فإنّ الظنّ لیس کالعلم فی عدم جواز تکلیف الشخص بترکه و الأخذ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فالمحسّن لنهی الشارع عن سلوکه علی وجه الطریقیّة کونه فی علم الشارع مؤدّیا فی الغالب إلی مخالفة الواقع</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قبح النهی عن العمل بالقیاس علی وجه الطریقیّة؛ إمّا أن یکون لغلبة الوقوع فی خلاف الواقع مع طرحه فینافی الغرض، و إمّا أن یکون لأجل قبح ذلک فی نظر الظانّ؛حیث إنّ مقتضی القیاس أقرب فی نظره إلی الواقع،فالنهی عنه نقض لغرضه فی نظر الظانّ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الوجه الأوّل،فهو مفقود فی المقام؛لأنّ المفروض غلبة مخالفته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الثانی،فهو غیر قبیح بعد إمکان حمل الظانّ النهی فی ذلک المورد الشخصیّ علی عدم إرادة الواقع منه فی هذه المسألة و لو لأجل اطّراد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یصحّ أن یقول الشارع للوسواسیّ القاطع بنجاسة ثوبه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ارید منک الصلاة بطهارة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ثوبه فی الواقع نجسا؛حسما لمادّة وسواسه</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الوالد إذا أقام ولده الصغیر فی دکّانه فی مکانه، و علم منه أنّه یبیع أجناسه بحسب ظنونه القاصرة،صحّ له منعه عن العمل بظنّه،و یکون منعه فی الواقع لأجل عدم الخسارة فی البیع، و یکون هذا النهی فی نظر الصبیّ الظانّ بوجود النفع فی المعاملة الشخصیّة إقداما منه و رضی بالخسارة و ترک العمل بما یظنّه نفعا؛لئلا یقع فی الخسارة فی مقامات أخر؛فإنّ حصول الظنّ الشخصیّ بالنفع تفصیلا فی بعض الموارد لا ینافی علمه بأنّ العمل بالظنّ القیاسیّ منه و من غیره فی هذا المورد و فی غیره یوجب الوقوع غالبا فی مخالفة الواقع؛و لذا علمنا ذلک من الأخبار المتواترة معنی مع حصول الظنّ الشخصیّ فی الموارد منه،إلاّ أنّه کلّ مورد حصل الظنّ نقول بحسب ظنّنا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من موارد التخلّف،فنحمل عموم نهی الشارع الشامل لهذا المورد علی رفع الشارع یده عن الواقع و إغماضه عن الواقع فی موارد مطابقة القیاس؛لئلاّ یقع فی مفسدة تخلّفه عن الواقع فی أکثر الموارد</w:t>
      </w:r>
      <w:r>
        <w:rPr>
          <w:rFonts w:eastAsia="IRNazanin" w:cs="IRNazanin"/>
          <w:color w:val="111111"/>
          <w:sz w:val="28"/>
          <w:szCs w:val="28"/>
          <w:rtl w:val="true"/>
          <w:lang w:bidi="fa-IR"/>
        </w:rPr>
        <w:t xml:space="preserve">. </w:t>
      </w:r>
      <w:bookmarkStart w:id="1398" w:name="pg12977_114573"/>
    </w:p>
    <w:p>
      <w:pPr>
        <w:pStyle w:val="BookText"/>
        <w:rPr/>
      </w:pPr>
      <w:bookmarkEnd w:id="1398"/>
      <w:r>
        <w:rPr>
          <w:rFonts w:ascii="IRNazanin" w:hAnsi="IRNazanin" w:eastAsia="IRNazanin"/>
          <w:color w:val="111111"/>
          <w:sz w:val="28"/>
          <w:sz w:val="28"/>
          <w:szCs w:val="28"/>
          <w:rtl w:val="true"/>
          <w:lang w:bidi="fa-IR"/>
        </w:rPr>
        <w:t>هذه جملة ما حضرنی من نفسی و من غیری فی دفع الإشکال، و علیک بالتأمّل فی هذا المجال،و اللّه العالم بحقیقة الحال</w:t>
      </w:r>
      <w:r>
        <w:rPr>
          <w:rFonts w:eastAsia="IRNazanin" w:cs="IRNazanin"/>
          <w:color w:val="111111"/>
          <w:sz w:val="28"/>
          <w:szCs w:val="28"/>
          <w:rtl w:val="true"/>
          <w:lang w:bidi="fa-IR"/>
        </w:rPr>
        <w:t>.</w:t>
      </w:r>
    </w:p>
    <w:p>
      <w:pPr>
        <w:pStyle w:val="Heading6"/>
        <w:numPr>
          <w:ilvl w:val="5"/>
          <w:numId w:val="1"/>
        </w:numPr>
        <w:rPr/>
      </w:pPr>
      <w:bookmarkStart w:id="1399" w:name="__RefHeading___Toc5447501_3224264995"/>
      <w:bookmarkStart w:id="1400" w:name="_Toc532"/>
      <w:bookmarkEnd w:id="1399"/>
      <w:r>
        <w:rPr>
          <w:rtl w:val="true"/>
        </w:rPr>
        <w:t>المقام الثانی</w:t>
      </w:r>
      <w:r>
        <w:rPr>
          <w:rtl w:val="true"/>
        </w:rPr>
        <w:t xml:space="preserve">: </w:t>
      </w:r>
      <w:r>
        <w:rPr>
          <w:rtl w:val="true"/>
        </w:rPr>
        <w:t>لو قام ظن علی حرمة العمل ببعض الظنون</w:t>
      </w:r>
      <w:bookmarkEnd w:id="1400"/>
    </w:p>
    <w:p>
      <w:pPr>
        <w:pStyle w:val="BookText"/>
        <w:rPr/>
      </w:pPr>
      <w:r>
        <w:rPr>
          <w:rFonts w:ascii="IRNazanin" w:hAnsi="IRNazanin" w:eastAsia="IRNazanin"/>
          <w:color w:val="111111"/>
          <w:sz w:val="28"/>
          <w:sz w:val="28"/>
          <w:szCs w:val="28"/>
          <w:rtl w:val="true"/>
          <w:lang w:bidi="fa-IR"/>
        </w:rPr>
        <w:t xml:space="preserve">المقام الثانی </w:t>
      </w:r>
      <w:r>
        <w:rPr>
          <w:rStyle w:val="FootnoteAnchor"/>
          <w:rtl w:val="true"/>
        </w:rPr>
        <w:footnoteReference w:id="18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قام ظنّ من أفراد مطلق الظنّ علی حرمة العمل ببعضها</w:t>
      </w:r>
    </w:p>
    <w:p>
      <w:pPr>
        <w:pStyle w:val="BookText"/>
        <w:rPr/>
      </w:pPr>
      <w:r>
        <w:rPr>
          <w:rFonts w:ascii="IRNazanin" w:hAnsi="IRNazanin" w:eastAsia="IRNazanin"/>
          <w:color w:val="111111"/>
          <w:sz w:val="28"/>
          <w:sz w:val="28"/>
          <w:szCs w:val="28"/>
          <w:rtl w:val="true"/>
          <w:lang w:bidi="fa-IR"/>
        </w:rPr>
        <w:t>بالخصوص،لا علی عدم الدلیل علی اعتباره،فیخرج مثل الشهرة القائمة علی عدم حجّیة الشهرة؛لأنّ مرجعها إلی انعقاد الشهرة علی عدم الدلیل علی حجّیّة الشهرة و بقائها تحت الأصل</w:t>
      </w:r>
      <w:r>
        <w:rPr>
          <w:rFonts w:eastAsia="IRNazanin" w:cs="IRNazanin"/>
          <w:color w:val="111111"/>
          <w:sz w:val="28"/>
          <w:szCs w:val="28"/>
          <w:rtl w:val="true"/>
          <w:lang w:bidi="fa-IR"/>
        </w:rPr>
        <w:t>.</w:t>
      </w:r>
    </w:p>
    <w:p>
      <w:pPr>
        <w:pStyle w:val="Heading6"/>
        <w:numPr>
          <w:ilvl w:val="5"/>
          <w:numId w:val="1"/>
        </w:numPr>
        <w:rPr/>
      </w:pPr>
      <w:bookmarkStart w:id="1401" w:name="__RefHeading___Toc5447503_3224264995"/>
      <w:bookmarkStart w:id="1402" w:name="_Toc533"/>
      <w:bookmarkEnd w:id="1401"/>
      <w:r>
        <w:rPr>
          <w:rtl w:val="true"/>
        </w:rPr>
        <w:t>هل یجب العمل بالظنّ الممنوع أو المانع أو الأقوی منهما أو التساقط؟</w:t>
      </w:r>
      <w:bookmarkEnd w:id="1402"/>
    </w:p>
    <w:p>
      <w:pPr>
        <w:pStyle w:val="BookText"/>
        <w:rPr/>
      </w:pPr>
      <w:r>
        <w:rPr>
          <w:rFonts w:ascii="IRNazanin" w:hAnsi="IRNazanin" w:eastAsia="IRNazanin"/>
          <w:color w:val="111111"/>
          <w:sz w:val="28"/>
          <w:sz w:val="28"/>
          <w:szCs w:val="28"/>
          <w:rtl w:val="true"/>
          <w:lang w:bidi="fa-IR"/>
        </w:rPr>
        <w:t>و فی وجوب العمل بالظنّ الممنوع أو المانع أو الأقوی منهما أو التساقط وجوه،بل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بعض مشایخنا </w:t>
      </w:r>
      <w:r>
        <w:rPr>
          <w:rStyle w:val="FootnoteAnchor"/>
          <w:rtl w:val="true"/>
        </w:rPr>
        <w:footnoteReference w:id="1809"/>
      </w:r>
      <w:r>
        <w:rPr>
          <w:rFonts w:ascii="IRNazanin" w:hAnsi="IRNazanin" w:eastAsia="IRNazanin"/>
          <w:color w:val="111111"/>
          <w:sz w:val="28"/>
          <w:sz w:val="28"/>
          <w:szCs w:val="28"/>
          <w:rtl w:val="true"/>
          <w:lang w:bidi="fa-IR"/>
        </w:rPr>
        <w:t xml:space="preserve">إلی الأوّل؛بناء منه علی ما عرفت سابقا </w:t>
      </w:r>
      <w:r>
        <w:rPr>
          <w:rStyle w:val="FootnoteAnchor"/>
          <w:rtl w:val="true"/>
        </w:rPr>
        <w:footnoteReference w:id="18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بناء غیر واحد منهم علی أنّ دلیل الانسداد لا یثبت اعتبار الظنّ فی المسائل الاصولیّة التی منها مسألة حجّیّة الممنوع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لازم بعض المعاصرین </w:t>
      </w:r>
      <w:r>
        <w:rPr>
          <w:rStyle w:val="FootnoteAnchor"/>
          <w:rtl w:val="true"/>
        </w:rPr>
        <w:footnoteReference w:id="1811"/>
      </w:r>
      <w:r>
        <w:rPr>
          <w:rFonts w:ascii="IRNazanin" w:hAnsi="IRNazanin" w:eastAsia="IRNazanin"/>
          <w:color w:val="111111"/>
          <w:sz w:val="28"/>
          <w:sz w:val="28"/>
          <w:szCs w:val="28"/>
          <w:rtl w:val="true"/>
          <w:lang w:bidi="fa-IR"/>
        </w:rPr>
        <w:t>الثانی؛بناء علی ما عرفت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اللازم بعد الانسداد تحصیل الظنّ بالطریق،فلا عبرة بالظنّ بالواقع ما لم یقم علی اعتباره ظنّ</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عرفت ضعف کلا البناءین </w:t>
      </w:r>
      <w:r>
        <w:rPr>
          <w:rStyle w:val="FootnoteAnchor"/>
          <w:rtl w:val="true"/>
        </w:rPr>
        <w:footnoteReference w:id="1812"/>
      </w:r>
      <w:r>
        <w:rPr>
          <w:rFonts w:ascii="IRNazanin" w:hAnsi="IRNazanin" w:eastAsia="IRNazanin"/>
          <w:color w:val="111111"/>
          <w:sz w:val="28"/>
          <w:sz w:val="28"/>
          <w:szCs w:val="28"/>
          <w:rtl w:val="true"/>
          <w:lang w:bidi="fa-IR"/>
        </w:rPr>
        <w:t xml:space="preserve">،و أنّ نتیجة مقدّمات الانسداد </w:t>
      </w:r>
      <w:bookmarkStart w:id="1403" w:name="pg12977_114574"/>
    </w:p>
    <w:p>
      <w:pPr>
        <w:pStyle w:val="BookText"/>
        <w:rPr/>
      </w:pPr>
      <w:bookmarkEnd w:id="1403"/>
      <w:r>
        <w:rPr>
          <w:rFonts w:ascii="IRNazanin" w:hAnsi="IRNazanin" w:eastAsia="IRNazanin"/>
          <w:color w:val="111111"/>
          <w:sz w:val="28"/>
          <w:sz w:val="28"/>
          <w:szCs w:val="28"/>
          <w:rtl w:val="true"/>
          <w:lang w:bidi="fa-IR"/>
        </w:rPr>
        <w:t>هو الظنّ بسقوط التکالیف الواقعیّة فی نظر الشارع الحاصل بموافقة نفس الواقع،و بموافقة طریق رضی الشارع به عن الواقع</w:t>
      </w:r>
      <w:r>
        <w:rPr>
          <w:rFonts w:eastAsia="IRNazanin" w:cs="IRNazanin"/>
          <w:color w:val="111111"/>
          <w:sz w:val="28"/>
          <w:szCs w:val="28"/>
          <w:rtl w:val="true"/>
          <w:lang w:bidi="fa-IR"/>
        </w:rPr>
        <w:t>.</w:t>
      </w:r>
    </w:p>
    <w:p>
      <w:pPr>
        <w:pStyle w:val="Heading6"/>
        <w:numPr>
          <w:ilvl w:val="5"/>
          <w:numId w:val="1"/>
        </w:numPr>
        <w:rPr/>
      </w:pPr>
      <w:bookmarkStart w:id="1404" w:name="__RefHeading___Toc5447505_3224264995"/>
      <w:bookmarkStart w:id="1405" w:name="_Toc534"/>
      <w:bookmarkEnd w:id="1404"/>
      <w:r>
        <w:rPr>
          <w:rtl w:val="true"/>
        </w:rPr>
        <w:t>القول بوجوب طرح الظنّ الممنوع و الاستدلال علیه</w:t>
      </w:r>
      <w:bookmarkEnd w:id="1405"/>
    </w:p>
    <w:p>
      <w:pPr>
        <w:pStyle w:val="BookText"/>
        <w:rPr/>
      </w:pPr>
      <w:r>
        <w:rPr>
          <w:rFonts w:ascii="IRNazanin" w:hAnsi="IRNazanin" w:eastAsia="IRNazanin"/>
          <w:color w:val="111111"/>
          <w:sz w:val="28"/>
          <w:sz w:val="28"/>
          <w:szCs w:val="28"/>
          <w:rtl w:val="true"/>
          <w:lang w:bidi="fa-IR"/>
        </w:rPr>
        <w:t xml:space="preserve">نعم،بعض من وافقنا </w:t>
      </w:r>
      <w:r>
        <w:rPr>
          <w:rStyle w:val="FootnoteAnchor"/>
          <w:rtl w:val="true"/>
        </w:rPr>
        <w:footnoteReference w:id="18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أو تنزّلا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عدم الفرق فی النتیجة بین الظنّ بالواقع و الظنّ بالطریق،اختار فی المقام وجوب طرح الظنّ الممنوع؛نظرا إلی أنّ مفاد دلیل الانسداد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عرفت فی الوجه الخامس </w:t>
      </w:r>
      <w:r>
        <w:rPr>
          <w:rStyle w:val="FootnoteAnchor"/>
          <w:rtl w:val="true"/>
        </w:rPr>
        <w:footnoteReference w:id="1814"/>
      </w:r>
      <w:r>
        <w:rPr>
          <w:rFonts w:ascii="IRNazanin" w:hAnsi="IRNazanin" w:eastAsia="IRNazanin"/>
          <w:color w:val="111111"/>
          <w:sz w:val="28"/>
          <w:sz w:val="28"/>
          <w:szCs w:val="28"/>
          <w:rtl w:val="true"/>
          <w:lang w:bidi="fa-IR"/>
        </w:rPr>
        <w:t xml:space="preserve">من وجوه دفع </w:t>
      </w:r>
      <w:r>
        <w:rPr>
          <w:rStyle w:val="FootnoteAnchor"/>
          <w:rtl w:val="true"/>
        </w:rPr>
        <w:footnoteReference w:id="1815"/>
      </w:r>
      <w:r>
        <w:rPr>
          <w:rFonts w:ascii="IRNazanin" w:hAnsi="IRNazanin" w:eastAsia="IRNazanin"/>
          <w:color w:val="111111"/>
          <w:sz w:val="28"/>
          <w:sz w:val="28"/>
          <w:szCs w:val="28"/>
          <w:rtl w:val="true"/>
          <w:lang w:bidi="fa-IR"/>
        </w:rPr>
        <w:t>إشکال خروج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اعتبار کلّ ظنّ لم یقم علی عدم اعتباره دلیل معتبر،و الظنّ الممنوع ممّا قام علی عدم اعتباره دلیل معتبر و هو الظنّ المانع؛فإنّه معتبر؛حیث لم یقم دلیل علی المنع منه؛لأنّ الظنّ الممنوع لم یدلّ علی حرمة الأخذ بالظنّ المانع، غایة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الأخذ به مناف للأخذ بالمانع،لا أنّه یدلّ علی وجوب طرحه،بخلاف الظنّ المانع فإنّه یدلّ علی وجوب طرح الظنّ الممنوع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فخروج الممنوع من باب التخصّص لا التخصیص؛فلا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دخول أحد المتنافیین تحت العامّ لا یصلح دلیلا لخروج الآخر مع تساویهما فی قابلیّة الدخول من حیث الفردیّة</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تقرّر فی الاستصحاب </w:t>
      </w:r>
      <w:r>
        <w:rPr>
          <w:rStyle w:val="FootnoteAnchor"/>
          <w:rtl w:val="true"/>
        </w:rPr>
        <w:footnoteReference w:id="1816"/>
      </w:r>
      <w:r>
        <w:rPr>
          <w:rFonts w:ascii="IRNazanin" w:hAnsi="IRNazanin" w:eastAsia="IRNazanin"/>
          <w:color w:val="111111"/>
          <w:sz w:val="28"/>
          <w:sz w:val="28"/>
          <w:szCs w:val="28"/>
          <w:rtl w:val="true"/>
          <w:lang w:bidi="fa-IR"/>
        </w:rPr>
        <w:t xml:space="preserve">،من أنّ مثل استصحاب طهارة الماء المغسول به الثوب النجس دلیل حاکم علی استصحاب نجاسة الثوب،و إن کان کلّ من طهارة الماء و نجاسة الثوب </w:t>
      </w:r>
      <w:bookmarkStart w:id="1406" w:name="pg12977_114575"/>
    </w:p>
    <w:p>
      <w:pPr>
        <w:pStyle w:val="BookText"/>
        <w:rPr/>
      </w:pPr>
      <w:bookmarkEnd w:id="14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حکم الشارع بالاستصحاب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متیقّنة فی السابق مشکوکة فی اللاحق،و حکم الشارع بإبقاء کلّ متیقّن فی السابق مشکوک فی اللاحق متساویا بالنسبة إلیهما؛إلاّ أنّه لمّا کان دخول یقین الطهارة فی عموم الحکم بعدم النقض و الحکم علیه بالبقاء یکون دلیلا علی زوال نجاسة الثوب المتیقّنة سابقا،فیخرج عن المشکوک لاحقا،بخلاف دخول یقین النجاسة و الحکم علیها بالبقاء؛فإنّه لا یصلح للدلالة علی طروّ النجاسة للماء المغسول به قبل الغسل و إن کان منافیا لبقائه علی الطهارة</w:t>
      </w:r>
      <w:r>
        <w:rPr>
          <w:rFonts w:eastAsia="IRNazanin" w:cs="IRNazanin"/>
          <w:color w:val="111111"/>
          <w:sz w:val="28"/>
          <w:szCs w:val="28"/>
          <w:rtl w:val="true"/>
          <w:lang w:bidi="fa-IR"/>
        </w:rPr>
        <w:t>.</w:t>
      </w:r>
    </w:p>
    <w:p>
      <w:pPr>
        <w:pStyle w:val="Heading6"/>
        <w:numPr>
          <w:ilvl w:val="5"/>
          <w:numId w:val="1"/>
        </w:numPr>
        <w:rPr/>
      </w:pPr>
      <w:bookmarkStart w:id="1407" w:name="__RefHeading___Toc5447507_3224264995"/>
      <w:bookmarkStart w:id="1408" w:name="_Toc535"/>
      <w:bookmarkEnd w:id="1407"/>
      <w:r>
        <w:rPr>
          <w:rtl w:val="true"/>
        </w:rPr>
        <w:t>المناقشة فی هذا الاستدلال</w:t>
      </w:r>
      <w:bookmarkEnd w:id="1408"/>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یتمّ فیما إذا کان الظنّ المانع و الممنوع من جنس أمارة واحدة،کأن یقوم الشهرة مثلا علی عدم حجّیّة الشهرة؛ فإنّ العمل ببعض أفراد الأمارة و هی الشهرة فی المسألة الاصولیّة دون البعض الآخر و هی الشهرة فی المسألة الفرعیّة،کما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الظنّ المانع إنّما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دلیلا علی عدم اعتبار الممنوع؛لأنّ الامتثال بالممنوع حینئذ مقطوع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تقرّر فی توضیح </w:t>
      </w:r>
      <w:r>
        <w:rPr>
          <w:rStyle w:val="FootnoteAnchor"/>
          <w:rtl w:val="true"/>
        </w:rPr>
        <w:footnoteReference w:id="1817"/>
      </w:r>
      <w:r>
        <w:rPr>
          <w:rFonts w:ascii="IRNazanin" w:hAnsi="IRNazanin" w:eastAsia="IRNazanin"/>
          <w:color w:val="111111"/>
          <w:sz w:val="28"/>
          <w:sz w:val="28"/>
          <w:szCs w:val="28"/>
          <w:rtl w:val="true"/>
          <w:lang w:bidi="fa-IR"/>
        </w:rPr>
        <w:t xml:space="preserve">الوجه الخامس من وجوه دفع إشکال خروج القیاس </w:t>
      </w:r>
      <w:r>
        <w:rPr>
          <w:rStyle w:val="FootnoteAnchor"/>
          <w:rtl w:val="true"/>
        </w:rPr>
        <w:footnoteReference w:id="18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موجود فی الظنّ الممنوع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فرض صیرورة الأولویّة مقطوعة الاعتبار بمقتضی دخولها تحت دلیل الانسداد، لم یعقل بقاء الشهرة المانعة عنها علی إفادة الظنّ بالمنع</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بقاء الظنّ من الشهرة بعدم اعتبار الأولویّة دلیل علی عدم حصول القطع من دلیل الانسداد بحجّیّة الأولویّة؛و إلاّ لارتفع الظنّ بعدم حجّیّتها،فیکشف ذلک عن دخول الظنّ المانع تحت دلیل الانسداد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بأنّا لا نجد من أنفسنا القطع بعدم تحقّق الامتثال بسلوک الطریق الممنوع،فلو کان الظنّ المانع داخلا لحصل القطع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الظنّ بعدم اعتبار الممنوع إنّما هو مع قطع النظر عن ملاحظة دلیل الانسداد،و لا نسلّم بقاء الظنّ بعد ملاحظته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الدلیل العقلیّ أو الأمارة القطعیّة </w:t>
      </w:r>
      <w:r>
        <w:rPr>
          <w:rStyle w:val="FootnoteAnchor"/>
          <w:rtl w:val="true"/>
        </w:rPr>
        <w:footnoteReference w:id="1819"/>
      </w:r>
      <w:r>
        <w:rPr>
          <w:rFonts w:ascii="IRNazanin" w:hAnsi="IRNazanin" w:eastAsia="IRNazanin"/>
          <w:color w:val="111111"/>
          <w:sz w:val="28"/>
          <w:sz w:val="28"/>
          <w:szCs w:val="28"/>
          <w:rtl w:val="true"/>
          <w:lang w:bidi="fa-IR"/>
        </w:rPr>
        <w:t>یفید القطع بثبوت الحکم بالنسبة إلی جمیع أفراد موضوعه،فإذا تنافی دخول فردین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أن یکشف عن فساد ذلک الدلیل،و إمّا أن یجب طرحهما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حصول القطع من ذلک الدلیل العقلیّ بشیء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یحصل القطع بدخول أحدهما فیقطع بخروج الآخر،فلا معنی للتردّد بینهما و حکومة 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مثّلنا به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استصحاب طهارة الماء و استصحاب نجاسة الثوب،ممّا لا وجه له؛لأنّ مرجع تقدیم الاستصحاب الأوّل إلی تقدیم التخصّص علی التخصیص،و یکون أحدهما دلیلا رافعا للیقین السابق بخلاف الآخر،فالعمل بالأوّل تخصّص و بالثانی تخصیص، و مرجعه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تقرّر فی مسألة تعارض الاستصحابین </w:t>
      </w:r>
      <w:r>
        <w:rPr>
          <w:rStyle w:val="FootnoteAnchor"/>
          <w:rtl w:val="true"/>
        </w:rPr>
        <w:footnoteReference w:id="18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وجوب العمل بالعامّ تعبّدا إلی أن یحصل الدلیل علی التخصیص</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القطع بحجّیّة المانع عین القطع بعدم حجّیّة الممنوع؛لأنّ معنی حجّیّة کلّ شیء وجوب الأخذ بمؤدّاه،لکنّ القطع بحجّیّة الممنوع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هی نقیض مؤدّی المانع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مستلزم للقطع بعدم حجّیّة </w:t>
      </w:r>
      <w:bookmarkStart w:id="1409" w:name="pg12977_114577"/>
    </w:p>
    <w:p>
      <w:pPr>
        <w:pStyle w:val="BookText"/>
        <w:rPr/>
      </w:pPr>
      <w:bookmarkEnd w:id="1409"/>
      <w:r>
        <w:rPr>
          <w:rFonts w:ascii="IRNazanin" w:hAnsi="IRNazanin" w:eastAsia="IRNazanin"/>
          <w:color w:val="111111"/>
          <w:sz w:val="28"/>
          <w:sz w:val="28"/>
          <w:szCs w:val="28"/>
          <w:rtl w:val="true"/>
          <w:lang w:bidi="fa-IR"/>
        </w:rPr>
        <w:t xml:space="preserve">المانع،فدخول المانع لا یستلزم خروج الممنوع،و إنّما هو عین خروجه؛ فلا ترجّح و لا تخصّص </w:t>
      </w:r>
      <w:r>
        <w:rPr>
          <w:rStyle w:val="FootnoteAnchor"/>
          <w:rtl w:val="true"/>
        </w:rPr>
        <w:footnoteReference w:id="1821"/>
      </w:r>
      <w:r>
        <w:rPr>
          <w:rFonts w:ascii="IRNazanin" w:hAnsi="IRNazanin" w:eastAsia="IRNazanin"/>
          <w:color w:val="111111"/>
          <w:sz w:val="28"/>
          <w:sz w:val="28"/>
          <w:szCs w:val="28"/>
          <w:rtl w:val="true"/>
          <w:lang w:bidi="fa-IR"/>
        </w:rPr>
        <w:t>،بخلاف دخول الممنوع؛فإنّه یستلزم خروج المانع،فیصیر ترجیحا من غیر مرجّح،فافهم</w:t>
      </w:r>
      <w:r>
        <w:rPr>
          <w:rFonts w:eastAsia="IRNazanin" w:cs="IRNazanin"/>
          <w:color w:val="111111"/>
          <w:sz w:val="28"/>
          <w:szCs w:val="28"/>
          <w:rtl w:val="true"/>
          <w:lang w:bidi="fa-IR"/>
        </w:rPr>
        <w:t>.</w:t>
      </w:r>
    </w:p>
    <w:p>
      <w:pPr>
        <w:pStyle w:val="Heading6"/>
        <w:numPr>
          <w:ilvl w:val="5"/>
          <w:numId w:val="1"/>
        </w:numPr>
        <w:rPr/>
      </w:pPr>
      <w:bookmarkStart w:id="1410" w:name="__RefHeading___Toc5447509_3224264995"/>
      <w:bookmarkStart w:id="1411" w:name="_Toc536"/>
      <w:bookmarkEnd w:id="1410"/>
      <w:r>
        <w:rPr>
          <w:rtl w:val="true"/>
        </w:rPr>
        <w:t>مختار المصنّف فی المسألة</w:t>
      </w:r>
      <w:bookmarkEnd w:id="1411"/>
    </w:p>
    <w:p>
      <w:pPr>
        <w:pStyle w:val="BookText"/>
        <w:rPr/>
      </w:pPr>
      <w:r>
        <w:rPr>
          <w:rFonts w:ascii="IRNazanin" w:hAnsi="IRNazanin" w:eastAsia="IRNazanin"/>
          <w:color w:val="111111"/>
          <w:sz w:val="28"/>
          <w:sz w:val="28"/>
          <w:szCs w:val="28"/>
          <w:rtl w:val="true"/>
          <w:lang w:bidi="fa-IR"/>
        </w:rPr>
        <w:t xml:space="preserve">و الأولی </w:t>
      </w:r>
      <w:r>
        <w:rPr>
          <w:rStyle w:val="FootnoteAnchor"/>
          <w:rtl w:val="true"/>
        </w:rPr>
        <w:footnoteReference w:id="1822"/>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الظنّ بعدم حجّیة الأمارة الممنوعة 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عرفت سابقا فی الوجه السادس </w:t>
      </w:r>
      <w:r>
        <w:rPr>
          <w:rStyle w:val="FootnoteAnchor"/>
          <w:rtl w:val="true"/>
        </w:rPr>
        <w:footnoteReference w:id="18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من باب الطریقیّة، بل لا بدّ أن یکون من جهة اشتمال الظنّ الممنوع علی مفسدة غالبة علی مصلحة إدراک الواقع،و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ظنّ بعدم اعتبار ظنّ فقد ظنّ بإدراک الواقع،لکن مع الظنّ بترتّب مفسدة غالبة،فیدور الأمر بین المصلحة المظنونة و المفسدة المظنونة،فلا بدّ من الرجوع إلی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ظنّ بالشهرة نهی الشارع عن العمل بالأولویّة،فیلاحظ مرتبة هذا الظنّ،فکلّ أولویّة فی المسألة کان أقوی مرتبة من ذلک الظنّ الحاصل من الشهرة اخذ به،و کلّ أولویّة کان أضعف منه وجب طرحه،و إذا لم یتحقّق الترجیح بالقوّة حکم بالتساقط؛لعدم استقلال العقل بشیء منهما حینئذ</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إذا لم یکن العمل بالظنّ المانع سلیما عن محذور ترک العمل بالظنّ الممنوع،کما إذا خالف الظنّ الممنوع الاحتیاط اللازم فی المسألة، و إلاّ تعیّن العمل به؛لعدم التعارض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 xml:space="preserve">. </w:t>
      </w:r>
      <w:bookmarkStart w:id="1412" w:name="pg12977_114578"/>
    </w:p>
    <w:p>
      <w:pPr>
        <w:pStyle w:val="Heading6"/>
        <w:numPr>
          <w:ilvl w:val="5"/>
          <w:numId w:val="1"/>
        </w:numPr>
        <w:rPr/>
      </w:pPr>
      <w:bookmarkStart w:id="1413" w:name="__RefHeading___Toc5447511_3224264995"/>
      <w:bookmarkStart w:id="1414" w:name="_Toc537"/>
      <w:bookmarkEnd w:id="1412"/>
      <w:bookmarkEnd w:id="1413"/>
      <w:r>
        <w:rPr>
          <w:rtl w:val="true"/>
        </w:rPr>
        <w:t>الأمر الثالث</w:t>
      </w:r>
      <w:bookmarkEnd w:id="1414"/>
    </w:p>
    <w:p>
      <w:pPr>
        <w:pStyle w:val="Heading6"/>
        <w:numPr>
          <w:ilvl w:val="5"/>
          <w:numId w:val="1"/>
        </w:numPr>
        <w:rPr/>
      </w:pPr>
      <w:bookmarkStart w:id="1415" w:name="__RefHeading___Toc5447513_3224264995"/>
      <w:bookmarkStart w:id="1416" w:name="_Toc538"/>
      <w:bookmarkEnd w:id="1415"/>
      <w:r>
        <w:rPr>
          <w:rtl w:val="true"/>
        </w:rPr>
        <w:t>لو حصل الظن بالحکم من امارة متعلقة بالفاظ الدلیل</w:t>
      </w:r>
      <w:bookmarkEnd w:id="1416"/>
    </w:p>
    <w:p>
      <w:pPr>
        <w:pStyle w:val="BookText"/>
        <w:rPr/>
      </w:pPr>
      <w:r>
        <w:rPr>
          <w:rFonts w:ascii="IRNazanin" w:hAnsi="IRNazanin" w:eastAsia="IRNazanin"/>
          <w:color w:val="111111"/>
          <w:sz w:val="28"/>
          <w:sz w:val="28"/>
          <w:szCs w:val="28"/>
          <w:rtl w:val="true"/>
          <w:lang w:bidi="fa-IR"/>
        </w:rPr>
        <w:t xml:space="preserve">الأمر الثالث </w:t>
      </w:r>
      <w:r>
        <w:rPr>
          <w:rStyle w:val="FootnoteAnchor"/>
          <w:rtl w:val="true"/>
        </w:rPr>
        <w:footnoteReference w:id="18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حصل الظنّ بالحکم من أمارة متعلّقة بألفاظ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فرق فی نتیجة مقدّمات دلیل الانسداد بین الظنّ الحاصل أوّلا من الأمارة بالحکم الفرعیّ الکلّیّ کالشهرة أو نقل الإجماع علی حکم،و بین الحاصل به من أمارة متعلّقة بألفاظ الدلیل،کأن یحصل الظنّ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فَتَیَمَّمُوا صَعِیداً </w:t>
      </w:r>
      <w:r>
        <w:rPr>
          <w:rStyle w:val="FootnoteAnchor"/>
          <w:rtl w:val="true"/>
        </w:rPr>
        <w:footnoteReference w:id="1826"/>
      </w:r>
      <w:r>
        <w:rPr>
          <w:rFonts w:ascii="IRNazanin" w:hAnsi="IRNazanin" w:eastAsia="IRNazanin"/>
          <w:color w:val="111111"/>
          <w:sz w:val="28"/>
          <w:sz w:val="28"/>
          <w:szCs w:val="28"/>
          <w:rtl w:val="true"/>
          <w:lang w:bidi="fa-IR"/>
        </w:rPr>
        <w:t>،بجواز التیمّم بالحجر مع وجود التراب الخالص؛بسبب قول جماعة من أهل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الصعید هو مطلق وجه الأرض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17" w:name="__RefHeading___Toc5447515_3224264995"/>
      <w:bookmarkStart w:id="1418" w:name="_Toc539"/>
      <w:bookmarkEnd w:id="1417"/>
      <w:r>
        <w:rPr>
          <w:rtl w:val="true"/>
        </w:rPr>
        <w:t>الظنّ المتعلّق بالألفاظ علی قسمین</w:t>
      </w:r>
      <w:bookmarkEnd w:id="1418"/>
    </w:p>
    <w:p>
      <w:pPr>
        <w:pStyle w:val="BookText"/>
        <w:rPr/>
      </w:pPr>
      <w:r>
        <w:rPr>
          <w:rFonts w:ascii="IRNazanin" w:hAnsi="IRNazanin" w:eastAsia="IRNazanin"/>
          <w:color w:val="111111"/>
          <w:sz w:val="28"/>
          <w:sz w:val="28"/>
          <w:szCs w:val="28"/>
          <w:rtl w:val="true"/>
          <w:lang w:bidi="fa-IR"/>
        </w:rPr>
        <w:t xml:space="preserve">ثمّ الظنّ المتعلّق بالألفاظ علی قسمین،ذکرناهما فی بحث حجّیة الظواهر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یتعلّق بتشخیص الظواهر،مثل الظنّ من الشهرة بثبوت الحقائق الشرعیّة،و بأنّ الأمر ظاهر فی الوجوب لأجل الوضع، </w:t>
      </w:r>
      <w:bookmarkStart w:id="1419" w:name="pg12977_114579"/>
    </w:p>
    <w:p>
      <w:pPr>
        <w:pStyle w:val="BookText"/>
        <w:rPr/>
      </w:pPr>
      <w:bookmarkEnd w:id="1419"/>
      <w:r>
        <w:rPr>
          <w:rFonts w:ascii="IRNazanin" w:hAnsi="IRNazanin" w:eastAsia="IRNazanin"/>
          <w:color w:val="111111"/>
          <w:sz w:val="28"/>
          <w:sz w:val="28"/>
          <w:szCs w:val="28"/>
          <w:rtl w:val="true"/>
          <w:lang w:bidi="fa-IR"/>
        </w:rPr>
        <w:t>و أنّ الأمر عقیب الحظر ظاهر فی الإباحة الخاصّة أو فی مجرّد رفع الحظر،و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بتشخیص إرادة الظواهر و عدمها،کأن یحصل ظنّ بإرادة المعنی المجازی أو أحد معانی المشترک؛لأجل تفسیر الراوی مثلا أو من جهة کون مذهبه مخالفا لظاهر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الظنون غیر الخاصّة المتعلّقة بتشخیص الظواهر أو المرادات</w:t>
      </w:r>
      <w:r>
        <w:rPr>
          <w:rFonts w:eastAsia="IRNazanin" w:cs="IRNazanin"/>
          <w:color w:val="111111"/>
          <w:sz w:val="28"/>
          <w:szCs w:val="28"/>
          <w:rtl w:val="true"/>
          <w:lang w:bidi="fa-IR"/>
        </w:rPr>
        <w:t>.</w:t>
      </w:r>
    </w:p>
    <w:p>
      <w:pPr>
        <w:pStyle w:val="Heading6"/>
        <w:numPr>
          <w:ilvl w:val="5"/>
          <w:numId w:val="1"/>
        </w:numPr>
        <w:rPr/>
      </w:pPr>
      <w:bookmarkStart w:id="1420" w:name="__RefHeading___Toc5447517_3224264995"/>
      <w:bookmarkStart w:id="1421" w:name="_Toc540"/>
      <w:bookmarkEnd w:id="1420"/>
      <w:r>
        <w:rPr>
          <w:rtl w:val="true"/>
        </w:rPr>
        <w:t>الظاهر حجیّة هذه الظنون</w:t>
      </w:r>
      <w:bookmarkEnd w:id="1421"/>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حجّیّتها عند کلّ من قال بحجّیّة مطلق الظنّ لأجل الانسداد،و لا یحتاج إثبات ذلک إلی إعمال دلیل الانسداد فی نفس الظنون المتعلّقة بالألفاظ،بأن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 فیها قلیل،فلو بنی الأمر علی إجراء الأصل لزم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انفتح باب العلم فی جمیع الألفاظ إلاّ فی مورد واحد وجب العمل بالظنّ الحاصل بالحکم الفرعیّ من تلک الأمارة المتعلّقة بمعانی الألفاظ عند انسداد باب العلم فی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یعمل بذلک الظنّ فی سائر الثمرات المترتّبة علی تعیین معنی اللفظ فی غیر مقام تعیین الحکم الشرعیّ الکلّی،کالوصایا و الأقاریر و النذور؟</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إشکال،و الأقوی العدم؛لأنّ مرجع العمل بالظنّ فیها إلی العمل بالظنّ فی الموضوعات الخارجیّة المترتّبة علیها الأحکام الجزئیّة الغیر المحتاجة إلی بیان الشارع حتّی یدخل فی ما انسدّ فیه باب العلم، و سیجیء عدم اعتبار الظنّ فیها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 xml:space="preserve">. </w:t>
      </w:r>
      <w:bookmarkStart w:id="1422" w:name="pg12977_114580"/>
    </w:p>
    <w:p>
      <w:pPr>
        <w:pStyle w:val="BookText"/>
        <w:rPr/>
      </w:pPr>
      <w:bookmarkEnd w:id="1422"/>
      <w:r>
        <w:rPr>
          <w:rFonts w:ascii="Amiri" w:hAnsi="Amiri" w:eastAsia="Amiri" w:cs="Amiri"/>
          <w:color w:val="111111"/>
          <w:sz w:val="28"/>
          <w:sz w:val="28"/>
          <w:szCs w:val="28"/>
          <w:rtl w:val="true"/>
          <w:lang w:bidi="ar-SA"/>
        </w:rPr>
        <w:t xml:space="preserve">نعم،من جعل الظنون المتعلّقة بالألفاظ من الظنون الخاصّة مطلقا لزمه الاعتبار </w:t>
      </w:r>
      <w:r>
        <w:rPr>
          <w:rStyle w:val="FootnoteAnchor"/>
          <w:rtl w:val="true"/>
        </w:rPr>
        <w:footnoteReference w:id="1830"/>
      </w:r>
      <w:r>
        <w:rPr>
          <w:rFonts w:ascii="IRNazanin" w:hAnsi="IRNazanin" w:eastAsia="IRNazanin"/>
          <w:color w:val="111111"/>
          <w:sz w:val="28"/>
          <w:sz w:val="28"/>
          <w:szCs w:val="28"/>
          <w:rtl w:val="true"/>
          <w:lang w:bidi="fa-IR"/>
        </w:rPr>
        <w:t xml:space="preserve">فی الأحکام و الموضوعات،و قد مرّ تضعیف هذا القول عند الکلام فی الظنون الخاصّة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23" w:name="__RefHeading___Toc5447519_3224264995"/>
      <w:bookmarkStart w:id="1424" w:name="_Toc541"/>
      <w:bookmarkEnd w:id="1423"/>
      <w:r>
        <w:rPr>
          <w:rtl w:val="true"/>
        </w:rPr>
        <w:t>لو حصل الظنّ بالحکم من الأمارة المتعلّقة بالموضوع الخارجی</w:t>
      </w:r>
      <w:bookmarkEnd w:id="1424"/>
    </w:p>
    <w:p>
      <w:pPr>
        <w:pStyle w:val="BookText"/>
        <w:rPr/>
      </w:pP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فرق بین الظنّ الحاصل بالحکم الفرعیّ الکلّی من نفس الأمارة أو عن أمارة متعلّقة بالألفاظ،و بین </w:t>
      </w:r>
      <w:r>
        <w:rPr>
          <w:rStyle w:val="FootnoteAnchor"/>
          <w:rtl w:val="true"/>
        </w:rPr>
        <w:footnoteReference w:id="1832"/>
      </w:r>
      <w:r>
        <w:rPr>
          <w:rFonts w:ascii="IRNazanin" w:hAnsi="IRNazanin" w:eastAsia="IRNazanin"/>
          <w:color w:val="111111"/>
          <w:sz w:val="28"/>
          <w:sz w:val="28"/>
          <w:szCs w:val="28"/>
          <w:rtl w:val="true"/>
          <w:lang w:bidi="fa-IR"/>
        </w:rPr>
        <w:t>الحاصل بالحکم الفرعیّ الکلّی من الأمارة المتعلّقة بالموضوع الخارجیّ،ککون الراوی عادلا أو مؤمنا حال الروایة،و کون زرارة هو ابن أعین لا ابن لطیفة،و کون علیّ بن الحکم هو الکوفیّ بقرینة روایة أحمد بن محمّد عنه؛فإنّ جمیع ذلک و إن کان ظنّا بالموضوع الخارجیّ،إلاّ أنّه لمّا کان منشأ للظنّ بالحکم الفرعیّ الکلّی الذی انسدّ فیه باب العلم عمل به من هذه الجهة، و إن لم یعمل به من سائر الجهات المتعلّقة بعدالة ذلک الرجل أو بتشخیصه عند إطلاق اسمه المشترک</w:t>
      </w:r>
      <w:r>
        <w:rPr>
          <w:rFonts w:eastAsia="IRNazanin" w:cs="IRNazanin"/>
          <w:color w:val="111111"/>
          <w:sz w:val="28"/>
          <w:szCs w:val="28"/>
          <w:rtl w:val="true"/>
          <w:lang w:bidi="fa-IR"/>
        </w:rPr>
        <w:t>.</w:t>
      </w:r>
    </w:p>
    <w:p>
      <w:pPr>
        <w:pStyle w:val="Heading6"/>
        <w:numPr>
          <w:ilvl w:val="5"/>
          <w:numId w:val="1"/>
        </w:numPr>
        <w:rPr/>
      </w:pPr>
      <w:bookmarkStart w:id="1425" w:name="__RefHeading___Toc5447521_3224264995"/>
      <w:bookmarkStart w:id="1426" w:name="_Toc542"/>
      <w:bookmarkEnd w:id="1425"/>
      <w:r>
        <w:rPr>
          <w:rtl w:val="true"/>
        </w:rPr>
        <w:t>حجیّة الظنون الرجالیّة</w:t>
      </w:r>
      <w:bookmarkEnd w:id="1426"/>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الظنون الرجالیّة معتبرة بقول مطلق عند من قال بمطلق الظنّ فی الأحکام،و لا یحتاج إلی تعیین أنّ اعتبار أقوال أهل الرجال من جهة دخولها فی الشهادة أو فی </w:t>
      </w:r>
      <w:r>
        <w:rPr>
          <w:rStyle w:val="FootnoteAnchor"/>
          <w:rtl w:val="true"/>
        </w:rPr>
        <w:footnoteReference w:id="1833"/>
      </w:r>
      <w:r>
        <w:rPr>
          <w:rFonts w:ascii="IRNazanin" w:hAnsi="IRNazanin" w:eastAsia="IRNazanin"/>
          <w:color w:val="111111"/>
          <w:sz w:val="28"/>
          <w:sz w:val="28"/>
          <w:szCs w:val="28"/>
          <w:rtl w:val="true"/>
          <w:lang w:bidi="fa-IR"/>
        </w:rPr>
        <w:t xml:space="preserve">الروایة،و لا یقتصر علی أقوال أهل الخبرة،بل یقتصر علی تصحیح الغیر للسند و إن کان من آحاد العلماء إذا أفاد قوله الظنّ بصدق الخبر المستلزم للظنّ بالحکم </w:t>
      </w:r>
      <w:bookmarkStart w:id="1427" w:name="pg12977_114581"/>
    </w:p>
    <w:p>
      <w:pPr>
        <w:pStyle w:val="BookText"/>
        <w:rPr/>
      </w:pPr>
      <w:bookmarkEnd w:id="1427"/>
      <w:r>
        <w:rPr>
          <w:rFonts w:ascii="Amiri" w:hAnsi="Amiri" w:eastAsia="Amiri" w:cs="Amiri"/>
          <w:color w:val="111111"/>
          <w:sz w:val="28"/>
          <w:sz w:val="28"/>
          <w:szCs w:val="28"/>
          <w:rtl w:val="true"/>
          <w:lang w:bidi="ar-SA"/>
        </w:rPr>
        <w:t>الفرعیّ الکلّی</w:t>
      </w:r>
      <w:r>
        <w:rPr>
          <w:rFonts w:eastAsia="Amiri" w:cs="Amiri" w:ascii="Amiri" w:hAnsi="Amiri"/>
          <w:color w:val="111111"/>
          <w:sz w:val="28"/>
          <w:szCs w:val="28"/>
          <w:rtl w:val="true"/>
          <w:lang w:bidi="ar-SA"/>
        </w:rPr>
        <w:t>.</w:t>
      </w:r>
    </w:p>
    <w:p>
      <w:pPr>
        <w:pStyle w:val="Heading6"/>
        <w:numPr>
          <w:ilvl w:val="5"/>
          <w:numId w:val="1"/>
        </w:numPr>
        <w:rPr/>
      </w:pPr>
      <w:bookmarkStart w:id="1428" w:name="__RefHeading___Toc5447523_3224264995"/>
      <w:bookmarkStart w:id="1429" w:name="_Toc543"/>
      <w:bookmarkEnd w:id="1428"/>
      <w:r>
        <w:rPr>
          <w:rtl w:val="true"/>
        </w:rPr>
        <w:t>ملخّص الکلام فی هذا التنبیه</w:t>
      </w:r>
      <w:bookmarkEnd w:id="1429"/>
    </w:p>
    <w:p>
      <w:pPr>
        <w:pStyle w:val="BookText"/>
        <w:rPr/>
      </w:pPr>
      <w:r>
        <w:rPr>
          <w:rFonts w:ascii="Amiri" w:hAnsi="Amiri" w:eastAsia="Amiri" w:cs="Amiri"/>
          <w:color w:val="111111"/>
          <w:sz w:val="28"/>
          <w:sz w:val="28"/>
          <w:szCs w:val="28"/>
          <w:rtl w:val="true"/>
          <w:lang w:bidi="ar-SA"/>
        </w:rPr>
        <w:t>و ملخّص هذا الأمر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کلّ ظنّ تولّد منه الظنّ بالحکم الفرعی الکلّی فهو حجّة من هذه الجهة،سواء کان الحکم الفرعی واقعیّا أو کان ظاهریّا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کالظنّ بحجّیّة الاستصحاب تعبّدا و بحجّیة </w:t>
      </w:r>
      <w:r>
        <w:rPr>
          <w:rStyle w:val="FootnoteAnchor"/>
          <w:rtl w:val="true"/>
        </w:rPr>
        <w:footnoteReference w:id="1834"/>
      </w:r>
      <w:r>
        <w:rPr>
          <w:rFonts w:ascii="IRNazanin" w:hAnsi="IRNazanin" w:eastAsia="IRNazanin"/>
          <w:color w:val="111111"/>
          <w:sz w:val="28"/>
          <w:sz w:val="28"/>
          <w:szCs w:val="28"/>
          <w:rtl w:val="true"/>
          <w:lang w:bidi="fa-IR"/>
        </w:rPr>
        <w:t>الأمارة الغیر المفیدة للظنّ الفعلی بالحکم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سواء تعلّق الظنّ أوّلا بالمطالب العلمیّة </w:t>
      </w:r>
      <w:r>
        <w:rPr>
          <w:rStyle w:val="FootnoteAnchor"/>
          <w:rtl w:val="true"/>
        </w:rPr>
        <w:footnoteReference w:id="1835"/>
      </w:r>
      <w:r>
        <w:rPr>
          <w:rFonts w:ascii="IRNazanin" w:hAnsi="IRNazanin" w:eastAsia="IRNazanin"/>
          <w:color w:val="111111"/>
          <w:sz w:val="28"/>
          <w:sz w:val="28"/>
          <w:szCs w:val="28"/>
          <w:rtl w:val="true"/>
          <w:lang w:bidi="fa-IR"/>
        </w:rPr>
        <w:t>أو غیرها أو بالامور الخارجیّة من غیر استثناء فی سبب هذا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 واضح؛فإنّ مقتضی النتیجة هو لزوم الامتثال الظنّی و ترجیح الراجح علی المرجوح فی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أنّه لو قلنا بخصوصیّة فی بعض الأمارات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عدم التعمیم فی نتیجة دلیل الانسداد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فرق بین ما تعلّق تلک الأمارة بنفس الحکم أو بما یتولّد منه الظنّ بالحکم،و لا إشکال فی ذلک أصلا،إلاّ أن یغفل غافل عن مقتضی دلیل الانسداد فیدّعی الاختصاص بالبعض دون البعض من حیث لا یشعر</w:t>
      </w:r>
      <w:r>
        <w:rPr>
          <w:rFonts w:eastAsia="IRNazanin" w:cs="IRNazanin"/>
          <w:color w:val="111111"/>
          <w:sz w:val="28"/>
          <w:szCs w:val="28"/>
          <w:rtl w:val="true"/>
          <w:lang w:bidi="fa-IR"/>
        </w:rPr>
        <w:t>.</w:t>
      </w:r>
    </w:p>
    <w:p>
      <w:pPr>
        <w:pStyle w:val="Heading6"/>
        <w:numPr>
          <w:ilvl w:val="5"/>
          <w:numId w:val="1"/>
        </w:numPr>
        <w:rPr/>
      </w:pPr>
      <w:bookmarkStart w:id="1430" w:name="__RefHeading___Toc5447525_3224264995"/>
      <w:bookmarkStart w:id="1431" w:name="_Toc544"/>
      <w:bookmarkEnd w:id="1430"/>
      <w:r>
        <w:rPr>
          <w:rtl w:val="true"/>
        </w:rPr>
        <w:t>ما تخیله السید المجاهد و المناقشة فیه</w:t>
      </w:r>
      <w:bookmarkEnd w:id="1431"/>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تخیّل بعض </w:t>
      </w:r>
      <w:r>
        <w:rPr>
          <w:rStyle w:val="FootnoteAnchor"/>
          <w:rtl w:val="true"/>
        </w:rPr>
        <w:footnoteReference w:id="18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العمل بالظنون المطلقة فی الرجال غیر مختصّ بمن یعمل بمطلق الظنّ فی الأحکام،بل المقتصر علی الظنون الخاصّة فی الأحکام أیضا عامل بالظنّ المطلق فی الرجال</w:t>
      </w:r>
      <w:r>
        <w:rPr>
          <w:rFonts w:eastAsia="IRNazanin" w:cs="IRNazanin"/>
          <w:color w:val="111111"/>
          <w:sz w:val="28"/>
          <w:szCs w:val="28"/>
          <w:rtl w:val="true"/>
          <w:lang w:bidi="fa-IR"/>
        </w:rPr>
        <w:t xml:space="preserve">. </w:t>
      </w:r>
      <w:bookmarkStart w:id="1432" w:name="pg12977_114582"/>
    </w:p>
    <w:p>
      <w:pPr>
        <w:pStyle w:val="BookText"/>
        <w:rPr/>
      </w:pPr>
      <w:bookmarkEnd w:id="1432"/>
      <w:r>
        <w:rPr>
          <w:rFonts w:ascii="IRNazanin" w:hAnsi="IRNazanin" w:eastAsia="IRNazanin"/>
          <w:color w:val="111111"/>
          <w:sz w:val="28"/>
          <w:sz w:val="28"/>
          <w:szCs w:val="28"/>
          <w:rtl w:val="true"/>
          <w:lang w:bidi="fa-IR"/>
        </w:rPr>
        <w:t>و فیه نظر،یظهر للمتتبّع لعمل العلماء فی الرجال؛فإنّه یحصل القطع بعدم بنائهم فیها علی العمل بکلّ 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الخبر المظنون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أو بالظنّ الاطمئنانی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الظنون الخاصّة لقیام الأخبار أو الإجماع علیه،لزم القائل به العمل بمطلق الظنّ أو الاطمئنانی </w:t>
      </w:r>
      <w:r>
        <w:rPr>
          <w:rStyle w:val="FootnoteAnchor"/>
          <w:rtl w:val="true"/>
        </w:rPr>
        <w:footnoteReference w:id="1837"/>
      </w:r>
      <w:r>
        <w:rPr>
          <w:rFonts w:ascii="IRNazanin" w:hAnsi="IRNazanin" w:eastAsia="IRNazanin"/>
          <w:color w:val="111111"/>
          <w:sz w:val="28"/>
          <w:sz w:val="28"/>
          <w:szCs w:val="28"/>
          <w:rtl w:val="true"/>
          <w:lang w:bidi="fa-IR"/>
        </w:rPr>
        <w:t xml:space="preserve">منه فی الرجال،کالعامل </w:t>
      </w:r>
      <w:r>
        <w:rPr>
          <w:rStyle w:val="FootnoteAnchor"/>
          <w:rtl w:val="true"/>
        </w:rPr>
        <w:footnoteReference w:id="1838"/>
      </w:r>
      <w:r>
        <w:rPr>
          <w:rFonts w:ascii="IRNazanin" w:hAnsi="IRNazanin" w:eastAsia="IRNazanin"/>
          <w:color w:val="111111"/>
          <w:sz w:val="28"/>
          <w:sz w:val="28"/>
          <w:szCs w:val="28"/>
          <w:rtl w:val="true"/>
          <w:lang w:bidi="fa-IR"/>
        </w:rPr>
        <w:t>بالظنّ المطلق فی الأحکام</w:t>
      </w:r>
      <w:r>
        <w:rPr>
          <w:rFonts w:eastAsia="IRNazanin" w:cs="IRNazanin"/>
          <w:color w:val="111111"/>
          <w:sz w:val="28"/>
          <w:szCs w:val="28"/>
          <w:rtl w:val="true"/>
          <w:lang w:bidi="fa-IR"/>
        </w:rPr>
        <w:t>.</w:t>
      </w:r>
    </w:p>
    <w:p>
      <w:pPr>
        <w:pStyle w:val="Heading6"/>
        <w:numPr>
          <w:ilvl w:val="5"/>
          <w:numId w:val="1"/>
        </w:numPr>
        <w:rPr/>
      </w:pPr>
      <w:bookmarkStart w:id="1433" w:name="__RefHeading___Toc5447527_3224264995"/>
      <w:bookmarkStart w:id="1434" w:name="_Toc545"/>
      <w:bookmarkEnd w:id="1433"/>
      <w:r>
        <w:rPr>
          <w:rtl w:val="true"/>
        </w:rPr>
        <w:t>حجیّة الظنّ فی المسائل الاصولیّة</w:t>
      </w:r>
      <w:bookmarkEnd w:id="1434"/>
    </w:p>
    <w:p>
      <w:pPr>
        <w:pStyle w:val="BookText"/>
        <w:rPr/>
      </w:pPr>
      <w:r>
        <w:rPr>
          <w:rFonts w:ascii="Amiri" w:hAnsi="Amiri" w:eastAsia="Amiri" w:cs="Amiri"/>
          <w:color w:val="111111"/>
          <w:sz w:val="28"/>
          <w:sz w:val="28"/>
          <w:szCs w:val="28"/>
          <w:rtl w:val="true"/>
          <w:lang w:bidi="ar-SA"/>
        </w:rPr>
        <w:t>ثمّ إنّه قد ظهر ممّا ذکرنا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الظنّ فی المسائل الاصولیّة العملیّة حجّة بالنسبة إلی ما یتولّد منه،من الظنّ بالحکم الفرعیّ الواقعیّ أو الظاهریّ </w:t>
      </w:r>
      <w:r>
        <w:rPr>
          <w:rStyle w:val="FootnoteAnchor"/>
          <w:rtl w:val="true"/>
        </w:rPr>
        <w:footnoteReference w:id="1839"/>
      </w:r>
      <w:r>
        <w:rPr>
          <w:rFonts w:ascii="IRNazanin" w:hAnsi="IRNazanin" w:eastAsia="IRNazanin"/>
          <w:color w:val="111111"/>
          <w:sz w:val="28"/>
          <w:sz w:val="28"/>
          <w:szCs w:val="28"/>
          <w:rtl w:val="true"/>
          <w:lang w:bidi="fa-IR"/>
        </w:rPr>
        <w:t xml:space="preserve">،و ربما منع منه غیر واحد من مشایخنا رضوان اللّه علیهم </w:t>
      </w:r>
      <w:r>
        <w:rPr>
          <w:rStyle w:val="FootnoteAnchor"/>
          <w:rtl w:val="true"/>
        </w:rPr>
        <w:footnoteReference w:id="1840"/>
      </w:r>
      <w:r>
        <w:rPr>
          <w:rFonts w:ascii="IRNazanin" w:hAnsi="IRNazanin" w:eastAsia="IRNazanin"/>
          <w:color w:val="111111"/>
          <w:sz w:val="28"/>
          <w:sz w:val="28"/>
          <w:szCs w:val="28"/>
          <w:rtl w:val="true"/>
          <w:lang w:bidi="fa-IR"/>
        </w:rPr>
        <w:t>،</w:t>
      </w:r>
    </w:p>
    <w:p>
      <w:pPr>
        <w:pStyle w:val="Heading6"/>
        <w:numPr>
          <w:ilvl w:val="5"/>
          <w:numId w:val="1"/>
        </w:numPr>
        <w:rPr/>
      </w:pPr>
      <w:bookmarkStart w:id="1435" w:name="__RefHeading___Toc5447529_3224264995"/>
      <w:bookmarkStart w:id="1436" w:name="_Toc546"/>
      <w:bookmarkEnd w:id="1435"/>
      <w:r>
        <w:rPr>
          <w:rtl w:val="true"/>
        </w:rPr>
        <w:t>أدلّة القائلین بعدم الحجّیة</w:t>
      </w:r>
      <w:r>
        <w:rPr>
          <w:rtl w:val="true"/>
        </w:rPr>
        <w:t>:</w:t>
      </w:r>
      <w:bookmarkEnd w:id="1436"/>
    </w:p>
    <w:p>
      <w:pPr>
        <w:pStyle w:val="BookText"/>
        <w:rPr/>
      </w:pPr>
      <w:r>
        <w:rPr>
          <w:rFonts w:ascii="IRNazanin" w:hAnsi="IRNazanin" w:eastAsia="IRNazanin"/>
          <w:color w:val="111111"/>
          <w:sz w:val="28"/>
          <w:sz w:val="28"/>
          <w:szCs w:val="28"/>
          <w:rtl w:val="true"/>
          <w:lang w:bidi="fa-IR"/>
        </w:rPr>
        <w:t>و ما استند إلیه أو یصحّ الاستناد إلیه للمنع أمران</w:t>
      </w:r>
      <w:r>
        <w:rPr>
          <w:rFonts w:eastAsia="IRNazanin" w:cs="IRNazanin"/>
          <w:color w:val="111111"/>
          <w:sz w:val="28"/>
          <w:szCs w:val="28"/>
          <w:rtl w:val="true"/>
          <w:lang w:bidi="fa-IR"/>
        </w:rPr>
        <w:t>:</w:t>
      </w:r>
    </w:p>
    <w:p>
      <w:pPr>
        <w:pStyle w:val="Heading6"/>
        <w:numPr>
          <w:ilvl w:val="5"/>
          <w:numId w:val="1"/>
        </w:numPr>
        <w:rPr/>
      </w:pPr>
      <w:bookmarkStart w:id="1437" w:name="__RefHeading___Toc5447531_3224264995"/>
      <w:bookmarkStart w:id="1438" w:name="_Toc547"/>
      <w:bookmarkEnd w:id="1437"/>
      <w:r>
        <w:rPr>
          <w:rtl w:val="true"/>
        </w:rPr>
        <w:t>أحدهما</w:t>
      </w:r>
      <w:r>
        <w:rPr>
          <w:rtl w:val="true"/>
        </w:rPr>
        <w:t>:</w:t>
      </w:r>
      <w:r>
        <w:rPr>
          <w:rtl w:val="true"/>
        </w:rPr>
        <w:t>أصالة الحرمة و عدم شمول دلیل الانسداد</w:t>
      </w:r>
      <w:bookmarkEnd w:id="1438"/>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دلیل الانسداد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أن یجری فی خصوص المسائل الاصولیّة کما یجری فی خصوص الفروع،و إمّا أن یقرّر دلیل الانسداد بالنسبة إلی جمیع الأحکام الشرعیّة،فیثبت حجّیة الظنّ فی الجمیع و یندرج فیها المسائل الاصولیّة،و إمّا أن یجری فی خصوص المسائل الفرعیّة،فیثبت به اعتبار الظنّ فی خصوص الفروع،لکنّ الظنّ بالمسألة الاصولیّة یستلزم الظنّ </w:t>
      </w:r>
    </w:p>
    <w:p>
      <w:pPr>
        <w:pStyle w:val="BookText"/>
        <w:rPr/>
      </w:pPr>
      <w:r>
        <w:rPr>
          <w:rFonts w:ascii="IRNazanin" w:hAnsi="IRNazanin" w:eastAsia="IRNazanin"/>
          <w:color w:val="111111"/>
          <w:sz w:val="28"/>
          <w:sz w:val="28"/>
          <w:szCs w:val="28"/>
          <w:rtl w:val="true"/>
          <w:lang w:bidi="fa-IR"/>
        </w:rPr>
        <w:t>بالمسألة الفرعیّة التی تبتنی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الوجوه بین ما لا یصحّ و ما لا یجدی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الأوّل،فهو غیر صحیح؛لأنّ المسائل الاصولیّة التی ینسدّ فیها باب العلم لیست فی أنفسها من الکثرة بحیث یلزم من إجراء الاصول فیها محذور کان یلزم من إجراء الاصول فی المسائل الفرعیّة التی انسدّ فیها باب العلم؛لأنّ ما کان من المسائل الاصولیّة یبحث فیها عن کون شیء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کمسألة حجّیّة الشهرة و نقل الإجماع و أخبار الآحاد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عن کونه مرجّحا،فقد انفتح فیها باب العلم و علم الحجّة منها من غیر الحجّة و المرجّح منها من غیره؛بإثبات حجّیة الظنّ فی المسائل الفرعیّة؛إذ بإثبات ذلک المطلب حصل الدلالة العقلیّة علی أنّ ما کان من الأمارات داخلا </w:t>
      </w:r>
      <w:r>
        <w:rPr>
          <w:rStyle w:val="FootnoteAnchor"/>
          <w:rtl w:val="true"/>
        </w:rPr>
        <w:footnoteReference w:id="1841"/>
      </w:r>
      <w:r>
        <w:rPr>
          <w:rFonts w:ascii="IRNazanin" w:hAnsi="IRNazanin" w:eastAsia="IRNazanin"/>
          <w:color w:val="111111"/>
          <w:sz w:val="28"/>
          <w:sz w:val="28"/>
          <w:szCs w:val="28"/>
          <w:rtl w:val="true"/>
          <w:lang w:bidi="fa-IR"/>
        </w:rPr>
        <w:t>فی نتیجة دلیل الانسداد فهو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 علی ذلک معرفة المرجّح؛فإنّا قد علمنا بدلیل الانسداد أنّ کلاّ من المتعارضین إذا </w:t>
      </w:r>
      <w:r>
        <w:rPr>
          <w:rStyle w:val="FootnoteAnchor"/>
          <w:rtl w:val="true"/>
        </w:rPr>
        <w:footnoteReference w:id="1842"/>
      </w:r>
      <w:r>
        <w:rPr>
          <w:rFonts w:ascii="IRNazanin" w:hAnsi="IRNazanin" w:eastAsia="IRNazanin"/>
          <w:color w:val="111111"/>
          <w:sz w:val="28"/>
          <w:sz w:val="28"/>
          <w:szCs w:val="28"/>
          <w:rtl w:val="true"/>
          <w:lang w:bidi="fa-IR"/>
        </w:rPr>
        <w:t>اعتضد بما یوجب قوّته علی غیره من جهة من الجهات،فهو راجح علی صاحبه مقدّم علیه فی العمل</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کان منها یبحث فیها عن الموضوعات الاستنباطیّة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ألفاظ الکتاب و السنّة من حیث استنباط الأحکام عنهما،کمسائل الأمر و النهی،و أخواتهما من المطلق و المقیّد،و العامّ و الخاصّ،و المجمل و المبیّن، إلی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علم حجّیّة الظنّ فیها من حیث استلزام الظنّ بها </w:t>
      </w:r>
    </w:p>
    <w:p>
      <w:pPr>
        <w:pStyle w:val="BookText"/>
        <w:rPr/>
      </w:pPr>
      <w:r>
        <w:rPr>
          <w:rFonts w:ascii="IRNazanin" w:hAnsi="IRNazanin" w:eastAsia="IRNazanin"/>
          <w:color w:val="111111"/>
          <w:sz w:val="28"/>
          <w:sz w:val="28"/>
          <w:szCs w:val="28"/>
          <w:rtl w:val="true"/>
          <w:lang w:bidi="fa-IR"/>
        </w:rPr>
        <w:t xml:space="preserve">الظنّ بالحکم الفرعی </w:t>
      </w:r>
      <w:r>
        <w:rPr>
          <w:rStyle w:val="FootnoteAnchor"/>
          <w:rtl w:val="true"/>
        </w:rPr>
        <w:footnoteReference w:id="1843"/>
      </w:r>
      <w:r>
        <w:rPr>
          <w:rFonts w:ascii="IRNazanin" w:hAnsi="IRNazanin" w:eastAsia="IRNazanin"/>
          <w:color w:val="111111"/>
          <w:sz w:val="28"/>
          <w:sz w:val="28"/>
          <w:szCs w:val="28"/>
          <w:rtl w:val="true"/>
          <w:lang w:bidi="fa-IR"/>
        </w:rPr>
        <w:t>الواقعی؛لما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مقتضی دلیل الانسداد فی الفروع حجّیة الظنّ الحاصل بها من الأمارة ابتداء،و الظنّ المتولّد من أمارة موجودة فی مسألة 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یلحق بهما </w:t>
      </w:r>
      <w:r>
        <w:rPr>
          <w:rStyle w:val="FootnoteAnchor"/>
          <w:rtl w:val="true"/>
        </w:rPr>
        <w:footnoteReference w:id="18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المسائل العقلیّة،مثل وجوب المقدّمة و حرمة الضدّ و امتناع اجتماع الأمر و النهی و الأمر مع العلم بانتفاء شرطه </w:t>
      </w:r>
      <w:r>
        <w:rPr>
          <w:rStyle w:val="FootnoteAnchor"/>
          <w:rtl w:val="true"/>
        </w:rPr>
        <w:footnoteReference w:id="1845"/>
      </w:r>
      <w:r>
        <w:rPr>
          <w:rFonts w:ascii="IRNazanin" w:hAnsi="IRNazanin" w:eastAsia="IRNazanin"/>
          <w:color w:val="111111"/>
          <w:sz w:val="28"/>
          <w:sz w:val="28"/>
          <w:szCs w:val="28"/>
          <w:rtl w:val="true"/>
          <w:lang w:bidi="fa-IR"/>
        </w:rPr>
        <w:t>، و نحو ذلک ممّا یستلزم الظنّ به الظنّ بالحکم الفرعی،فإنّه یکتفی فی حجّیة الظنّ فیها بإجراء دلیل الانسداد فی خصوص الفروع،و لا یحتاج إلی إجرائه فی الاصول</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فبعض المسائل الاصولیّة صارت معلومة بدلیل الانسداد، و بعضها صارت حجّیة الظنّ فیها معلومة بدلیل الانسداد فی الفروع، فالباقی </w:t>
      </w:r>
      <w:r>
        <w:rPr>
          <w:rStyle w:val="FootnoteAnchor"/>
          <w:rtl w:val="true"/>
        </w:rPr>
        <w:footnoteReference w:id="1846"/>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یحتاج </w:t>
      </w:r>
      <w:r>
        <w:rPr>
          <w:rStyle w:val="FootnoteAnchor"/>
          <w:rtl w:val="true"/>
        </w:rPr>
        <w:footnoteReference w:id="1847"/>
      </w:r>
      <w:r>
        <w:rPr>
          <w:rFonts w:ascii="IRNazanin" w:hAnsi="IRNazanin" w:eastAsia="IRNazanin"/>
          <w:color w:val="111111"/>
          <w:sz w:val="28"/>
          <w:sz w:val="28"/>
          <w:szCs w:val="28"/>
          <w:rtl w:val="true"/>
          <w:lang w:bidi="fa-IR"/>
        </w:rPr>
        <w:t>إثبات حجّیّة الظنّ فیها إلی إجراء دلیل الانسداد فی خصوص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فی الکثرة بحیث یلزم من العمل بالاصول و طرح الظنّ الموجود فیها محذور و إن کانت فی أنفسها کثیرة، مثل المسائل الباحثة عن حجّیة بعض الأمارات،کخبر الواحد و نقل الإجماع لا بشرط الظنّ الشخصی،و کالمسائل الباحثة عن شروط أخبار </w:t>
      </w:r>
    </w:p>
    <w:p>
      <w:pPr>
        <w:pStyle w:val="BookText"/>
        <w:rPr/>
      </w:pPr>
      <w:r>
        <w:rPr>
          <w:rFonts w:ascii="IRNazanin" w:hAnsi="IRNazanin" w:eastAsia="IRNazanin"/>
          <w:color w:val="111111"/>
          <w:sz w:val="28"/>
          <w:sz w:val="28"/>
          <w:szCs w:val="28"/>
          <w:rtl w:val="true"/>
          <w:lang w:bidi="fa-IR"/>
        </w:rPr>
        <w:t>الآحاد علی مذهب من یراها ظنونا خاصّة،و الباحثة عن بعض المرجّحات التعبّدیّة،و نحو ذلک؛فإنّ هذه المسائل لا تصیر معلومة بإجراء دلیل الانسداد فی خصوص الفروع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هذه المسائل بل </w:t>
      </w:r>
      <w:r>
        <w:rPr>
          <w:rStyle w:val="FootnoteAnchor"/>
          <w:rtl w:val="true"/>
        </w:rPr>
        <w:footnoteReference w:id="1848"/>
      </w:r>
      <w:r>
        <w:rPr>
          <w:rFonts w:ascii="IRNazanin" w:hAnsi="IRNazanin" w:eastAsia="IRNazanin"/>
          <w:color w:val="111111"/>
          <w:sz w:val="28"/>
          <w:sz w:val="28"/>
          <w:szCs w:val="28"/>
          <w:rtl w:val="true"/>
          <w:lang w:bidi="fa-IR"/>
        </w:rPr>
        <w:t>و أضعافها لیست فی الکثرة بحیث لو رجع مع حصول الظنّ بأحد طرفی المسألة إلی الاصول و طرح ذلک الظنّ لزم محذور کان یلزم فی 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الثانی،و هو إجراء دلیل الانسداد فی مطلق الأحکام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فرعیّة کانت أو أصلیّة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غیر مجد؛لأنّ النتیجة و هو العمل بالظنّ لا یثبت عمومه من حیث موارد الظنّ إلاّ بالإجماع المرکّب أو الترجیح بلا مرجّح،بأن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العمل بالظنّ فی الطهارات دون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بلا مرجّح و مخالف للإجماع،و هذان الوجهان مفقودان فی التعمیم و التسویة بین المسائل الفرعیّة و المسائل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فقد الإجماع فواضح؛لأنّ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اعتبار الظنّ فی الاصول</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وجود المرجّح؛فلأنّ الاهتمام بالمطالب الاصولیّة أکثر؛لابتناء الفروع علیها،و کلّما کانت المسألة مهمّة کان الاهتمام فیها أکثر،و التحفّظ عن الخطأ فیها آکد؛و لذا یعبّرون فی مقام المنع عن ذلک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إثبات مثل هذا الأصل بهذا مشکل،أو </w:t>
      </w:r>
      <w:r>
        <w:rPr>
          <w:rStyle w:val="FootnoteAnchor"/>
          <w:rtl w:val="true"/>
        </w:rPr>
        <w:footnoteReference w:id="1849"/>
      </w:r>
      <w:r>
        <w:rPr>
          <w:rFonts w:ascii="IRNazanin" w:hAnsi="IRNazanin" w:eastAsia="IRNazanin"/>
          <w:color w:val="111111"/>
          <w:sz w:val="28"/>
          <w:sz w:val="28"/>
          <w:szCs w:val="28"/>
          <w:rtl w:val="true"/>
          <w:lang w:bidi="fa-IR"/>
        </w:rPr>
        <w:t>إنّه إثبات أصل بخبر،و نحو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أمّا الثالث،و هو اختصاص مقدّمات الانسداد و نتیجتها بالمسائل الفرعیّة،إلاّ أنّ الظنّ بالمسألة الفرعیّة قد یتولّد من الظنّ بالمسألة </w:t>
      </w:r>
      <w:r>
        <w:rPr>
          <w:rStyle w:val="FootnoteAnchor"/>
          <w:rtl w:val="true"/>
        </w:rPr>
        <w:footnoteReference w:id="1850"/>
      </w:r>
      <w:r>
        <w:rPr>
          <w:rFonts w:ascii="IRNazanin" w:hAnsi="IRNazanin" w:eastAsia="IRNazanin"/>
          <w:color w:val="111111"/>
          <w:sz w:val="28"/>
          <w:sz w:val="28"/>
          <w:szCs w:val="28"/>
          <w:rtl w:val="true"/>
          <w:lang w:bidi="fa-IR"/>
        </w:rPr>
        <w:t>الاصولیّة،فالمسألة الاصولیّة بمنزلة المسائل اللغویّة یعتبر الظنّ فیها؛من حیث کونه منشأ للظنّ بالحکم الفرعیّ،ففیه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الظنّ بالمسألة الاصولیّة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منشأ للظنّ بالحکم الفرعی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کالباحثة عن الموضوعات المستنبطة،و المسائل العقلیّة مثل وجوب المقدّمة و امتناع اجتماع الأمر و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اعترفنا بحجّیة الظنّ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لا یتعلّق بذلک و تکون باحثة عن أحوال الدلیل من حیث الاعتبار فی نفسه أو عند المعارضة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منعنا عن حجّیة الظنّ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یتولّد من الظنّ فیها الظنّ بالحکم الفرعی الواقعی، و إنّما ینشأ منه الظنّ بالحکم الفرعی الظاهری،و هو ممّا لم یقتض انسداد باب العلم بالأحکام الواقعیّة العمل بالظنّ فیه؛فإنّ انسداد باب العلم فی حکم العصیر العنبیّ إنّما یقتضی العمل بالظنّ فی ذلک الحکم المنسدّ،لا فی حکم العصیر من حیث أخبر عادل بحرمته</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أمثال هذه الأحکام الثابتة للموضوعات لا من حیث هی،بل من حیث قیام الأمارة الغیر المفیدة للظنّ الفعلیّ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ثبت انسداد باب العلم فیها علی وجه یلزم المحذور من الرجوع فیها إلی الاصول عمل فیها بالظنّ،و إلاّ </w:t>
      </w:r>
      <w:r>
        <w:rPr>
          <w:rStyle w:val="FootnoteAnchor"/>
          <w:rtl w:val="true"/>
        </w:rPr>
        <w:footnoteReference w:id="1851"/>
      </w:r>
      <w:r>
        <w:rPr>
          <w:rFonts w:ascii="IRNazanin" w:hAnsi="IRNazanin" w:eastAsia="IRNazanin"/>
          <w:color w:val="111111"/>
          <w:sz w:val="28"/>
          <w:sz w:val="28"/>
          <w:szCs w:val="28"/>
          <w:rtl w:val="true"/>
          <w:lang w:bidi="fa-IR"/>
        </w:rPr>
        <w:t xml:space="preserve">فانسداد باب العلم فی الأحکام الواقعیّة و عدم </w:t>
      </w:r>
      <w:bookmarkStart w:id="1439" w:name="pg12977_114587"/>
    </w:p>
    <w:p>
      <w:pPr>
        <w:pStyle w:val="BookText"/>
        <w:rPr/>
      </w:pPr>
      <w:bookmarkEnd w:id="1439"/>
      <w:r>
        <w:rPr>
          <w:rFonts w:ascii="IRNazanin" w:hAnsi="IRNazanin" w:eastAsia="IRNazanin"/>
          <w:color w:val="111111"/>
          <w:sz w:val="28"/>
          <w:sz w:val="28"/>
          <w:szCs w:val="28"/>
          <w:rtl w:val="true"/>
          <w:lang w:bidi="fa-IR"/>
        </w:rPr>
        <w:t>إمکان العمل فیها بالاصول لا یقتضی العمل بالظنّ فی هذه الأحکام؛ لأنّها لا تغنی عن الواقع المنسدّ فیه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غایة توضیح ما قرّره استاذنا الشریف قدّس سرّه اللطیف </w:t>
      </w:r>
      <w:r>
        <w:rPr>
          <w:rStyle w:val="FootnoteAnchor"/>
          <w:rtl w:val="true"/>
        </w:rPr>
        <w:footnoteReference w:id="1852"/>
      </w:r>
      <w:r>
        <w:rPr>
          <w:rFonts w:ascii="IRNazanin" w:hAnsi="IRNazanin" w:eastAsia="IRNazanin"/>
          <w:color w:val="111111"/>
          <w:sz w:val="28"/>
          <w:sz w:val="28"/>
          <w:szCs w:val="28"/>
          <w:rtl w:val="true"/>
          <w:lang w:bidi="fa-IR"/>
        </w:rPr>
        <w:t>، فی منع نهوض دلیل الانسداد لإثبات حجّیّة الظنّ فی المسائل الاصولیّة</w:t>
      </w:r>
      <w:r>
        <w:rPr>
          <w:rFonts w:eastAsia="IRNazanin" w:cs="IRNazanin"/>
          <w:color w:val="111111"/>
          <w:sz w:val="28"/>
          <w:szCs w:val="28"/>
          <w:rtl w:val="true"/>
          <w:lang w:bidi="fa-IR"/>
        </w:rPr>
        <w:t>.</w:t>
      </w:r>
    </w:p>
    <w:p>
      <w:pPr>
        <w:pStyle w:val="Heading6"/>
        <w:numPr>
          <w:ilvl w:val="5"/>
          <w:numId w:val="1"/>
        </w:numPr>
        <w:rPr/>
      </w:pPr>
      <w:bookmarkStart w:id="1440" w:name="__RefHeading___Toc5447533_3224264995"/>
      <w:bookmarkStart w:id="1441" w:name="_Toc548"/>
      <w:bookmarkEnd w:id="1440"/>
      <w:r>
        <w:rPr>
          <w:rtl w:val="true"/>
        </w:rPr>
        <w:t>الثانی من دلیلی المنع</w:t>
      </w:r>
      <w:r>
        <w:rPr>
          <w:rtl w:val="true"/>
        </w:rPr>
        <w:t>:</w:t>
      </w:r>
      <w:r>
        <w:rPr>
          <w:rtl w:val="true"/>
        </w:rPr>
        <w:t>ما اشتهر من عدم حجیّة الظنّ فی مسائل اصول الفقه</w:t>
      </w:r>
      <w:bookmarkEnd w:id="1441"/>
    </w:p>
    <w:p>
      <w:pPr>
        <w:pStyle w:val="BookText"/>
        <w:rPr/>
      </w:pPr>
      <w:r>
        <w:rPr>
          <w:rFonts w:ascii="IRNazanin" w:hAnsi="IRNazanin" w:eastAsia="IRNazanin"/>
          <w:color w:val="111111"/>
          <w:sz w:val="28"/>
          <w:sz w:val="28"/>
          <w:szCs w:val="28"/>
          <w:rtl w:val="true"/>
          <w:lang w:bidi="fa-IR"/>
        </w:rPr>
        <w:t>الثانی من دلیلی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الشهرة المحقّقة و الإجماع المنقول علی عدم حجّیّة الظنّ فی مسائل اصول الفقه،و هی مسألة اصولیّة،فلو کان الظنّ فیها حجّة وجب الأخذ بالشهرة و نقل الإجماع فی هذه المسألة</w:t>
      </w:r>
      <w:r>
        <w:rPr>
          <w:rFonts w:eastAsia="IRNazanin" w:cs="IRNazanin"/>
          <w:color w:val="111111"/>
          <w:sz w:val="28"/>
          <w:szCs w:val="28"/>
          <w:rtl w:val="true"/>
          <w:lang w:bidi="fa-IR"/>
        </w:rPr>
        <w:t>.</w:t>
      </w:r>
    </w:p>
    <w:p>
      <w:pPr>
        <w:pStyle w:val="Heading6"/>
        <w:numPr>
          <w:ilvl w:val="5"/>
          <w:numId w:val="1"/>
        </w:numPr>
        <w:rPr/>
      </w:pPr>
      <w:bookmarkStart w:id="1442" w:name="__RefHeading___Toc5447535_3224264995"/>
      <w:bookmarkStart w:id="1443" w:name="_Toc549"/>
      <w:bookmarkEnd w:id="1442"/>
      <w:r>
        <w:rPr>
          <w:rtl w:val="true"/>
        </w:rPr>
        <w:t>و الجواب</w:t>
      </w:r>
      <w:r>
        <w:rPr>
          <w:rtl w:val="true"/>
        </w:rPr>
        <w:t>:</w:t>
      </w:r>
      <w:bookmarkEnd w:id="1443"/>
    </w:p>
    <w:p>
      <w:pPr>
        <w:pStyle w:val="Heading6"/>
        <w:numPr>
          <w:ilvl w:val="5"/>
          <w:numId w:val="1"/>
        </w:numPr>
        <w:rPr/>
      </w:pPr>
      <w:bookmarkStart w:id="1444" w:name="__RefHeading___Toc5447537_3224264995"/>
      <w:bookmarkStart w:id="1445" w:name="_Toc550"/>
      <w:bookmarkEnd w:id="1444"/>
      <w:r>
        <w:rPr>
          <w:rtl w:val="true"/>
        </w:rPr>
        <w:t>الجواب عن الدلیل الأوّل</w:t>
      </w:r>
      <w:bookmarkEnd w:id="1445"/>
    </w:p>
    <w:p>
      <w:pPr>
        <w:pStyle w:val="BookText"/>
        <w:rPr/>
      </w:pPr>
      <w:r>
        <w:rPr>
          <w:rFonts w:ascii="IRNazanin" w:hAnsi="IRNazanin" w:eastAsia="IRNazanin"/>
          <w:color w:val="111111"/>
          <w:sz w:val="28"/>
          <w:sz w:val="28"/>
          <w:szCs w:val="28"/>
          <w:rtl w:val="true"/>
          <w:lang w:bidi="fa-IR"/>
        </w:rPr>
        <w:t>أمّا عن 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فبأنّ دلیل الانسداد وارد علی أصالة حرمة العمل بالظنّ،و المختار فی الاستدلال به فی المقام </w:t>
      </w:r>
      <w:r>
        <w:rPr>
          <w:rStyle w:val="FootnoteAnchor"/>
          <w:rtl w:val="true"/>
        </w:rPr>
        <w:footnoteReference w:id="1853"/>
      </w:r>
      <w:r>
        <w:rPr>
          <w:rFonts w:ascii="IRNazanin" w:hAnsi="IRNazanin" w:eastAsia="IRNazanin"/>
          <w:color w:val="111111"/>
          <w:sz w:val="28"/>
          <w:sz w:val="28"/>
          <w:szCs w:val="28"/>
          <w:rtl w:val="true"/>
          <w:lang w:bidi="fa-IR"/>
        </w:rPr>
        <w:t>هو الوجه الثالث،و هو إجراؤه فی الأحکام الفرعیّة،و الظنّ فی المسائل الاصولیّة مستلزم للظنّ فی المسألة الفرعیّة</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اللازم منه هو الظنّ بالحکم الفرعیّ الظاهریّ صحیح،إلاّ أنّ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انسداد باب العلم فی الأحکام الواقعیّة و بقاء التکلیف بها و عدم جواز الرجوع فیها إلی الاصول،لا یقتضی إلاّ اعتبار الظنّ بالحکم الفرعیّ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ممنوع،بل المقدّمات المذکورة کما عرفت غیر مرّة،إنّما تقتضی اعتبار الظنّ بسقوط تلک الأحکام </w:t>
      </w:r>
      <w:bookmarkStart w:id="1446" w:name="pg12977_114588"/>
    </w:p>
    <w:p>
      <w:pPr>
        <w:pStyle w:val="BookText"/>
        <w:rPr/>
      </w:pPr>
      <w:bookmarkEnd w:id="1446"/>
      <w:r>
        <w:rPr>
          <w:rFonts w:ascii="IRNazanin" w:hAnsi="IRNazanin" w:eastAsia="IRNazanin"/>
          <w:color w:val="111111"/>
          <w:sz w:val="28"/>
          <w:sz w:val="28"/>
          <w:szCs w:val="28"/>
          <w:rtl w:val="true"/>
          <w:lang w:bidi="fa-IR"/>
        </w:rPr>
        <w:t>الواقعیّة و فراغ الذمّة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فرضنا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ظننّا بحکم العصیر لا واقعا،بل من حیث قام علیه ما لا یفید الظنّ الفعلیّ بالحکم الواقعیّ،فهذا الظنّ یکفی فی الظنّ بسقوط الحکم الواقعیّ للعصیر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فرضنا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لم یحصل ظنّ بحکم واقعیّ أصلا،و إنّما حصل الظنّ بحجّیة امور لا تفید الظنّ،فإنّ العمل بها یظنّ معه سقوط الأحکام الواقعیّة عنّا؛لما تقدّم </w:t>
      </w:r>
      <w:r>
        <w:rPr>
          <w:rStyle w:val="FootnoteAnchor"/>
          <w:rtl w:val="true"/>
        </w:rPr>
        <w:footnoteReference w:id="18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لا فرق فی سقوط الواقع بین الإتیان بالواقع علما أو ظنّا،و بین الإتیان ببدله کذلک،فالظنّ بالإتیان بالبدل کالظنّ بإتیان الواقع،و هذا واضح</w:t>
      </w:r>
      <w:r>
        <w:rPr>
          <w:rFonts w:eastAsia="IRNazanin" w:cs="IRNazanin"/>
          <w:color w:val="111111"/>
          <w:sz w:val="28"/>
          <w:szCs w:val="28"/>
          <w:rtl w:val="true"/>
          <w:lang w:bidi="fa-IR"/>
        </w:rPr>
        <w:t>.</w:t>
      </w:r>
    </w:p>
    <w:p>
      <w:pPr>
        <w:pStyle w:val="Heading6"/>
        <w:numPr>
          <w:ilvl w:val="5"/>
          <w:numId w:val="1"/>
        </w:numPr>
        <w:rPr/>
      </w:pPr>
      <w:bookmarkStart w:id="1447" w:name="__RefHeading___Toc5447539_3224264995"/>
      <w:bookmarkStart w:id="1448" w:name="_Toc551"/>
      <w:bookmarkEnd w:id="1447"/>
      <w:r>
        <w:rPr>
          <w:rtl w:val="true"/>
        </w:rPr>
        <w:t>الجواب عن الدلیل الثانی</w:t>
      </w:r>
      <w:bookmarkEnd w:id="1448"/>
    </w:p>
    <w:p>
      <w:pPr>
        <w:pStyle w:val="BookText"/>
        <w:rPr/>
      </w:pPr>
      <w:r>
        <w:rPr>
          <w:rFonts w:ascii="IRNazanin" w:hAnsi="IRNazanin" w:eastAsia="IRNazanin"/>
          <w:color w:val="111111"/>
          <w:sz w:val="28"/>
          <w:sz w:val="28"/>
          <w:szCs w:val="28"/>
          <w:rtl w:val="true"/>
          <w:lang w:bidi="fa-IR"/>
        </w:rPr>
        <w:t>و أمّا الجواب عن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فبمنع الشهرة و الإجماع؛نظرا إلی أنّ المسألة من المستحدثات، فدعوی الإجماع فیها مساوقة لدعوی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الشهرة،لکنّه لأجل بناء المشهور علی الظنون الخاصّة کأخبار الآحاد و الإجماع المنقول،و حیث إنّ المتّبع فیها الأدلّة الخاصّة،و کانت أدلّتها کالإجماع و السیرة علی حجّیة أخبار الآحاد مختصّة بالمسائل الفرعیّة،بقیت المسائل الاصولیّة تحت أصالة حرمة العمل بالظنّ،و لم یعلم بل و لم یظنّ من مذهبهم الفرق بین الفروع و الاصول،بناء علی مقدّمات الانسداد و اقتضاء العقل کفایة الخروج الظنّی عن عهدة التکالیف الواقعیّة</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سلّمنا قیام الشهرة و الإجماع المنقول علی عدم الحجّیة علی </w:t>
      </w:r>
    </w:p>
    <w:p>
      <w:pPr>
        <w:pStyle w:val="BookText"/>
        <w:rPr/>
      </w:pPr>
      <w:r>
        <w:rPr>
          <w:rFonts w:ascii="IRNazanin" w:hAnsi="IRNazanin" w:eastAsia="IRNazanin"/>
          <w:color w:val="111111"/>
          <w:sz w:val="28"/>
          <w:sz w:val="28"/>
          <w:szCs w:val="28"/>
          <w:rtl w:val="true"/>
          <w:lang w:bidi="fa-IR"/>
        </w:rPr>
        <w:t>تقدیر الانسداد،لکنّ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أعنی کون مقتضی الانسداد هو العمل بالظنّ مطلقا </w:t>
      </w:r>
      <w:r>
        <w:rPr>
          <w:rStyle w:val="FootnoteAnchor"/>
          <w:rtl w:val="true"/>
        </w:rPr>
        <w:footnoteReference w:id="1855"/>
      </w:r>
      <w:r>
        <w:rPr>
          <w:rFonts w:ascii="IRNazanin" w:hAnsi="IRNazanin" w:eastAsia="IRNazanin"/>
          <w:color w:val="111111"/>
          <w:sz w:val="28"/>
          <w:sz w:val="28"/>
          <w:szCs w:val="28"/>
          <w:rtl w:val="true"/>
          <w:lang w:bidi="fa-IR"/>
        </w:rPr>
        <w:t xml:space="preserve">فی الفروع </w:t>
      </w:r>
      <w:r>
        <w:rPr>
          <w:rStyle w:val="FootnoteAnchor"/>
          <w:rtl w:val="true"/>
        </w:rPr>
        <w:footnoteReference w:id="1856"/>
      </w:r>
      <w:r>
        <w:rPr>
          <w:rFonts w:ascii="IRNazanin" w:hAnsi="IRNazanin" w:eastAsia="IRNazanin"/>
          <w:color w:val="111111"/>
          <w:sz w:val="28"/>
          <w:sz w:val="28"/>
          <w:szCs w:val="28"/>
          <w:rtl w:val="true"/>
          <w:lang w:bidi="fa-IR"/>
        </w:rPr>
        <w:t>دون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عقلیّة </w:t>
      </w:r>
      <w:r>
        <w:rPr>
          <w:rStyle w:val="FootnoteAnchor"/>
          <w:rtl w:val="true"/>
        </w:rPr>
        <w:footnoteReference w:id="1857"/>
      </w:r>
      <w:r>
        <w:rPr>
          <w:rFonts w:ascii="IRNazanin" w:hAnsi="IRNazanin" w:eastAsia="IRNazanin"/>
          <w:color w:val="111111"/>
          <w:sz w:val="28"/>
          <w:sz w:val="28"/>
          <w:szCs w:val="28"/>
          <w:rtl w:val="true"/>
          <w:lang w:bidi="fa-IR"/>
        </w:rPr>
        <w:t>،و الشهرة و نقل الإجماع إنّما یفیدان الظنّ فی المسائل التوقیفیّة دون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حصول الظنّ بعدم الحجّیة مع تسلیم دلالة دلیل الانسداد علی الحجّیة لا یجتمعان،فتسلیم دلیل الانسداد یمنع من حصول الظنّ</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سلّمنا </w:t>
      </w:r>
      <w:r>
        <w:rPr>
          <w:rStyle w:val="FootnoteAnchor"/>
          <w:rtl w:val="true"/>
        </w:rPr>
        <w:footnoteReference w:id="1858"/>
      </w:r>
      <w:r>
        <w:rPr>
          <w:rFonts w:ascii="IRNazanin" w:hAnsi="IRNazanin" w:eastAsia="IRNazanin"/>
          <w:color w:val="111111"/>
          <w:sz w:val="28"/>
          <w:sz w:val="28"/>
          <w:szCs w:val="28"/>
          <w:rtl w:val="true"/>
          <w:lang w:bidi="fa-IR"/>
        </w:rPr>
        <w:t xml:space="preserve">حصول الظنّ،لکنّ غایة الأمر دخول المسألة فیما تقدّم،من قیام الظنّ علی عدم حجّیة ظنّ </w:t>
      </w:r>
      <w:r>
        <w:rPr>
          <w:rStyle w:val="FootnoteAnchor"/>
          <w:rtl w:val="true"/>
        </w:rPr>
        <w:footnoteReference w:id="1859"/>
      </w:r>
      <w:r>
        <w:rPr>
          <w:rFonts w:ascii="IRNazanin" w:hAnsi="IRNazanin" w:eastAsia="IRNazanin"/>
          <w:color w:val="111111"/>
          <w:sz w:val="28"/>
          <w:sz w:val="28"/>
          <w:szCs w:val="28"/>
          <w:rtl w:val="true"/>
          <w:lang w:bidi="fa-IR"/>
        </w:rPr>
        <w:t xml:space="preserve">،و قد عرفت أنّ المرجع فیه إلی متابعة الظنّ الأقوی،فراجع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 xml:space="preserve">. </w:t>
      </w:r>
      <w:bookmarkStart w:id="1449" w:name="pg12977_114590"/>
    </w:p>
    <w:p>
      <w:pPr>
        <w:pStyle w:val="Heading6"/>
        <w:numPr>
          <w:ilvl w:val="5"/>
          <w:numId w:val="1"/>
        </w:numPr>
        <w:rPr/>
      </w:pPr>
      <w:bookmarkStart w:id="1450" w:name="__RefHeading___Toc5447541_3224264995"/>
      <w:bookmarkStart w:id="1451" w:name="_Toc552"/>
      <w:bookmarkEnd w:id="1449"/>
      <w:bookmarkEnd w:id="1450"/>
      <w:r>
        <w:rPr>
          <w:rtl w:val="true"/>
        </w:rPr>
        <w:t>الأمر الرابع</w:t>
      </w:r>
      <w:bookmarkEnd w:id="1451"/>
    </w:p>
    <w:p>
      <w:pPr>
        <w:pStyle w:val="BookText"/>
        <w:rPr/>
      </w:pPr>
      <w:r>
        <w:rPr>
          <w:rFonts w:ascii="IRNazanin" w:hAnsi="IRNazanin" w:eastAsia="IRNazanin"/>
          <w:color w:val="111111"/>
          <w:sz w:val="28"/>
          <w:sz w:val="28"/>
          <w:szCs w:val="28"/>
          <w:rtl w:val="true"/>
          <w:lang w:bidi="fa-IR"/>
        </w:rPr>
        <w:t xml:space="preserve">الأمر الرابع </w:t>
      </w:r>
      <w:r>
        <w:rPr>
          <w:rStyle w:val="FootnoteAnchor"/>
          <w:rtl w:val="true"/>
        </w:rPr>
        <w:footnoteReference w:id="18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کفایة الظنّ بالامتثال فی مقام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الثابت بمقدّمات دلیل الانسداد هو الاکتفاء بالظنّ فی الخروج عن عهدة الأحکام المنسدّ فیها باب العلم،بمعنی أنّ المظنون إذا خالف حکم اللّه الواقعیّ لم یعاقب </w:t>
      </w:r>
      <w:r>
        <w:rPr>
          <w:rStyle w:val="FootnoteAnchor"/>
          <w:rtl w:val="true"/>
        </w:rPr>
        <w:footnoteReference w:id="1862"/>
      </w:r>
      <w:r>
        <w:rPr>
          <w:rFonts w:ascii="IRNazanin" w:hAnsi="IRNazanin" w:eastAsia="IRNazanin"/>
          <w:color w:val="111111"/>
          <w:sz w:val="28"/>
          <w:sz w:val="28"/>
          <w:szCs w:val="28"/>
          <w:rtl w:val="true"/>
          <w:lang w:bidi="fa-IR"/>
        </w:rPr>
        <w:t>بل یثاب علیه،فالظنّ بالامتثال إنّما یکفی فی مقام تعیین الحکم الشرعی الممتثل</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مقام تطبیق العمل الخارجی علی ذلک المعیّن،فلا دلیل علی الاکتفاء فیه بالظنّ،مثلا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شککنا فی وجوب الجمعة أو الظهر جاز لنا تعیین الواجب الواقعی بالظنّ،فلو ظننّا وجوب الجمعة فلا نعاقب علی تقدیر وجوب الظهر واقعا،لکن لا یلزم من ذلک </w:t>
      </w:r>
      <w:bookmarkStart w:id="1452" w:name="pg12977_114591"/>
    </w:p>
    <w:p>
      <w:pPr>
        <w:pStyle w:val="BookText"/>
        <w:rPr/>
      </w:pPr>
      <w:bookmarkEnd w:id="1452"/>
      <w:r>
        <w:rPr>
          <w:rFonts w:ascii="IRNazanin" w:hAnsi="IRNazanin" w:eastAsia="IRNazanin"/>
          <w:color w:val="111111"/>
          <w:sz w:val="28"/>
          <w:sz w:val="28"/>
          <w:szCs w:val="28"/>
          <w:rtl w:val="true"/>
          <w:lang w:bidi="fa-IR"/>
        </w:rPr>
        <w:t>حجّیة الظنّ فی مقام العمل علی طبق ذلک الظنّ،فإذا ظننّا بعد مضیّ مقدار من الوقت بأنّا قد أتینا بالجمعة فی هذا الیوم،لکن احتمل نسیانها،فلا یکفی الظنّ بالامتثال من هذه الجهة،بمعنی أنّه إذا لم نأت بها فی الواقع و نسیناها قام الظنّ بالإتیان مقام العلم به،بل یجب بحکم الأصل وجوب الاتیان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لو ظننّا بدخول الوقت و أتینا بالجمعة فلا یقتصر علی هذا الظنّ بمعنی عدم العقاب علی تقدیر مخالفة الظنّ للواقع بإتیان الجمعة قبل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ظنّ المکلّف بالامتثال و براءة ذمّته و سقوط الواقع، فهذا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مستندا إلی الظنّ فی تعیین الحکم الشرعیّ کان المکلّف فیه معذورا مأجورا علی تقدیر المخالفة للواقع،و إن کان مستندا إلی الظنّ بکون الواقع فی الخارج منه منطبقا علی الحکم الشرعیّ فلیس معذورا،بل یعاقب علی ترک الواقع أو ترک الرجوع إلی القواعد الظاهریّة التی هی المعوّل لغیر العالم</w:t>
      </w:r>
      <w:r>
        <w:rPr>
          <w:rFonts w:eastAsia="IRNazanin" w:cs="IRNazanin"/>
          <w:color w:val="111111"/>
          <w:sz w:val="28"/>
          <w:szCs w:val="28"/>
          <w:rtl w:val="true"/>
          <w:lang w:bidi="fa-IR"/>
        </w:rPr>
        <w:t>.</w:t>
      </w:r>
    </w:p>
    <w:p>
      <w:pPr>
        <w:pStyle w:val="Heading6"/>
        <w:numPr>
          <w:ilvl w:val="5"/>
          <w:numId w:val="1"/>
        </w:numPr>
        <w:rPr/>
      </w:pPr>
      <w:bookmarkStart w:id="1453" w:name="__RefHeading___Toc5447543_3224264995"/>
      <w:bookmarkStart w:id="1454" w:name="_Toc553"/>
      <w:bookmarkEnd w:id="1453"/>
      <w:r>
        <w:rPr>
          <w:rtl w:val="true"/>
        </w:rPr>
        <w:t>عدم حجیّة الظنّ فی الامور الخارجیّة</w:t>
      </w:r>
      <w:bookmarkEnd w:id="1454"/>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الظنّ بالامور الخارجیّة عند فقد العلم بانطباقها علی المفاهیم الکلّیة التی تعلّق بها الأحکام الشرعیّة لا دلیل علی اعتباره،و أنّ دلیل الانسداد إنّما یعذر الجاهل فیما انسد فیه باب العلم لفقد الأدلّة المنصوبة من الشارع أو إجمال </w:t>
      </w:r>
      <w:r>
        <w:rPr>
          <w:rStyle w:val="FootnoteAnchor"/>
          <w:rtl w:val="true"/>
        </w:rPr>
        <w:footnoteReference w:id="1863"/>
      </w:r>
      <w:r>
        <w:rPr>
          <w:rFonts w:ascii="IRNazanin" w:hAnsi="IRNazanin" w:eastAsia="IRNazanin"/>
          <w:color w:val="111111"/>
          <w:sz w:val="28"/>
          <w:sz w:val="28"/>
          <w:szCs w:val="28"/>
          <w:rtl w:val="true"/>
          <w:lang w:bidi="fa-IR"/>
        </w:rPr>
        <w:t xml:space="preserve">ما وجد منها، و لا یعذر الجاهل بالامتثال من غیر هذه الجهة؛فإنّ المعذور فیه هو الظنّ بأنّ قبلة العراق </w:t>
      </w:r>
      <w:r>
        <w:rPr>
          <w:rStyle w:val="FootnoteAnchor"/>
          <w:rtl w:val="true"/>
        </w:rPr>
        <w:footnoteReference w:id="1864"/>
      </w:r>
      <w:r>
        <w:rPr>
          <w:rFonts w:ascii="IRNazanin" w:hAnsi="IRNazanin" w:eastAsia="IRNazanin"/>
          <w:color w:val="111111"/>
          <w:sz w:val="28"/>
          <w:sz w:val="28"/>
          <w:szCs w:val="28"/>
          <w:rtl w:val="true"/>
          <w:lang w:bidi="fa-IR"/>
        </w:rPr>
        <w:t xml:space="preserve">ما بین المشرق و المغرب،أمّا الظنّ بوقوع </w:t>
      </w:r>
      <w:bookmarkStart w:id="1455" w:name="pg12977_114592"/>
    </w:p>
    <w:p>
      <w:pPr>
        <w:pStyle w:val="BookText"/>
        <w:rPr/>
      </w:pPr>
      <w:bookmarkEnd w:id="1455"/>
      <w:r>
        <w:rPr>
          <w:rFonts w:ascii="IRNazanin" w:hAnsi="IRNazanin" w:eastAsia="IRNazanin"/>
          <w:color w:val="111111"/>
          <w:sz w:val="28"/>
          <w:sz w:val="28"/>
          <w:szCs w:val="28"/>
          <w:rtl w:val="true"/>
          <w:lang w:bidi="fa-IR"/>
        </w:rPr>
        <w:t>الصلاة إلیه فلا یعذر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اندفاع توهّم أنّه إذا بنی علی الامتثال الظنّی للأحکام الواقعیّة فلا یجدی إحراز العلم بانطباق الخارج علی المفهوم؛لأنّ الامتثال یرجع بالأخرة إلی الامتثال الظنّی؛حیث إنّ الظانّ بکون القبلة ما بین المشرق و المغرب امتثاله للتکالیف الواقعیّة ظنّی،علم بما بین المشرق و المغرب أو 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حاصله </w:t>
      </w:r>
      <w:r>
        <w:rPr>
          <w:rStyle w:val="FootnoteAnchor"/>
          <w:rtl w:val="true"/>
        </w:rPr>
        <w:footnoteReference w:id="18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حجّیة الظنّ فی تعیین الحکم بمعنی معذوریّة الشخص مع المخالفة لا تستلزم حجّیته فی الانطباق بمعنی معذوریّته لو لم یکن الخارج منطبقا علی ذلک الذی عیّن؛و إلاّ لکان الإذن فی العمل بالظنّ فی بعض شروط الصلاة أو أجزائها یوجب جوازه فی سائرها، و هو بدیهیّ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قیاس الظنّ بالامور الخارجیّة علی المسائل الاصولیّة و اللغویّة،و استلزامه الظنّ بالامتثال قیاس مع الفارق؛لأنّ جمیع هذه یرجع إلی شیء واحد هو الظنّ بتعیین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 المعلوم عدم جریان دلیل الانسداد فی نفس الامور الخارجیّة؛لأنّها غیر منوطة بأدلّة و أمارات مضبوطة حتّی یدّعی طروّ الانسداد فیها فی هذا الزمان فیجری دلیل الانسداد فی أنفسها؛لأنّ مرجعها لیس إلی الشرع و لا إلی مرجع آخر منضبط</w:t>
      </w:r>
      <w:r>
        <w:rPr>
          <w:rFonts w:eastAsia="IRNazanin" w:cs="IRNazanin"/>
          <w:color w:val="111111"/>
          <w:sz w:val="28"/>
          <w:szCs w:val="28"/>
          <w:rtl w:val="true"/>
          <w:lang w:bidi="fa-IR"/>
        </w:rPr>
        <w:t>.</w:t>
      </w:r>
    </w:p>
    <w:p>
      <w:pPr>
        <w:pStyle w:val="Heading6"/>
        <w:numPr>
          <w:ilvl w:val="5"/>
          <w:numId w:val="1"/>
        </w:numPr>
        <w:rPr/>
      </w:pPr>
      <w:bookmarkStart w:id="1456" w:name="__RefHeading___Toc5447545_3224264995"/>
      <w:bookmarkStart w:id="1457" w:name="_Toc554"/>
      <w:bookmarkEnd w:id="1456"/>
      <w:r>
        <w:rPr>
          <w:rtl w:val="true"/>
        </w:rPr>
        <w:t>حجّیة الظنّ فی بعض الامور الخارجیّة کالضرر و النسب و شبههما</w:t>
      </w:r>
      <w:bookmarkEnd w:id="1457"/>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نعم،قد یوجد فی الامور الخارجیّة ما لا یبعد إجراء نظیر دلیل الانسداد فیه،کما فی موضوع الضرر الذی انیط به أحکام کثیرة من </w:t>
      </w:r>
    </w:p>
    <w:p>
      <w:pPr>
        <w:pStyle w:val="BookText"/>
        <w:rPr/>
      </w:pPr>
      <w:r>
        <w:rPr>
          <w:rFonts w:ascii="IRNazanin" w:hAnsi="IRNazanin" w:eastAsia="IRNazanin"/>
          <w:color w:val="111111"/>
          <w:sz w:val="28"/>
          <w:sz w:val="28"/>
          <w:szCs w:val="28"/>
          <w:rtl w:val="true"/>
          <w:lang w:bidi="fa-IR"/>
        </w:rPr>
        <w:t>جواز التیمّم و الافطار و غیرهما،فیقال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باب العلم بالضرر منسدّ غالبا؛إذ لا یعلم غالبا إلاّ بعد تحقّقه،و إجراء </w:t>
      </w:r>
      <w:r>
        <w:rPr>
          <w:rStyle w:val="FootnoteAnchor"/>
          <w:rtl w:val="true"/>
        </w:rPr>
        <w:footnoteReference w:id="1866"/>
      </w:r>
      <w:r>
        <w:rPr>
          <w:rFonts w:ascii="IRNazanin" w:hAnsi="IRNazanin" w:eastAsia="IRNazanin"/>
          <w:color w:val="111111"/>
          <w:sz w:val="28"/>
          <w:sz w:val="28"/>
          <w:szCs w:val="28"/>
          <w:rtl w:val="true"/>
          <w:lang w:bidi="fa-IR"/>
        </w:rPr>
        <w:t>أصالة عدمه فی تلک الموارد یوجب المحذور،و هو الوقوع فی الضرر غالبا،فتعیّن إناطة الحکم فیه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انیط الحکم بنفس الضرر،و أمّا إذا انیط بموضوع الخوف فلا حاجة إلی ذلک،بل یشمل حینئذ الشکّ أیضا</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یجری مثل ذلک فی مثل العدالة و النسب و شبههما من الموضوعات التی یلزم من إجراء الاصول فیها مع عدم العلم الوقوع فی مخالفة الواقع کثیرا،فافهم</w:t>
      </w:r>
      <w:r>
        <w:rPr>
          <w:rFonts w:eastAsia="IRNazanin" w:cs="IRNazanin"/>
          <w:color w:val="111111"/>
          <w:sz w:val="28"/>
          <w:szCs w:val="28"/>
          <w:rtl w:val="true"/>
          <w:lang w:bidi="fa-IR"/>
        </w:rPr>
        <w:t xml:space="preserve">. </w:t>
      </w:r>
      <w:bookmarkStart w:id="1458" w:name="pg12977_114594"/>
    </w:p>
    <w:p>
      <w:pPr>
        <w:pStyle w:val="Heading6"/>
        <w:numPr>
          <w:ilvl w:val="5"/>
          <w:numId w:val="1"/>
        </w:numPr>
        <w:rPr/>
      </w:pPr>
      <w:bookmarkStart w:id="1459" w:name="__RefHeading___Toc5447547_3224264995"/>
      <w:bookmarkStart w:id="1460" w:name="_Toc555"/>
      <w:bookmarkEnd w:id="1458"/>
      <w:bookmarkEnd w:id="1459"/>
      <w:r>
        <w:rPr>
          <w:rtl w:val="true"/>
        </w:rPr>
        <w:t>الأمر الخامس</w:t>
      </w:r>
      <w:bookmarkEnd w:id="1460"/>
    </w:p>
    <w:p>
      <w:pPr>
        <w:pStyle w:val="BookText"/>
        <w:rPr/>
      </w:pPr>
      <w:r>
        <w:rPr>
          <w:rFonts w:ascii="IRNazanin" w:hAnsi="IRNazanin" w:eastAsia="IRNazanin"/>
          <w:color w:val="111111"/>
          <w:sz w:val="28"/>
          <w:sz w:val="28"/>
          <w:szCs w:val="28"/>
          <w:rtl w:val="true"/>
          <w:lang w:bidi="fa-IR"/>
        </w:rPr>
        <w:t xml:space="preserve">الأمر الخامس </w:t>
      </w:r>
      <w:r>
        <w:rPr>
          <w:rStyle w:val="FootnoteAnchor"/>
          <w:rtl w:val="true"/>
        </w:rPr>
        <w:footnoteReference w:id="1867"/>
      </w:r>
      <w:r>
        <w:rPr>
          <w:rFonts w:ascii="IRNazanin" w:hAnsi="IRNazanin" w:eastAsia="IRNazanin"/>
          <w:color w:val="111111"/>
          <w:sz w:val="28"/>
          <w:sz w:val="28"/>
          <w:szCs w:val="28"/>
          <w:rtl w:val="true"/>
          <w:lang w:bidi="fa-IR"/>
        </w:rPr>
        <w:t>فی اعتبار الظنّ فی اصول الدین</w:t>
      </w:r>
    </w:p>
    <w:p>
      <w:pPr>
        <w:pStyle w:val="Heading6"/>
        <w:numPr>
          <w:ilvl w:val="5"/>
          <w:numId w:val="1"/>
        </w:numPr>
        <w:rPr/>
      </w:pPr>
      <w:bookmarkStart w:id="1461" w:name="__RefHeading___Toc5447549_3224264995"/>
      <w:bookmarkStart w:id="1462" w:name="_Toc556"/>
      <w:bookmarkEnd w:id="1461"/>
      <w:r>
        <w:rPr>
          <w:rtl w:val="true"/>
        </w:rPr>
        <w:t>الأقوال فی المسألة</w:t>
      </w:r>
      <w:bookmarkEnd w:id="1462"/>
    </w:p>
    <w:p>
      <w:pPr>
        <w:pStyle w:val="BookText"/>
        <w:rPr/>
      </w:pPr>
      <w:r>
        <w:rPr>
          <w:rFonts w:ascii="IRNazanin" w:hAnsi="IRNazanin" w:eastAsia="IRNazanin"/>
          <w:color w:val="111111"/>
          <w:sz w:val="28"/>
          <w:sz w:val="28"/>
          <w:szCs w:val="28"/>
          <w:rtl w:val="true"/>
          <w:lang w:bidi="fa-IR"/>
        </w:rPr>
        <w:t>و الأقوال المستفادة من تتبّع کلمات العلماء فی هذه المسألة،من حیث وجوب مطلق المعرفة،أو الحاصلة عن خصوص النظر،و کفایة الظنّ مطلقا،أو فی الجملة،ستّة</w:t>
      </w:r>
      <w:r>
        <w:rPr>
          <w:rFonts w:eastAsia="IRNazanin" w:cs="IRNazanin"/>
          <w:color w:val="111111"/>
          <w:sz w:val="28"/>
          <w:szCs w:val="28"/>
          <w:rtl w:val="true"/>
          <w:lang w:bidi="fa-IR"/>
        </w:rPr>
        <w:t>.</w:t>
      </w:r>
    </w:p>
    <w:p>
      <w:pPr>
        <w:pStyle w:val="Heading6"/>
        <w:numPr>
          <w:ilvl w:val="5"/>
          <w:numId w:val="1"/>
        </w:numPr>
        <w:rPr/>
      </w:pPr>
      <w:bookmarkStart w:id="1463" w:name="__RefHeading___Toc5447551_3224264995"/>
      <w:bookmarkStart w:id="1464" w:name="_Toc557"/>
      <w:bookmarkEnd w:id="1463"/>
      <w:r>
        <w:rPr>
          <w:rtl w:val="true"/>
        </w:rPr>
        <w:t>القول الاول</w:t>
      </w:r>
      <w:bookmarkEnd w:id="1464"/>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اعتبار العلم فیها من النظر و الاستدلال،و هو المعروف عن الأکثر </w:t>
      </w:r>
      <w:r>
        <w:rPr>
          <w:rStyle w:val="FootnoteAnchor"/>
          <w:rtl w:val="true"/>
        </w:rPr>
        <w:footnoteReference w:id="1868"/>
      </w:r>
      <w:r>
        <w:rPr>
          <w:rFonts w:ascii="IRNazanin" w:hAnsi="IRNazanin" w:eastAsia="IRNazanin"/>
          <w:color w:val="111111"/>
          <w:sz w:val="28"/>
          <w:sz w:val="28"/>
          <w:szCs w:val="28"/>
          <w:rtl w:val="true"/>
          <w:lang w:bidi="fa-IR"/>
        </w:rPr>
        <w:t>،و ادّعی علیه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الباب الحادی عشر من مختصر 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إجماع العلماء کافّة </w:t>
      </w:r>
      <w:r>
        <w:rPr>
          <w:rStyle w:val="FootnoteAnchor"/>
          <w:rtl w:val="true"/>
        </w:rPr>
        <w:footnoteReference w:id="18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یحکی دعوی الإجماع عن العضدیّ </w:t>
      </w:r>
      <w:r>
        <w:rPr>
          <w:rStyle w:val="FootnoteAnchor"/>
          <w:rtl w:val="true"/>
        </w:rPr>
        <w:footnoteReference w:id="1870"/>
      </w:r>
      <w:r>
        <w:rPr>
          <w:rFonts w:ascii="IRNazanin" w:hAnsi="IRNazanin" w:eastAsia="IRNazanin"/>
          <w:color w:val="111111"/>
          <w:sz w:val="28"/>
          <w:sz w:val="28"/>
          <w:szCs w:val="28"/>
          <w:rtl w:val="true"/>
          <w:lang w:bidi="fa-IR"/>
        </w:rPr>
        <w:t xml:space="preserve">،لکنّ الموجود منه فی مسألة عدم جواز التقلید فی العقلیّات </w:t>
      </w:r>
      <w:bookmarkStart w:id="1465" w:name="pg12977_114595"/>
    </w:p>
    <w:p>
      <w:pPr>
        <w:pStyle w:val="BookText"/>
        <w:rPr/>
      </w:pPr>
      <w:bookmarkEnd w:id="1465"/>
      <w:r>
        <w:rPr>
          <w:rFonts w:ascii="IRNazanin" w:hAnsi="IRNazanin" w:eastAsia="IRNazanin"/>
          <w:color w:val="111111"/>
          <w:sz w:val="28"/>
          <w:sz w:val="28"/>
          <w:szCs w:val="28"/>
          <w:rtl w:val="true"/>
          <w:lang w:bidi="fa-IR"/>
        </w:rPr>
        <w:t>من اصول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دعوی إجماع الامّة علی وجوب معرفة اللّه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66" w:name="__RefHeading___Toc5447553_3224264995"/>
      <w:bookmarkStart w:id="1467" w:name="_Toc558"/>
      <w:bookmarkEnd w:id="1466"/>
      <w:r>
        <w:rPr>
          <w:rtl w:val="true"/>
        </w:rPr>
        <w:t>القول الثانی</w:t>
      </w:r>
      <w:bookmarkEnd w:id="1467"/>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اعتبار العلم و لو من التقلید،و هو المصرّح به فی کلام بعض </w:t>
      </w:r>
      <w:r>
        <w:rPr>
          <w:rStyle w:val="FootnoteAnchor"/>
          <w:rtl w:val="true"/>
        </w:rPr>
        <w:footnoteReference w:id="1872"/>
      </w:r>
      <w:r>
        <w:rPr>
          <w:rFonts w:ascii="IRNazanin" w:hAnsi="IRNazanin" w:eastAsia="IRNazanin"/>
          <w:color w:val="111111"/>
          <w:sz w:val="28"/>
          <w:sz w:val="28"/>
          <w:szCs w:val="28"/>
          <w:rtl w:val="true"/>
          <w:lang w:bidi="fa-IR"/>
        </w:rPr>
        <w:t xml:space="preserve">و المحکیّ عن آخرین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68" w:name="__RefHeading___Toc5447555_3224264995"/>
      <w:bookmarkStart w:id="1469" w:name="_Toc559"/>
      <w:bookmarkEnd w:id="1468"/>
      <w:r>
        <w:rPr>
          <w:rtl w:val="true"/>
        </w:rPr>
        <w:t>القول الثالث</w:t>
      </w:r>
      <w:bookmarkEnd w:id="1469"/>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الظنّ مطلقا،و هو المحکیّ عن جماعة،منهم المحقّق الطوسیّ فی بعض الرسائل المنسوبة إلیه </w:t>
      </w:r>
      <w:r>
        <w:rPr>
          <w:rStyle w:val="FootnoteAnchor"/>
          <w:rtl w:val="true"/>
        </w:rPr>
        <w:footnoteReference w:id="1874"/>
      </w:r>
      <w:r>
        <w:rPr>
          <w:rFonts w:ascii="IRNazanin" w:hAnsi="IRNazanin" w:eastAsia="IRNazanin"/>
          <w:color w:val="111111"/>
          <w:sz w:val="28"/>
          <w:sz w:val="28"/>
          <w:szCs w:val="28"/>
          <w:rtl w:val="true"/>
          <w:lang w:bidi="fa-IR"/>
        </w:rPr>
        <w:t xml:space="preserve">و حکی نسبته إلیه فی فصوله </w:t>
      </w:r>
      <w:r>
        <w:rPr>
          <w:rStyle w:val="FootnoteAnchor"/>
          <w:rtl w:val="true"/>
        </w:rPr>
        <w:footnoteReference w:id="1875"/>
      </w:r>
      <w:r>
        <w:rPr>
          <w:rFonts w:ascii="IRNazanin" w:hAnsi="IRNazanin" w:eastAsia="IRNazanin"/>
          <w:color w:val="111111"/>
          <w:sz w:val="28"/>
          <w:sz w:val="28"/>
          <w:szCs w:val="28"/>
          <w:rtl w:val="true"/>
          <w:lang w:bidi="fa-IR"/>
        </w:rPr>
        <w:t xml:space="preserve">و لم أجده فیه،و عن المحقّق الأردبیلی و تلمیذه صاحب المدارک و ظاهر شیخنا البهائی و العلاّمة المجلسی و المحدّث الکاشانی و غیرهم </w:t>
      </w:r>
      <w:r>
        <w:rPr>
          <w:rStyle w:val="FootnoteAnchor"/>
          <w:rtl w:val="true"/>
        </w:rPr>
        <w:footnoteReference w:id="1876"/>
      </w:r>
      <w:r>
        <w:rPr>
          <w:rFonts w:ascii="Amiri" w:hAnsi="Amiri" w:eastAsia="Amiri" w:cs="Amiri"/>
          <w:color w:val="111111"/>
          <w:sz w:val="28"/>
          <w:sz w:val="28"/>
          <w:szCs w:val="28"/>
          <w:rtl w:val="true"/>
          <w:lang w:bidi="ar-SA"/>
        </w:rPr>
        <w:t xml:space="preserve">قدّس اللّه أسرارهم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70" w:name="__RefHeading___Toc5447557_3224264995"/>
      <w:bookmarkStart w:id="1471" w:name="_Toc560"/>
      <w:bookmarkEnd w:id="1470"/>
      <w:r>
        <w:rPr>
          <w:rtl w:val="true"/>
        </w:rPr>
        <w:t>القول الرابع</w:t>
      </w:r>
      <w:bookmarkEnd w:id="1471"/>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الظنّ المستفاد من النظر و الاستدلال دون التقلید، حکی عن شیخنا البهائیّ قدّس سرّه فی بعض تعلیقاته علی شرح المختصر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نسبه إلی بعض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 xml:space="preserve">. </w:t>
      </w:r>
      <w:bookmarkStart w:id="1472" w:name="pg12977_114596"/>
    </w:p>
    <w:p>
      <w:pPr>
        <w:pStyle w:val="Heading6"/>
        <w:numPr>
          <w:ilvl w:val="5"/>
          <w:numId w:val="1"/>
        </w:numPr>
        <w:rPr/>
      </w:pPr>
      <w:bookmarkStart w:id="1473" w:name="__RefHeading___Toc5447559_3224264995"/>
      <w:bookmarkStart w:id="1474" w:name="_Toc561"/>
      <w:bookmarkEnd w:id="1472"/>
      <w:bookmarkEnd w:id="1473"/>
      <w:r>
        <w:rPr>
          <w:rtl w:val="true"/>
        </w:rPr>
        <w:t>القول الخامس</w:t>
      </w:r>
      <w:bookmarkEnd w:id="1474"/>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الظنّ المستفاد من أخبار الآحاد،و هو الظاهر ممّا حکاه العلاّمة قدّس سرّه فی النهایة عن الأخباریّین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أنّهم لم یعوّلوا فی اصول الدین و فروعه إلاّ علی أخبار الآحاد </w:t>
      </w:r>
      <w:r>
        <w:rPr>
          <w:rStyle w:val="FootnoteAnchor"/>
          <w:rtl w:val="true"/>
        </w:rPr>
        <w:footnoteReference w:id="1879"/>
      </w:r>
      <w:r>
        <w:rPr>
          <w:rFonts w:ascii="IRNazanin" w:hAnsi="IRNazanin" w:eastAsia="IRNazanin"/>
          <w:color w:val="111111"/>
          <w:sz w:val="28"/>
          <w:sz w:val="28"/>
          <w:szCs w:val="28"/>
          <w:rtl w:val="true"/>
          <w:lang w:bidi="fa-IR"/>
        </w:rPr>
        <w:t xml:space="preserve">،و حکاه الشیخ فی عدّته فی مسألة حجّیّة أخبار الآحاد عن بعض غفلة أصحاب الحدیث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مراده حملة الأحادیث،الجامدون علی ظواهرها، المعرضون عمّا عداها من البراهین العقلیّة المعارضة لتلک الظواهر</w:t>
      </w:r>
      <w:r>
        <w:rPr>
          <w:rFonts w:eastAsia="IRNazanin" w:cs="IRNazanin"/>
          <w:color w:val="111111"/>
          <w:sz w:val="28"/>
          <w:szCs w:val="28"/>
          <w:rtl w:val="true"/>
          <w:lang w:bidi="fa-IR"/>
        </w:rPr>
        <w:t>.</w:t>
      </w:r>
    </w:p>
    <w:p>
      <w:pPr>
        <w:pStyle w:val="Heading6"/>
        <w:numPr>
          <w:ilvl w:val="5"/>
          <w:numId w:val="1"/>
        </w:numPr>
        <w:rPr/>
      </w:pPr>
      <w:bookmarkStart w:id="1475" w:name="__RefHeading___Toc5447561_3224264995"/>
      <w:bookmarkStart w:id="1476" w:name="_Toc562"/>
      <w:bookmarkEnd w:id="1475"/>
      <w:r>
        <w:rPr>
          <w:rtl w:val="true"/>
        </w:rPr>
        <w:t>القول السادس</w:t>
      </w:r>
      <w:bookmarkEnd w:id="1476"/>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الجزم بل الظنّ من التقلید،مع کون النظر واجبا مستقلا لکنّه معفوّ عنه،کما یظهر من عدّة الشیخ قدّس سرّه فی مسألة حجّیّة أخبار الآحاد و فی أواخر العدّة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محلّ الکلام فی کلمات هؤلاء الأعلام غیر منقّح،فالأولی ذکر الجهات التی یمکن أن یتکلم فیها،و تعقیب کلّ واحدة منها بما یقتضیه النظر من حکمها،فنقول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مستعینا باللّه</w:t>
      </w:r>
      <w:r>
        <w:rPr>
          <w:rFonts w:eastAsia="IRNazanin" w:cs="IRNazanin"/>
          <w:color w:val="111111"/>
          <w:sz w:val="28"/>
          <w:szCs w:val="28"/>
          <w:rtl w:val="true"/>
          <w:lang w:bidi="fa-IR"/>
        </w:rPr>
        <w:t>-:</w:t>
      </w:r>
    </w:p>
    <w:p>
      <w:pPr>
        <w:pStyle w:val="Heading6"/>
        <w:numPr>
          <w:ilvl w:val="5"/>
          <w:numId w:val="1"/>
        </w:numPr>
        <w:rPr/>
      </w:pPr>
      <w:bookmarkStart w:id="1477" w:name="__RefHeading___Toc5447563_3224264995"/>
      <w:bookmarkStart w:id="1478" w:name="_Toc563"/>
      <w:bookmarkEnd w:id="1477"/>
      <w:r>
        <w:rPr>
          <w:rtl w:val="true"/>
        </w:rPr>
        <w:t>مسائل اصول الدین علی قسمین</w:t>
      </w:r>
      <w:r>
        <w:rPr>
          <w:rtl w:val="true"/>
        </w:rPr>
        <w:t>:</w:t>
      </w:r>
      <w:bookmarkEnd w:id="1478"/>
    </w:p>
    <w:p>
      <w:pPr>
        <w:pStyle w:val="BookText"/>
        <w:rPr/>
      </w:pPr>
      <w:r>
        <w:rPr>
          <w:rFonts w:ascii="IRNazanin" w:hAnsi="IRNazanin" w:eastAsia="IRNazanin"/>
          <w:color w:val="111111"/>
          <w:sz w:val="28"/>
          <w:sz w:val="28"/>
          <w:szCs w:val="28"/>
          <w:rtl w:val="true"/>
          <w:lang w:bidi="fa-IR"/>
        </w:rPr>
        <w:t>إنّ مسائل اصول الدین،و هی التی لا یطلب فیها أوّلا و بالذات إلاّ الاعتقاد باطنا و التدیّن ظاهرا و إن ترتّب علی وجوب ذلک بعض الآثار العملیّة،علی قسمین</w:t>
      </w:r>
      <w:r>
        <w:rPr>
          <w:rFonts w:eastAsia="IRNazanin" w:cs="IRNazanin"/>
          <w:color w:val="111111"/>
          <w:sz w:val="28"/>
          <w:szCs w:val="28"/>
          <w:rtl w:val="true"/>
          <w:lang w:bidi="fa-IR"/>
        </w:rPr>
        <w:t>:</w:t>
      </w:r>
    </w:p>
    <w:p>
      <w:pPr>
        <w:pStyle w:val="Heading6"/>
        <w:numPr>
          <w:ilvl w:val="5"/>
          <w:numId w:val="1"/>
        </w:numPr>
        <w:rPr/>
      </w:pPr>
      <w:bookmarkStart w:id="1479" w:name="__RefHeading___Toc5447565_3224264995"/>
      <w:bookmarkStart w:id="1480" w:name="_Toc564"/>
      <w:bookmarkEnd w:id="1479"/>
      <w:r>
        <w:rPr>
          <w:rtl w:val="true"/>
        </w:rPr>
        <w:t>أحدهما</w:t>
      </w:r>
      <w:r>
        <w:rPr>
          <w:rtl w:val="true"/>
        </w:rPr>
        <w:t>:</w:t>
      </w:r>
      <w:r>
        <w:rPr>
          <w:rtl w:val="true"/>
        </w:rPr>
        <w:t>ما یجب علی المکلّف الاعتقاد و التدیّن به غیر مشروط بحصول العلم کالمعارف</w:t>
      </w:r>
      <w:bookmarkEnd w:id="1480"/>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،فیکون تحصیل العلم من مقدّمات الواجب </w:t>
      </w:r>
      <w:bookmarkStart w:id="1481" w:name="pg12977_114597"/>
    </w:p>
    <w:p>
      <w:pPr>
        <w:pStyle w:val="BookText"/>
        <w:rPr/>
      </w:pPr>
      <w:bookmarkEnd w:id="1481"/>
      <w:r>
        <w:rPr>
          <w:rFonts w:ascii="IRNazanin" w:hAnsi="IRNazanin" w:eastAsia="IRNazanin"/>
          <w:color w:val="111111"/>
          <w:sz w:val="28"/>
          <w:sz w:val="28"/>
          <w:szCs w:val="28"/>
          <w:rtl w:val="true"/>
          <w:lang w:bidi="fa-IR"/>
        </w:rPr>
        <w:t>المطلق،فیجب</w:t>
      </w:r>
      <w:r>
        <w:rPr>
          <w:rFonts w:eastAsia="IRNazanin" w:cs="IRNazanin"/>
          <w:color w:val="111111"/>
          <w:sz w:val="28"/>
          <w:szCs w:val="28"/>
          <w:rtl w:val="true"/>
          <w:lang w:bidi="fa-IR"/>
        </w:rPr>
        <w:t>.</w:t>
      </w:r>
    </w:p>
    <w:p>
      <w:pPr>
        <w:pStyle w:val="Heading6"/>
        <w:numPr>
          <w:ilvl w:val="5"/>
          <w:numId w:val="1"/>
        </w:numPr>
        <w:rPr/>
      </w:pPr>
      <w:bookmarkStart w:id="1482" w:name="__RefHeading___Toc5447567_3224264995"/>
      <w:bookmarkStart w:id="1483" w:name="_Toc565"/>
      <w:bookmarkEnd w:id="1482"/>
      <w:r>
        <w:rPr>
          <w:rtl w:val="true"/>
        </w:rPr>
        <w:t>الثانی</w:t>
      </w:r>
      <w:r>
        <w:rPr>
          <w:rtl w:val="true"/>
        </w:rPr>
        <w:t>:</w:t>
      </w:r>
      <w:r>
        <w:rPr>
          <w:rtl w:val="true"/>
        </w:rPr>
        <w:t>ما یجب الاعتقاد و التدیّن به إذا اتّفق حصول العلم به</w:t>
      </w:r>
      <w:bookmarkEnd w:id="1483"/>
    </w:p>
    <w:p>
      <w:pPr>
        <w:pStyle w:val="BookText"/>
        <w:rPr/>
      </w:pPr>
      <w:r>
        <w:rPr>
          <w:rFonts w:ascii="IRNazanin" w:hAnsi="IRNazanin" w:eastAsia="IRNazanin"/>
          <w:color w:val="111111"/>
          <w:sz w:val="28"/>
          <w:sz w:val="28"/>
          <w:szCs w:val="28"/>
          <w:rtl w:val="true"/>
          <w:lang w:bidi="fa-IR"/>
        </w:rPr>
        <w:t>، کبعض تفاصیل المعارف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الثانی </w:t>
      </w:r>
      <w:r>
        <w:rPr>
          <w:rStyle w:val="FootnoteAnchor"/>
          <w:rtl w:val="true"/>
        </w:rPr>
        <w:footnoteReference w:id="1882"/>
      </w:r>
      <w:r>
        <w:rPr>
          <w:rFonts w:ascii="IRNazanin" w:hAnsi="IRNazanin" w:eastAsia="IRNazanin"/>
          <w:color w:val="111111"/>
          <w:sz w:val="28"/>
          <w:sz w:val="28"/>
          <w:szCs w:val="28"/>
          <w:rtl w:val="true"/>
          <w:lang w:bidi="fa-IR"/>
        </w:rPr>
        <w:t xml:space="preserve">،فحیث کان المفروض عدم وجوب تحصیل </w:t>
      </w:r>
      <w:r>
        <w:rPr>
          <w:rStyle w:val="FootnoteAnchor"/>
          <w:rtl w:val="true"/>
        </w:rPr>
        <w:footnoteReference w:id="1883"/>
      </w:r>
      <w:r>
        <w:rPr>
          <w:rFonts w:ascii="IRNazanin" w:hAnsi="IRNazanin" w:eastAsia="IRNazanin"/>
          <w:color w:val="111111"/>
          <w:sz w:val="28"/>
          <w:sz w:val="28"/>
          <w:szCs w:val="28"/>
          <w:rtl w:val="true"/>
          <w:lang w:bidi="fa-IR"/>
        </w:rPr>
        <w:t xml:space="preserve">المعرفة العلمیّة </w:t>
      </w:r>
      <w:r>
        <w:rPr>
          <w:rStyle w:val="FootnoteAnchor"/>
          <w:rtl w:val="true"/>
        </w:rPr>
        <w:footnoteReference w:id="1884"/>
      </w:r>
      <w:r>
        <w:rPr>
          <w:rFonts w:ascii="IRNazanin" w:hAnsi="IRNazanin" w:eastAsia="IRNazanin"/>
          <w:color w:val="111111"/>
          <w:sz w:val="28"/>
          <w:sz w:val="28"/>
          <w:szCs w:val="28"/>
          <w:rtl w:val="true"/>
          <w:lang w:bidi="fa-IR"/>
        </w:rPr>
        <w:t xml:space="preserve">کان الأقوی القول بعدم وجوب العمل فیه بالظنّ لو فرض حصوله،و وجوب التوقّف فیه؛للأخبار الکثیرة الناهیة عن القول بغیر علم و الآمرة بالتوقّف </w:t>
      </w:r>
      <w:r>
        <w:rPr>
          <w:rStyle w:val="FootnoteAnchor"/>
          <w:rtl w:val="true"/>
        </w:rPr>
        <w:footnoteReference w:id="1885"/>
      </w:r>
      <w:r>
        <w:rPr>
          <w:rFonts w:ascii="IRNazanin" w:hAnsi="IRNazanin" w:eastAsia="IRNazanin"/>
          <w:color w:val="111111"/>
          <w:sz w:val="28"/>
          <w:sz w:val="28"/>
          <w:szCs w:val="28"/>
          <w:rtl w:val="true"/>
          <w:lang w:bidi="fa-IR"/>
        </w:rPr>
        <w:t>،و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جاءکم ما تعلمون فقولوا به،و إذا جاءکم ما لا تعلمون 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أهوی بیده إلی فیه</w:t>
      </w:r>
      <w:r>
        <w:rPr>
          <w:rFonts w:eastAsia="IRNazanin" w:cs="IRNazanin"/>
          <w:color w:val="111111"/>
          <w:sz w:val="28"/>
          <w:szCs w:val="28"/>
          <w:rtl w:val="true"/>
          <w:lang w:bidi="fa-IR"/>
        </w:rPr>
        <w:t xml:space="preserve">»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فرق فی ذلک بین أن تکون الأمارة الواردة فی تلک المسألة خبرا صحیحا أو غیره</w:t>
      </w:r>
      <w:r>
        <w:rPr>
          <w:rFonts w:eastAsia="IRNazanin" w:cs="IRNazanin"/>
          <w:color w:val="111111"/>
          <w:sz w:val="28"/>
          <w:szCs w:val="28"/>
          <w:rtl w:val="true"/>
          <w:lang w:bidi="fa-IR"/>
        </w:rPr>
        <w:t>.</w:t>
      </w:r>
    </w:p>
    <w:p>
      <w:pPr>
        <w:pStyle w:val="Heading6"/>
        <w:numPr>
          <w:ilvl w:val="5"/>
          <w:numId w:val="1"/>
        </w:numPr>
        <w:rPr/>
      </w:pPr>
      <w:bookmarkStart w:id="1484" w:name="__RefHeading___Toc5447569_3224264995"/>
      <w:bookmarkStart w:id="1485" w:name="_Toc566"/>
      <w:bookmarkEnd w:id="1484"/>
      <w:r>
        <w:rPr>
          <w:rtl w:val="true"/>
        </w:rPr>
        <w:t>کلام الشهید الثانی</w:t>
      </w:r>
      <w:bookmarkEnd w:id="1485"/>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شیخنا الشهید الثانی فی المقاصد العلیّة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أنّ المعرفة بتفاصیل البرزخ و المعاد غیر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ما ورد عنه صلّی اللّه علیه و آله فی ذلک من طریق الآحاد فلا یجب التصدیق به مطلقا و إن کان طریقه صحیحا؛ لأنّ خبر الواحد ظنّیّ،و قد اختلف فی جواز العمل به فی الأحکام </w:t>
      </w:r>
      <w:bookmarkStart w:id="1486" w:name="pg12977_114598"/>
    </w:p>
    <w:p>
      <w:pPr>
        <w:pStyle w:val="BookText"/>
        <w:rPr/>
      </w:pPr>
      <w:bookmarkEnd w:id="1486"/>
      <w:r>
        <w:rPr>
          <w:rFonts w:ascii="IRNazanin" w:hAnsi="IRNazanin" w:eastAsia="IRNazanin"/>
          <w:color w:val="111111"/>
          <w:sz w:val="28"/>
          <w:sz w:val="28"/>
          <w:szCs w:val="28"/>
          <w:rtl w:val="true"/>
          <w:lang w:bidi="fa-IR"/>
        </w:rPr>
        <w:t xml:space="preserve">الشرعیّة الظنّیة،فکیف بالأحکام الاعتقادیّة العلمیّة </w:t>
      </w:r>
      <w:r>
        <w:rPr>
          <w:rStyle w:val="FootnoteAnchor"/>
          <w:rtl w:val="true"/>
        </w:rPr>
        <w:footnoteReference w:id="188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الشیخ فی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عدم جواز التعویل فی اصول الدین علی أخبار الآحاد اتّفاقیّ إلاّ عن بعض غفلة أصحاب الحدیث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 المحکیّ فی السرائر عن السیّد المرتضی عدم الخلاف فیه أصلا </w:t>
      </w:r>
      <w:r>
        <w:rPr>
          <w:rStyle w:val="FootnoteAnchor"/>
          <w:rtl w:val="true"/>
        </w:rPr>
        <w:footnoteReference w:id="1889"/>
      </w:r>
      <w:r>
        <w:rPr>
          <w:rStyle w:val="FootnoteAnchor"/>
          <w:rtl w:val="true"/>
        </w:rPr>
        <w:footnoteReference w:id="18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مقتضی کلام کلّ من قال بعدم اعتبار أخبار الآحاد فی اصول الفقه</w:t>
      </w:r>
      <w:r>
        <w:rPr>
          <w:rFonts w:eastAsia="IRNazanin" w:cs="IRNazanin"/>
          <w:color w:val="111111"/>
          <w:sz w:val="28"/>
          <w:szCs w:val="28"/>
          <w:rtl w:val="true"/>
          <w:lang w:bidi="fa-IR"/>
        </w:rPr>
        <w:t>.</w:t>
      </w:r>
    </w:p>
    <w:p>
      <w:pPr>
        <w:pStyle w:val="Heading6"/>
        <w:numPr>
          <w:ilvl w:val="5"/>
          <w:numId w:val="1"/>
        </w:numPr>
        <w:rPr/>
      </w:pPr>
      <w:bookmarkStart w:id="1487" w:name="__RefHeading___Toc5447571_3224264995"/>
      <w:bookmarkStart w:id="1488" w:name="_Toc567"/>
      <w:bookmarkEnd w:id="1487"/>
      <w:r>
        <w:rPr>
          <w:rtl w:val="true"/>
        </w:rPr>
        <w:t>لو حصل الظنّ من الخبر</w:t>
      </w:r>
      <w:r>
        <w:rPr>
          <w:rtl w:val="true"/>
        </w:rPr>
        <w:t>:</w:t>
      </w:r>
      <w:bookmarkEnd w:id="1488"/>
    </w:p>
    <w:p>
      <w:pPr>
        <w:pStyle w:val="BookText"/>
        <w:rPr/>
      </w:pPr>
      <w:r>
        <w:rPr>
          <w:rFonts w:ascii="IRNazanin" w:hAnsi="IRNazanin" w:eastAsia="IRNazanin"/>
          <w:color w:val="111111"/>
          <w:sz w:val="28"/>
          <w:sz w:val="28"/>
          <w:szCs w:val="28"/>
          <w:rtl w:val="true"/>
          <w:lang w:bidi="fa-IR"/>
        </w:rPr>
        <w:t>لکن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حصل الظنّ من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أرادوا بعدم وجوب التصدیق بمقتضی الخبر عدم تصدیقه علما أو ظنّا،فعدم حصول الأوّل کحصول الثانی قهریّ لا یتّصف بالوجوب و عدمه</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أرادوا </w:t>
      </w:r>
      <w:r>
        <w:rPr>
          <w:rStyle w:val="FootnoteAnchor"/>
          <w:rtl w:val="true"/>
        </w:rPr>
        <w:footnoteReference w:id="1891"/>
      </w:r>
      <w:r>
        <w:rPr>
          <w:rFonts w:ascii="Amiri" w:hAnsi="Amiri" w:eastAsia="Amiri" w:cs="Amiri"/>
          <w:color w:val="111111"/>
          <w:sz w:val="28"/>
          <w:sz w:val="28"/>
          <w:szCs w:val="28"/>
          <w:rtl w:val="true"/>
          <w:lang w:bidi="ar-SA"/>
        </w:rPr>
        <w:t>التدیّن به الذی ذکرنا وجوبه فی الاعتقادیّات و عدم الاکتفاء فیها بمجرّد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یظهر من بعض الأخبار الدالّة علی أنّ فرض اللسان القول و التعبیر عمّا عقد علیه القلب و أقرّ به؛مستشهدا علی ذلک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آمَنّا بِاللّهِ وَ ما أُنْزِلَ إِلَیْنا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الآیة </w:t>
      </w:r>
      <w:r>
        <w:rPr>
          <w:rStyle w:val="FootnoteAnchor"/>
          <w:rtl w:val="true"/>
        </w:rPr>
        <w:footnoteReference w:id="18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مانع من وجوبه فی مورد خبر الواحد،بناء علی أنّ </w:t>
      </w:r>
      <w:bookmarkStart w:id="1489" w:name="pg12977_114599"/>
    </w:p>
    <w:p>
      <w:pPr>
        <w:pStyle w:val="BookText"/>
        <w:rPr/>
      </w:pPr>
      <w:bookmarkEnd w:id="1489"/>
      <w:r>
        <w:rPr>
          <w:rFonts w:ascii="IRNazanin" w:hAnsi="IRNazanin" w:eastAsia="IRNazanin"/>
          <w:color w:val="111111"/>
          <w:sz w:val="28"/>
          <w:sz w:val="28"/>
          <w:szCs w:val="28"/>
          <w:rtl w:val="true"/>
          <w:lang w:bidi="fa-IR"/>
        </w:rPr>
        <w:t>هذا نوع عمل بالخبر؛فإنّ ما دلّ علی وجوب تصدیق العادل لا یأبی الشمول لمثل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العمل بالخبر لا لأجل الدلیل الخاصّ علی وجوب العمل به،بل من جهة الحاجة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لثبوت التکلیف و انسداد باب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وجه للعمل به فی مورد لم یثبت التکلیف فیه بالواقع کما هو المفروض،أو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عمدة أدلّة حجّیّة أخبار الآحاد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الإجماع العملیّ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تساعد علی ذلک</w:t>
      </w:r>
      <w:r>
        <w:rPr>
          <w:rFonts w:eastAsia="IRNazanin" w:cs="IRNazanin"/>
          <w:color w:val="111111"/>
          <w:sz w:val="28"/>
          <w:szCs w:val="28"/>
          <w:rtl w:val="true"/>
          <w:lang w:bidi="fa-IR"/>
        </w:rPr>
        <w:t>.</w:t>
      </w:r>
    </w:p>
    <w:p>
      <w:pPr>
        <w:pStyle w:val="Heading6"/>
        <w:numPr>
          <w:ilvl w:val="5"/>
          <w:numId w:val="1"/>
        </w:numPr>
        <w:rPr/>
      </w:pPr>
      <w:bookmarkStart w:id="1490" w:name="__RefHeading___Toc5447573_3224264995"/>
      <w:bookmarkStart w:id="1491" w:name="_Toc568"/>
      <w:bookmarkEnd w:id="1490"/>
      <w:r>
        <w:rPr>
          <w:rtl w:val="true"/>
        </w:rPr>
        <w:t>العمل بظاهر الکتاب و الخبر المتواتر فی اصول الدین</w:t>
      </w:r>
      <w:bookmarkEnd w:id="1491"/>
    </w:p>
    <w:p>
      <w:pPr>
        <w:pStyle w:val="BookText"/>
        <w:rPr/>
      </w:pPr>
      <w:r>
        <w:rPr>
          <w:rFonts w:ascii="IRNazanin" w:hAnsi="IRNazanin" w:eastAsia="IRNazanin"/>
          <w:color w:val="111111"/>
          <w:sz w:val="28"/>
          <w:sz w:val="28"/>
          <w:szCs w:val="28"/>
          <w:rtl w:val="true"/>
          <w:lang w:bidi="fa-IR"/>
        </w:rPr>
        <w:t>و ممّا ذکرنا یظهر الکلام فی العمل بظاهر الکتاب و الخبر المتواتر فی اصول الدین؛فإنّه قد لا یأبی دلیل حجّیّة الظواهر عن وجوب التدیّن بما تدلّ علیه من المسائل الاصولیّة التی لم یثبت التکلیف بمعرفتها،لکن ظاهر کلمات کثیر عدم العمل بها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الوجه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وجوب التدیّن المذکور إنّما هو من آثار العلم بالمسألة الاصولیّة لا من آثار نفسها،و اعتبار الظنّ مطلقا </w:t>
      </w:r>
      <w:r>
        <w:rPr>
          <w:rStyle w:val="FootnoteAnchor"/>
          <w:rtl w:val="true"/>
        </w:rPr>
        <w:footnoteReference w:id="1893"/>
      </w:r>
      <w:r>
        <w:rPr>
          <w:rFonts w:ascii="IRNazanin" w:hAnsi="IRNazanin" w:eastAsia="IRNazanin"/>
          <w:color w:val="111111"/>
          <w:sz w:val="28"/>
          <w:sz w:val="28"/>
          <w:szCs w:val="28"/>
          <w:rtl w:val="true"/>
          <w:lang w:bidi="fa-IR"/>
        </w:rPr>
        <w:t>أو الظنّ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من الظواهر أو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ترتیب الآثار المتفرّعة علی نفس الأمر المظنون لا علی العلم به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یتراءی من التمسّک بها أحیانا لبعض العقائد؛فلاعتضاد مدلولها بتعدّد الظواهر و غیرها من القرائن،و إفادة کلّ منها الظنّ، فیحصل من المجموع القطع بالمسألة،و لیس استنادهم فی تلک المسألة إلی مجرّد أصالة الحقیقة التی قد لا تفید الظنّ بإرادة الظاهر،فضلا </w:t>
      </w:r>
      <w:bookmarkStart w:id="1492" w:name="pg12977_114600"/>
    </w:p>
    <w:p>
      <w:pPr>
        <w:pStyle w:val="BookText"/>
        <w:rPr/>
      </w:pPr>
      <w:bookmarkEnd w:id="1492"/>
      <w:r>
        <w:rPr>
          <w:rFonts w:ascii="IRNazanin" w:hAnsi="IRNazanin" w:eastAsia="IRNazanin"/>
          <w:color w:val="111111"/>
          <w:sz w:val="28"/>
          <w:sz w:val="28"/>
          <w:szCs w:val="28"/>
          <w:rtl w:val="true"/>
          <w:lang w:bidi="fa-IR"/>
        </w:rPr>
        <w:t>عن العلم</w:t>
      </w:r>
      <w:r>
        <w:rPr>
          <w:rFonts w:eastAsia="IRNazanin" w:cs="IRNazanin"/>
          <w:color w:val="111111"/>
          <w:sz w:val="28"/>
          <w:szCs w:val="28"/>
          <w:rtl w:val="true"/>
          <w:lang w:bidi="fa-IR"/>
        </w:rPr>
        <w:t>.</w:t>
      </w:r>
    </w:p>
    <w:p>
      <w:pPr>
        <w:pStyle w:val="Heading6"/>
        <w:numPr>
          <w:ilvl w:val="5"/>
          <w:numId w:val="1"/>
        </w:numPr>
        <w:rPr/>
      </w:pPr>
      <w:bookmarkStart w:id="1493" w:name="__RefHeading___Toc5447575_3224264995"/>
      <w:bookmarkStart w:id="1494" w:name="_Toc569"/>
      <w:bookmarkEnd w:id="1493"/>
      <w:r>
        <w:rPr>
          <w:rtl w:val="true"/>
        </w:rPr>
        <w:t>تمییز ما یجب تحصیل العلم به عمّا لا یجب</w:t>
      </w:r>
      <w:bookmarkEnd w:id="1494"/>
    </w:p>
    <w:p>
      <w:pPr>
        <w:pStyle w:val="BookText"/>
        <w:rPr/>
      </w:pPr>
      <w:r>
        <w:rPr>
          <w:rFonts w:ascii="IRNazanin" w:hAnsi="IRNazanin" w:eastAsia="IRNazanin"/>
          <w:color w:val="111111"/>
          <w:sz w:val="28"/>
          <w:sz w:val="28"/>
          <w:szCs w:val="28"/>
          <w:rtl w:val="true"/>
          <w:lang w:bidi="fa-IR"/>
        </w:rPr>
        <w:t>ثمّ،إنّ الفرق بین القسمین المذکورین،و تمییز ما یجب تحصیل العلم به عمّا لا یجب فی غایة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العلاّمة قدّس سرّه فی الباب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یجب معرفته علی کلّ مکلّف من تفاصیل التوحید و النبوّة و الإمامة و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امورا لا دلیل علی وجوبها کذلک،مدّعیا أنّ الجاهل بها عن نظر و استدلال خارج عن ربقة الإیمان </w:t>
      </w:r>
      <w:r>
        <w:rPr>
          <w:rStyle w:val="FootnoteAnchor"/>
          <w:rtl w:val="true"/>
        </w:rPr>
        <w:footnoteReference w:id="1895"/>
      </w:r>
      <w:r>
        <w:rPr>
          <w:rFonts w:ascii="IRNazanin" w:hAnsi="IRNazanin" w:eastAsia="IRNazanin"/>
          <w:color w:val="111111"/>
          <w:sz w:val="28"/>
          <w:sz w:val="28"/>
          <w:szCs w:val="28"/>
          <w:rtl w:val="true"/>
          <w:lang w:bidi="fa-IR"/>
        </w:rPr>
        <w:t xml:space="preserve">مستحقّ للعذاب الدائم </w:t>
      </w:r>
      <w:r>
        <w:rPr>
          <w:rStyle w:val="FootnoteAnchor"/>
          <w:rtl w:val="true"/>
        </w:rPr>
        <w:footnoteReference w:id="18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غایة الإشکال</w:t>
      </w:r>
      <w:r>
        <w:rPr>
          <w:rFonts w:eastAsia="IRNazanin" w:cs="IRNazanin"/>
          <w:color w:val="111111"/>
          <w:sz w:val="28"/>
          <w:szCs w:val="28"/>
          <w:rtl w:val="true"/>
          <w:lang w:bidi="fa-IR"/>
        </w:rPr>
        <w:t>.</w:t>
      </w:r>
    </w:p>
    <w:p>
      <w:pPr>
        <w:pStyle w:val="Heading6"/>
        <w:numPr>
          <w:ilvl w:val="5"/>
          <w:numId w:val="1"/>
        </w:numPr>
        <w:rPr/>
      </w:pPr>
      <w:bookmarkStart w:id="1495" w:name="__RefHeading___Toc5447577_3224264995"/>
      <w:bookmarkStart w:id="1496" w:name="_Toc570"/>
      <w:bookmarkEnd w:id="1495"/>
      <w:r>
        <w:rPr>
          <w:rtl w:val="true"/>
        </w:rPr>
        <w:t>هل تجب معرفة التفاصیل؟</w:t>
      </w:r>
      <w:bookmarkEnd w:id="1496"/>
    </w:p>
    <w:p>
      <w:pPr>
        <w:pStyle w:val="BookText"/>
        <w:rPr/>
      </w:pPr>
      <w:r>
        <w:rPr>
          <w:rFonts w:ascii="Amiri" w:hAnsi="Amiri" w:eastAsia="Amiri" w:cs="Amiri"/>
          <w:color w:val="111111"/>
          <w:sz w:val="28"/>
          <w:sz w:val="28"/>
          <w:szCs w:val="28"/>
          <w:rtl w:val="true"/>
          <w:lang w:bidi="ar-SA"/>
        </w:rPr>
        <w:t>نعم،یمکن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مقتضی عموم وجوب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Style w:val="FootnoteAnchor"/>
          <w:rtl w:val="true"/>
        </w:rPr>
        <w:footnoteReference w:id="1897"/>
      </w:r>
      <w:r>
        <w:rPr>
          <w:rFonts w:ascii="IRNazanin" w:hAnsi="IRNazanin" w:eastAsia="IRNazanin"/>
          <w:color w:val="111111"/>
          <w:sz w:val="28"/>
          <w:sz w:val="28"/>
          <w:szCs w:val="28"/>
          <w:rtl w:val="true"/>
          <w:lang w:bidi="fa-IR"/>
        </w:rPr>
        <w:t>أی لیعرفون،و قوله صلّی اللّه علیه و آله</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أعلم شیئا بعد المعرفة أفضل من هذه الصلوات </w:t>
      </w:r>
      <w:r>
        <w:rPr>
          <w:rStyle w:val="FootnoteAnchor"/>
          <w:rtl w:val="true"/>
        </w:rPr>
        <w:footnoteReference w:id="1898"/>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 xml:space="preserve">» </w:t>
      </w:r>
      <w:r>
        <w:rPr>
          <w:rStyle w:val="FootnoteAnchor"/>
          <w:rtl w:val="true"/>
        </w:rPr>
        <w:footnoteReference w:id="1899"/>
      </w:r>
      <w:r>
        <w:rPr>
          <w:rFonts w:ascii="IRNazanin" w:hAnsi="IRNazanin" w:eastAsia="IRNazanin"/>
          <w:color w:val="111111"/>
          <w:sz w:val="28"/>
          <w:sz w:val="28"/>
          <w:szCs w:val="28"/>
          <w:rtl w:val="true"/>
          <w:lang w:bidi="fa-IR"/>
        </w:rPr>
        <w:t>،بناء علی أنّ الأفضلیّة من الواجب خصوصا مثل الصلاة تستلزم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کذا عمومات وجوب التفقّه فی الدین </w:t>
      </w:r>
      <w:r>
        <w:rPr>
          <w:rStyle w:val="FootnoteAnchor"/>
          <w:rtl w:val="true"/>
        </w:rPr>
        <w:footnoteReference w:id="1900"/>
      </w:r>
      <w:r>
        <w:rPr>
          <w:rFonts w:ascii="IRNazanin" w:hAnsi="IRNazanin" w:eastAsia="IRNazanin"/>
          <w:color w:val="111111"/>
          <w:sz w:val="28"/>
          <w:sz w:val="28"/>
          <w:szCs w:val="28"/>
          <w:rtl w:val="true"/>
          <w:lang w:bidi="fa-IR"/>
        </w:rPr>
        <w:t xml:space="preserve">الشامل للمعارف؛بقرینة </w:t>
      </w:r>
    </w:p>
    <w:p>
      <w:pPr>
        <w:pStyle w:val="BookText"/>
        <w:rPr/>
      </w:pPr>
      <w:r>
        <w:rPr>
          <w:rFonts w:ascii="IRNazanin" w:hAnsi="IRNazanin" w:eastAsia="IRNazanin"/>
          <w:color w:val="111111"/>
          <w:sz w:val="28"/>
          <w:sz w:val="28"/>
          <w:szCs w:val="28"/>
          <w:rtl w:val="true"/>
          <w:lang w:bidi="fa-IR"/>
        </w:rPr>
        <w:t xml:space="preserve">استشهاد الإمام علیه السّلام بها لوجوب النفر لمعرفة الإمام بعد موت الإمام السابق علیه السّلام،و عمومات طلب العلم </w:t>
      </w:r>
      <w:r>
        <w:rPr>
          <w:rStyle w:val="FootnoteAnchor"/>
          <w:rtl w:val="true"/>
        </w:rPr>
        <w:footnoteReference w:id="1901"/>
      </w:r>
      <w:r>
        <w:rPr>
          <w:rFonts w:ascii="IRNazanin" w:hAnsi="IRNazanin" w:eastAsia="IRNazanin"/>
          <w:color w:val="111111"/>
          <w:sz w:val="28"/>
          <w:sz w:val="28"/>
          <w:szCs w:val="28"/>
          <w:rtl w:val="true"/>
          <w:lang w:bidi="fa-IR"/>
        </w:rPr>
        <w:t xml:space="preserve">،هو وجوب معرفة اللّه جلّ ذکره و معرفة النبیّ صلّی اللّه علیه و آله و معرفة </w:t>
      </w:r>
      <w:r>
        <w:rPr>
          <w:rStyle w:val="FootnoteAnchor"/>
          <w:rtl w:val="true"/>
        </w:rPr>
        <w:footnoteReference w:id="1902"/>
      </w:r>
      <w:r>
        <w:rPr>
          <w:rFonts w:ascii="IRNazanin" w:hAnsi="IRNazanin" w:eastAsia="IRNazanin"/>
          <w:color w:val="111111"/>
          <w:sz w:val="28"/>
          <w:sz w:val="28"/>
          <w:szCs w:val="28"/>
          <w:rtl w:val="true"/>
          <w:lang w:bidi="fa-IR"/>
        </w:rPr>
        <w:t>الإمام علیه السّلام و معرفة ما جاء به النبیّ صلّی اللّه علیه و آله علی کلّ قادر یتمکّن من تحصیل العلم،فیجب الفحص حتّی یحصل الیأس،فإن حصل العلم بشیء من هذه التفاصیل اعتقد و تدیّن،و إلاّ توقّف و لم یتدیّن بالظنّ لو حصل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الاشتغال بالعلم المتکفّل لمعرفة اللّه و معرفة أولیائه صلوات اللّه علیهم أهمّ من الاشتغال بعلم المسائل العملیّة،بل هو المتعیّن؛لأنّ العمل یصحّ عن تقلید،فلا یکون الاشتغال بعلمه إلاّ کفائیّا،بخلاف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لکنّ الإنصاف عمّن جانب الاعتساف یقتضی الإذعان بعدم التمکّن من ذلک إلاّ للأوحدیّ من الناس؛لأنّ المعرفة المذکورة لا یحصل إلاّ بعد تحصیل قوّة استنباط المطالب من الأخبار،و قوّة نظریّة اخری؛لئلاّ یأخذ بالأخبار المخالفة للبراهین العقلیّة،و مثل هذا الشخص مجتهد فی الفروع قطعا،فیحرم علیه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جوازه له للضرورة،لیس بأولی من دعوی جواز ترک الاشتغال بالمعرفة التی لا تحصل غالبا بالأعمال المبتنیة علی التقلید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لم یتعیّن علیه الإفتاء و المرافعة لأجل قلّة المجتهدین،و أمّا فی مثل زماننا فالأمر واضح</w:t>
      </w:r>
      <w:r>
        <w:rPr>
          <w:rFonts w:eastAsia="IRNazanin" w:cs="IRNazanin"/>
          <w:color w:val="111111"/>
          <w:sz w:val="28"/>
          <w:szCs w:val="28"/>
          <w:rtl w:val="true"/>
          <w:lang w:bidi="fa-IR"/>
        </w:rPr>
        <w:t xml:space="preserve">. </w:t>
      </w:r>
      <w:bookmarkStart w:id="1497" w:name="pg12977_114602"/>
    </w:p>
    <w:p>
      <w:pPr>
        <w:pStyle w:val="BookText"/>
        <w:rPr/>
      </w:pPr>
      <w:bookmarkEnd w:id="1497"/>
      <w:r>
        <w:rPr>
          <w:rFonts w:ascii="IRNazanin" w:hAnsi="IRNazanin" w:eastAsia="IRNazanin"/>
          <w:color w:val="111111"/>
          <w:sz w:val="28"/>
          <w:sz w:val="28"/>
          <w:szCs w:val="28"/>
          <w:rtl w:val="true"/>
          <w:lang w:bidi="fa-IR"/>
        </w:rPr>
        <w:t xml:space="preserve">فلا تغترّ حینئذ بمن قصر استعداده أو همّته عن تحصیل مقدّمات استنباط المطالب الاعتقادیّة الاصولیّة و العملیّة عن الأدلّة العقلیّة و النقلیّة،فیترکها بغضا لها؛لأنّ الناس أعداء ما جهلوا،و یشتغل بمعرفة صفات الربّ جلّ ذکره و أوصاف حججه صلوات اللّه علیهم،ینظر </w:t>
      </w:r>
      <w:r>
        <w:rPr>
          <w:rStyle w:val="FootnoteAnchor"/>
          <w:rtl w:val="true"/>
        </w:rPr>
        <w:footnoteReference w:id="1903"/>
      </w:r>
      <w:r>
        <w:rPr>
          <w:rFonts w:ascii="IRNazanin" w:hAnsi="IRNazanin" w:eastAsia="IRNazanin"/>
          <w:color w:val="111111"/>
          <w:sz w:val="28"/>
          <w:sz w:val="28"/>
          <w:szCs w:val="28"/>
          <w:rtl w:val="true"/>
          <w:lang w:bidi="fa-IR"/>
        </w:rPr>
        <w:t xml:space="preserve">فی الأخبار لا یعرف </w:t>
      </w:r>
      <w:r>
        <w:rPr>
          <w:rStyle w:val="FootnoteAnchor"/>
          <w:rtl w:val="true"/>
        </w:rPr>
        <w:footnoteReference w:id="1904"/>
      </w:r>
      <w:r>
        <w:rPr>
          <w:rFonts w:ascii="IRNazanin" w:hAnsi="IRNazanin" w:eastAsia="IRNazanin"/>
          <w:color w:val="111111"/>
          <w:sz w:val="28"/>
          <w:sz w:val="28"/>
          <w:szCs w:val="28"/>
          <w:rtl w:val="true"/>
          <w:lang w:bidi="fa-IR"/>
        </w:rPr>
        <w:t xml:space="preserve">من ألفاظها الفاعل من المفعول،فضلا عن معرفة الخاصّ من العامّ،و ینظر </w:t>
      </w:r>
      <w:r>
        <w:rPr>
          <w:rStyle w:val="FootnoteAnchor"/>
          <w:rtl w:val="true"/>
        </w:rPr>
        <w:footnoteReference w:id="1905"/>
      </w:r>
      <w:r>
        <w:rPr>
          <w:rFonts w:ascii="IRNazanin" w:hAnsi="IRNazanin" w:eastAsia="IRNazanin"/>
          <w:color w:val="111111"/>
          <w:sz w:val="28"/>
          <w:sz w:val="28"/>
          <w:szCs w:val="28"/>
          <w:rtl w:val="true"/>
          <w:lang w:bidi="fa-IR"/>
        </w:rPr>
        <w:t>فی المطالب العقلیّة لا یعرف به البدیهیّات منها،و یشتغل فی خلال ذلک بالتشنیع علی حملة الشریعة العملیّة و الاستهزاء بهم بقصور الفهم و سوء النیّة،فسیأتیهم أنباء ما کانوا به یستهزءون</w:t>
      </w:r>
      <w:r>
        <w:rPr>
          <w:rFonts w:eastAsia="IRNazanin" w:cs="IRNazanin"/>
          <w:color w:val="111111"/>
          <w:sz w:val="28"/>
          <w:szCs w:val="28"/>
          <w:rtl w:val="true"/>
          <w:lang w:bidi="fa-IR"/>
        </w:rPr>
        <w:t>.</w:t>
      </w:r>
    </w:p>
    <w:p>
      <w:pPr>
        <w:pStyle w:val="Heading6"/>
        <w:numPr>
          <w:ilvl w:val="5"/>
          <w:numId w:val="1"/>
        </w:numPr>
        <w:rPr/>
      </w:pPr>
      <w:bookmarkStart w:id="1498" w:name="__RefHeading___Toc5447579_3224264995"/>
      <w:bookmarkStart w:id="1499" w:name="_Toc571"/>
      <w:bookmarkEnd w:id="1498"/>
      <w:r>
        <w:rPr>
          <w:rtl w:val="true"/>
        </w:rPr>
        <w:t>عدم اعتبار معرفة التفاصیل فی الإسلام و الإیمان للأخبار الکثیرة</w:t>
      </w:r>
      <w:bookmarkEnd w:id="1499"/>
    </w:p>
    <w:p>
      <w:pPr>
        <w:pStyle w:val="BookText"/>
        <w:rPr/>
      </w:pPr>
      <w:r>
        <w:rPr>
          <w:rFonts w:ascii="IRNazanin" w:hAnsi="IRNazanin" w:eastAsia="IRNazanin"/>
          <w:color w:val="111111"/>
          <w:sz w:val="28"/>
          <w:sz w:val="28"/>
          <w:szCs w:val="28"/>
          <w:rtl w:val="true"/>
          <w:lang w:bidi="fa-IR"/>
        </w:rPr>
        <w:t>هذا کلّه حال وجوب المعرفة مستقلا،و أمّا اعتبار ذلک فی الإسلام أو الإیمان فلا دلیل علیه،بل یدلّ علی خلافه الأخبار الکثیرة المفسّرة لمعنی الإسلام و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روایة محمّد بن سالم،عن أبی جعفر علیه السّلام،المرویّة فی الکافی</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عزّ و جلّ بعث محمّدا صلّی اللّه علیه و آله و سلم و هو بمکّة عشر سنین،فلم یمت بمکّة فی تلک العشر سنین أحد یشهد أن لا إله إلاّ اللّه و أنّ محمّدا رسول اللّه صلّی اللّه علیه و آله و سلم إلاّ أدخله اللّه الجنّة بإقراره،و هو إیمان التصدیق </w:t>
      </w:r>
      <w:r>
        <w:rPr>
          <w:rStyle w:val="FootnoteAnchor"/>
          <w:rtl w:val="true"/>
        </w:rPr>
        <w:footnoteReference w:id="19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الظاهر أنّ حقیقة الإیمان التی یخرج الإنسان بها عن حدّ الکفر </w:t>
      </w:r>
    </w:p>
    <w:p>
      <w:pPr>
        <w:pStyle w:val="BookText"/>
        <w:rPr/>
      </w:pPr>
      <w:r>
        <w:rPr>
          <w:rFonts w:ascii="IRNazanin" w:hAnsi="IRNazanin" w:eastAsia="IRNazanin"/>
          <w:color w:val="111111"/>
          <w:sz w:val="28"/>
          <w:sz w:val="28"/>
          <w:szCs w:val="28"/>
          <w:rtl w:val="true"/>
          <w:lang w:bidi="fa-IR"/>
        </w:rPr>
        <w:t>الموجب للخلود فی النار،لم تتغیّر بعد انتشار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نعم،ظهر فی الشریعة امور صارت ضروریّة الثبوت من النبیّ صلّی اللّه علیه و آله و سلم، فیعتبر فی الإسلام عدم إنکارها،لکنّ هذا لا یوجب التغییر </w:t>
      </w:r>
      <w:r>
        <w:rPr>
          <w:rStyle w:val="FootnoteAnchor"/>
          <w:rtl w:val="true"/>
        </w:rPr>
        <w:footnoteReference w:id="1907"/>
      </w:r>
      <w:r>
        <w:rPr>
          <w:rFonts w:ascii="IRNazanin" w:hAnsi="IRNazanin" w:eastAsia="IRNazanin"/>
          <w:color w:val="111111"/>
          <w:sz w:val="28"/>
          <w:sz w:val="28"/>
          <w:szCs w:val="28"/>
          <w:rtl w:val="true"/>
          <w:lang w:bidi="fa-IR"/>
        </w:rPr>
        <w:t>فإنّ المقصود أنّه لم یعتبر فی الإیمان أزید من التوحید و التصدیق بالنبیّ صلّی اللّه علیه و آله و سلم و بکونه رسولا صادقا فیما یبلّغ،و لیس المراد معرفة تفاصیل ذلک؛و إلاّ لم یکن من آمن بمکّة من أهل الجنّة أو کان حقیقة الإیمان بعد انتشار الشریعة غیرها فی صدر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سلیم بن قیس،عن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أدنی ما یکون به العبد مؤمنا أن یعرّفه اللّه تبارک و تعالی إیّاه فیقرّ له بالطاعة،و یعرّفه نبیّه فیقرّ له بالطاعة،و یعرّفه إمامه و حجّته فی أرضه و شاهده علی خلقه فیقرّ له بالطاعة،فقلت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و إن جهل جمیع الأشیاء إلاّ ما وصفت؟قال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908"/>
      </w:r>
      <w:r>
        <w:rPr>
          <w:rFonts w:ascii="IRNazanin" w:hAnsi="IRNazanin" w:eastAsia="IRNazanin"/>
          <w:color w:val="111111"/>
          <w:sz w:val="28"/>
          <w:sz w:val="28"/>
          <w:szCs w:val="28"/>
          <w:rtl w:val="true"/>
          <w:lang w:bidi="fa-IR"/>
        </w:rPr>
        <w:t>،و هی صریحة فی المدّعی</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أبی بصیر،عن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فداک،أخبرنی عن الدین الذی افترضه اللّه تعالی علی العباد،ما لا یسعهم جهله و لا یقبل منهم غیره،ما هو؟فقال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 علیّ،فأعاد علیه،فقال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أن لا إله إلاّ اللّه،و أنّ محمّدا رسول اللّه صلّی اللّه علیه و آله، و إقام الصلاة،و إیتاء الزکاة،و حجّ البیت من استطاع إلیه سبیلا، و صوم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سکت قلیلا،ثمّ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الولایة،مرّتین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الذی فرض اللّه عزّ و جلّ علی العباد،لا یسأل الربّ العباد یوم القیامة،فیقول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زدتنی علی ما افترضت علیک،و لکن من زاد زاده اللّه،إنّ رسول اللّه صلّی اللّه علیه و آله سنّ سنّة حسنة ینبغی للناس الأخذ بها</w:t>
      </w:r>
      <w:r>
        <w:rPr>
          <w:rFonts w:eastAsia="IRNazanin" w:cs="IRNazanin"/>
          <w:color w:val="111111"/>
          <w:sz w:val="28"/>
          <w:szCs w:val="28"/>
          <w:rtl w:val="true"/>
          <w:lang w:bidi="fa-IR"/>
        </w:rPr>
        <w:t xml:space="preserve">»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نحوها روایة عیسی بن السریّ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حدّثنی عمّا بنیت علیه دعائم الإسلام،التی إذا أخذت بها زکی عملی و لم یضرّنی جهل ما جهلت بعده؟فقال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أن لا إله إلاّ اللّه، و أنّ محمّدا رسول اللّه صلّی اللّه علیه و آله،و الاقرار بما جاء من عند اللّه،و حقّ فی الأموال الزکاة،و الولایة التی أمر اللّه بها ولایة آل محمّد صلّی اللّه علیه و آله؛فإنّ رسول اللّه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یعرف إمام زمانه مات میتة جاهلیّة، و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اللّهَ وَ أَطِیعُوا الرَّسُولَ وَ أُولِی الْأَمْرِ مِنْکُمْ، فکان علیّ،ثمّ صار من بعده الحسن،ثمّ من بعده الحسین،ثمّ من بعده علیّ ابن الحسین،ثمّ من بعده محمّد بن علیّ،ثمّ هکذا یکون الأمر؛إنّ الأرض لا تصلح إلاّ بإمام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صحیحة أبی الیسع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أخبرنی بدعائم </w:t>
      </w:r>
      <w:r>
        <w:rPr>
          <w:rStyle w:val="FootnoteAnchor"/>
          <w:rtl w:val="true"/>
        </w:rPr>
        <w:footnoteReference w:id="1911"/>
      </w:r>
      <w:r>
        <w:rPr>
          <w:rFonts w:ascii="IRNazanin" w:hAnsi="IRNazanin" w:eastAsia="IRNazanin"/>
          <w:color w:val="111111"/>
          <w:sz w:val="28"/>
          <w:sz w:val="28"/>
          <w:szCs w:val="28"/>
          <w:rtl w:val="true"/>
          <w:lang w:bidi="fa-IR"/>
        </w:rPr>
        <w:t xml:space="preserve">الإسلام التی لا یسع أحدا التقصیر عن معرفة شیء منها، التی من قصّر عن معرفة شیء منها فسد علیه دینه و لم یقبل منه عمله، و من عرفها و عمل بها صلح دینه و قبل عمله و لم یضق به ممّا هو فیه </w:t>
      </w:r>
      <w:bookmarkStart w:id="1500" w:name="pg12977_114605"/>
    </w:p>
    <w:p>
      <w:pPr>
        <w:pStyle w:val="BookText"/>
        <w:rPr/>
      </w:pPr>
      <w:bookmarkEnd w:id="1500"/>
      <w:r>
        <w:rPr>
          <w:rFonts w:ascii="IRNazanin" w:hAnsi="IRNazanin" w:eastAsia="IRNazanin"/>
          <w:color w:val="111111"/>
          <w:sz w:val="28"/>
          <w:sz w:val="28"/>
          <w:szCs w:val="28"/>
          <w:rtl w:val="true"/>
          <w:lang w:bidi="fa-IR"/>
        </w:rPr>
        <w:t>لجهل شیء من الامور جهله؟فقال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أن لا إله إلاّ اللّه، و الإیمان بأنّ محمّدا رسول اللّه صلّی اللّه علیه و آله،و الإقرار بما جاء به من عند اللّه،و حقّ فی الأموال الزکاة،و الولایة التی أمر اللّه عزّ و جلّ بها ولایة آل محمّد صلّی اللّه علیه و آله</w:t>
      </w:r>
      <w:r>
        <w:rPr>
          <w:rFonts w:eastAsia="IRNazanin" w:cs="IRNazanin"/>
          <w:color w:val="111111"/>
          <w:sz w:val="28"/>
          <w:szCs w:val="28"/>
          <w:rtl w:val="true"/>
          <w:lang w:bidi="fa-IR"/>
        </w:rPr>
        <w:t xml:space="preserve">»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الدین الذی لا یسع العباد جهله،فقال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واسع،و إنّ الخوارج ضیّقوا علی أنفسهم بجهلهم،فقلت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أما أحدّثک بدینی الذی أنا علیه؟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اللّه،و أنّ محمّدا عبده و رسوله، و الإقرار بما جاء به من عند اللّه،و أتولاّکم،و أبرأ من عدوّکم و من رکب رقابکم و تأمّر علیکم و ظلمکم حقّکم،فقال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جهلت شیئا </w:t>
      </w:r>
      <w:r>
        <w:rPr>
          <w:rStyle w:val="FootnoteAnchor"/>
          <w:rtl w:val="true"/>
        </w:rPr>
        <w:footnoteReference w:id="1913"/>
      </w:r>
      <w:r>
        <w:rPr>
          <w:rFonts w:ascii="IRNazanin" w:hAnsi="IRNazanin" w:eastAsia="IRNazanin"/>
          <w:color w:val="111111"/>
          <w:sz w:val="28"/>
          <w:sz w:val="28"/>
          <w:szCs w:val="28"/>
          <w:rtl w:val="true"/>
          <w:lang w:bidi="fa-IR"/>
        </w:rPr>
        <w:t>، هو و اللّه الذی نحن علیه،قلت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سلم أحد لا یعرف هذا الأمر؟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لا،إلاّ المستضعفین،قلت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نساؤکم و أولادکم،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أمّ أیمن،فإنّی أشهد أنّها من أهل الجنّة،و ما کانت تعرف ما أنتم علیه</w:t>
      </w:r>
      <w:r>
        <w:rPr>
          <w:rFonts w:eastAsia="IRNazanin" w:cs="IRNazanin"/>
          <w:color w:val="111111"/>
          <w:sz w:val="28"/>
          <w:szCs w:val="28"/>
          <w:rtl w:val="true"/>
          <w:lang w:bidi="fa-IR"/>
        </w:rPr>
        <w:t xml:space="preserve">»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جهلت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واضحة علی عدم اعتبار الزائد فی أصل الدین</w:t>
      </w:r>
      <w:r>
        <w:rPr>
          <w:rFonts w:eastAsia="IRNazanin" w:cs="IRNazanin"/>
          <w:color w:val="111111"/>
          <w:sz w:val="28"/>
          <w:szCs w:val="28"/>
          <w:rtl w:val="true"/>
          <w:lang w:bidi="fa-IR"/>
        </w:rPr>
        <w:t>.</w:t>
      </w:r>
    </w:p>
    <w:p>
      <w:pPr>
        <w:pStyle w:val="Heading6"/>
        <w:numPr>
          <w:ilvl w:val="5"/>
          <w:numId w:val="1"/>
        </w:numPr>
        <w:rPr/>
      </w:pPr>
      <w:bookmarkStart w:id="1501" w:name="__RefHeading___Toc5447581_3224264995"/>
      <w:bookmarkStart w:id="1502" w:name="_Toc572"/>
      <w:bookmarkEnd w:id="1501"/>
      <w:r>
        <w:rPr>
          <w:rtl w:val="true"/>
        </w:rPr>
        <w:t>ما یکفی فی معرفة اللّه تعالی</w:t>
      </w:r>
      <w:bookmarkEnd w:id="1502"/>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المستفاد من هذه الأخبار المصرّحة بعدم اعتبار معرفة أزید ممّا ذکر فیها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الظاهر أیضا من جماعة من علمائنا الأخیار، </w:t>
      </w:r>
      <w:bookmarkStart w:id="1503" w:name="pg12977_114606"/>
    </w:p>
    <w:p>
      <w:pPr>
        <w:pStyle w:val="BookText"/>
        <w:rPr/>
      </w:pPr>
      <w:bookmarkEnd w:id="1503"/>
      <w:r>
        <w:rPr>
          <w:rFonts w:ascii="IRNazanin" w:hAnsi="IRNazanin" w:eastAsia="IRNazanin"/>
          <w:color w:val="111111"/>
          <w:sz w:val="28"/>
          <w:sz w:val="28"/>
          <w:szCs w:val="28"/>
          <w:rtl w:val="true"/>
          <w:lang w:bidi="fa-IR"/>
        </w:rPr>
        <w:t xml:space="preserve">کالشهیدین فی الألفیّة </w:t>
      </w:r>
      <w:r>
        <w:rPr>
          <w:rStyle w:val="FootnoteAnchor"/>
          <w:rtl w:val="true"/>
        </w:rPr>
        <w:footnoteReference w:id="1915"/>
      </w:r>
      <w:r>
        <w:rPr>
          <w:rFonts w:ascii="IRNazanin" w:hAnsi="IRNazanin" w:eastAsia="IRNazanin"/>
          <w:color w:val="111111"/>
          <w:sz w:val="28"/>
          <w:sz w:val="28"/>
          <w:szCs w:val="28"/>
          <w:rtl w:val="true"/>
          <w:lang w:bidi="fa-IR"/>
        </w:rPr>
        <w:t xml:space="preserve">و شرحها </w:t>
      </w:r>
      <w:r>
        <w:rPr>
          <w:rStyle w:val="FootnoteAnchor"/>
          <w:rtl w:val="true"/>
        </w:rPr>
        <w:footnoteReference w:id="1916"/>
      </w:r>
      <w:r>
        <w:rPr>
          <w:rFonts w:ascii="IRNazanin" w:hAnsi="IRNazanin" w:eastAsia="IRNazanin"/>
          <w:color w:val="111111"/>
          <w:sz w:val="28"/>
          <w:sz w:val="28"/>
          <w:szCs w:val="28"/>
          <w:rtl w:val="true"/>
          <w:lang w:bidi="fa-IR"/>
        </w:rPr>
        <w:t xml:space="preserve">،و المحقّق الثانی فی الجعفریّة </w:t>
      </w:r>
      <w:r>
        <w:rPr>
          <w:rStyle w:val="FootnoteAnchor"/>
          <w:rtl w:val="true"/>
        </w:rPr>
        <w:footnoteReference w:id="1917"/>
      </w:r>
      <w:r>
        <w:rPr>
          <w:rFonts w:ascii="IRNazanin" w:hAnsi="IRNazanin" w:eastAsia="IRNazanin"/>
          <w:color w:val="111111"/>
          <w:sz w:val="28"/>
          <w:sz w:val="28"/>
          <w:szCs w:val="28"/>
          <w:rtl w:val="true"/>
          <w:lang w:bidi="fa-IR"/>
        </w:rPr>
        <w:t xml:space="preserve">، و شارحها </w:t>
      </w:r>
      <w:r>
        <w:rPr>
          <w:rStyle w:val="FootnoteAnchor"/>
          <w:rtl w:val="true"/>
        </w:rPr>
        <w:footnoteReference w:id="1918"/>
      </w:r>
      <w:r>
        <w:rPr>
          <w:rFonts w:ascii="IRNazanin" w:hAnsi="IRNazanin" w:eastAsia="IRNazanin"/>
          <w:color w:val="111111"/>
          <w:sz w:val="28"/>
          <w:sz w:val="28"/>
          <w:szCs w:val="28"/>
          <w:rtl w:val="true"/>
          <w:lang w:bidi="fa-IR"/>
        </w:rPr>
        <w:t xml:space="preserve">،و غیرهم </w:t>
      </w:r>
      <w:r>
        <w:rPr>
          <w:rStyle w:val="FootnoteAnchor"/>
          <w:rtl w:val="true"/>
        </w:rPr>
        <w:footnoteReference w:id="19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یکفی فی معرفة الربّ التصدیق بکونه موجودا </w:t>
      </w:r>
      <w:r>
        <w:rPr>
          <w:rStyle w:val="FootnoteAnchor"/>
          <w:rtl w:val="true"/>
        </w:rPr>
        <w:footnoteReference w:id="1920"/>
      </w:r>
      <w:r>
        <w:rPr>
          <w:rFonts w:ascii="IRNazanin" w:hAnsi="IRNazanin" w:eastAsia="IRNazanin"/>
          <w:color w:val="111111"/>
          <w:sz w:val="28"/>
          <w:sz w:val="28"/>
          <w:szCs w:val="28"/>
          <w:rtl w:val="true"/>
          <w:lang w:bidi="fa-IR"/>
        </w:rPr>
        <w:t>واجب الوجود لذاته،و التصدیق بصفاته الثبوتیّة الراجعة إلی صفتی العلم و القدرة،و نفی الصفات الراجعة إلی الحاجة و الحدوث،و أنّه لا یصدر منه القبیح فعلا أو ترکا</w:t>
      </w:r>
      <w:r>
        <w:rPr>
          <w:rFonts w:eastAsia="IRNazanin" w:cs="IRNazanin"/>
          <w:color w:val="111111"/>
          <w:sz w:val="28"/>
          <w:szCs w:val="28"/>
          <w:rtl w:val="true"/>
          <w:lang w:bidi="fa-IR"/>
        </w:rPr>
        <w:t>.</w:t>
      </w:r>
    </w:p>
    <w:p>
      <w:pPr>
        <w:pStyle w:val="Heading6"/>
        <w:numPr>
          <w:ilvl w:val="5"/>
          <w:numId w:val="1"/>
        </w:numPr>
        <w:rPr/>
      </w:pPr>
      <w:bookmarkStart w:id="1504" w:name="__RefHeading___Toc5447583_3224264995"/>
      <w:bookmarkStart w:id="1505" w:name="_Toc573"/>
      <w:bookmarkEnd w:id="1504"/>
      <w:r>
        <w:rPr>
          <w:rtl w:val="true"/>
        </w:rPr>
        <w:t>المراد من</w:t>
      </w:r>
      <w:r>
        <w:rPr>
          <w:rtl w:val="true"/>
        </w:rPr>
        <w:t>«</w:t>
      </w:r>
      <w:r>
        <w:rPr>
          <w:rtl w:val="true"/>
        </w:rPr>
        <w:t>المعرفة</w:t>
      </w:r>
      <w:r>
        <w:rPr>
          <w:rtl w:val="true"/>
        </w:rPr>
        <w:t>»</w:t>
      </w:r>
      <w:bookmarkEnd w:id="1505"/>
    </w:p>
    <w:p>
      <w:pPr>
        <w:pStyle w:val="BookText"/>
        <w:rPr/>
      </w:pPr>
      <w:r>
        <w:rPr>
          <w:rFonts w:ascii="IRNazanin" w:hAnsi="IRNazanin" w:eastAsia="IRNazanin"/>
          <w:color w:val="111111"/>
          <w:sz w:val="28"/>
          <w:sz w:val="28"/>
          <w:szCs w:val="28"/>
          <w:rtl w:val="true"/>
          <w:lang w:bidi="fa-IR"/>
        </w:rPr>
        <w:t>و المراد بمعرفة هذه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رکوزها </w:t>
      </w:r>
      <w:r>
        <w:rPr>
          <w:rStyle w:val="FootnoteAnchor"/>
          <w:rtl w:val="true"/>
        </w:rPr>
        <w:footnoteReference w:id="1921"/>
      </w:r>
      <w:r>
        <w:rPr>
          <w:rFonts w:ascii="IRNazanin" w:hAnsi="IRNazanin" w:eastAsia="IRNazanin"/>
          <w:color w:val="111111"/>
          <w:sz w:val="28"/>
          <w:sz w:val="28"/>
          <w:szCs w:val="28"/>
          <w:rtl w:val="true"/>
          <w:lang w:bidi="fa-IR"/>
        </w:rPr>
        <w:t>فی اعتقاد المکلّف،بحیث إذا سألته عن شیء ممّا ذکر،أجاب بما هو الحقّ فیه و إن لم یعرف التعبیر عنه بالعبارات المتعارفة علی ألسنة الخواصّ</w:t>
      </w:r>
      <w:r>
        <w:rPr>
          <w:rFonts w:eastAsia="IRNazanin" w:cs="IRNazanin"/>
          <w:color w:val="111111"/>
          <w:sz w:val="28"/>
          <w:szCs w:val="28"/>
          <w:rtl w:val="true"/>
          <w:lang w:bidi="fa-IR"/>
        </w:rPr>
        <w:t>.</w:t>
      </w:r>
    </w:p>
    <w:p>
      <w:pPr>
        <w:pStyle w:val="Heading6"/>
        <w:numPr>
          <w:ilvl w:val="5"/>
          <w:numId w:val="1"/>
        </w:numPr>
        <w:rPr/>
      </w:pPr>
      <w:bookmarkStart w:id="1506" w:name="__RefHeading___Toc5447585_3224264995"/>
      <w:bookmarkStart w:id="1507" w:name="_Toc574"/>
      <w:bookmarkEnd w:id="1506"/>
      <w:r>
        <w:rPr>
          <w:rtl w:val="true"/>
        </w:rPr>
        <w:t>ما یکفی فی معرفة النبیّ صلّی اللّه علیه و آله و سلم</w:t>
      </w:r>
      <w:r>
        <w:rPr>
          <w:rtl w:val="true"/>
        </w:rPr>
        <w:t>:</w:t>
      </w:r>
      <w:bookmarkEnd w:id="1507"/>
    </w:p>
    <w:p>
      <w:pPr>
        <w:pStyle w:val="BookText"/>
        <w:rPr/>
      </w:pPr>
      <w:r>
        <w:rPr>
          <w:rFonts w:ascii="IRNazanin" w:hAnsi="IRNazanin" w:eastAsia="IRNazanin"/>
          <w:color w:val="111111"/>
          <w:sz w:val="28"/>
          <w:sz w:val="28"/>
          <w:szCs w:val="28"/>
          <w:rtl w:val="true"/>
          <w:lang w:bidi="fa-IR"/>
        </w:rPr>
        <w:t>و یکفی فی معرفة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شخصه بالنسب المعروف المختصّ به،و التصدیق بنبوّته و صدقه،فلا یعتبر فی ذلک الاعتقاد بعصمته،أعنی کونه معصوما بالملکة من أوّل عمره إلی آخره</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المقاصد العلیّة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اعتبار ذلک؛لأنّ الغرض المقصود من الرسالة لا یتمّ إلاّ به،فینتفی الفائدة التی باعتبارها وجب إرسال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ظاهر بعض کتب العقائد المصدّرة بأنّ من جهل ما ذکروه </w:t>
      </w:r>
    </w:p>
    <w:p>
      <w:pPr>
        <w:pStyle w:val="BookText"/>
        <w:rPr/>
      </w:pPr>
      <w:r>
        <w:rPr>
          <w:rFonts w:ascii="IRNazanin" w:hAnsi="IRNazanin" w:eastAsia="IRNazanin"/>
          <w:color w:val="111111"/>
          <w:sz w:val="28"/>
          <w:sz w:val="28"/>
          <w:szCs w:val="28"/>
          <w:rtl w:val="true"/>
          <w:lang w:bidi="fa-IR"/>
        </w:rPr>
        <w:t>فیها فلیس مؤمنا مع ذکرهم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الأوّل غیر بعید من الصواب </w:t>
      </w:r>
      <w:r>
        <w:rPr>
          <w:rStyle w:val="FootnoteAnchor"/>
          <w:rtl w:val="true"/>
        </w:rPr>
        <w:footnoteReference w:id="192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أنّ مراده ببعض کتب العقائد هو الباب الحادی عشر للعلاّمة قدّس سرّه حیث ذکر تلک العبارة،بل ظاهره دعوی إجماع العلماء علیه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معرفة ما عدا النبوّة واجبة بالاستقلال علی من هو متمکّن منه بحسب الاستعداد و عدم الموانع؛لما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عمومات وجوب التفقّه و کون المعرفة أفضل من الصلوات الواجبة،و أنّ الجهل بمراتب سفراء اللّه جلّ ذکره مع تیسّر العلم بها تقصیر فی حقّهم، و تفریط فی حبّهم،و نقص یجب بحکم العقل رفعه </w:t>
      </w:r>
      <w:r>
        <w:rPr>
          <w:rStyle w:val="FootnoteAnchor"/>
          <w:rtl w:val="true"/>
        </w:rPr>
        <w:footnoteReference w:id="1924"/>
      </w:r>
      <w:r>
        <w:rPr>
          <w:rFonts w:ascii="IRNazanin" w:hAnsi="IRNazanin" w:eastAsia="IRNazanin"/>
          <w:color w:val="111111"/>
          <w:sz w:val="28"/>
          <w:sz w:val="28"/>
          <w:szCs w:val="28"/>
          <w:rtl w:val="true"/>
          <w:lang w:bidi="fa-IR"/>
        </w:rPr>
        <w:t>،بل من أعظم النقائص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أومأ النبیّ صلّی اللّه علیه و آله و سلم إلی ذلک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مشیرا إلی بعض العلوم الخارجة عن العلوم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علم لا یضرّ جهله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العلوم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محکمة و فریضة عادلة و سنّة قائمة،و ما سواهنّ فهو فضل </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أشار إلی ذلک رئیس المحدّثین فی دیباجة الکافی،حیث قسّم </w:t>
      </w:r>
      <w:bookmarkStart w:id="1508" w:name="pg12977_114608"/>
    </w:p>
    <w:p>
      <w:pPr>
        <w:pStyle w:val="BookText"/>
        <w:rPr/>
      </w:pPr>
      <w:bookmarkEnd w:id="1508"/>
      <w:r>
        <w:rPr>
          <w:rFonts w:ascii="IRNazanin" w:hAnsi="IRNazanin" w:eastAsia="IRNazanin"/>
          <w:color w:val="111111"/>
          <w:sz w:val="28"/>
          <w:sz w:val="28"/>
          <w:szCs w:val="28"/>
          <w:rtl w:val="true"/>
          <w:lang w:bidi="fa-IR"/>
        </w:rPr>
        <w:t xml:space="preserve">الناس إلی أهل الصحّة و السلامة و أهل المرض و الزمانة،و ذکر وضع التکلیف عن الفرقة الأخیرة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09" w:name="__RefHeading___Toc5447587_3224264995"/>
      <w:bookmarkStart w:id="1510" w:name="_Toc575"/>
      <w:bookmarkEnd w:id="1509"/>
      <w:r>
        <w:rPr>
          <w:rtl w:val="true"/>
        </w:rPr>
        <w:t>ما یکفی فی معرفة الأئمّة علیهم السّلام</w:t>
      </w:r>
      <w:bookmarkEnd w:id="1510"/>
    </w:p>
    <w:p>
      <w:pPr>
        <w:pStyle w:val="BookText"/>
        <w:rPr/>
      </w:pPr>
      <w:r>
        <w:rPr>
          <w:rFonts w:ascii="IRNazanin" w:hAnsi="IRNazanin" w:eastAsia="IRNazanin"/>
          <w:color w:val="111111"/>
          <w:sz w:val="28"/>
          <w:sz w:val="28"/>
          <w:szCs w:val="28"/>
          <w:rtl w:val="true"/>
          <w:lang w:bidi="fa-IR"/>
        </w:rPr>
        <w:t>و یکفی فی معرفة الأئمّة 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معرفتهم بنسبهم المعروف و التصدیق بأنّهم أئمّة یهدون بالحقّ و یجب الانقیاد إلیهم و الأخذ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وجوب الزائد علی ما ذکر من عصمتهم الوجهان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بعض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معرفة حقّ الإمام علیه السّلام بمعرفة کونه إماما مفترض الطاعة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11" w:name="__RefHeading___Toc5447589_3224264995"/>
      <w:bookmarkStart w:id="1512" w:name="_Toc576"/>
      <w:bookmarkEnd w:id="1511"/>
      <w:r>
        <w:rPr>
          <w:rtl w:val="true"/>
        </w:rPr>
        <w:t>ما یکفی فی التصدیق بما جاء به النبیّ ص</w:t>
      </w:r>
      <w:r>
        <w:rPr>
          <w:rtl w:val="true"/>
        </w:rPr>
        <w:t>:</w:t>
      </w:r>
      <w:bookmarkEnd w:id="1512"/>
    </w:p>
    <w:p>
      <w:pPr>
        <w:pStyle w:val="BookText"/>
        <w:rPr/>
      </w:pPr>
      <w:r>
        <w:rPr>
          <w:rFonts w:ascii="IRNazanin" w:hAnsi="IRNazanin" w:eastAsia="IRNazanin"/>
          <w:color w:val="111111"/>
          <w:sz w:val="28"/>
          <w:sz w:val="28"/>
          <w:szCs w:val="28"/>
          <w:rtl w:val="true"/>
          <w:lang w:bidi="fa-IR"/>
        </w:rPr>
        <w:t>و یکفی فی التصدیق بما جاء به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التصدیق بما علم مجیئه به </w:t>
      </w:r>
      <w:r>
        <w:rPr>
          <w:rStyle w:val="FootnoteAnchor"/>
          <w:rtl w:val="true"/>
        </w:rPr>
        <w:footnoteReference w:id="1929"/>
      </w:r>
      <w:r>
        <w:rPr>
          <w:rFonts w:ascii="IRNazanin" w:hAnsi="IRNazanin" w:eastAsia="IRNazanin"/>
          <w:color w:val="111111"/>
          <w:sz w:val="28"/>
          <w:sz w:val="28"/>
          <w:szCs w:val="28"/>
          <w:rtl w:val="true"/>
          <w:lang w:bidi="fa-IR"/>
        </w:rPr>
        <w:t xml:space="preserve">متواترا،من أحوال المبدأ و المعاد،کالتکلیف بالعبادات و السؤال فی القبر و عذابه و المعاد الجسمانیّ و الحساب و الصراط و المیزان و الجنّة و النار إجمالا،مع تأمّل فی اعتبار معرفة ما عدا المعاد الجسمانیّ من هذه الامور فی الإیمان المقابل للکفر الموجب للخلود فی النار؛للأخبار المتقدّمة </w:t>
      </w:r>
      <w:r>
        <w:rPr>
          <w:rStyle w:val="FootnoteAnchor"/>
          <w:rtl w:val="true"/>
        </w:rPr>
        <w:footnoteReference w:id="1930"/>
      </w:r>
      <w:r>
        <w:rPr>
          <w:rFonts w:ascii="IRNazanin" w:hAnsi="IRNazanin" w:eastAsia="IRNazanin"/>
          <w:color w:val="111111"/>
          <w:sz w:val="28"/>
          <w:sz w:val="28"/>
          <w:szCs w:val="28"/>
          <w:rtl w:val="true"/>
          <w:lang w:bidi="fa-IR"/>
        </w:rPr>
        <w:t xml:space="preserve">المستفیضة </w:t>
      </w:r>
      <w:r>
        <w:rPr>
          <w:rStyle w:val="FootnoteAnchor"/>
          <w:rtl w:val="true"/>
        </w:rPr>
        <w:footnoteReference w:id="1931"/>
      </w:r>
      <w:r>
        <w:rPr>
          <w:rFonts w:ascii="IRNazanin" w:hAnsi="IRNazanin" w:eastAsia="IRNazanin"/>
          <w:color w:val="111111"/>
          <w:sz w:val="28"/>
          <w:sz w:val="28"/>
          <w:szCs w:val="28"/>
          <w:rtl w:val="true"/>
          <w:lang w:bidi="fa-IR"/>
        </w:rPr>
        <w:t>،و السیرة المستمرّة؛فإنّا نعلم بالوجدان جهل کثیر من الناس بها من أوّل البعثة إلی یومنا هذا</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المعتبر هو عدم إنکار هذه الامور و غیرها </w:t>
      </w:r>
      <w:bookmarkStart w:id="1513" w:name="pg12977_114609"/>
    </w:p>
    <w:p>
      <w:pPr>
        <w:pStyle w:val="BookText"/>
        <w:rPr/>
      </w:pPr>
      <w:bookmarkEnd w:id="1513"/>
      <w:r>
        <w:rPr>
          <w:rFonts w:ascii="IRNazanin" w:hAnsi="IRNazanin" w:eastAsia="IRNazanin"/>
          <w:color w:val="111111"/>
          <w:sz w:val="28"/>
          <w:sz w:val="28"/>
          <w:szCs w:val="28"/>
          <w:rtl w:val="true"/>
          <w:lang w:bidi="fa-IR"/>
        </w:rPr>
        <w:t>من الضروریّات،لا وجوب الاعتقاد بها،علی ما یظهر من بعض الأخبار،من أنّ الشاکّ إذا لم یکن جاحدا فلیس بکافر؛ففی روایة زرارة،عن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العباد إذا جهلوا وقفوا و لم یجحدوا،لم یکفروا</w:t>
      </w:r>
      <w:r>
        <w:rPr>
          <w:rFonts w:eastAsia="IRNazanin" w:cs="IRNazanin"/>
          <w:color w:val="111111"/>
          <w:sz w:val="28"/>
          <w:szCs w:val="28"/>
          <w:rtl w:val="true"/>
          <w:lang w:bidi="fa-IR"/>
        </w:rPr>
        <w:t xml:space="preserve">» </w:t>
      </w:r>
      <w:r>
        <w:rPr>
          <w:rStyle w:val="FootnoteAnchor"/>
          <w:rtl w:val="true"/>
        </w:rPr>
        <w:footnoteReference w:id="1932"/>
      </w:r>
      <w:r>
        <w:rPr>
          <w:rFonts w:ascii="IRNazanin" w:hAnsi="IRNazanin" w:eastAsia="IRNazanin"/>
          <w:color w:val="111111"/>
          <w:sz w:val="28"/>
          <w:sz w:val="28"/>
          <w:szCs w:val="28"/>
          <w:rtl w:val="true"/>
          <w:lang w:bidi="fa-IR"/>
        </w:rPr>
        <w:t xml:space="preserve">،و نحوها غیرها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کتاب الغیبة للشیخ قدّس سرّه بإسناده عن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جماعة یقال لهم الحقّیّة،و هم الذین یقسمون بحقّ علیّ و لا یعرفون حقّه و فضله،و هم یدخلون الجنّة</w:t>
      </w:r>
      <w:r>
        <w:rPr>
          <w:rFonts w:eastAsia="IRNazanin" w:cs="IRNazanin"/>
          <w:color w:val="111111"/>
          <w:sz w:val="28"/>
          <w:szCs w:val="28"/>
          <w:rtl w:val="true"/>
          <w:lang w:bidi="fa-IR"/>
        </w:rPr>
        <w:t xml:space="preserve">»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14" w:name="__RefHeading___Toc5447591_3224264995"/>
      <w:bookmarkStart w:id="1515" w:name="_Toc577"/>
      <w:bookmarkEnd w:id="1514"/>
      <w:r>
        <w:rPr>
          <w:rtl w:val="true"/>
        </w:rPr>
        <w:t>ما یعتبر فی الإیمان</w:t>
      </w:r>
      <w:bookmarkEnd w:id="1515"/>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بأنّه یکفی فی الإیمان الاعتقاد بوجود الواجب الجامع للکمالات المنزّه عن النقائص و بنبوّة محمّد صلّی اللّه علیه و آله و بإمامة الأئمّة علیهم السّلام،و البراءة من أعدائهم و الاعتقاد بالمعاد الجسمانیّ الذی لا ینفکّ غالبا عن الاعتقادات السابقة،غیر بعید؛بالنظر إلی الأخبار و السیرة المستمرّة</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التدیّن بسائر الضروریّات،ففی اشتراطه،أو کفایة عدم إنکارها،أو عدم اشتراطه أیضا،فلا یضرّ إنکارها إلاّ مع العلم بکونها من الدین </w:t>
      </w:r>
      <w:r>
        <w:rPr>
          <w:rStyle w:val="FootnoteAnchor"/>
          <w:rtl w:val="true"/>
        </w:rPr>
        <w:footnoteReference w:id="1935"/>
      </w:r>
      <w:r>
        <w:rPr>
          <w:rFonts w:ascii="IRNazanin" w:hAnsi="IRNazanin" w:eastAsia="IRNazanin"/>
          <w:color w:val="111111"/>
          <w:sz w:val="28"/>
          <w:sz w:val="28"/>
          <w:szCs w:val="28"/>
          <w:rtl w:val="true"/>
          <w:lang w:bidi="fa-IR"/>
        </w:rPr>
        <w:t>،وجوه أقواها الأخیر،ثمّ الأوسط</w:t>
      </w:r>
      <w:r>
        <w:rPr>
          <w:rFonts w:eastAsia="IRNazanin" w:cs="IRNazanin"/>
          <w:color w:val="111111"/>
          <w:sz w:val="28"/>
          <w:szCs w:val="28"/>
          <w:rtl w:val="true"/>
          <w:lang w:bidi="fa-IR"/>
        </w:rPr>
        <w:t xml:space="preserve">. </w:t>
      </w:r>
      <w:bookmarkStart w:id="1516" w:name="pg12977_114610"/>
    </w:p>
    <w:p>
      <w:pPr>
        <w:pStyle w:val="BookText"/>
        <w:rPr/>
      </w:pPr>
      <w:bookmarkEnd w:id="1516"/>
      <w:r>
        <w:rPr>
          <w:rFonts w:ascii="IRNazanin" w:hAnsi="IRNazanin" w:eastAsia="IRNazanin"/>
          <w:color w:val="111111"/>
          <w:sz w:val="28"/>
          <w:sz w:val="28"/>
          <w:szCs w:val="28"/>
          <w:rtl w:val="true"/>
          <w:lang w:bidi="fa-IR"/>
        </w:rPr>
        <w:t xml:space="preserve">و ما استقربناه فی ما یعتبر فی الإیمان وجدته بعد ذلک فی کلام محکیّ عن المحقّق الورع الأردبیلیّ فی شرح الإرشاد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الکلام إلی هنا فی تمییز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لا یجب الاعتقاد به إلاّ بعد حصول العلم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القسم الأوّل،و هو ما یجب الاعتقاد به مطلقا فیجب تحصیل مقدّماته </w:t>
      </w:r>
      <w:r>
        <w:rPr>
          <w:rStyle w:val="FootnoteAnchor"/>
          <w:rtl w:val="true"/>
        </w:rPr>
        <w:footnoteReference w:id="1937"/>
      </w:r>
      <w:r>
        <w:rPr>
          <w:rFonts w:ascii="IRNazanin" w:hAnsi="IRNazanin" w:eastAsia="IRNazanin"/>
          <w:color w:val="111111"/>
          <w:sz w:val="28"/>
          <w:sz w:val="28"/>
          <w:szCs w:val="28"/>
          <w:rtl w:val="true"/>
          <w:lang w:bidi="fa-IR"/>
        </w:rPr>
        <w:t xml:space="preserve">،أعنی الأسباب المحصّلة للاعتقاد،و قد عرفت </w:t>
      </w:r>
      <w:r>
        <w:rPr>
          <w:rStyle w:val="FootnoteAnchor"/>
          <w:rtl w:val="true"/>
        </w:rPr>
        <w:footnoteReference w:id="19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الأقوی عدم جواز العمل بغیر العلم فی القسم الثانی</w:t>
      </w:r>
      <w:r>
        <w:rPr>
          <w:rFonts w:eastAsia="IRNazanin" w:cs="IRNazanin"/>
          <w:color w:val="111111"/>
          <w:sz w:val="28"/>
          <w:szCs w:val="28"/>
          <w:rtl w:val="true"/>
          <w:lang w:bidi="fa-IR"/>
        </w:rPr>
        <w:t>.</w:t>
      </w:r>
    </w:p>
    <w:p>
      <w:pPr>
        <w:pStyle w:val="Heading6"/>
        <w:numPr>
          <w:ilvl w:val="5"/>
          <w:numId w:val="1"/>
        </w:numPr>
        <w:rPr/>
      </w:pPr>
      <w:bookmarkStart w:id="1517" w:name="__RefHeading___Toc5447593_3224264995"/>
      <w:bookmarkStart w:id="1518" w:name="_Toc578"/>
      <w:bookmarkEnd w:id="1517"/>
      <w:r>
        <w:rPr>
          <w:rtl w:val="true"/>
        </w:rPr>
        <w:t>و أمّا القسم الثانی الذی یجب فیه النظر لتحصیل الاعتقاد</w:t>
      </w:r>
      <w:bookmarkEnd w:id="1518"/>
    </w:p>
    <w:p>
      <w:pPr>
        <w:pStyle w:val="BookText"/>
        <w:rPr/>
      </w:pPr>
      <w:r>
        <w:rPr>
          <w:rFonts w:ascii="IRNazanin" w:hAnsi="IRNazanin" w:eastAsia="IRNazanin"/>
          <w:color w:val="111111"/>
          <w:sz w:val="28"/>
          <w:sz w:val="28"/>
          <w:szCs w:val="28"/>
          <w:rtl w:val="true"/>
          <w:lang w:bidi="fa-IR"/>
        </w:rPr>
        <w:t>، فالکلام فیه یقع تارة بالنسبة إلی القادر علی تحصیل العلم و اخری بالنسبة إلی العاجز،فهنا مقامان</w:t>
      </w:r>
      <w:r>
        <w:rPr>
          <w:rFonts w:eastAsia="IRNazanin" w:cs="IRNazanin"/>
          <w:color w:val="111111"/>
          <w:sz w:val="28"/>
          <w:szCs w:val="28"/>
          <w:rtl w:val="true"/>
          <w:lang w:bidi="fa-IR"/>
        </w:rPr>
        <w:t>:</w:t>
      </w:r>
    </w:p>
    <w:p>
      <w:pPr>
        <w:pStyle w:val="Heading6"/>
        <w:numPr>
          <w:ilvl w:val="5"/>
          <w:numId w:val="1"/>
        </w:numPr>
        <w:rPr/>
      </w:pPr>
      <w:bookmarkStart w:id="1519" w:name="__RefHeading___Toc5447595_3224264995"/>
      <w:bookmarkStart w:id="1520" w:name="_Toc579"/>
      <w:bookmarkEnd w:id="1519"/>
      <w:r>
        <w:rPr>
          <w:rtl w:val="true"/>
        </w:rPr>
        <w:t>المقام الأوّل</w:t>
      </w:r>
      <w:r>
        <w:rPr>
          <w:rtl w:val="true"/>
        </w:rPr>
        <w:t>:</w:t>
      </w:r>
      <w:r>
        <w:rPr>
          <w:rtl w:val="true"/>
        </w:rPr>
        <w:t>فی القادر  علی تحصیل العلم فی الاعتقادیّات</w:t>
      </w:r>
      <w:bookmarkEnd w:id="1520"/>
    </w:p>
    <w:p>
      <w:pPr>
        <w:pStyle w:val="BookText"/>
        <w:rPr/>
      </w:pPr>
      <w:r>
        <w:rPr>
          <w:rFonts w:ascii="IRNazanin" w:hAnsi="IRNazanin" w:eastAsia="IRNazanin"/>
          <w:color w:val="111111"/>
          <w:sz w:val="28"/>
          <w:sz w:val="28"/>
          <w:szCs w:val="28"/>
          <w:rtl w:val="true"/>
          <w:lang w:bidi="fa-IR"/>
        </w:rPr>
        <w:t>و الکلام فی جواز عمله بالظنّ یقع فی موضعین</w:t>
      </w:r>
      <w:r>
        <w:rPr>
          <w:rFonts w:eastAsia="IRNazanin" w:cs="IRNazanin"/>
          <w:color w:val="111111"/>
          <w:sz w:val="28"/>
          <w:szCs w:val="28"/>
          <w:rtl w:val="true"/>
          <w:lang w:bidi="fa-IR"/>
        </w:rPr>
        <w:t>:</w:t>
      </w:r>
    </w:p>
    <w:p>
      <w:pPr>
        <w:pStyle w:val="Heading6"/>
        <w:numPr>
          <w:ilvl w:val="5"/>
          <w:numId w:val="1"/>
        </w:numPr>
        <w:rPr/>
      </w:pPr>
      <w:bookmarkStart w:id="1521" w:name="__RefHeading___Toc5447597_3224264995"/>
      <w:bookmarkStart w:id="1522" w:name="_Toc580"/>
      <w:bookmarkEnd w:id="1521"/>
      <w:r>
        <w:rPr>
          <w:rtl w:val="true"/>
        </w:rPr>
        <w:t>الموضع الأوّل</w:t>
      </w:r>
      <w:r>
        <w:rPr>
          <w:rtl w:val="true"/>
        </w:rPr>
        <w:t>:</w:t>
      </w:r>
      <w:r>
        <w:rPr>
          <w:rtl w:val="true"/>
        </w:rPr>
        <w:t>فی حکمه التکلیفیّ</w:t>
      </w:r>
      <w:r>
        <w:rPr>
          <w:rtl w:val="true"/>
        </w:rPr>
        <w:t xml:space="preserve">: </w:t>
      </w:r>
      <w:r>
        <w:rPr>
          <w:rtl w:val="true"/>
        </w:rPr>
        <w:t>وجوب تحصیل العلم و عدم جواز الاقتصار علی الظنّ فی الاعتقادیّات</w:t>
      </w:r>
      <w:r>
        <w:rPr>
          <w:rtl w:val="true"/>
        </w:rPr>
        <w:t>.</w:t>
      </w:r>
      <w:bookmarkEnd w:id="1522"/>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حکمه الوضعیّ من حیث الإیمان و عدمه،فنقول</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حکمه التکلیفیّ،فلا ینبغی التأمّل فی عدم جواز اقتصاره علی العمل بالظنّ،فمن ظنّ بنبوّة نبیّنا محمّد صلّی اللّه علیه و آله و سلم أو بإمامة أحد من الأئمّة صلوات اللّه علیهم فلا یجوز له الاقتصار،فیجب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التفطّن </w:t>
      </w:r>
      <w:bookmarkStart w:id="1523" w:name="pg12977_114611"/>
    </w:p>
    <w:p>
      <w:pPr>
        <w:pStyle w:val="BookText"/>
        <w:rPr/>
      </w:pPr>
      <w:bookmarkEnd w:id="1523"/>
      <w:r>
        <w:rPr>
          <w:rFonts w:ascii="IRNazanin" w:hAnsi="IRNazanin" w:eastAsia="IRNazanin"/>
          <w:color w:val="111111"/>
          <w:sz w:val="28"/>
          <w:sz w:val="28"/>
          <w:szCs w:val="28"/>
          <w:rtl w:val="true"/>
          <w:lang w:bidi="fa-IR"/>
        </w:rPr>
        <w:t xml:space="preserve">لهذه </w:t>
      </w:r>
      <w:r>
        <w:rPr>
          <w:rStyle w:val="FootnoteAnchor"/>
          <w:rtl w:val="true"/>
        </w:rPr>
        <w:footnoteReference w:id="1939"/>
      </w: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النظر،و یجب علی العلماء أمره بزیادة النظر لیحصل له العلم إن لم یخافوا علیه الوقوع فی خلاف الحقّ؛لأنّه حینئذ یدخل فی قسم العاجز عن تحصیل العلم بالحقّ؛فإنّ بقاءه علی الظنّ بالحقّ أولی من رجوعه إلی الشکّ أو الظنّ بالباطل،فضلا عن العلم به</w:t>
      </w:r>
      <w:r>
        <w:rPr>
          <w:rFonts w:eastAsia="IRNazanin" w:cs="IRNazanin"/>
          <w:color w:val="111111"/>
          <w:sz w:val="28"/>
          <w:szCs w:val="28"/>
          <w:rtl w:val="true"/>
          <w:lang w:bidi="fa-IR"/>
        </w:rPr>
        <w:t>.</w:t>
      </w:r>
    </w:p>
    <w:p>
      <w:pPr>
        <w:pStyle w:val="Heading6"/>
        <w:numPr>
          <w:ilvl w:val="5"/>
          <w:numId w:val="1"/>
        </w:numPr>
        <w:rPr/>
      </w:pPr>
      <w:bookmarkStart w:id="1524" w:name="__RefHeading___Toc5447599_3224264995"/>
      <w:bookmarkStart w:id="1525" w:name="_Toc581"/>
      <w:bookmarkEnd w:id="1524"/>
      <w:r>
        <w:rPr>
          <w:rtl w:val="true"/>
        </w:rPr>
        <w:t>الاستدلال علی ذلک</w:t>
      </w:r>
      <w:bookmarkEnd w:id="1525"/>
    </w:p>
    <w:p>
      <w:pPr>
        <w:pStyle w:val="BookText"/>
        <w:rPr/>
      </w:pPr>
      <w:r>
        <w:rPr>
          <w:rFonts w:ascii="IRNazanin" w:hAnsi="IRNazanin" w:eastAsia="IRNazanin"/>
          <w:color w:val="111111"/>
          <w:sz w:val="28"/>
          <w:sz w:val="28"/>
          <w:szCs w:val="28"/>
          <w:rtl w:val="true"/>
          <w:lang w:bidi="fa-IR"/>
        </w:rPr>
        <w:t>و الدلیل علی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الآیات و الأخبار الدالّة علی وجوب الإیمان و العلم و التفقّه و المعرفة و التصدیق و الإقرار و الشهادة و التدیّن و عدم الرخصة فی الجهل و الشکّ و متابعة الظنّ،و هی أکثر من أن تحصی</w:t>
      </w:r>
      <w:r>
        <w:rPr>
          <w:rFonts w:eastAsia="IRNazanin" w:cs="IRNazanin"/>
          <w:color w:val="111111"/>
          <w:sz w:val="28"/>
          <w:szCs w:val="28"/>
          <w:rtl w:val="true"/>
          <w:lang w:bidi="fa-IR"/>
        </w:rPr>
        <w:t>.</w:t>
      </w:r>
    </w:p>
    <w:p>
      <w:pPr>
        <w:pStyle w:val="Heading6"/>
        <w:numPr>
          <w:ilvl w:val="5"/>
          <w:numId w:val="1"/>
        </w:numPr>
        <w:rPr/>
      </w:pPr>
      <w:bookmarkStart w:id="1526" w:name="__RefHeading___Toc5447601_3224264995"/>
      <w:bookmarkStart w:id="1527" w:name="_Toc582"/>
      <w:bookmarkEnd w:id="1526"/>
      <w:r>
        <w:rPr>
          <w:rtl w:val="true"/>
        </w:rPr>
        <w:t>و أمّا الموضع الثانی</w:t>
      </w:r>
      <w:r>
        <w:rPr>
          <w:rtl w:val="true"/>
        </w:rPr>
        <w:t xml:space="preserve">: </w:t>
      </w:r>
      <w:r>
        <w:rPr>
          <w:rtl w:val="true"/>
        </w:rPr>
        <w:t>الحکم بعدم الإیمان لو اقتصر علی الظنّ و الدلیل علیه</w:t>
      </w:r>
      <w:bookmarkEnd w:id="1527"/>
    </w:p>
    <w:p>
      <w:pPr>
        <w:pStyle w:val="BookText"/>
        <w:rPr/>
      </w:pPr>
      <w:r>
        <w:rPr>
          <w:rFonts w:ascii="IRNazanin" w:hAnsi="IRNazanin" w:eastAsia="IRNazanin"/>
          <w:color w:val="111111"/>
          <w:sz w:val="28"/>
          <w:sz w:val="28"/>
          <w:szCs w:val="28"/>
          <w:rtl w:val="true"/>
          <w:lang w:bidi="fa-IR"/>
        </w:rPr>
        <w:t>فالأقوی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المتعیّن </w:t>
      </w:r>
      <w:r>
        <w:rPr>
          <w:rStyle w:val="FootnoteAnchor"/>
          <w:rtl w:val="true"/>
        </w:rPr>
        <w:footnoteReference w:id="19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 بعدم الإیمان؛للأخبار المفسّرة للإیمان بالإقرار و الشهادة و التدیّن و المعرفة و غیر ذلک من العبائر الظاهرة فی العلم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28" w:name="__RefHeading___Toc5447603_3224264995"/>
      <w:bookmarkStart w:id="1529" w:name="_Toc583"/>
      <w:bookmarkEnd w:id="1528"/>
      <w:r>
        <w:rPr>
          <w:rtl w:val="true"/>
        </w:rPr>
        <w:t>هل یحکم بالکفر مع الظنّ بالحق؟</w:t>
      </w:r>
      <w:bookmarkEnd w:id="1529"/>
    </w:p>
    <w:p>
      <w:pPr>
        <w:pStyle w:val="BookText"/>
        <w:rPr/>
      </w:pPr>
      <w:r>
        <w:rPr>
          <w:rFonts w:ascii="IRNazanin" w:hAnsi="IRNazanin" w:eastAsia="IRNazanin"/>
          <w:color w:val="111111"/>
          <w:sz w:val="28"/>
          <w:sz w:val="28"/>
          <w:szCs w:val="28"/>
          <w:rtl w:val="true"/>
          <w:lang w:bidi="fa-IR"/>
        </w:rPr>
        <w:t>و هل هو کافر مع ظنّه بالحقّ؟فیه وجهان</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إطلاق ما دلّ علی أنّ الشاکّ و غیر المؤمن کافر </w:t>
      </w:r>
      <w:r>
        <w:rPr>
          <w:rStyle w:val="FootnoteAnchor"/>
          <w:rtl w:val="true"/>
        </w:rPr>
        <w:footnoteReference w:id="1942"/>
      </w:r>
      <w:r>
        <w:rPr>
          <w:rFonts w:ascii="IRNazanin" w:hAnsi="IRNazanin" w:eastAsia="IRNazanin"/>
          <w:color w:val="111111"/>
          <w:sz w:val="28"/>
          <w:sz w:val="28"/>
          <w:szCs w:val="28"/>
          <w:rtl w:val="true"/>
          <w:lang w:bidi="fa-IR"/>
        </w:rPr>
        <w:t xml:space="preserve">،و ظاهر ما دلّ من الکتاب و السنّة علی حصر المکلّف فی المؤمن و الکافر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 xml:space="preserve">. </w:t>
      </w:r>
      <w:bookmarkStart w:id="1530" w:name="pg12977_114612"/>
    </w:p>
    <w:p>
      <w:pPr>
        <w:pStyle w:val="BookText"/>
        <w:rPr/>
      </w:pPr>
      <w:bookmarkEnd w:id="1530"/>
      <w:r>
        <w:rPr>
          <w:rFonts w:ascii="IRNazanin" w:hAnsi="IRNazanin" w:eastAsia="IRNazanin"/>
          <w:color w:val="111111"/>
          <w:sz w:val="28"/>
          <w:sz w:val="28"/>
          <w:szCs w:val="28"/>
          <w:rtl w:val="true"/>
          <w:lang w:bidi="fa-IR"/>
        </w:rPr>
        <w:t xml:space="preserve">و من تقیید کفر الشاکّ فی غیر واحد من الأخبار بالجحود </w:t>
      </w:r>
      <w:r>
        <w:rPr>
          <w:rStyle w:val="FootnoteAnchor"/>
          <w:rtl w:val="true"/>
        </w:rPr>
        <w:footnoteReference w:id="1944"/>
      </w:r>
      <w:r>
        <w:rPr>
          <w:rFonts w:ascii="IRNazanin" w:hAnsi="IRNazanin" w:eastAsia="IRNazanin"/>
          <w:color w:val="111111"/>
          <w:sz w:val="28"/>
          <w:sz w:val="28"/>
          <w:szCs w:val="28"/>
          <w:rtl w:val="true"/>
          <w:lang w:bidi="fa-IR"/>
        </w:rPr>
        <w:t xml:space="preserve">، فلا یشمل ما نحن فیه،و دلالة الأخبار المستفیضة علی ثبوت الواسطة بین الکفر و الإیمان،و قد اطلق علیه فی الأخبار الضلال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أکثر الأخبار الدالّة علی الواسطة مختصّة بالإیمان بالمعنی الأخصّ،فیدلّ علی أنّ من المسلمین من لیس بمؤمن و لا کافر،لا علی ثبوت الواسطة بین الإسلام و الکفر،نعم بعضها </w:t>
      </w:r>
      <w:r>
        <w:rPr>
          <w:rStyle w:val="FootnoteAnchor"/>
          <w:rtl w:val="true"/>
        </w:rPr>
        <w:footnoteReference w:id="1946"/>
      </w:r>
      <w:r>
        <w:rPr>
          <w:rFonts w:ascii="IRNazanin" w:hAnsi="IRNazanin" w:eastAsia="IRNazanin"/>
          <w:color w:val="111111"/>
          <w:sz w:val="28"/>
          <w:sz w:val="28"/>
          <w:szCs w:val="28"/>
          <w:rtl w:val="true"/>
          <w:lang w:bidi="fa-IR"/>
        </w:rPr>
        <w:t>قد یظهر منه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فالشاکّ فی شیء ممّا یعتبر فی الإیمان بالمعنی الأخصّ لیس بمؤمن و لا کافر،فلا یجری علیه أحکام الإیمان</w:t>
      </w:r>
      <w:r>
        <w:rPr>
          <w:rFonts w:eastAsia="IRNazanin" w:cs="IRNazanin"/>
          <w:color w:val="111111"/>
          <w:sz w:val="28"/>
          <w:szCs w:val="28"/>
          <w:rtl w:val="true"/>
          <w:lang w:bidi="fa-IR"/>
        </w:rPr>
        <w:t>.</w:t>
      </w:r>
    </w:p>
    <w:p>
      <w:pPr>
        <w:pStyle w:val="Heading6"/>
        <w:numPr>
          <w:ilvl w:val="5"/>
          <w:numId w:val="1"/>
        </w:numPr>
        <w:rPr/>
      </w:pPr>
      <w:bookmarkStart w:id="1531" w:name="__RefHeading___Toc5447605_3224264995"/>
      <w:bookmarkStart w:id="1532" w:name="_Toc584"/>
      <w:bookmarkEnd w:id="1531"/>
      <w:r>
        <w:rPr>
          <w:rtl w:val="true"/>
        </w:rPr>
        <w:t>حکم الشاکّ غیر الجاحد من حیث الإیمان و الکفر</w:t>
      </w:r>
      <w:bookmarkEnd w:id="1532"/>
    </w:p>
    <w:p>
      <w:pPr>
        <w:pStyle w:val="BookText"/>
        <w:rPr/>
      </w:pPr>
      <w:r>
        <w:rPr>
          <w:rFonts w:ascii="IRNazanin" w:hAnsi="IRNazanin" w:eastAsia="IRNazanin"/>
          <w:color w:val="111111"/>
          <w:sz w:val="28"/>
          <w:sz w:val="28"/>
          <w:szCs w:val="28"/>
          <w:rtl w:val="true"/>
          <w:lang w:bidi="fa-IR"/>
        </w:rPr>
        <w:t>و أمّا الشاکّ فی شیء ممّا یعتبر فی الإسلام بالمعنی الأعمّ کالنبوّة و المعاد،فإن اکتفینا فی الإسلام بظاهر الشهادتین و عدم الإنکار ظاهرا و إن لم یعتقد باطنا فهو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اعتبرنا فی الإسلام الشهادتین مع احتمال الاعتقاد علی طبقهما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یکون الشهادتان أمارة علی الاعتقاد الباطنیّ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 فی عدم إسلام الشاکّ لو علم منه الشکّ، فلا یجری علیه أحکام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جواز المناکحة و التوارث و غیرهما</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یحکم بکفره و نجاسته حینئذ؟ </w:t>
      </w:r>
      <w:bookmarkStart w:id="1533" w:name="pg12977_114613"/>
    </w:p>
    <w:p>
      <w:pPr>
        <w:pStyle w:val="BookText"/>
        <w:rPr/>
      </w:pPr>
      <w:bookmarkEnd w:id="1533"/>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تقیید کفر الشاکّ فی غیر واحد من الأخبار بالجحود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کلّه فی الظانّ بالحقّ،أمّا الظانّ بالباطل فالظاهر کفره</w:t>
      </w:r>
      <w:r>
        <w:rPr>
          <w:rFonts w:eastAsia="Amiri" w:cs="Amiri" w:ascii="Amiri" w:hAnsi="Amiri"/>
          <w:color w:val="111111"/>
          <w:sz w:val="28"/>
          <w:szCs w:val="28"/>
          <w:rtl w:val="true"/>
          <w:lang w:bidi="ar-SA"/>
        </w:rPr>
        <w:t>.</w:t>
      </w:r>
    </w:p>
    <w:p>
      <w:pPr>
        <w:pStyle w:val="Heading6"/>
        <w:numPr>
          <w:ilvl w:val="5"/>
          <w:numId w:val="1"/>
        </w:numPr>
        <w:rPr/>
      </w:pPr>
      <w:bookmarkStart w:id="1534" w:name="__RefHeading___Toc5447607_3224264995"/>
      <w:bookmarkStart w:id="1535" w:name="_Toc585"/>
      <w:bookmarkEnd w:id="1534"/>
      <w:r>
        <w:rPr>
          <w:rtl w:val="true"/>
        </w:rPr>
        <w:t>هل یکفی حصول الجزم من التقلید أو لا بدّ من النظر و الاستدلال؟</w:t>
      </w:r>
      <w:bookmarkEnd w:id="1535"/>
    </w:p>
    <w:p>
      <w:pPr>
        <w:pStyle w:val="BookText"/>
        <w:rPr/>
      </w:pPr>
      <w:r>
        <w:rPr>
          <w:rFonts w:ascii="IRNazanin" w:hAnsi="IRNazanin" w:eastAsia="IRNazanin"/>
          <w:color w:val="111111"/>
          <w:sz w:val="28"/>
          <w:sz w:val="28"/>
          <w:szCs w:val="28"/>
          <w:rtl w:val="true"/>
          <w:lang w:bidi="fa-IR"/>
        </w:rPr>
        <w:t>بقی الکلام فی أنّه إذا لم یکتف بالظنّ و حصل الجزم من تقلید، فهل یکفی ذلک أو لا بدّ من النظر و الاستدلال؟</w:t>
      </w:r>
    </w:p>
    <w:p>
      <w:pPr>
        <w:pStyle w:val="BookText"/>
        <w:rPr/>
      </w:pPr>
      <w:r>
        <w:rPr>
          <w:rFonts w:ascii="IRNazanin" w:hAnsi="IRNazanin" w:eastAsia="IRNazanin"/>
          <w:color w:val="111111"/>
          <w:sz w:val="28"/>
          <w:sz w:val="28"/>
          <w:szCs w:val="28"/>
          <w:rtl w:val="true"/>
          <w:lang w:bidi="fa-IR"/>
        </w:rPr>
        <w:t>ظاهر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الثانی،بل ادّعی علیه العلاّمة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الباب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العلماء علی وجوب معرفة اللّه و صفاته الثبوتیّة و ما یصحّ علیه و ما یمتنع عنه و النبوّة و الإمامة و المعاد بالدلیل لا بالتقلید</w:t>
      </w:r>
      <w:r>
        <w:rPr>
          <w:rFonts w:eastAsia="IRNazanin" w:cs="IRNazanin"/>
          <w:color w:val="111111"/>
          <w:sz w:val="28"/>
          <w:szCs w:val="28"/>
          <w:rtl w:val="true"/>
          <w:lang w:bidi="fa-IR"/>
        </w:rPr>
        <w:t xml:space="preserve">» </w:t>
      </w:r>
      <w:r>
        <w:rPr>
          <w:rStyle w:val="FootnoteAnchor"/>
          <w:rtl w:val="true"/>
        </w:rPr>
        <w:footnoteReference w:id="19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صریحه أنّ المعرفة بالتقلید غیر کافیة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أصرح منها </w:t>
      </w:r>
      <w:r>
        <w:rPr>
          <w:rStyle w:val="FootnoteAnchor"/>
          <w:rtl w:val="true"/>
        </w:rPr>
        <w:footnoteReference w:id="1948"/>
      </w:r>
      <w:r>
        <w:rPr>
          <w:rFonts w:ascii="IRNazanin" w:hAnsi="IRNazanin" w:eastAsia="IRNazanin"/>
          <w:color w:val="111111"/>
          <w:sz w:val="28"/>
          <w:sz w:val="28"/>
          <w:szCs w:val="28"/>
          <w:rtl w:val="true"/>
          <w:lang w:bidi="fa-IR"/>
        </w:rPr>
        <w:t xml:space="preserve">عبارة المحقّق فی المعارج؛حیث استدلّ علی بطلان التقلید بأنّه جزم فی غیر محلّه </w:t>
      </w:r>
      <w:r>
        <w:rPr>
          <w:rStyle w:val="FootnoteAnchor"/>
          <w:rtl w:val="true"/>
        </w:rPr>
        <w:footnoteReference w:id="19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مثلهما عبارة الشهید الأوّل </w:t>
      </w:r>
      <w:r>
        <w:rPr>
          <w:rStyle w:val="FootnoteAnchor"/>
          <w:rtl w:val="true"/>
        </w:rPr>
        <w:footnoteReference w:id="1950"/>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1951"/>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مقتضی استدلال العضدیّ </w:t>
      </w:r>
      <w:r>
        <w:rPr>
          <w:rStyle w:val="FootnoteAnchor"/>
          <w:rtl w:val="true"/>
        </w:rPr>
        <w:footnoteReference w:id="1953"/>
      </w:r>
      <w:r>
        <w:rPr>
          <w:rFonts w:ascii="IRNazanin" w:hAnsi="IRNazanin" w:eastAsia="IRNazanin"/>
          <w:color w:val="111111"/>
          <w:sz w:val="28"/>
          <w:sz w:val="28"/>
          <w:szCs w:val="28"/>
          <w:rtl w:val="true"/>
          <w:lang w:bidi="fa-IR"/>
        </w:rPr>
        <w:t xml:space="preserve">علی منع التقلید بالإجماع علی </w:t>
      </w:r>
    </w:p>
    <w:p>
      <w:pPr>
        <w:pStyle w:val="BookText"/>
        <w:rPr/>
      </w:pPr>
      <w:r>
        <w:rPr>
          <w:rFonts w:ascii="IRNazanin" w:hAnsi="IRNazanin" w:eastAsia="IRNazanin"/>
          <w:color w:val="111111"/>
          <w:sz w:val="28"/>
          <w:sz w:val="28"/>
          <w:szCs w:val="28"/>
          <w:rtl w:val="true"/>
          <w:lang w:bidi="fa-IR"/>
        </w:rPr>
        <w:t>وجوب معرفة اللّه و أنّها لا تحصل بالتقلید،هو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الکلام فی التقلید الغیر المفید للمعرفة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یقتضیه أیضا ما ذکره شیخنا فی العدّة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سیجیء کلامه </w:t>
      </w:r>
      <w:r>
        <w:rPr>
          <w:rStyle w:val="FootnoteAnchor"/>
          <w:rtl w:val="true"/>
        </w:rPr>
        <w:footnoteReference w:id="19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 الشهید فی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عدم جواز التقلید فی العقلیّات،و لا فی الاصول الضروریّة من السمعیّات،و لا فی غیرها ممّا لا یتعلّق به عمل و یکون المطلوب فیها العلم،کالتفاضل بین الأنبیاء السابقة </w:t>
      </w:r>
      <w:r>
        <w:rPr>
          <w:rStyle w:val="FootnoteAnchor"/>
          <w:rtl w:val="true"/>
        </w:rPr>
        <w:footnoteReference w:id="19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یقتضیه </w:t>
      </w:r>
      <w:r>
        <w:rPr>
          <w:rStyle w:val="FootnoteAnchor"/>
          <w:rtl w:val="true"/>
        </w:rPr>
        <w:footnoteReference w:id="1956"/>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ما عن شیخنا البهائی قدّس سرّه فی حاشیة الزبدة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النزاع فی جواز التقلید و عدمه یرجع إلی النزاع فی کفایة الظنّ و عدمها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یؤیّده أیضا </w:t>
      </w:r>
      <w:r>
        <w:rPr>
          <w:rStyle w:val="FootnoteAnchor"/>
          <w:rtl w:val="true"/>
        </w:rPr>
        <w:footnoteReference w:id="19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اقتران التقلید فی الاصول فی کلماتهم بالتقلید فی الفروع،حیث یذکرون فی أرکان الفتوی أنّ المستفتی فیه هی الفروع دون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المقابلة التامّة بین التقلیدین؛إذ لا یعتبر فی التقلید فی الفروع حصول الظنّ،فیعمل المقلّد مع کونه شاکّا،و هذا غیر معقول فی اصول الدین التی یطلب فیها الاعتقاد حتّی یجری فیه الخلاف</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لیس المراد من کفایة التقلید هنا کفایته عن الواقع،مخالفا </w:t>
      </w:r>
      <w:bookmarkStart w:id="1536" w:name="pg12977_114615"/>
    </w:p>
    <w:p>
      <w:pPr>
        <w:pStyle w:val="BookText"/>
        <w:rPr/>
      </w:pPr>
      <w:bookmarkEnd w:id="1536"/>
      <w:r>
        <w:rPr>
          <w:rFonts w:ascii="IRNazanin" w:hAnsi="IRNazanin" w:eastAsia="IRNazanin"/>
          <w:color w:val="111111"/>
          <w:sz w:val="28"/>
          <w:sz w:val="28"/>
          <w:szCs w:val="28"/>
          <w:rtl w:val="true"/>
          <w:lang w:bidi="fa-IR"/>
        </w:rPr>
        <w:t>کان فی الواقع أو موافقا کما فی الفروع،بل المراد کفایة التقلید فی الحقّ و سقوط النظر به عنه،إلاّ أن یکتفی فیها بمجرّد التدیّن ظاهرا و إن لم یعتقد،لکنّه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ظاهر کلام الحاجبیّ و العضدیّ اختصاص الخلاف بالمسائل العقلیّة،و هو فی محلّه،بناء علی ما استظهرنا منهم من عدم حصول الجزم من التقلید؛لأنّ الذی لا یفید الجزم من التقلید إنّما هو فی العقلیّات المبتنیة </w:t>
      </w:r>
      <w:r>
        <w:rPr>
          <w:rStyle w:val="FootnoteAnchor"/>
          <w:rtl w:val="true"/>
        </w:rPr>
        <w:footnoteReference w:id="1959"/>
      </w:r>
      <w:r>
        <w:rPr>
          <w:rFonts w:ascii="IRNazanin" w:hAnsi="IRNazanin" w:eastAsia="IRNazanin"/>
          <w:color w:val="111111"/>
          <w:sz w:val="28"/>
          <w:sz w:val="28"/>
          <w:szCs w:val="28"/>
          <w:rtl w:val="true"/>
          <w:lang w:bidi="fa-IR"/>
        </w:rPr>
        <w:t>علی الاستدلالات العقلیّة،و أمّا النقلیّات فالاعتماد فیها علی قول المقلّد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کالاعتماد علی قول المخبر الذی قد یفید الجزم بصدقه بواسطة القرائن،و فی الحقیقة یخرج هذا عن التقلید</w:t>
      </w:r>
      <w:r>
        <w:rPr>
          <w:rFonts w:eastAsia="IRNazanin" w:cs="IRNazanin"/>
          <w:color w:val="111111"/>
          <w:sz w:val="28"/>
          <w:szCs w:val="28"/>
          <w:rtl w:val="true"/>
          <w:lang w:bidi="fa-IR"/>
        </w:rPr>
        <w:t>.</w:t>
      </w:r>
    </w:p>
    <w:p>
      <w:pPr>
        <w:pStyle w:val="Heading6"/>
        <w:numPr>
          <w:ilvl w:val="5"/>
          <w:numId w:val="1"/>
        </w:numPr>
        <w:rPr/>
      </w:pPr>
      <w:bookmarkStart w:id="1537" w:name="__RefHeading___Toc5447609_3224264995"/>
      <w:bookmarkStart w:id="1538" w:name="_Toc586"/>
      <w:bookmarkEnd w:id="1537"/>
      <w:r>
        <w:rPr>
          <w:rtl w:val="true"/>
        </w:rPr>
        <w:t>الأقوی</w:t>
      </w:r>
      <w:r>
        <w:rPr>
          <w:rtl w:val="true"/>
        </w:rPr>
        <w:t>:</w:t>
      </w:r>
      <w:r>
        <w:rPr>
          <w:rtl w:val="true"/>
        </w:rPr>
        <w:t>کفایة الجزم الحاصل من التقلید فی الاعتقادیّات</w:t>
      </w:r>
      <w:bookmarkEnd w:id="1538"/>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فالأقوی کفایة الجزم الحاصل من التقلید؛لعدم الدلیل علی اعتبار الزائد علی المعرفة و التصدیق و الاعتقاد،و تقییدها بطریق خاصّ لا دلیل علیه</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النظر و الاستدلال بالبراهین العقلیّة للشخص المتفطّن لوجوب النظر فی الاصول لا یفید بنفسه الجزم؛لکثرة الشّبه الحادثة فی النفس و المدوّنة فی الکتب،حتّی أنّهم ذکروا شبها یصعب الجواب عنها للمحقّقین الصارفین لأعمارهم فی فنّ الکلام،فکیف حال المشتغل به مقدارا من الزمان لأجل تصحیح عقائده،لیشتغل بعد ذلک بامور معاشه و معاده،خصوصا و الشیطان یغتنم الفرصة لإلقاء الشبهات و التشکیک فی البدیهیّات،و قد شاهدنا جماعة </w:t>
      </w:r>
      <w:r>
        <w:rPr>
          <w:rStyle w:val="FootnoteAnchor"/>
          <w:rtl w:val="true"/>
        </w:rPr>
        <w:footnoteReference w:id="1960"/>
      </w:r>
      <w:r>
        <w:rPr>
          <w:rFonts w:ascii="IRNazanin" w:hAnsi="IRNazanin" w:eastAsia="IRNazanin"/>
          <w:color w:val="111111"/>
          <w:sz w:val="28"/>
          <w:sz w:val="28"/>
          <w:szCs w:val="28"/>
          <w:rtl w:val="true"/>
          <w:lang w:bidi="fa-IR"/>
        </w:rPr>
        <w:t xml:space="preserve">صرفوا أعمارهم </w:t>
      </w:r>
      <w:bookmarkStart w:id="1539" w:name="pg12977_114616"/>
    </w:p>
    <w:p>
      <w:pPr>
        <w:pStyle w:val="BookText"/>
        <w:rPr/>
      </w:pPr>
      <w:bookmarkEnd w:id="1539"/>
      <w:r>
        <w:rPr>
          <w:rFonts w:ascii="IRNazanin" w:hAnsi="IRNazanin" w:eastAsia="IRNazanin"/>
          <w:color w:val="111111"/>
          <w:sz w:val="28"/>
          <w:sz w:val="28"/>
          <w:szCs w:val="28"/>
          <w:rtl w:val="true"/>
          <w:lang w:bidi="fa-IR"/>
        </w:rPr>
        <w:t xml:space="preserve">و لم یحصّلوا منها </w:t>
      </w:r>
      <w:r>
        <w:rPr>
          <w:rStyle w:val="FootnoteAnchor"/>
          <w:rtl w:val="true"/>
        </w:rPr>
        <w:footnoteReference w:id="1961"/>
      </w:r>
      <w:r>
        <w:rPr>
          <w:rFonts w:ascii="IRNazanin" w:hAnsi="IRNazanin" w:eastAsia="IRNazanin"/>
          <w:color w:val="111111"/>
          <w:sz w:val="28"/>
          <w:sz w:val="28"/>
          <w:szCs w:val="28"/>
          <w:rtl w:val="true"/>
          <w:lang w:bidi="fa-IR"/>
        </w:rPr>
        <w:t xml:space="preserve">شیئا </w:t>
      </w:r>
      <w:r>
        <w:rPr>
          <w:rStyle w:val="FootnoteAnchor"/>
          <w:rtl w:val="true"/>
        </w:rPr>
        <w:footnoteReference w:id="1962"/>
      </w:r>
      <w:r>
        <w:rPr>
          <w:rFonts w:ascii="Amiri" w:hAnsi="Amiri" w:eastAsia="Amiri" w:cs="Amiri"/>
          <w:color w:val="111111"/>
          <w:sz w:val="28"/>
          <w:sz w:val="28"/>
          <w:szCs w:val="28"/>
          <w:rtl w:val="true"/>
          <w:lang w:bidi="ar-SA"/>
        </w:rPr>
        <w:t>إلاّ القلیل</w:t>
      </w:r>
      <w:r>
        <w:rPr>
          <w:rFonts w:eastAsia="Amiri" w:cs="Amiri" w:ascii="Amiri" w:hAnsi="Amiri"/>
          <w:color w:val="111111"/>
          <w:sz w:val="28"/>
          <w:szCs w:val="28"/>
          <w:rtl w:val="true"/>
          <w:lang w:bidi="ar-SA"/>
        </w:rPr>
        <w:t>.</w:t>
      </w:r>
    </w:p>
    <w:p>
      <w:pPr>
        <w:pStyle w:val="Heading6"/>
        <w:numPr>
          <w:ilvl w:val="5"/>
          <w:numId w:val="1"/>
        </w:numPr>
        <w:rPr/>
      </w:pPr>
      <w:bookmarkStart w:id="1540" w:name="__RefHeading___Toc5447611_3224264995"/>
      <w:bookmarkStart w:id="1541" w:name="_Toc587"/>
      <w:bookmarkEnd w:id="1540"/>
      <w:r>
        <w:rPr>
          <w:rtl w:val="true"/>
        </w:rPr>
        <w:t>المقام الثانی</w:t>
      </w:r>
      <w:r>
        <w:rPr>
          <w:rtl w:val="true"/>
        </w:rPr>
        <w:t>:</w:t>
      </w:r>
      <w:r>
        <w:rPr>
          <w:rtl w:val="true"/>
        </w:rPr>
        <w:t>فی غیر المتمکّن من العلم فی الاعتقادات</w:t>
      </w:r>
      <w:bookmarkEnd w:id="1541"/>
    </w:p>
    <w:p>
      <w:pPr>
        <w:pStyle w:val="BookText"/>
        <w:rPr/>
      </w:pPr>
      <w:r>
        <w:rPr>
          <w:rFonts w:ascii="IRNazanin" w:hAnsi="IRNazanin" w:eastAsia="IRNazanin"/>
          <w:color w:val="111111"/>
          <w:sz w:val="28"/>
          <w:sz w:val="28"/>
          <w:szCs w:val="28"/>
          <w:rtl w:val="true"/>
          <w:lang w:bidi="fa-IR"/>
        </w:rPr>
        <w:t>و الکلام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فی تحقّق موضوعه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فی أنّه یجب علیه مع الیأس من العلم تحصیل الظنّ أم لا؟</w:t>
      </w:r>
    </w:p>
    <w:p>
      <w:pPr>
        <w:pStyle w:val="BookText"/>
        <w:rPr/>
      </w:pPr>
      <w:r>
        <w:rPr>
          <w:rFonts w:ascii="IRNazanin" w:hAnsi="IRNazanin" w:eastAsia="IRNazanin"/>
          <w:color w:val="111111"/>
          <w:sz w:val="28"/>
          <w:sz w:val="28"/>
          <w:szCs w:val="28"/>
          <w:rtl w:val="true"/>
          <w:lang w:bidi="fa-IR"/>
        </w:rPr>
        <w:t>و ثالثة فی حکمه الوضعیّ قبل الظنّ و بعده</w:t>
      </w:r>
      <w:r>
        <w:rPr>
          <w:rFonts w:eastAsia="IRNazanin" w:cs="IRNazanin"/>
          <w:color w:val="111111"/>
          <w:sz w:val="28"/>
          <w:szCs w:val="28"/>
          <w:rtl w:val="true"/>
          <w:lang w:bidi="fa-IR"/>
        </w:rPr>
        <w:t>.</w:t>
      </w:r>
    </w:p>
    <w:p>
      <w:pPr>
        <w:pStyle w:val="Heading6"/>
        <w:numPr>
          <w:ilvl w:val="5"/>
          <w:numId w:val="1"/>
        </w:numPr>
        <w:rPr/>
      </w:pPr>
      <w:bookmarkStart w:id="1542" w:name="__RefHeading___Toc5447613_3224264995"/>
      <w:bookmarkStart w:id="1543" w:name="_Toc588"/>
      <w:bookmarkEnd w:id="1542"/>
      <w:r>
        <w:rPr>
          <w:rtl w:val="true"/>
        </w:rPr>
        <w:t>هل یوجد العاجز فی الاعتقادیّات؟</w:t>
      </w:r>
      <w:bookmarkEnd w:id="1543"/>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الأوّل،فقد یقال فیه بعدم وجود العاجز؛نظرا إلی العمومات الدالّة علی حصر الناس فی المؤمن و الکافر </w:t>
      </w:r>
      <w:r>
        <w:rPr>
          <w:rStyle w:val="FootnoteAnchor"/>
          <w:rtl w:val="true"/>
        </w:rPr>
        <w:footnoteReference w:id="1963"/>
      </w:r>
      <w:r>
        <w:rPr>
          <w:rFonts w:ascii="IRNazanin" w:hAnsi="IRNazanin" w:eastAsia="IRNazanin"/>
          <w:color w:val="111111"/>
          <w:sz w:val="28"/>
          <w:sz w:val="28"/>
          <w:szCs w:val="28"/>
          <w:rtl w:val="true"/>
          <w:lang w:bidi="fa-IR"/>
        </w:rPr>
        <w:t xml:space="preserve">،مع ما دلّ علی خلود الکافرین بأجمعهم فی النار </w:t>
      </w:r>
      <w:r>
        <w:rPr>
          <w:rStyle w:val="FootnoteAnchor"/>
          <w:rtl w:val="true"/>
        </w:rPr>
        <w:footnoteReference w:id="1964"/>
      </w:r>
      <w:r>
        <w:rPr>
          <w:rFonts w:ascii="IRNazanin" w:hAnsi="IRNazanin" w:eastAsia="IRNazanin"/>
          <w:color w:val="111111"/>
          <w:sz w:val="28"/>
          <w:sz w:val="28"/>
          <w:szCs w:val="28"/>
          <w:rtl w:val="true"/>
          <w:lang w:bidi="fa-IR"/>
        </w:rPr>
        <w:t xml:space="preserve">،بضمیمة حکم العقل بقبح عقاب الجاهل القاصر،فیکشف </w:t>
      </w:r>
      <w:r>
        <w:rPr>
          <w:rStyle w:val="FootnoteAnchor"/>
          <w:rtl w:val="true"/>
        </w:rPr>
        <w:footnoteReference w:id="1965"/>
      </w:r>
      <w:r>
        <w:rPr>
          <w:rFonts w:ascii="IRNazanin" w:hAnsi="IRNazanin" w:eastAsia="IRNazanin"/>
          <w:color w:val="111111"/>
          <w:sz w:val="28"/>
          <w:sz w:val="28"/>
          <w:szCs w:val="28"/>
          <w:rtl w:val="true"/>
          <w:lang w:bidi="fa-IR"/>
        </w:rPr>
        <w:t xml:space="preserve">ذلک عن تقصیر کلّ غیر مؤمن،و أنّ من نراه قاصرا عاجزا عن العلم قد یمکن علیه تحصیل </w:t>
      </w:r>
      <w:r>
        <w:rPr>
          <w:rStyle w:val="FootnoteAnchor"/>
          <w:rtl w:val="true"/>
        </w:rPr>
        <w:footnoteReference w:id="1966"/>
      </w:r>
      <w:r>
        <w:rPr>
          <w:rFonts w:ascii="IRNazanin" w:hAnsi="IRNazanin" w:eastAsia="IRNazanin"/>
          <w:color w:val="111111"/>
          <w:sz w:val="28"/>
          <w:sz w:val="28"/>
          <w:szCs w:val="28"/>
          <w:rtl w:val="true"/>
          <w:lang w:bidi="fa-IR"/>
        </w:rPr>
        <w:t xml:space="preserve">العلم بالحقّ و لو فی زمان ما و إن کان </w:t>
      </w:r>
      <w:r>
        <w:rPr>
          <w:rStyle w:val="FootnoteAnchor"/>
          <w:rtl w:val="true"/>
        </w:rPr>
        <w:footnoteReference w:id="1967"/>
      </w:r>
      <w:r>
        <w:rPr>
          <w:rFonts w:ascii="IRNazanin" w:hAnsi="IRNazanin" w:eastAsia="IRNazanin"/>
          <w:color w:val="111111"/>
          <w:sz w:val="28"/>
          <w:sz w:val="28"/>
          <w:szCs w:val="28"/>
          <w:rtl w:val="true"/>
          <w:lang w:bidi="fa-IR"/>
        </w:rPr>
        <w:t xml:space="preserve">عاجزا قبل ذلک أو </w:t>
      </w:r>
      <w:r>
        <w:rPr>
          <w:rStyle w:val="FootnoteAnchor"/>
          <w:rtl w:val="true"/>
        </w:rPr>
        <w:footnoteReference w:id="1968"/>
      </w:r>
      <w:r>
        <w:rPr>
          <w:rFonts w:ascii="IRNazanin" w:hAnsi="IRNazanin" w:eastAsia="IRNazanin"/>
          <w:color w:val="111111"/>
          <w:sz w:val="28"/>
          <w:sz w:val="28"/>
          <w:szCs w:val="28"/>
          <w:rtl w:val="true"/>
          <w:lang w:bidi="fa-IR"/>
        </w:rPr>
        <w:t>بعده،و العقل لا یقبّح عقاب مثل هذا الشخص؛و لهذا ادّعی غیر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مسألة التخطئة </w:t>
      </w:r>
      <w:bookmarkStart w:id="1544" w:name="pg12977_114617"/>
    </w:p>
    <w:p>
      <w:pPr>
        <w:pStyle w:val="BookText"/>
        <w:rPr/>
      </w:pPr>
      <w:bookmarkEnd w:id="1544"/>
      <w:r>
        <w:rPr>
          <w:rFonts w:ascii="IRNazanin" w:hAnsi="IRNazanin" w:eastAsia="IRNazanin"/>
          <w:color w:val="111111"/>
          <w:sz w:val="28"/>
          <w:sz w:val="28"/>
          <w:szCs w:val="28"/>
          <w:rtl w:val="true"/>
          <w:lang w:bidi="fa-IR"/>
        </w:rPr>
        <w:t>و التصویب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علی أنّ المخطئ فی العقائد غیر معذور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45" w:name="__RefHeading___Toc5447615_3224264995"/>
      <w:bookmarkStart w:id="1546" w:name="_Toc589"/>
      <w:bookmarkEnd w:id="1545"/>
      <w:r>
        <w:rPr>
          <w:rtl w:val="true"/>
        </w:rPr>
        <w:t>شهادة الوجدان بقصور بعض المکلّفین</w:t>
      </w:r>
      <w:bookmarkEnd w:id="1546"/>
    </w:p>
    <w:p>
      <w:pPr>
        <w:pStyle w:val="BookText"/>
        <w:rPr/>
      </w:pPr>
      <w:r>
        <w:rPr>
          <w:rFonts w:ascii="IRNazanin" w:hAnsi="IRNazanin" w:eastAsia="IRNazanin"/>
          <w:color w:val="111111"/>
          <w:sz w:val="28"/>
          <w:sz w:val="28"/>
          <w:szCs w:val="28"/>
          <w:rtl w:val="true"/>
          <w:lang w:bidi="fa-IR"/>
        </w:rPr>
        <w:t>لکنّ الذی یقتضیه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شهادة الوجدان بقصور بعض المکلّفین؛و قد تقدّم عن الکلینی ما یشیر إلی ذلک </w:t>
      </w:r>
      <w:r>
        <w:rPr>
          <w:rStyle w:val="FootnoteAnchor"/>
          <w:rtl w:val="true"/>
        </w:rPr>
        <w:footnoteReference w:id="1970"/>
      </w:r>
      <w:r>
        <w:rPr>
          <w:rFonts w:ascii="Amiri" w:hAnsi="Amiri" w:eastAsia="Amiri" w:cs="Amiri"/>
          <w:color w:val="111111"/>
          <w:sz w:val="28"/>
          <w:sz w:val="28"/>
          <w:szCs w:val="28"/>
          <w:rtl w:val="true"/>
          <w:lang w:bidi="ar-SA"/>
        </w:rPr>
        <w:t xml:space="preserve">،و سیجیء عن الشیخ قدّس سرّه فی العدّة </w:t>
      </w:r>
      <w:r>
        <w:rPr>
          <w:rStyle w:val="FootnoteAnchor"/>
          <w:rtl w:val="true"/>
        </w:rPr>
        <w:footnoteReference w:id="19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کون العاجز </w:t>
      </w:r>
      <w:r>
        <w:rPr>
          <w:rStyle w:val="FootnoteAnchor"/>
          <w:rtl w:val="true"/>
        </w:rPr>
        <w:footnoteReference w:id="1972"/>
      </w:r>
      <w:r>
        <w:rPr>
          <w:rFonts w:ascii="IRNazanin" w:hAnsi="IRNazanin" w:eastAsia="IRNazanin"/>
          <w:color w:val="111111"/>
          <w:sz w:val="28"/>
          <w:sz w:val="28"/>
          <w:szCs w:val="28"/>
          <w:rtl w:val="true"/>
          <w:lang w:bidi="fa-IR"/>
        </w:rPr>
        <w:t>عن التحصیل بمنزلة البهائم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Style w:val="FootnoteAnchor"/>
          <w:rtl w:val="true"/>
        </w:rPr>
        <w:footnoteReference w:id="1973"/>
      </w:r>
      <w:r>
        <w:rPr>
          <w:rFonts w:ascii="IRNazanin" w:hAnsi="IRNazanin" w:eastAsia="IRNazanin"/>
          <w:color w:val="111111"/>
          <w:sz w:val="28"/>
          <w:sz w:val="28"/>
          <w:szCs w:val="28"/>
          <w:rtl w:val="true"/>
          <w:lang w:bidi="fa-IR"/>
        </w:rPr>
        <w:t xml:space="preserve">،مع ورود الأخبار المستفیضة بثبوت الواسطة بین المؤمن و الکافر </w:t>
      </w:r>
      <w:r>
        <w:rPr>
          <w:rStyle w:val="FootnoteAnchor"/>
          <w:rtl w:val="true"/>
        </w:rPr>
        <w:footnoteReference w:id="1974"/>
      </w:r>
      <w:r>
        <w:rPr>
          <w:rFonts w:ascii="IRNazanin" w:hAnsi="IRNazanin" w:eastAsia="IRNazanin"/>
          <w:color w:val="111111"/>
          <w:sz w:val="28"/>
          <w:sz w:val="28"/>
          <w:szCs w:val="28"/>
          <w:rtl w:val="true"/>
          <w:lang w:bidi="fa-IR"/>
        </w:rPr>
        <w:t xml:space="preserve">،و قضیّة مناظرة زرارة و غیره مع الإمام علیه السّلام فی ذلک مذکورة فی الکافی </w:t>
      </w:r>
      <w:r>
        <w:rPr>
          <w:rStyle w:val="FootnoteAnchor"/>
          <w:rtl w:val="true"/>
        </w:rPr>
        <w:footnoteReference w:id="19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الإجماع علی أنّ المخطئ آثم هو المجتهد الباذل جهده بزعمه،فلا ینافی کون الغافل و الملتفت العاجز عن بذل الجهد معذورا غیر آثم</w:t>
      </w:r>
      <w:r>
        <w:rPr>
          <w:rFonts w:eastAsia="IRNazanin" w:cs="IRNazanin"/>
          <w:color w:val="111111"/>
          <w:sz w:val="28"/>
          <w:szCs w:val="28"/>
          <w:rtl w:val="true"/>
          <w:lang w:bidi="fa-IR"/>
        </w:rPr>
        <w:t>.</w:t>
      </w:r>
    </w:p>
    <w:p>
      <w:pPr>
        <w:pStyle w:val="Heading6"/>
        <w:numPr>
          <w:ilvl w:val="5"/>
          <w:numId w:val="1"/>
        </w:numPr>
        <w:rPr/>
      </w:pPr>
      <w:bookmarkStart w:id="1547" w:name="__RefHeading___Toc5447617_3224264995"/>
      <w:bookmarkStart w:id="1548" w:name="_Toc590"/>
      <w:bookmarkEnd w:id="1547"/>
      <w:r>
        <w:rPr>
          <w:rtl w:val="true"/>
        </w:rPr>
        <w:t>هل یجب تحصیل الظنّ علی العاجز؟</w:t>
      </w:r>
      <w:bookmarkEnd w:id="1548"/>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الثانی،فالظاهر فیه عدم وجوب تحصیل الظنّ </w:t>
      </w:r>
      <w:r>
        <w:rPr>
          <w:rStyle w:val="FootnoteAnchor"/>
          <w:rtl w:val="true"/>
        </w:rPr>
        <w:footnoteReference w:id="1976"/>
      </w:r>
      <w:r>
        <w:rPr>
          <w:rFonts w:ascii="IRNazanin" w:hAnsi="IRNazanin" w:eastAsia="IRNazanin"/>
          <w:color w:val="111111"/>
          <w:sz w:val="28"/>
          <w:sz w:val="28"/>
          <w:szCs w:val="28"/>
          <w:rtl w:val="true"/>
          <w:lang w:bidi="fa-IR"/>
        </w:rPr>
        <w:t xml:space="preserve">لأنّ المفروض عجزه عن الإیمان و التصدیق المأمور به،و لا دلیل آخر علی عدم جواز التوقّف،و لیس المقام من قبیل الفروع فی وجوب العمل بالظنّ مع تعذّر العلم؛لأنّ المقصود فیها العمل،و لا معنی للتوقّف فیه، </w:t>
      </w:r>
      <w:bookmarkStart w:id="1549" w:name="pg12977_114618"/>
    </w:p>
    <w:p>
      <w:pPr>
        <w:pStyle w:val="BookText"/>
        <w:rPr/>
      </w:pPr>
      <w:bookmarkEnd w:id="1549"/>
      <w:r>
        <w:rPr>
          <w:rFonts w:ascii="IRNazanin" w:hAnsi="IRNazanin" w:eastAsia="IRNazanin"/>
          <w:color w:val="111111"/>
          <w:sz w:val="28"/>
          <w:sz w:val="28"/>
          <w:szCs w:val="28"/>
          <w:rtl w:val="true"/>
          <w:lang w:bidi="fa-IR"/>
        </w:rPr>
        <w:t>فلا بدّ عند انسداد باب العلم من العمل علی طبق أصل أو 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المقصود فیما نحن فیه الاعتقاد،فإذا عجز عنه فلا دلیل علی وجوب تحصیل الظنّ الذی لا یغنی عن الحقّ شیئا </w:t>
      </w:r>
      <w:r>
        <w:rPr>
          <w:rStyle w:val="FootnoteAnchor"/>
          <w:rtl w:val="true"/>
        </w:rPr>
        <w:footnoteReference w:id="1977"/>
      </w:r>
      <w:r>
        <w:rPr>
          <w:rFonts w:ascii="IRNazanin" w:hAnsi="IRNazanin" w:eastAsia="IRNazanin"/>
          <w:color w:val="111111"/>
          <w:sz w:val="28"/>
          <w:sz w:val="28"/>
          <w:szCs w:val="28"/>
          <w:rtl w:val="true"/>
          <w:lang w:bidi="fa-IR"/>
        </w:rPr>
        <w:t>،فیندرج فی عموم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جاءکم ما لا تعلمون فها</w:t>
      </w:r>
      <w:r>
        <w:rPr>
          <w:rFonts w:eastAsia="IRNazanin" w:cs="IRNazanin"/>
          <w:color w:val="111111"/>
          <w:sz w:val="28"/>
          <w:szCs w:val="28"/>
          <w:rtl w:val="true"/>
          <w:lang w:bidi="fa-IR"/>
        </w:rPr>
        <w:t xml:space="preserve">»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نعم،لو رجع الجاهل بحکم هذه المسألة إلی العالم،و رأی العالم منه التمکّن من تحصیل الظنّ بالحقّ و لم یخف علیه إفضاء نظره الظنّی إلی الباطل،فلا یبعد وجوب إلزامه بالتحصیل؛لأنّ انکشاف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من البقاء علی الشکّ فیه</w:t>
      </w:r>
      <w:r>
        <w:rPr>
          <w:rFonts w:eastAsia="IRNazanin" w:cs="IRNazanin"/>
          <w:color w:val="111111"/>
          <w:sz w:val="28"/>
          <w:szCs w:val="28"/>
          <w:rtl w:val="true"/>
          <w:lang w:bidi="fa-IR"/>
        </w:rPr>
        <w:t>.</w:t>
      </w:r>
    </w:p>
    <w:p>
      <w:pPr>
        <w:pStyle w:val="Heading6"/>
        <w:numPr>
          <w:ilvl w:val="5"/>
          <w:numId w:val="1"/>
        </w:numPr>
        <w:rPr/>
      </w:pPr>
      <w:bookmarkStart w:id="1550" w:name="__RefHeading___Toc5447619_3224264995"/>
      <w:bookmarkStart w:id="1551" w:name="_Toc591"/>
      <w:bookmarkEnd w:id="1550"/>
      <w:r>
        <w:rPr>
          <w:rtl w:val="true"/>
        </w:rPr>
        <w:t>حکم العاجز من حیث الإیمان و الکفر</w:t>
      </w:r>
      <w:bookmarkEnd w:id="1551"/>
    </w:p>
    <w:p>
      <w:pPr>
        <w:pStyle w:val="BookText"/>
        <w:rPr/>
      </w:pPr>
      <w:r>
        <w:rPr>
          <w:rFonts w:ascii="IRNazanin" w:hAnsi="IRNazanin" w:eastAsia="IRNazanin"/>
          <w:color w:val="111111"/>
          <w:sz w:val="28"/>
          <w:sz w:val="28"/>
          <w:szCs w:val="28"/>
          <w:rtl w:val="true"/>
          <w:lang w:bidi="fa-IR"/>
        </w:rPr>
        <w:t>و أمّا الثالث،فإن لم یقرّ فی الظاهر بما هو مناط الإسلام فالظاهر کفره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أقرّ به مع العلم بأنّه شاکّ باطنا فالظاهر عدم إسلامه،بناء علی أنّ الإقرار الظاهریّ مشروط باحتمال اعتقاده لما یقرّ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جریان حکم الکفر علیه حینئذ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إطلاق بعض الأخبار بکفر الشاکّ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تقییده فی غیر واحد من الأخبار بالجحود،مثل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محمّد بن مسلم،قال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أبو بصیر أبا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من شکّ فی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کافر،یا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 فی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التفت إلی زرارة،فقال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یکفر إذا جحد</w:t>
      </w:r>
      <w:r>
        <w:rPr>
          <w:rFonts w:eastAsia="IRNazanin" w:cs="IRNazanin"/>
          <w:color w:val="111111"/>
          <w:sz w:val="28"/>
          <w:szCs w:val="28"/>
          <w:rtl w:val="true"/>
          <w:lang w:bidi="fa-IR"/>
        </w:rPr>
        <w:t xml:space="preserve">» </w:t>
      </w:r>
      <w:r>
        <w:rPr>
          <w:rStyle w:val="FootnoteAnchor"/>
          <w:rtl w:val="true"/>
        </w:rPr>
        <w:footnoteReference w:id="1980"/>
      </w:r>
      <w:r>
        <w:rPr>
          <w:rFonts w:ascii="IRNazanin" w:hAnsi="IRNazanin" w:eastAsia="IRNazanin"/>
          <w:color w:val="111111"/>
          <w:sz w:val="28"/>
          <w:sz w:val="28"/>
          <w:szCs w:val="28"/>
          <w:rtl w:val="true"/>
          <w:lang w:bidi="fa-IR"/>
        </w:rPr>
        <w:t xml:space="preserve">،و فی </w:t>
      </w:r>
      <w:bookmarkStart w:id="1552" w:name="pg12977_114619"/>
    </w:p>
    <w:p>
      <w:pPr>
        <w:pStyle w:val="BookText"/>
        <w:rPr/>
      </w:pPr>
      <w:bookmarkEnd w:id="1552"/>
      <w:r>
        <w:rPr>
          <w:rFonts w:ascii="IRNazanin" w:hAnsi="IRNazanin" w:eastAsia="IRNazanin"/>
          <w:color w:val="111111"/>
          <w:sz w:val="28"/>
          <w:sz w:val="28"/>
          <w:szCs w:val="28"/>
          <w:rtl w:val="true"/>
          <w:lang w:bidi="fa-IR"/>
        </w:rPr>
        <w:t>روایة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الناس إذا جهلوا وقفوا و لم یجحدوا لم یکفروا</w:t>
      </w:r>
      <w:r>
        <w:rPr>
          <w:rFonts w:eastAsia="IRNazanin" w:cs="IRNazanin"/>
          <w:color w:val="111111"/>
          <w:sz w:val="28"/>
          <w:szCs w:val="28"/>
          <w:rtl w:val="true"/>
          <w:lang w:bidi="fa-IR"/>
        </w:rPr>
        <w:t xml:space="preserve">»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جحود الشاکّ،یحتمل أن یراد به إظهار عدم الثبوت و إنکار التدیّن به؛لأجل عدم الثبوت،و یحتمل أن یراد به الإنکار الصوریّ علی سبیل الجزم،و علی التقدیرین فظاهرها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المقرّ ظاهرا الشاکّ باطنا الغیر المظهر لشکّه،غیر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تفسیر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آخَرُونَ مُرْجَوْنَ لِأَمْرِ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جعفر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 کانوا مشرکین فقتلوا مثل حمزة و جعفر و أشباههما من المؤمنین،ثمّ إنّهم دخلوا فی الإسلام فوحّدوا اللّه و ترکوا الشرک،و لم یعرفوا الإیمان بقلوبهم فیکونوا مؤمنین فتجب </w:t>
      </w:r>
      <w:r>
        <w:rPr>
          <w:rStyle w:val="FootnoteAnchor"/>
          <w:rtl w:val="true"/>
        </w:rPr>
        <w:footnoteReference w:id="1982"/>
      </w:r>
      <w:r>
        <w:rPr>
          <w:rFonts w:ascii="IRNazanin" w:hAnsi="IRNazanin" w:eastAsia="IRNazanin"/>
          <w:color w:val="111111"/>
          <w:sz w:val="28"/>
          <w:sz w:val="28"/>
          <w:szCs w:val="28"/>
          <w:rtl w:val="true"/>
          <w:lang w:bidi="fa-IR"/>
        </w:rPr>
        <w:t xml:space="preserve">لهم الجنّة،و لم یکونوا علی جحودهم فیکفروا فتجب </w:t>
      </w:r>
      <w:r>
        <w:rPr>
          <w:rStyle w:val="FootnoteAnchor"/>
          <w:rtl w:val="true"/>
        </w:rPr>
        <w:footnoteReference w:id="1983"/>
      </w:r>
      <w:r>
        <w:rPr>
          <w:rFonts w:ascii="IRNazanin" w:hAnsi="IRNazanin" w:eastAsia="IRNazanin"/>
          <w:color w:val="111111"/>
          <w:sz w:val="28"/>
          <w:sz w:val="28"/>
          <w:szCs w:val="28"/>
          <w:rtl w:val="true"/>
          <w:lang w:bidi="fa-IR"/>
        </w:rPr>
        <w:t>لهم النار،فهم علی تلک الحالة إمّا یعذّبهم و إمّا یتوب علیهم</w:t>
      </w:r>
      <w:r>
        <w:rPr>
          <w:rFonts w:eastAsia="IRNazanin" w:cs="IRNazanin"/>
          <w:color w:val="111111"/>
          <w:sz w:val="28"/>
          <w:szCs w:val="28"/>
          <w:rtl w:val="true"/>
          <w:lang w:bidi="fa-IR"/>
        </w:rPr>
        <w:t xml:space="preserve">» </w:t>
      </w:r>
      <w:r>
        <w:rPr>
          <w:rStyle w:val="FootnoteAnchor"/>
          <w:rtl w:val="true"/>
        </w:rPr>
        <w:footnoteReference w:id="1984"/>
      </w:r>
      <w:r>
        <w:rPr>
          <w:rFonts w:ascii="IRNazanin" w:hAnsi="IRNazanin" w:eastAsia="IRNazanin"/>
          <w:color w:val="111111"/>
          <w:sz w:val="28"/>
          <w:sz w:val="28"/>
          <w:szCs w:val="28"/>
          <w:rtl w:val="true"/>
          <w:lang w:bidi="fa-IR"/>
        </w:rPr>
        <w:t xml:space="preserve">،و قریب منها غیرها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53" w:name="__RefHeading___Toc5447621_3224264995"/>
      <w:bookmarkStart w:id="1554" w:name="_Toc592"/>
      <w:bookmarkEnd w:id="1553"/>
      <w:r>
        <w:rPr>
          <w:rtl w:val="true"/>
        </w:rPr>
        <w:t>کلام السیّد الصدر فی أقسام المقلّد فی اصول الدین و بعض المناقشات فیه</w:t>
      </w:r>
      <w:bookmarkEnd w:id="1554"/>
    </w:p>
    <w:p>
      <w:pPr>
        <w:pStyle w:val="BookText"/>
        <w:rPr/>
      </w:pPr>
      <w:r>
        <w:rPr>
          <w:rFonts w:ascii="IRNazanin" w:hAnsi="IRNazanin" w:eastAsia="IRNazanin"/>
          <w:color w:val="111111"/>
          <w:sz w:val="28"/>
          <w:sz w:val="28"/>
          <w:szCs w:val="28"/>
          <w:rtl w:val="true"/>
          <w:lang w:bidi="fa-IR"/>
        </w:rPr>
        <w:t>و لنختم الکلام بذکر کلام السیّد الصدر الشارح للوافیة،فی أقسام المقلّد فی اصول الدین بناء علی القول بجواز التقلید،و أقسامه بناء علی عدم جوازه،قال</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أقسام المقلّد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بجواز التقلید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مقلّدا فی مسألة حقّة أو فی باطلة،و علی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أن </w:t>
      </w:r>
    </w:p>
    <w:p>
      <w:pPr>
        <w:pStyle w:val="BookText"/>
        <w:rPr/>
      </w:pPr>
      <w:r>
        <w:rPr>
          <w:rFonts w:ascii="IRNazanin" w:hAnsi="IRNazanin" w:eastAsia="IRNazanin"/>
          <w:color w:val="111111"/>
          <w:sz w:val="28"/>
          <w:sz w:val="28"/>
          <w:szCs w:val="28"/>
          <w:rtl w:val="true"/>
          <w:lang w:bidi="fa-IR"/>
        </w:rPr>
        <w:t>یکون جازما بها أو ظانّا،و علی تقدیری التقلید فی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إصراره علی التقلید مبتنیا علی عناد و تعصّب،بأن حصل له طریق علم إلی الحقّ فما سلکه،و إمّا لا،فهذه أقسام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قلّد فی مسألة حقّة جازما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قلّد فی وجود الصانع و صفاته و عدله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مؤمن؛و استدلّ علیه بما تقدّم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التصدیق معتبر من أیّ طریق 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قلّد فی مسألة حقّة ظانّا بها من دون جزم،فالظاهر إجراء حکم المسلم علیه فی الظاهر إذا أقرّ </w:t>
      </w:r>
      <w:r>
        <w:rPr>
          <w:rStyle w:val="FootnoteAnchor"/>
          <w:rtl w:val="true"/>
        </w:rPr>
        <w:footnoteReference w:id="1986"/>
      </w:r>
      <w:r>
        <w:rPr>
          <w:rFonts w:ascii="IRNazanin" w:hAnsi="IRNazanin" w:eastAsia="IRNazanin"/>
          <w:color w:val="111111"/>
          <w:sz w:val="28"/>
          <w:sz w:val="28"/>
          <w:szCs w:val="28"/>
          <w:rtl w:val="true"/>
          <w:lang w:bidi="fa-IR"/>
        </w:rPr>
        <w:t>إذ لیس حاله بأدون من حال المنافق،سیّما إذا کان طالبا للجزم مشغولا بتحصیله فمات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مبنیّ علی أنّ الإسلام مجرّد الإقرار الصوریّ و إن لم یحتمل مطابقته للاعتقاد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عرفت من الإشکال و إن دلّ علیه غیر واحد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قلّد فی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إنکار الصانع أو شیء ممّا یعتبر فی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جزم به من غیر ظهور حقّ و لا عناد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قلّد فی باطل و ظنّ به کذلک</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فی هذین إلحاقهما بمن یقام علیه الحجّة یوم القیامة،و أمّا فی الدنیا فیحکم علیهما بالکفر إن اعتقدا ما یوجبه،و بالإسلام إن لم یکونا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 کمن أنکر النبیّ صلّی اللّه علیه و آله و سلم مثلا،و الثانی کمن أنکر إماما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قلّد فی باطل جازما مع العناد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قلّد فی باطل ظانّا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یحکم بکفرهما مع ظهور الحقّ و الإصرار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أقسام المقلّد علی القول بعدم جواز التقلید،قال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إمّا أن یکون مقلّدا فی حقّ أو فی باطل،و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الجزم أو الظنّ،و علی تقدیری التقلید فی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عناد أو به، و علی التقادیر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عقله علی الوجوب أو بیّن له غیره،و علی تقدیر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أصرّ علی التقلید أو رجع و لم یحصل له کمال الاستدلال بعد أو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أقسام أربعة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التقلید فی الحقّ جازما مع العلم بوجوب النظر و الإصرار، فهذا مؤمن فاسق؛لإصراره علی ترک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الصورة مع ترک الإصرار و الرجوع،فهذا مؤمن غیر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المقلّد فی الحقّ الظانّ مع الإصرار،و الظاهر أنّه مؤمن مرجی فی الآخرة،و فاسق؛للإصرار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الصورة مع عدم الإصرار،فهذا مسلم ظاهرا غیر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المقلّد فی الحقّ جازما أو ظانّا مع عدم العلم بوجوب الرجوع،فهذان کالسابق بلا فسق</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بإیمان هؤلاء لا یجامع فرض القول بعدم جواز التقلید،إلاّ أن یرید بهذا القول قول الشیخ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وجوب النظر </w:t>
      </w:r>
      <w:bookmarkStart w:id="1555" w:name="pg12977_114622"/>
    </w:p>
    <w:p>
      <w:pPr>
        <w:pStyle w:val="BookText"/>
        <w:rPr/>
      </w:pPr>
      <w:bookmarkEnd w:id="1555"/>
      <w:r>
        <w:rPr>
          <w:rFonts w:ascii="IRNazanin" w:hAnsi="IRNazanin" w:eastAsia="IRNazanin"/>
          <w:color w:val="111111"/>
          <w:sz w:val="28"/>
          <w:sz w:val="28"/>
          <w:szCs w:val="28"/>
          <w:rtl w:val="true"/>
          <w:lang w:bidi="fa-IR"/>
        </w:rPr>
        <w:t>مستقلا،لکنّ ظاهره إرادة قول المشهور،فالأولی الحکم بعدم إیمانهم علی المشهور،کما یقتضیه إطلاق معقد إجماع العلاّمة فی أوّل الباب الحادی عشر؛لأنّ الإیمان عندهم المعرفة الحاصلة عن الدلیل لا التقلید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المقلّد فی الباطل جازما معاندا مع العلم بوجوب النظر و الاصرار علیه،فهذا أشدّ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الصورة من غیر عناد و لا إصرار،فهذا أیضا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الباقی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حکمها یظهر ممّا سبق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هذا القول الحکم بکفرهم؛لأنّهم أولی به من السابقین</w:t>
      </w:r>
      <w:r>
        <w:rPr>
          <w:rFonts w:eastAsia="IRNazanin" w:cs="IRNazanin"/>
          <w:color w:val="111111"/>
          <w:sz w:val="28"/>
          <w:szCs w:val="28"/>
          <w:rtl w:val="true"/>
          <w:lang w:bidi="fa-IR"/>
        </w:rPr>
        <w:t>.</w:t>
      </w:r>
    </w:p>
    <w:p>
      <w:pPr>
        <w:pStyle w:val="Heading6"/>
        <w:numPr>
          <w:ilvl w:val="5"/>
          <w:numId w:val="1"/>
        </w:numPr>
        <w:rPr/>
      </w:pPr>
      <w:bookmarkStart w:id="1556" w:name="__RefHeading___Toc5447623_3224264995"/>
      <w:bookmarkStart w:id="1557" w:name="_Toc593"/>
      <w:bookmarkEnd w:id="1556"/>
      <w:r>
        <w:rPr>
          <w:rtl w:val="true"/>
        </w:rPr>
        <w:t>کلام الشیخ الطوسی فی العدّة فی وجوب النظر مع العفو</w:t>
      </w:r>
      <w:bookmarkEnd w:id="1557"/>
    </w:p>
    <w:p>
      <w:pPr>
        <w:pStyle w:val="BookText"/>
        <w:rPr/>
      </w:pPr>
      <w:r>
        <w:rPr>
          <w:rFonts w:ascii="IRNazanin" w:hAnsi="IRNazanin" w:eastAsia="IRNazanin"/>
          <w:color w:val="111111"/>
          <w:sz w:val="28"/>
          <w:sz w:val="28"/>
          <w:szCs w:val="28"/>
          <w:rtl w:val="true"/>
          <w:lang w:bidi="fa-IR"/>
        </w:rPr>
        <w:t>بقی الکلام فی ما نسب إلی الشیخ فی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القول بوجوب النظر مستقلا مع العفو،فلا بدّ من نقل عبارة العدّة،فنقول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باب التقلید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ذکر استمرار السیرة علی التقلید فی الفروع،و الکلام فی عدم جواز التقلید فی الاصول؛مستدلاّ بأنّه لا خلاف فی أنّه یجب علی العامّیّ معرفة الصلاة و أعدادها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لا یتمّ ذلک إلاّ بعد معرفة اللّه و معرفة عدله و معرفة النبوّة،وجب أن لا یصحّ التقلید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اعترض</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السیرة کما جرت له علی تقریر المقلّدین فی الفروع کذلک جرت علی تقریر المقلّدین فی الاصول و عدم الإنکار علیهم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علی بطلان التقلید فی الاصول أدلّة عقلیّة و شرعیّة من کتاب و سنّة و غیر ذلک،و هذا کاف فی النکیر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المقلّد للحقّ فی اصول الدیانات و إن کان مخطئا فی تقلیده غیر مؤاخذ به و أنّه معفوّ عنه؛و إنّما قلنا ذلک لمثل هذه الطریقة التی قدّمناها؛لأنّی لم أجد أحدا من الطائفة و لا من الأئمة علیهم السّلام قطع موالاة من یسمع قولهم و اعتقد مثل اعتقادهم و إن لم یستند ذلک إلی حجّة من عقل أو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اعترض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ذلک لا یجوز؛لأنّه یؤدّی إلی الإغراء بما لا یأمن أن یکون جهلا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بمنع ذلک؛لأنّ هذا المقلّد لا یمکنه أن یعلم سقوط العقاب عنه فیستدیم الاعتقاد؛لأنّه إنّما یمکنه معرفة ذلک إذا عرف الاصول،و قد فرضنا أنّه مقلّد فی ذلک کلّه،فکیف یکون إسقاط العقاب مغریا؟و إنّما یعلم ذلک غیره من العلماء الذین حصل لهم العلم بالاصول و سبروا أحوالهم،و أنّ العلماء لم یقطعوا موالاتهم و لا أنکروا علیهم،و لا یسوغ ذلک لهم إلاّ بعد العلم بسقوط العقاب عنهم،و ذلک یخرجه من باب الإغراء،و هذا القدر کاف فی هذا الباب إن شاء اللّه</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أقوی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یجوز التقلید فی الاصول إذا کان للمقلّد طریق إلی العلم به،إمّا علی جملة أو تفصیل،و من لیس له قدرة علی ذلک أصلا فلیس بمکلّف،و هو بمنزلة البهائم التی لیست مکلّفة بحال </w:t>
      </w:r>
      <w:r>
        <w:rPr>
          <w:rStyle w:val="FootnoteAnchor"/>
          <w:rtl w:val="true"/>
        </w:rPr>
        <w:footnoteReference w:id="198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1558" w:name="pg12977_114624"/>
    </w:p>
    <w:p>
      <w:pPr>
        <w:pStyle w:val="BookText"/>
        <w:rPr/>
      </w:pPr>
      <w:bookmarkEnd w:id="1558"/>
      <w:r>
        <w:rPr>
          <w:rFonts w:ascii="IRNazanin" w:hAnsi="IRNazanin" w:eastAsia="IRNazanin"/>
          <w:color w:val="111111"/>
          <w:sz w:val="28"/>
          <w:sz w:val="28"/>
          <w:szCs w:val="28"/>
          <w:rtl w:val="true"/>
          <w:lang w:bidi="fa-IR"/>
        </w:rPr>
        <w:t>و ذکر عند الاحتجاج علی حجّیّة أخبار الآحاد ما هو قریب من ذلک،قال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یرویه قوم من المقلّدة،فالصحیح الذی أعتقده أنّ المقلّد للحقّ و إن کان مخطئا معفوّ عنه،و لا أحکم فیه بحکم الفسّاق،فلا یلزم علی هذا ترک ما نقلوه </w:t>
      </w:r>
      <w:r>
        <w:rPr>
          <w:rStyle w:val="FootnoteAnchor"/>
          <w:rtl w:val="true"/>
        </w:rPr>
        <w:footnoteReference w:id="198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1559" w:name="__RefHeading___Toc5447625_3224264995"/>
      <w:bookmarkStart w:id="1560" w:name="_Toc594"/>
      <w:bookmarkEnd w:id="1559"/>
      <w:r>
        <w:rPr>
          <w:rtl w:val="true"/>
        </w:rPr>
        <w:t>المناقشة فیما أفاده الشیخ الطوسی</w:t>
      </w:r>
      <w:bookmarkEnd w:id="156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کلامه قدّس سرّه فی الاستدلال علی منع التقلید بتوقّف معرفة الصلاة و أعدادها علی معرفة اصول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الکلام فی المقلّد الغیر الجازم،و حینئذ فلا دلیل علی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عدم قطع العلماء و الأئمّة موالاتهم مع المقلّدین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تسلیمه و الغضّ عن إمکان کون ذلک من باب الحمل علی الجزم بعقائدهم؛لعدم العلم بأحوالهم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علی العفو،و إنّما یدلّ علی کفایة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إمساک النکیر علیهم فی ترک النظر و الاستدلال إذا لم یدلّ علی عدم وجوبه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اعترف به قبل ذلک من کفایة النکیر المستفاد من الأدلّة الواضحة علی بطلان التقلید فی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یدلّ علی العفو عن هذا الواجب المستفاد من الأدلّة،فلا دلیل علی العفو عن هذا الواجب المعلوم وجوبه</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إمساک النکیر لو ثبت و لم یحتمل کونه لحمل أمرهم علی الصحّة و علمهم بالاصول،دلیل علی عدم الوجوب؛لأنّ وجود الأدلّة لا یکفی فی إمساک النکیر من باب الأمر بالمعروف و النهی عن </w:t>
      </w:r>
      <w:bookmarkStart w:id="1561" w:name="pg12977_114625"/>
    </w:p>
    <w:p>
      <w:pPr>
        <w:pStyle w:val="BookText"/>
        <w:rPr/>
      </w:pPr>
      <w:bookmarkEnd w:id="1561"/>
      <w:r>
        <w:rPr>
          <w:rFonts w:ascii="IRNazanin" w:hAnsi="IRNazanin" w:eastAsia="IRNazanin"/>
          <w:color w:val="111111"/>
          <w:sz w:val="28"/>
          <w:sz w:val="28"/>
          <w:szCs w:val="28"/>
          <w:rtl w:val="true"/>
          <w:lang w:bidi="fa-IR"/>
        </w:rPr>
        <w:t>المنکر و إن کفی فیه من حیث الإرشاد و الدلالة علی الحکم الشرعیّ، لکنّ الکلام فی ثبوت التقریر و عدم احتمال کونه لاحتمال العلم فی حقّ المقلّدین</w:t>
      </w:r>
      <w:r>
        <w:rPr>
          <w:rFonts w:eastAsia="IRNazanin" w:cs="IRNazanin"/>
          <w:color w:val="111111"/>
          <w:sz w:val="28"/>
          <w:szCs w:val="28"/>
          <w:rtl w:val="true"/>
          <w:lang w:bidi="fa-IR"/>
        </w:rPr>
        <w:t>.</w:t>
      </w:r>
    </w:p>
    <w:p>
      <w:pPr>
        <w:pStyle w:val="Heading6"/>
        <w:numPr>
          <w:ilvl w:val="5"/>
          <w:numId w:val="1"/>
        </w:numPr>
        <w:rPr/>
      </w:pPr>
      <w:bookmarkStart w:id="1562" w:name="__RefHeading___Toc5447627_3224264995"/>
      <w:bookmarkStart w:id="1563" w:name="_Toc595"/>
      <w:bookmarkEnd w:id="1562"/>
      <w:r>
        <w:rPr>
          <w:rtl w:val="true"/>
        </w:rPr>
        <w:t>رأی المصنّف فی المسألة</w:t>
      </w:r>
      <w:bookmarkEnd w:id="1563"/>
    </w:p>
    <w:p>
      <w:pPr>
        <w:pStyle w:val="BookText"/>
        <w:rPr/>
      </w:pPr>
      <w:r>
        <w:rPr>
          <w:rFonts w:ascii="IRNazanin" w:hAnsi="IRNazanin" w:eastAsia="IRNazanin"/>
          <w:color w:val="111111"/>
          <w:sz w:val="28"/>
          <w:sz w:val="28"/>
          <w:szCs w:val="28"/>
          <w:rtl w:val="true"/>
          <w:lang w:bidi="fa-IR"/>
        </w:rPr>
        <w:t>فالإنصاف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المقلّد الغیر الجازم المتفطّن لوجوب النظر علیه فاسق مؤاخذ علی ترکه للمعرفة الجزمیّة بعقائده،بل قد عرفت احتمال کفره؛لعموم أدلّة کفر الشاکّ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الغیر المتفطّن لوجوب النظر لغفلته أو العاجز عن تحصیل الجزم فهو معذور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جریان حکم الکفر احتمال تقدّم</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الجازم فلا یجب علیه النظر و الاستدلال و إن علم من عمومات </w:t>
      </w:r>
      <w:r>
        <w:rPr>
          <w:rStyle w:val="FootnoteAnchor"/>
          <w:rtl w:val="true"/>
        </w:rPr>
        <w:footnoteReference w:id="1990"/>
      </w:r>
      <w:r>
        <w:rPr>
          <w:rFonts w:ascii="IRNazanin" w:hAnsi="IRNazanin" w:eastAsia="IRNazanin"/>
          <w:color w:val="111111"/>
          <w:sz w:val="28"/>
          <w:sz w:val="28"/>
          <w:szCs w:val="28"/>
          <w:rtl w:val="true"/>
          <w:lang w:bidi="fa-IR"/>
        </w:rPr>
        <w:t>الآیات و الأخبار وجوب النظر و الاستدلال؛لأنّ وجوب ذلک توصّلیّ لأجل حصول المعرفة،فإذا حصلت سقط وجوب تحصیلها بالنظر،اللهمّ إلاّ أن یفهم هذا الشخص منها کون النظر و الاستدلال واجبا تعبّدیّا مستقلا أو شرطا شرعیّا للإیمان،لکنّ الظاهر خلاف ذلک؛ فإنّ الظاهر کون ذلک من المقدّمات العقلیّة</w:t>
      </w:r>
      <w:r>
        <w:rPr>
          <w:rFonts w:eastAsia="IRNazanin" w:cs="IRNazanin"/>
          <w:color w:val="111111"/>
          <w:sz w:val="28"/>
          <w:szCs w:val="28"/>
          <w:rtl w:val="true"/>
          <w:lang w:bidi="fa-IR"/>
        </w:rPr>
        <w:t xml:space="preserve">. </w:t>
      </w:r>
      <w:bookmarkStart w:id="1564" w:name="pg12977_114626"/>
    </w:p>
    <w:p>
      <w:pPr>
        <w:pStyle w:val="Heading6"/>
        <w:numPr>
          <w:ilvl w:val="5"/>
          <w:numId w:val="1"/>
        </w:numPr>
        <w:rPr/>
      </w:pPr>
      <w:bookmarkStart w:id="1565" w:name="__RefHeading___Toc5447629_3224264995"/>
      <w:bookmarkStart w:id="1566" w:name="_Toc596"/>
      <w:bookmarkEnd w:id="1564"/>
      <w:bookmarkEnd w:id="1565"/>
      <w:r>
        <w:rPr>
          <w:rtl w:val="true"/>
        </w:rPr>
        <w:t>الأمر السادس</w:t>
      </w:r>
      <w:bookmarkEnd w:id="1566"/>
    </w:p>
    <w:p>
      <w:pPr>
        <w:pStyle w:val="Heading6"/>
        <w:numPr>
          <w:ilvl w:val="5"/>
          <w:numId w:val="1"/>
        </w:numPr>
        <w:rPr/>
      </w:pPr>
      <w:bookmarkStart w:id="1567" w:name="__RefHeading___Toc5447631_3224264995"/>
      <w:bookmarkStart w:id="1568" w:name="_Toc597"/>
      <w:bookmarkEnd w:id="1567"/>
      <w:r>
        <w:rPr>
          <w:rtl w:val="true"/>
        </w:rPr>
        <w:t>بناه علی عدم فهل له آثار اخر غیر الحجیة</w:t>
      </w:r>
      <w:bookmarkEnd w:id="1568"/>
    </w:p>
    <w:p>
      <w:pPr>
        <w:pStyle w:val="BookText"/>
        <w:rPr/>
      </w:pPr>
      <w:r>
        <w:rPr>
          <w:rFonts w:ascii="IRNazanin" w:hAnsi="IRNazanin" w:eastAsia="IRNazanin"/>
          <w:color w:val="111111"/>
          <w:sz w:val="28"/>
          <w:sz w:val="28"/>
          <w:szCs w:val="28"/>
          <w:rtl w:val="true"/>
          <w:lang w:bidi="fa-IR"/>
        </w:rPr>
        <w:t xml:space="preserve">الأمر السادس </w:t>
      </w:r>
      <w:r>
        <w:rPr>
          <w:rStyle w:val="FootnoteAnchor"/>
          <w:rtl w:val="true"/>
        </w:rPr>
        <w:footnoteReference w:id="19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عدم حجیّة الظنّ فهل له آثار أخر غیر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بنینا علی عدم حجّیّة ظنّ أو علی عدم حجّیّة الظنّ المطلق، فهل یترتّب علیه آثار أخر غیر الحجّیّة بالاستقلال،مثل کونه جابرا لضعف سند أو قصور دلالة،أو کونه موهنا لحجّة اخری،أو کونه مرجّحا لأحد المتعارضین علی الآخر؟</w:t>
      </w:r>
    </w:p>
    <w:p>
      <w:pPr>
        <w:pStyle w:val="BookText"/>
        <w:rPr/>
      </w:pPr>
      <w:r>
        <w:rPr>
          <w:rFonts w:ascii="IRNazanin" w:hAnsi="IRNazanin" w:eastAsia="IRNazanin"/>
          <w:color w:val="111111"/>
          <w:sz w:val="28"/>
          <w:sz w:val="28"/>
          <w:szCs w:val="28"/>
          <w:rtl w:val="true"/>
          <w:lang w:bidi="fa-IR"/>
        </w:rPr>
        <w:t>و مجمل القول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کما یکون الأصل فی الظنّ عدم الحجّیّة،کذلک الأصل فیه عدم ترتّب الآثار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الجبر، و الوهن،و الترجیح</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تفصیل الکلام فی ذلک فیقع فی مقامات ثلاثة</w:t>
      </w:r>
      <w:r>
        <w:rPr>
          <w:rFonts w:eastAsia="IRNazanin" w:cs="IRNazanin"/>
          <w:color w:val="111111"/>
          <w:sz w:val="28"/>
          <w:szCs w:val="28"/>
          <w:rtl w:val="true"/>
          <w:lang w:bidi="fa-IR"/>
        </w:rPr>
        <w:t xml:space="preserve">: </w:t>
      </w:r>
      <w:bookmarkStart w:id="1569" w:name="pg12977_114627"/>
    </w:p>
    <w:p>
      <w:pPr>
        <w:pStyle w:val="Heading6"/>
        <w:numPr>
          <w:ilvl w:val="5"/>
          <w:numId w:val="1"/>
        </w:numPr>
        <w:rPr/>
      </w:pPr>
      <w:bookmarkStart w:id="1570" w:name="__RefHeading___Toc5447633_3224264995"/>
      <w:bookmarkStart w:id="1571" w:name="_Toc598"/>
      <w:bookmarkEnd w:id="1569"/>
      <w:bookmarkEnd w:id="1570"/>
      <w:r>
        <w:rPr>
          <w:rtl w:val="true"/>
        </w:rPr>
        <w:t>المقام الأوّل</w:t>
      </w:r>
      <w:r>
        <w:rPr>
          <w:rtl w:val="true"/>
        </w:rPr>
        <w:t>:</w:t>
      </w:r>
      <w:r>
        <w:rPr>
          <w:rtl w:val="true"/>
        </w:rPr>
        <w:t>الجبر بالظنّ الغیر المعتبر</w:t>
      </w:r>
      <w:bookmarkEnd w:id="1571"/>
    </w:p>
    <w:p>
      <w:pPr>
        <w:pStyle w:val="Heading6"/>
        <w:numPr>
          <w:ilvl w:val="5"/>
          <w:numId w:val="1"/>
        </w:numPr>
        <w:rPr/>
      </w:pPr>
      <w:bookmarkStart w:id="1572" w:name="__RefHeading___Toc5447635_3224264995"/>
      <w:bookmarkStart w:id="1573" w:name="_Toc599"/>
      <w:bookmarkEnd w:id="1572"/>
      <w:r>
        <w:rPr>
          <w:rtl w:val="true"/>
        </w:rPr>
        <w:t>هل یکون الظن غیر المعتبر جابرا</w:t>
      </w:r>
      <w:bookmarkEnd w:id="1573"/>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من جهة ورود النهی عنه بالخصوص کالقیاس و نحوه،و إمّا من جهة دخوله تحت عموم أصالة حرمة العمل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الأوّل،فلا ینبغی التأمّل فی عدم کونه مفیدا للجبر؛لعموم ما دلّ علی عدم جواز الاعتناء به و استعماله فی الدین</w:t>
      </w:r>
      <w:r>
        <w:rPr>
          <w:rFonts w:eastAsia="IRNazanin" w:cs="IRNazanin"/>
          <w:color w:val="111111"/>
          <w:sz w:val="28"/>
          <w:szCs w:val="28"/>
          <w:rtl w:val="true"/>
          <w:lang w:bidi="fa-IR"/>
        </w:rPr>
        <w:t>.</w:t>
      </w:r>
    </w:p>
    <w:p>
      <w:pPr>
        <w:pStyle w:val="Heading6"/>
        <w:numPr>
          <w:ilvl w:val="5"/>
          <w:numId w:val="1"/>
        </w:numPr>
        <w:rPr/>
      </w:pPr>
      <w:bookmarkStart w:id="1574" w:name="__RefHeading___Toc5447637_3224264995"/>
      <w:bookmarkStart w:id="1575" w:name="_Toc600"/>
      <w:bookmarkEnd w:id="1574"/>
      <w:r>
        <w:rPr>
          <w:rtl w:val="true"/>
        </w:rPr>
        <w:t>الکلام فی جبر قصور السند</w:t>
      </w:r>
      <w:bookmarkEnd w:id="1575"/>
    </w:p>
    <w:p>
      <w:pPr>
        <w:pStyle w:val="BookText"/>
        <w:rPr/>
      </w:pPr>
      <w:r>
        <w:rPr>
          <w:rFonts w:ascii="IRNazanin" w:hAnsi="IRNazanin" w:eastAsia="IRNazanin"/>
          <w:color w:val="111111"/>
          <w:sz w:val="28"/>
          <w:sz w:val="28"/>
          <w:szCs w:val="28"/>
          <w:rtl w:val="true"/>
          <w:lang w:bidi="fa-IR"/>
        </w:rPr>
        <w:t xml:space="preserve">و أمّا الثانی،فالأصل فیه و إن کان ذلک،إلاّ أنّ الظاهر أنّه إذا کان المجبور محتاجا إلیه من جهة إفادته للظنّ بالصدور </w:t>
      </w:r>
      <w:r>
        <w:rPr>
          <w:rStyle w:val="FootnoteAnchor"/>
          <w:rtl w:val="true"/>
        </w:rPr>
        <w:footnoteReference w:id="19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کالخبر إذا قلنا بکونه حجّة بالخصوص بوصف </w:t>
      </w:r>
      <w:r>
        <w:rPr>
          <w:rStyle w:val="FootnoteAnchor"/>
          <w:rtl w:val="true"/>
        </w:rPr>
        <w:footnoteReference w:id="1993"/>
      </w:r>
      <w:r>
        <w:rPr>
          <w:rFonts w:ascii="IRNazanin" w:hAnsi="IRNazanin" w:eastAsia="IRNazanin"/>
          <w:color w:val="111111"/>
          <w:sz w:val="28"/>
          <w:sz w:val="28"/>
          <w:szCs w:val="28"/>
          <w:rtl w:val="true"/>
          <w:lang w:bidi="fa-IR"/>
        </w:rPr>
        <w:t>کونه مظنون الصدور،فأفاد تلک الأمارة الغیر المعتبرة الظنّ بصدور ذلک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انجبر قصور سنده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اشتراط حجّیّة ذلک الخبر بإفادته للظنّ بالصدور،لا مجرّد کونه مظنون الصدور و لو حصل الظنّ بصدوره من غیر سنده</w:t>
      </w:r>
      <w:r>
        <w:rPr>
          <w:rFonts w:eastAsia="IRNazanin" w:cs="IRNazanin"/>
          <w:color w:val="111111"/>
          <w:sz w:val="28"/>
          <w:szCs w:val="28"/>
          <w:rtl w:val="true"/>
          <w:lang w:bidi="fa-IR"/>
        </w:rPr>
        <w:t>.</w:t>
      </w:r>
    </w:p>
    <w:p>
      <w:pPr>
        <w:pStyle w:val="Heading6"/>
        <w:numPr>
          <w:ilvl w:val="5"/>
          <w:numId w:val="1"/>
        </w:numPr>
        <w:rPr/>
      </w:pPr>
      <w:bookmarkStart w:id="1576" w:name="__RefHeading___Toc5447639_3224264995"/>
      <w:bookmarkStart w:id="1577" w:name="_Toc601"/>
      <w:bookmarkEnd w:id="1576"/>
      <w:r>
        <w:rPr>
          <w:rtl w:val="true"/>
        </w:rPr>
        <w:t>الکلام فی جبر قصور الدلالة</w:t>
      </w:r>
      <w:bookmarkEnd w:id="1577"/>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فالمتّبع هو ما یفهم من دلیل حجّیّة المجبور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لا ینبغی التأمّل فی عدم انجبار قصور الدلالة بالظنّ المطلق؛لأنّ المعتبر فی باب الدلالات هو ظهور الألفاظ نوعا فی مدلولاتها،لا مجرّد الظنّ بمطابقة مدلولاتها </w:t>
      </w:r>
      <w:r>
        <w:rPr>
          <w:rStyle w:val="FootnoteAnchor"/>
          <w:rtl w:val="true"/>
        </w:rPr>
        <w:footnoteReference w:id="1994"/>
      </w:r>
      <w:r>
        <w:rPr>
          <w:rFonts w:ascii="IRNazanin" w:hAnsi="IRNazanin" w:eastAsia="IRNazanin"/>
          <w:color w:val="111111"/>
          <w:sz w:val="28"/>
          <w:sz w:val="28"/>
          <w:szCs w:val="28"/>
          <w:rtl w:val="true"/>
          <w:lang w:bidi="fa-IR"/>
        </w:rPr>
        <w:t>للواقع و لو من الخارج</w:t>
      </w:r>
      <w:r>
        <w:rPr>
          <w:rFonts w:eastAsia="IRNazanin" w:cs="IRNazanin"/>
          <w:color w:val="111111"/>
          <w:sz w:val="28"/>
          <w:szCs w:val="28"/>
          <w:rtl w:val="true"/>
          <w:lang w:bidi="fa-IR"/>
        </w:rPr>
        <w:t xml:space="preserve">. </w:t>
      </w:r>
      <w:bookmarkStart w:id="1578" w:name="pg12977_114628"/>
    </w:p>
    <w:p>
      <w:pPr>
        <w:pStyle w:val="BookText"/>
        <w:rPr/>
      </w:pPr>
      <w:bookmarkEnd w:id="1578"/>
      <w:r>
        <w:rPr>
          <w:rFonts w:ascii="IRNazanin" w:hAnsi="IRNazanin" w:eastAsia="IRNazanin"/>
          <w:color w:val="111111"/>
          <w:sz w:val="28"/>
          <w:sz w:val="28"/>
          <w:szCs w:val="28"/>
          <w:rtl w:val="true"/>
          <w:lang w:bidi="fa-IR"/>
        </w:rPr>
        <w:t>فالکلام إن کان ظاهرا فی معنی بنفسه أو بالقرائن الداخلة فهو، 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کان مجملا أو کان دلالته فی الأصل ضعیفة کدلالة الکلام بمفهومه الوصفیّ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یجدی الظنّ بمراد الشارع من أمارة خارجیّة غیر معتبرة بالفرض؛إذ التعویل حینئذ علی ذلک الظنّ من غیر مدخلیّة للکلام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ربما لا تکون تلک الأمارة موجبة للظنّ بمراد الشارع من هذا الکلام،غایته إفادة الظنّ بالحکم الفرعیّ،و لا ملازمة بینه و بین الظنّ بإرادته من اللفظ،فقد لا یریده بذلک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نعم،قد یعلم من الخارج کون المراد هو الحکم الواقعیّ،فالظنّ به یستلزم الظنّ بالمراد،لکن هذا من باب 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یظهر </w:t>
      </w:r>
      <w:r>
        <w:rPr>
          <w:rStyle w:val="FootnoteAnchor"/>
          <w:rtl w:val="true"/>
        </w:rPr>
        <w:footnoteReference w:id="19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Style w:val="FootnoteAnchor"/>
          <w:rtl w:val="true"/>
        </w:rPr>
        <w:footnoteReference w:id="1996"/>
      </w:r>
      <w:r>
        <w:rPr>
          <w:rFonts w:ascii="IRNazanin" w:hAnsi="IRNazanin" w:eastAsia="IRNazanin"/>
          <w:color w:val="111111"/>
          <w:sz w:val="28"/>
          <w:sz w:val="28"/>
          <w:szCs w:val="28"/>
          <w:rtl w:val="true"/>
          <w:lang w:bidi="fa-IR"/>
        </w:rPr>
        <w:t>ما اشتهر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ضعف الدلالة منجبر بعمل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معلوم المستند،بل و کذلک دعوی انجبار قصور الدلالة بفهم الأصحاب لم یعلم لها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فهم الأصحاب و تمسّکهم به کاشف ظنّی عن قرینة علی المراد،بخلاف عمل الأصحاب؛فإنّ غایته الکشف عن الحکم الواقعیّ الذی قد عرفت أنّه لا یستلزم کونه مرادا من ذلک اللفظ،کما عرفت</w:t>
      </w:r>
      <w:r>
        <w:rPr>
          <w:rFonts w:eastAsia="IRNazanin" w:cs="IRNazanin"/>
          <w:color w:val="111111"/>
          <w:sz w:val="28"/>
          <w:szCs w:val="28"/>
          <w:rtl w:val="true"/>
          <w:lang w:bidi="fa-IR"/>
        </w:rPr>
        <w:t>.</w:t>
      </w:r>
    </w:p>
    <w:p>
      <w:pPr>
        <w:pStyle w:val="Heading6"/>
        <w:numPr>
          <w:ilvl w:val="5"/>
          <w:numId w:val="1"/>
        </w:numPr>
        <w:rPr/>
      </w:pPr>
      <w:bookmarkStart w:id="1579" w:name="__RefHeading___Toc5447641_3224264995"/>
      <w:bookmarkStart w:id="1580" w:name="_Toc602"/>
      <w:bookmarkEnd w:id="1579"/>
      <w:r>
        <w:rPr>
          <w:rtl w:val="true"/>
        </w:rPr>
        <w:t>الکلام فیما اشتهر</w:t>
      </w:r>
      <w:r>
        <w:rPr>
          <w:rtl w:val="true"/>
        </w:rPr>
        <w:t>:</w:t>
      </w:r>
      <w:r>
        <w:rPr>
          <w:rtl w:val="true"/>
        </w:rPr>
        <w:t>من کون الشهرة فی الفتوی جابرة لضعف سند الخبر</w:t>
      </w:r>
      <w:bookmarkEnd w:id="1580"/>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الکلام فی مستند المشهور،فی کون الشهرة فی الفتوی جابرة لضعف سند الخبر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فإنّه إن کان من جهة إفادتها الظنّ بصدق الخبر،ففیه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قد لا یوجب الظنّ بصدور ذلک الخبر،نعم یوجب الظنّ بصدور حکم عن الشارع مطابق لمضمون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جلّهم لا یقولون بحجّیّة الخبر المظنون الصدور مطلقا؛فإنّ المحکیّ عن المشهور اعتبار الإیمان فی الراوی </w:t>
      </w:r>
      <w:r>
        <w:rPr>
          <w:rStyle w:val="FootnoteAnchor"/>
          <w:rtl w:val="true"/>
        </w:rPr>
        <w:footnoteReference w:id="1997"/>
      </w:r>
      <w:r>
        <w:rPr>
          <w:rFonts w:ascii="IRNazanin" w:hAnsi="IRNazanin" w:eastAsia="IRNazanin"/>
          <w:color w:val="111111"/>
          <w:sz w:val="28"/>
          <w:sz w:val="28"/>
          <w:szCs w:val="28"/>
          <w:rtl w:val="true"/>
          <w:lang w:bidi="fa-IR"/>
        </w:rPr>
        <w:t>،مع أنّه لا یرتاب فی إفادة الموثّق للظنّ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ذلک لخروج خبر غیر الإمامیّ بالدلیل الخاصّ، مثل منطوق آیة النبأ </w:t>
      </w:r>
      <w:r>
        <w:rPr>
          <w:rStyle w:val="FootnoteAnchor"/>
          <w:rtl w:val="true"/>
        </w:rPr>
        <w:footnoteReference w:id="1998"/>
      </w:r>
      <w:r>
        <w:rPr>
          <w:rFonts w:ascii="IRNazanin" w:hAnsi="IRNazanin" w:eastAsia="IRNazanin"/>
          <w:color w:val="111111"/>
          <w:sz w:val="28"/>
          <w:sz w:val="28"/>
          <w:szCs w:val="28"/>
          <w:rtl w:val="true"/>
          <w:lang w:bidi="fa-IR"/>
        </w:rPr>
        <w:t>،و 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تأخذنّ معالم دینک من غیر شیعتنا</w:t>
      </w:r>
      <w:r>
        <w:rPr>
          <w:rFonts w:eastAsia="IRNazanin" w:cs="IRNazanin"/>
          <w:color w:val="111111"/>
          <w:sz w:val="28"/>
          <w:szCs w:val="28"/>
          <w:rtl w:val="true"/>
          <w:lang w:bidi="fa-IR"/>
        </w:rPr>
        <w:t xml:space="preserve">»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ما خرج بحکم الآیة و الروایة مختصّا بما لا یفید الظنّ فلا یشمل الموثّق،و إن کان عامّا لما ظنّ بصدوره کان خبر غیر الإمامیّ المنجبر بالشهرة و الموثّق متساویین فی الدخول تحت الدلیل المخرج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الموثّق خبر الفاسق المتحرّز عن الکذب و الخبر المعتضد بالأولویّة و الاستقراء و سائر الأمارات الظنّیة،مع أنّ المشهور لا یقولون بذلک</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لقیام دلیل خاصّ علیه،ففیه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المنع من وجود هذا الدلیل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فالفرق بین الضعیف المنجبر بالشهرة و المنجبر بغیرها من الأمارات و بین الخبر الموثّق المفید لمثل الظنّ الحاصل من الضعیف المنجبر،فی غایة الإشکال،خصوصا مع عدم العلم باستناد المشهور إلی تلک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إلیه أشار شیخنا فی موضع من المسالک بأنّ جبر الضعف بالشهرة ضعیف مجبور بالشهرة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ربما یدّعی کون الخبر الضعیف المنجبر من الظنون الخاصّة؛حیث ادّعی الإجماع علی حجّیّته </w:t>
      </w:r>
      <w:r>
        <w:rPr>
          <w:rStyle w:val="FootnoteAnchor"/>
          <w:rtl w:val="true"/>
        </w:rPr>
        <w:footnoteReference w:id="2002"/>
      </w:r>
      <w:r>
        <w:rPr>
          <w:rFonts w:ascii="IRNazanin" w:hAnsi="IRNazanin" w:eastAsia="IRNazanin"/>
          <w:color w:val="111111"/>
          <w:sz w:val="28"/>
          <w:sz w:val="28"/>
          <w:szCs w:val="28"/>
          <w:rtl w:val="true"/>
          <w:lang w:bidi="fa-IR"/>
        </w:rPr>
        <w:t>،و 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أشکل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دعوی دلالة منطوق آیة النبأ علیه؛بناء علی أنّ التبیّن یعمّ الظنّی </w:t>
      </w:r>
      <w:r>
        <w:rPr>
          <w:rStyle w:val="FootnoteAnchor"/>
          <w:rtl w:val="true"/>
        </w:rPr>
        <w:footnoteReference w:id="2003"/>
      </w:r>
      <w:r>
        <w:rPr>
          <w:rFonts w:ascii="IRNazanin" w:hAnsi="IRNazanin" w:eastAsia="IRNazanin"/>
          <w:color w:val="111111"/>
          <w:sz w:val="28"/>
          <w:sz w:val="28"/>
          <w:szCs w:val="28"/>
          <w:rtl w:val="true"/>
          <w:lang w:bidi="fa-IR"/>
        </w:rPr>
        <w:t>الحاصل من ذهاب المشهور إلی مضمون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بعید؛إذ لو ارید مطلق الظنّ فلا یخفی بعده؛لأنّ المنهیّ عنه لیس إلاّ خبر الفاسق المفید للظنّ؛إذ لا یعمل أحد بالخبر المشکوک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ارید البالغ حدّ الاطمئنان فله وجه،غیر أنّه یقتضی دخول سائر الظنون الجابرة إذا بلغت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بضمیمة المجبور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الاطمئنان و لا یختصّ بالشهرة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فالآیة تدلّ علی حجّیّة الخبر المفید للوثوق و الاطمئنان،و لا بعد فیه،و قد مرّ فی أدلّة حجّیة الأخبار ما یؤیّده أو یدلّ علیه،من حکایات الإجماع و الأخبار</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أبعد من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دعوی استفادة حجّیته ممّا دلّ من الأخبار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کمقبولة ابن حنظلة </w:t>
      </w:r>
      <w:r>
        <w:rPr>
          <w:rStyle w:val="FootnoteAnchor"/>
          <w:rtl w:val="true"/>
        </w:rPr>
        <w:footnoteReference w:id="2004"/>
      </w:r>
      <w:r>
        <w:rPr>
          <w:rFonts w:ascii="IRNazanin" w:hAnsi="IRNazanin" w:eastAsia="IRNazanin"/>
          <w:color w:val="111111"/>
          <w:sz w:val="28"/>
          <w:sz w:val="28"/>
          <w:szCs w:val="28"/>
          <w:rtl w:val="true"/>
          <w:lang w:bidi="fa-IR"/>
        </w:rPr>
        <w:t xml:space="preserve">و المرفوعة إلی زرارة </w:t>
      </w:r>
      <w:r>
        <w:rPr>
          <w:rStyle w:val="FootnoteAnchor"/>
          <w:rtl w:val="true"/>
        </w:rPr>
        <w:footnoteReference w:id="20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الأمر بالأخذ بما اشتهر بین الأصحاب من المتعارضین؛فإنّ ترجیحه علی غیره فی مقام التعارض یوجب حجّیته فی مقام عدم المعارض </w:t>
      </w:r>
      <w:r>
        <w:rPr>
          <w:rStyle w:val="FootnoteAnchor"/>
          <w:rtl w:val="true"/>
        </w:rPr>
        <w:footnoteReference w:id="2006"/>
      </w:r>
      <w:r>
        <w:rPr>
          <w:rFonts w:ascii="IRNazanin" w:hAnsi="IRNazanin" w:eastAsia="IRNazanin"/>
          <w:color w:val="111111"/>
          <w:sz w:val="28"/>
          <w:sz w:val="28"/>
          <w:szCs w:val="28"/>
          <w:rtl w:val="true"/>
          <w:lang w:bidi="fa-IR"/>
        </w:rPr>
        <w:t>بالإجماع و الأولویّة</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فساد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الروایتین شهرة الخبر من حیث الروایة؛کما یدلّ علیه قول السائل فیما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معا مشهوران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ذکر الشهرة من المرجّحات یدلّ علی کون الخبرین فی أنفسهما معتبرین مع قطع النظر عن الشهرة</w:t>
      </w:r>
      <w:r>
        <w:rPr>
          <w:rFonts w:eastAsia="IRNazanin" w:cs="IRNazanin"/>
          <w:color w:val="111111"/>
          <w:sz w:val="28"/>
          <w:szCs w:val="28"/>
          <w:rtl w:val="true"/>
          <w:lang w:bidi="fa-IR"/>
        </w:rPr>
        <w:t xml:space="preserve">. </w:t>
      </w:r>
      <w:bookmarkStart w:id="1581" w:name="pg12977_114632"/>
    </w:p>
    <w:p>
      <w:pPr>
        <w:pStyle w:val="Heading6"/>
        <w:numPr>
          <w:ilvl w:val="5"/>
          <w:numId w:val="1"/>
        </w:numPr>
        <w:rPr/>
      </w:pPr>
      <w:bookmarkStart w:id="1582" w:name="__RefHeading___Toc5447643_3224264995"/>
      <w:bookmarkStart w:id="1583" w:name="_Toc603"/>
      <w:bookmarkEnd w:id="1581"/>
      <w:bookmarkEnd w:id="1582"/>
      <w:r>
        <w:rPr>
          <w:rtl w:val="true"/>
        </w:rPr>
        <w:t>المقام الثانی</w:t>
      </w:r>
      <w:r>
        <w:rPr>
          <w:rtl w:val="true"/>
        </w:rPr>
        <w:t>:</w:t>
      </w:r>
      <w:r>
        <w:rPr>
          <w:rtl w:val="true"/>
        </w:rPr>
        <w:t>فی کون الظنّ الغیر المعتبر موهنا</w:t>
      </w:r>
      <w:bookmarkEnd w:id="1583"/>
    </w:p>
    <w:p>
      <w:pPr>
        <w:pStyle w:val="BookText"/>
        <w:rPr/>
      </w:pPr>
      <w:r>
        <w:rPr>
          <w:rFonts w:ascii="IRNazanin" w:hAnsi="IRNazanin" w:eastAsia="IRNazanin"/>
          <w:color w:val="111111"/>
          <w:sz w:val="28"/>
          <w:sz w:val="28"/>
          <w:szCs w:val="28"/>
          <w:rtl w:val="true"/>
          <w:lang w:bidi="fa-IR"/>
        </w:rPr>
        <w:t>و الکلام هنا أیضا یقع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فیما علم بعدم اعتباره،و اخری فیما لم یثبت اعتباره</w:t>
      </w:r>
      <w:r>
        <w:rPr>
          <w:rFonts w:eastAsia="IRNazanin" w:cs="IRNazanin"/>
          <w:color w:val="111111"/>
          <w:sz w:val="28"/>
          <w:szCs w:val="28"/>
          <w:rtl w:val="true"/>
          <w:lang w:bidi="fa-IR"/>
        </w:rPr>
        <w:t>.</w:t>
      </w:r>
    </w:p>
    <w:p>
      <w:pPr>
        <w:pStyle w:val="Heading6"/>
        <w:numPr>
          <w:ilvl w:val="5"/>
          <w:numId w:val="1"/>
        </w:numPr>
        <w:rPr/>
      </w:pPr>
      <w:bookmarkStart w:id="1584" w:name="__RefHeading___Toc5447645_3224264995"/>
      <w:bookmarkStart w:id="1585" w:name="_Toc604"/>
      <w:bookmarkEnd w:id="1584"/>
      <w:r>
        <w:rPr>
          <w:rtl w:val="true"/>
        </w:rPr>
        <w:t>الکلام فی الظنّ الذی علم عدم اعتباره</w:t>
      </w:r>
      <w:bookmarkEnd w:id="1585"/>
    </w:p>
    <w:p>
      <w:pPr>
        <w:pStyle w:val="BookText"/>
        <w:rPr/>
      </w:pPr>
      <w:r>
        <w:rPr>
          <w:rFonts w:ascii="IRNazanin" w:hAnsi="IRNazanin" w:eastAsia="IRNazanin"/>
          <w:color w:val="111111"/>
          <w:sz w:val="28"/>
          <w:sz w:val="28"/>
          <w:szCs w:val="28"/>
          <w:rtl w:val="true"/>
          <w:lang w:bidi="fa-IR"/>
        </w:rPr>
        <w:t>و تفصیل الکلام فی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المقابل له إن کان من الأمور المعتبرة لأجل إفادته الظنّ النوعیّ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لکون نوعه لو خلّی و طبعه مفیدا للظنّ،و إن لم یکن مفیدا له فی المقام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 فی عدم وهنه بمقابلة ما علم عدم اعتباره،کالقیاس فی مقابل الخبر الصحیح بناء علی کونه من الظنون الخاصّة علی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القبیل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 فی مقابلة الظواهر اللفظیّة،فإنّه لا عبرة به أصلا بناء علی کون اعتبارها من باب الظنّ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من باب التعبّد فالأمر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حجّیته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من باب الظنّ النوعی أو کان من باب التعبّد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مقیّدة بصورة عدم الظنّ علی خلافه،کان للتوقّف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الوجه فیما حکاه لی بعض المعاصرین،عن شیخه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ذکر له مشافهة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یتوقّف فی الظواهر المعارضة بمطلق الظنّ علی الخلاف حتّی القیاس و أشباهه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تقیید حجّیّة الظواهر بصورة عدم الظنّ علی خلافها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فی الغایة</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فیکفی فی المطلب ما دلّ علی عدم جواز الاعتناء </w:t>
      </w:r>
    </w:p>
    <w:p>
      <w:pPr>
        <w:pStyle w:val="BookText"/>
        <w:rPr/>
      </w:pPr>
      <w:r>
        <w:rPr>
          <w:rFonts w:ascii="IRNazanin" w:hAnsi="IRNazanin" w:eastAsia="IRNazanin"/>
          <w:color w:val="111111"/>
          <w:sz w:val="28"/>
          <w:sz w:val="28"/>
          <w:szCs w:val="28"/>
          <w:rtl w:val="true"/>
          <w:lang w:bidi="fa-IR"/>
        </w:rPr>
        <w:t xml:space="preserve">بالقیاس </w:t>
      </w:r>
      <w:r>
        <w:rPr>
          <w:rStyle w:val="FootnoteAnchor"/>
          <w:rtl w:val="true"/>
        </w:rPr>
        <w:footnoteReference w:id="2007"/>
      </w:r>
      <w:r>
        <w:rPr>
          <w:rFonts w:ascii="IRNazanin" w:hAnsi="IRNazanin" w:eastAsia="IRNazanin"/>
          <w:color w:val="111111"/>
          <w:sz w:val="28"/>
          <w:sz w:val="28"/>
          <w:szCs w:val="28"/>
          <w:rtl w:val="true"/>
          <w:lang w:bidi="fa-IR"/>
        </w:rPr>
        <w:t>،مضافا إلی استمرار سیرة الأصحاب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النهی عن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معلّلا بما حاصله غلبة مخالفته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أن لا یترتّب شرعا علی القیاس أثر،لا من حیث تأثیره فی الکشف و لا من حیث قدحه فیما هو کاشف بالذات،فحکمه حکم عدمه،فکأنّ مضمونه مشکوک لا مظنون، بل مقتضی ظاهر التعلیل أنّه کالموهوم؛فکما أنّه لا ینجبر به ضعیف لا یضعّف به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الروایة المتقدّمة عن أبان </w:t>
      </w:r>
      <w:r>
        <w:rPr>
          <w:rStyle w:val="FootnoteAnchor"/>
          <w:rtl w:val="true"/>
        </w:rPr>
        <w:footnoteReference w:id="2008"/>
      </w:r>
      <w:r>
        <w:rPr>
          <w:rFonts w:ascii="IRNazanin" w:hAnsi="IRNazanin" w:eastAsia="IRNazanin"/>
          <w:color w:val="111111"/>
          <w:sz w:val="28"/>
          <w:sz w:val="28"/>
          <w:szCs w:val="28"/>
          <w:rtl w:val="true"/>
          <w:lang w:bidi="fa-IR"/>
        </w:rPr>
        <w:t xml:space="preserve">الدالّة علی ردع الإمام له فی ردّ الخبر الوارد فی تنصیف دیة أصابع المرأة بمجرّد مخالفته للقیاس،فراجع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حسن،لکن الأحسن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ذلک بما کان اعتباره من قبل الشارع کما لو دلّ الشرع علی حجّیّة الخبر ما لم یکن الظنّ علی خلافه؛فإنّ نفی الأثر شرعا من الظنّ القیاسی یوجب بقاء اعتبار تلک الأمارة علی حاله</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کان اعتباره من باب بناء العرف و کان مرجع حجّیته شرعا إلی تقریر ذلک البناء کظواهر الألفاظ،فإنّ وجود القیاس إن کان یمنع عن بنائهم فلا یرتفع ذلک بما ورد من قصور القیاس عن الدلالة علی الواقع،فتأثیر الظنّ بالخلاف فی القدح فی حجّیة الظواهر </w:t>
      </w:r>
    </w:p>
    <w:p>
      <w:pPr>
        <w:pStyle w:val="BookText"/>
        <w:rPr/>
      </w:pPr>
      <w:r>
        <w:rPr>
          <w:rFonts w:ascii="IRNazanin" w:hAnsi="IRNazanin" w:eastAsia="IRNazanin"/>
          <w:color w:val="111111"/>
          <w:sz w:val="28"/>
          <w:sz w:val="28"/>
          <w:szCs w:val="28"/>
          <w:rtl w:val="true"/>
          <w:lang w:bidi="fa-IR"/>
        </w:rPr>
        <w:t>لیس مثل تأثیره فی القدح فی حجّیة الخبر المظنون الخلاف فی کونه مجعولا شرعیّا یرتفع بحکم الشارع بنفی الأثر عن القیاس؛لأنّ المنفیّ فی حکم الشارع من آثار الشیء الموجود حسّا هی الآثار المجعولة دون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العرف بعد تبیّن حال القیاس لهم من قبل الشارع لا یعبئون به فی مقام استنباط أحکام الشارع من خطاباته،فیکون النهی عن القیاس ردعا لبنائهم علی تعطیل الظواهر لأجل مخالفتها للقیاس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یعلم حال القیاس فی مقابل الدلیل الثابت حجّیته بشرط الظنّ،کما لو جعلنا الحجّة من الأخبار المظنون الصدور منها أو الموثوق به منها؛فإنّ فی وهنهما </w:t>
      </w:r>
      <w:r>
        <w:rPr>
          <w:rStyle w:val="FootnoteAnchor"/>
          <w:rtl w:val="true"/>
        </w:rPr>
        <w:footnoteReference w:id="2010"/>
      </w:r>
      <w:r>
        <w:rPr>
          <w:rFonts w:ascii="IRNazanin" w:hAnsi="IRNazanin" w:eastAsia="IRNazanin"/>
          <w:color w:val="111111"/>
          <w:sz w:val="28"/>
          <w:sz w:val="28"/>
          <w:szCs w:val="28"/>
          <w:rtl w:val="true"/>
          <w:lang w:bidi="fa-IR"/>
        </w:rPr>
        <w:t>بالقیاس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حیث رفعه للقید المأخوذ فی حجّیتهما </w:t>
      </w:r>
      <w:r>
        <w:rPr>
          <w:rStyle w:val="FootnoteAnchor"/>
          <w:rtl w:val="true"/>
        </w:rPr>
        <w:footnoteReference w:id="2011"/>
      </w:r>
      <w:r>
        <w:rPr>
          <w:rFonts w:ascii="IRNazanin" w:hAnsi="IRNazanin" w:eastAsia="IRNazanin"/>
          <w:color w:val="111111"/>
          <w:sz w:val="28"/>
          <w:sz w:val="28"/>
          <w:szCs w:val="28"/>
          <w:rtl w:val="true"/>
          <w:lang w:bidi="fa-IR"/>
        </w:rPr>
        <w:t>علی وجه الشرطیّة، فمرجعه إلی فقدان شرط وجدانیّ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وصف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نفی الآثار الشرعیّة للظنّ القیاسی لا یجدی؛لأنّ الأثر المذکور أعنی رفع الظنّ لیس من الامور المجعولة</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أنّ أصل اشتراط الظنّ من الشارع،فإذا علمنا من الشارع أنّ الخبر المزاحم بالظنّ القیاسی لا ینقص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الإیصال إلی الواقع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Style w:val="FootnoteAnchor"/>
          <w:rtl w:val="true"/>
        </w:rPr>
        <w:footnoteReference w:id="2012"/>
      </w:r>
      <w:r>
        <w:rPr>
          <w:rFonts w:ascii="IRNazanin" w:hAnsi="IRNazanin" w:eastAsia="IRNazanin"/>
          <w:color w:val="111111"/>
          <w:sz w:val="28"/>
          <w:sz w:val="28"/>
          <w:szCs w:val="28"/>
          <w:rtl w:val="true"/>
          <w:lang w:bidi="fa-IR"/>
        </w:rPr>
        <w:t xml:space="preserve">الخبر السلیم عن مزاحمته،و أنّ وجود القیاس </w:t>
      </w:r>
    </w:p>
    <w:p>
      <w:pPr>
        <w:pStyle w:val="BookText"/>
        <w:rPr/>
      </w:pPr>
      <w:r>
        <w:rPr>
          <w:rFonts w:ascii="IRNazanin" w:hAnsi="IRNazanin" w:eastAsia="IRNazanin"/>
          <w:color w:val="111111"/>
          <w:sz w:val="28"/>
          <w:sz w:val="28"/>
          <w:szCs w:val="28"/>
          <w:rtl w:val="true"/>
          <w:lang w:bidi="fa-IR"/>
        </w:rPr>
        <w:t>و عدمه فی نظره سیّان،فلا إشکال فی الحکم بکون الخبرین المذکورین عنده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یمکن جریان التفصیل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إن کان الدلیل المذکور المقیّد اعتباره بالظنّ ممّا دلّ الشرع علی اعتباره،لم یزاحمه القیاس الذی دلّ الشرع علی کونه کالعدم من جمیع الجهات التی لها مدخل فی الوصول إلی دین اللّه،و إن کان ممّا دلّ علی اعتباره العقل الحاکم بتعیین الأخذ بالراجح عند انسداد باب العلم و الطرق الشرعیّة، فلا وجه لاعتباره مع مزاحمة القیاس الرافع لما هو مناط حجّیته أعنی الظنّ؛فانّ غایة الأمر صیرورة مورد اجتماع تلک الأمارة و القیاس مشکوکا،فلا یحکم العقل فیه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یدّعی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العقل بعد تبیّن حال القیاس لا یسقط عنده الأمارة المزاحمة به عن القوّة التی تکون لها علی تقدیر عدم المزاحم،و إن کان لا یعبّر عن تلک القوّة حینئذ بالظنّ و عن مقابلها بالوهم</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العقلاء إذا وجدوا فی شهرة خاصّة أو إجماع منقول مقدارا من القوّة و القرب إلی الواقع،و التجئوا إلی العمل علی طبقهما مع فقد العلم،و علموا من </w:t>
      </w:r>
      <w:r>
        <w:rPr>
          <w:rStyle w:val="FootnoteAnchor"/>
          <w:rtl w:val="true"/>
        </w:rPr>
        <w:footnoteReference w:id="2013"/>
      </w:r>
      <w:r>
        <w:rPr>
          <w:rFonts w:ascii="IRNazanin" w:hAnsi="IRNazanin" w:eastAsia="IRNazanin"/>
          <w:color w:val="111111"/>
          <w:sz w:val="28"/>
          <w:sz w:val="28"/>
          <w:szCs w:val="28"/>
          <w:rtl w:val="true"/>
          <w:lang w:bidi="fa-IR"/>
        </w:rPr>
        <w:t xml:space="preserve">حال القیاس ببیان الشارع أنّه </w:t>
      </w:r>
      <w:r>
        <w:rPr>
          <w:rStyle w:val="FootnoteAnchor"/>
          <w:rtl w:val="true"/>
        </w:rPr>
        <w:footnoteReference w:id="2014"/>
      </w:r>
      <w:r>
        <w:rPr>
          <w:rFonts w:ascii="IRNazanin" w:hAnsi="IRNazanin" w:eastAsia="IRNazanin"/>
          <w:color w:val="111111"/>
          <w:sz w:val="28"/>
          <w:sz w:val="28"/>
          <w:szCs w:val="28"/>
          <w:rtl w:val="true"/>
          <w:lang w:bidi="fa-IR"/>
        </w:rPr>
        <w:t xml:space="preserve">لا عبرة بما یفیده من الظنّ و لا یرضی الشارع بدخله فی دین اللّه،لم یفرّقوا بین کون الشهرة و الإجماع المذکورین مزاحمین بالقیاس أم لا،لأنّه </w:t>
      </w:r>
    </w:p>
    <w:p>
      <w:pPr>
        <w:pStyle w:val="BookText"/>
        <w:rPr/>
      </w:pPr>
      <w:r>
        <w:rPr>
          <w:rFonts w:ascii="Amiri" w:hAnsi="Amiri" w:eastAsia="Amiri" w:cs="Amiri"/>
          <w:color w:val="111111"/>
          <w:sz w:val="28"/>
          <w:sz w:val="28"/>
          <w:szCs w:val="28"/>
          <w:rtl w:val="true"/>
          <w:lang w:bidi="ar-SA"/>
        </w:rPr>
        <w:t>لا ینقصهما عمّا هما علیه من القوّة و المزیّة المسمّاة بالظنّ الشأنیّ و النوعیّ و الطبعیّ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 للقائلین بمطلق الظنّ لأجل الانسداد </w:t>
      </w:r>
      <w:r>
        <w:rPr>
          <w:rStyle w:val="FootnoteAnchor"/>
          <w:rtl w:val="true"/>
        </w:rPr>
        <w:footnoteReference w:id="2015"/>
      </w:r>
      <w:r>
        <w:rPr>
          <w:rFonts w:ascii="IRNazanin" w:hAnsi="IRNazanin" w:eastAsia="IRNazanin"/>
          <w:color w:val="111111"/>
          <w:sz w:val="28"/>
          <w:sz w:val="28"/>
          <w:szCs w:val="28"/>
          <w:rtl w:val="true"/>
          <w:lang w:bidi="fa-IR"/>
        </w:rPr>
        <w:t xml:space="preserve">إلاّ ما خرج،أن یقولوا بحجّیّة الظنّ الشأنیّ،بمعنی أنّ الظنّ الشخصیّ إذا ارتفع عن الأمارات المشمولة لدلیل الانسداد بسبب الأمارات الخارجة عنه لم یقدح ذلک فی حجّیّتها،بل یجب القول بذلک علی رأی </w:t>
      </w:r>
      <w:r>
        <w:rPr>
          <w:rStyle w:val="FootnoteAnchor"/>
          <w:rtl w:val="true"/>
        </w:rPr>
        <w:footnoteReference w:id="2016"/>
      </w:r>
      <w:r>
        <w:rPr>
          <w:rFonts w:ascii="IRNazanin" w:hAnsi="IRNazanin" w:eastAsia="IRNazanin"/>
          <w:color w:val="111111"/>
          <w:sz w:val="28"/>
          <w:sz w:val="28"/>
          <w:szCs w:val="28"/>
          <w:rtl w:val="true"/>
          <w:lang w:bidi="fa-IR"/>
        </w:rPr>
        <w:t xml:space="preserve">بعضهم </w:t>
      </w:r>
      <w:r>
        <w:rPr>
          <w:rStyle w:val="FootnoteAnchor"/>
          <w:rtl w:val="true"/>
        </w:rPr>
        <w:footnoteReference w:id="2017"/>
      </w:r>
      <w:r>
        <w:rPr>
          <w:rFonts w:ascii="IRNazanin" w:hAnsi="IRNazanin" w:eastAsia="IRNazanin"/>
          <w:color w:val="111111"/>
          <w:sz w:val="28"/>
          <w:sz w:val="28"/>
          <w:szCs w:val="28"/>
          <w:rtl w:val="true"/>
          <w:lang w:bidi="fa-IR"/>
        </w:rPr>
        <w:t>ممّن یجری دلیل الانسداد فی کلّ مسألة مسألة؛لأنّه إذا فرض فی مسألة وجود أمارة مزاحمة بالقیاس،فلا وجه للأخذ بخلاف تلک الأمارة،فافهم</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کلّه،مع استمرار السیرة علی عدم ملاحظة القیاس فی مورد من الموارد الفقهیّة و عدم الاعتناء به فی الکتب الاصولیّة،فلو کان له أثر شرعیّ و لو فی الوهن لوجب التعرّض لأحکامه </w:t>
      </w:r>
      <w:r>
        <w:rPr>
          <w:rStyle w:val="FootnoteAnchor"/>
          <w:rtl w:val="true"/>
        </w:rPr>
        <w:footnoteReference w:id="2018"/>
      </w:r>
      <w:r>
        <w:rPr>
          <w:rFonts w:ascii="IRNazanin" w:hAnsi="IRNazanin" w:eastAsia="IRNazanin"/>
          <w:color w:val="111111"/>
          <w:sz w:val="28"/>
          <w:sz w:val="28"/>
          <w:szCs w:val="28"/>
          <w:rtl w:val="true"/>
          <w:lang w:bidi="fa-IR"/>
        </w:rPr>
        <w:t xml:space="preserve">فی الاصول، و البحث و التفتیش عن وجوده فی کلّ مورد من موارد الفروع؛لأنّ الفحص عن الموهن کالفحص عن المعارض واجب،و قد ترکه أصحابنا فی الاصول و الفروع،بل ترکوا روایات من اعتنی به منهم و إن کان من المؤسّسین لتقریر الاصول و تحریر الفروع،کالإسکافیّ الذی نسب إلیه أن بناء تدوین اصول الفقه من الإمامیّة منه و من العمّانیّ یعنی ابن أبی عقیل قدّس سرّهما </w:t>
      </w:r>
      <w:r>
        <w:rPr>
          <w:rStyle w:val="FootnoteAnchor"/>
          <w:rtl w:val="true"/>
        </w:rPr>
        <w:footnoteReference w:id="2019"/>
      </w:r>
      <w:r>
        <w:rPr>
          <w:rFonts w:ascii="IRNazanin" w:hAnsi="IRNazanin" w:eastAsia="IRNazanin"/>
          <w:color w:val="111111"/>
          <w:sz w:val="28"/>
          <w:sz w:val="28"/>
          <w:szCs w:val="28"/>
          <w:rtl w:val="true"/>
          <w:lang w:bidi="fa-IR"/>
        </w:rPr>
        <w:t>،و فی کلام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تحریر الفتاوی فی الکتب المستقلّة </w:t>
      </w:r>
      <w:bookmarkStart w:id="1586" w:name="pg12977_114637"/>
    </w:p>
    <w:p>
      <w:pPr>
        <w:pStyle w:val="BookText"/>
        <w:rPr/>
      </w:pPr>
      <w:bookmarkEnd w:id="1586"/>
      <w:r>
        <w:rPr>
          <w:rFonts w:ascii="IRNazanin" w:hAnsi="IRNazanin" w:eastAsia="IRNazanin"/>
          <w:color w:val="111111"/>
          <w:sz w:val="28"/>
          <w:sz w:val="28"/>
          <w:szCs w:val="28"/>
          <w:rtl w:val="true"/>
          <w:lang w:bidi="fa-IR"/>
        </w:rPr>
        <w:t>منهما أیضا،جزاهما اللّه و جمیع من سبقهما و لحقهما خیر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إنّک تقدر بملاحظة ما ذکرنا فی التفصّی عن إشکال خروج القیاس عن عموم دلیل الانسداد من الوجوه،علی التکلّم فیما سطّرنا هاهنا نقضا و إبراما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Style w:val="FootnoteAnchor"/>
          <w:rtl w:val="true"/>
        </w:rPr>
        <w:footnoteReference w:id="2020"/>
      </w:r>
      <w:r>
        <w:rPr>
          <w:rFonts w:ascii="IRNazanin" w:hAnsi="IRNazanin" w:eastAsia="IRNazanin"/>
          <w:color w:val="111111"/>
          <w:sz w:val="28"/>
          <w:sz w:val="28"/>
          <w:szCs w:val="28"/>
          <w:rtl w:val="true"/>
          <w:lang w:bidi="fa-IR"/>
        </w:rPr>
        <w:t>تمام الکلام فی وهن الأمارة المعتبرة بالظنّ المنهیّ عنه بالخصوص،کالقیاس و شبهه</w:t>
      </w:r>
      <w:r>
        <w:rPr>
          <w:rFonts w:eastAsia="IRNazanin" w:cs="IRNazanin"/>
          <w:color w:val="111111"/>
          <w:sz w:val="28"/>
          <w:szCs w:val="28"/>
          <w:rtl w:val="true"/>
          <w:lang w:bidi="fa-IR"/>
        </w:rPr>
        <w:t>.</w:t>
      </w:r>
    </w:p>
    <w:p>
      <w:pPr>
        <w:pStyle w:val="Heading6"/>
        <w:numPr>
          <w:ilvl w:val="5"/>
          <w:numId w:val="1"/>
        </w:numPr>
        <w:rPr/>
      </w:pPr>
      <w:bookmarkStart w:id="1587" w:name="__RefHeading___Toc5447647_3224264995"/>
      <w:bookmarkStart w:id="1588" w:name="_Toc605"/>
      <w:bookmarkEnd w:id="1587"/>
      <w:r>
        <w:rPr>
          <w:rtl w:val="true"/>
        </w:rPr>
        <w:t>الکلام فی الظنّ الذی لم یثبت اعتباره</w:t>
      </w:r>
      <w:bookmarkEnd w:id="1588"/>
    </w:p>
    <w:p>
      <w:pPr>
        <w:pStyle w:val="BookText"/>
        <w:rPr/>
      </w:pPr>
      <w:r>
        <w:rPr>
          <w:rFonts w:ascii="IRNazanin" w:hAnsi="IRNazanin" w:eastAsia="IRNazanin"/>
          <w:color w:val="111111"/>
          <w:sz w:val="28"/>
          <w:sz w:val="28"/>
          <w:szCs w:val="28"/>
          <w:rtl w:val="true"/>
          <w:lang w:bidi="fa-IR"/>
        </w:rPr>
        <w:t>و أمّا الظنّ الذی لم یثبت إلغاؤه إلاّ من جهة بقائه تحت أصالة حرمة العمل بالظنّ،فلا إشکال فی وهنه لما کان من الأمارات اعتبارها مشروطا بعدم الظنّ بالخلاف،فضلا عمّا کان اعتباره مشروطا بإفادة الظنّ،و السرّ فیه انتفاء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ما ذکرنا فی القیاس هنا؛من جهة أنّ النهی یدلّ علی عدم کونه مؤثّرا أصلا،فوجوده کعدمه من جمیع الجهات،مدفوع</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أنّه لا إشکال فی عدم الوهنیّة </w:t>
      </w:r>
      <w:r>
        <w:rPr>
          <w:rStyle w:val="FootnoteAnchor"/>
          <w:rtl w:val="true"/>
        </w:rPr>
        <w:footnoteReference w:id="2021"/>
      </w:r>
      <w:r>
        <w:rPr>
          <w:rFonts w:ascii="IRNazanin" w:hAnsi="IRNazanin" w:eastAsia="IRNazanin"/>
          <w:color w:val="111111"/>
          <w:sz w:val="28"/>
          <w:sz w:val="28"/>
          <w:szCs w:val="28"/>
          <w:rtl w:val="true"/>
          <w:lang w:bidi="fa-IR"/>
        </w:rPr>
        <w:t xml:space="preserve">إذا </w:t>
      </w:r>
      <w:r>
        <w:rPr>
          <w:rStyle w:val="FootnoteAnchor"/>
          <w:rtl w:val="true"/>
        </w:rPr>
        <w:footnoteReference w:id="2022"/>
      </w:r>
      <w:r>
        <w:rPr>
          <w:rFonts w:ascii="IRNazanin" w:hAnsi="IRNazanin" w:eastAsia="IRNazanin"/>
          <w:color w:val="111111"/>
          <w:sz w:val="28"/>
          <w:sz w:val="28"/>
          <w:szCs w:val="28"/>
          <w:rtl w:val="true"/>
          <w:lang w:bidi="fa-IR"/>
        </w:rPr>
        <w:t xml:space="preserve">کان اعتبارها من باب الظنّ النوعیّ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 xml:space="preserve">. </w:t>
      </w:r>
      <w:bookmarkStart w:id="1589" w:name="pg12977_114638"/>
    </w:p>
    <w:p>
      <w:pPr>
        <w:pStyle w:val="Heading6"/>
        <w:numPr>
          <w:ilvl w:val="5"/>
          <w:numId w:val="1"/>
        </w:numPr>
        <w:rPr/>
      </w:pPr>
      <w:bookmarkStart w:id="1590" w:name="__RefHeading___Toc5447649_3224264995"/>
      <w:bookmarkStart w:id="1591" w:name="_Toc606"/>
      <w:bookmarkEnd w:id="1589"/>
      <w:bookmarkEnd w:id="1590"/>
      <w:r>
        <w:rPr>
          <w:rtl w:val="true"/>
        </w:rPr>
        <w:t>المقام الثالث</w:t>
      </w:r>
      <w:r>
        <w:rPr>
          <w:rtl w:val="true"/>
        </w:rPr>
        <w:t>:</w:t>
      </w:r>
      <w:r>
        <w:rPr>
          <w:rtl w:val="true"/>
        </w:rPr>
        <w:t>فی الترجیح بالظنّ الغیر المعتبر</w:t>
      </w:r>
      <w:bookmarkEnd w:id="1591"/>
    </w:p>
    <w:p>
      <w:pPr>
        <w:pStyle w:val="Heading6"/>
        <w:numPr>
          <w:ilvl w:val="5"/>
          <w:numId w:val="1"/>
        </w:numPr>
        <w:rPr/>
      </w:pPr>
      <w:bookmarkStart w:id="1592" w:name="__RefHeading___Toc5447651_3224264995"/>
      <w:bookmarkStart w:id="1593" w:name="_Toc607"/>
      <w:bookmarkEnd w:id="1592"/>
      <w:r>
        <w:rPr>
          <w:rtl w:val="true"/>
        </w:rPr>
        <w:t>هل یکون الظن غیر المعتبر مرجحا</w:t>
      </w:r>
      <w:bookmarkEnd w:id="1593"/>
    </w:p>
    <w:p>
      <w:pPr>
        <w:pStyle w:val="BookText"/>
        <w:rPr/>
      </w:pPr>
      <w:r>
        <w:rPr>
          <w:rFonts w:ascii="IRNazanin" w:hAnsi="IRNazanin" w:eastAsia="IRNazanin"/>
          <w:color w:val="111111"/>
          <w:sz w:val="28"/>
          <w:sz w:val="28"/>
          <w:szCs w:val="28"/>
          <w:rtl w:val="true"/>
          <w:lang w:bidi="fa-IR"/>
        </w:rPr>
        <w:t xml:space="preserve">و قد عرفت </w:t>
      </w:r>
      <w:r>
        <w:rPr>
          <w:rStyle w:val="FootnoteAnchor"/>
          <w:rtl w:val="true"/>
        </w:rPr>
        <w:footnoteReference w:id="2024"/>
      </w:r>
      <w:r>
        <w:rPr>
          <w:rFonts w:ascii="IRNazanin" w:hAnsi="IRNazanin" w:eastAsia="IRNazanin"/>
          <w:color w:val="111111"/>
          <w:sz w:val="28"/>
          <w:sz w:val="28"/>
          <w:szCs w:val="28"/>
          <w:rtl w:val="true"/>
          <w:lang w:bidi="fa-IR"/>
        </w:rPr>
        <w:t>أنّه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أحدهما ما ورد النهی عنه بالخصوص کالقیاس و شبهه </w:t>
      </w:r>
      <w:r>
        <w:rPr>
          <w:rStyle w:val="FootnoteAnchor"/>
          <w:rtl w:val="true"/>
        </w:rPr>
        <w:footnoteReference w:id="2025"/>
      </w:r>
      <w:r>
        <w:rPr>
          <w:rFonts w:ascii="IRNazanin" w:hAnsi="IRNazanin" w:eastAsia="IRNazanin"/>
          <w:color w:val="111111"/>
          <w:sz w:val="28"/>
          <w:sz w:val="28"/>
          <w:szCs w:val="28"/>
          <w:rtl w:val="true"/>
          <w:lang w:bidi="fa-IR"/>
        </w:rPr>
        <w:t>،و الآخر ما لم یعتبر لأجل عدم الدلیل و بقائه تحت أصالة الحرمة</w:t>
      </w:r>
      <w:r>
        <w:rPr>
          <w:rFonts w:eastAsia="IRNazanin" w:cs="IRNazanin"/>
          <w:color w:val="111111"/>
          <w:sz w:val="28"/>
          <w:szCs w:val="28"/>
          <w:rtl w:val="true"/>
          <w:lang w:bidi="fa-IR"/>
        </w:rPr>
        <w:t>.</w:t>
      </w:r>
    </w:p>
    <w:p>
      <w:pPr>
        <w:pStyle w:val="Heading6"/>
        <w:numPr>
          <w:ilvl w:val="5"/>
          <w:numId w:val="1"/>
        </w:numPr>
        <w:rPr/>
      </w:pPr>
      <w:bookmarkStart w:id="1594" w:name="__RefHeading___Toc5447653_3224264995"/>
      <w:bookmarkStart w:id="1595" w:name="_Toc608"/>
      <w:bookmarkEnd w:id="1594"/>
      <w:r>
        <w:rPr>
          <w:rtl w:val="true"/>
        </w:rPr>
        <w:t>الکلام فی الظنّ الذی ورد النهی عنه بالخصوص</w:t>
      </w:r>
      <w:bookmarkEnd w:id="1595"/>
    </w:p>
    <w:p>
      <w:pPr>
        <w:pStyle w:val="BookText"/>
        <w:rPr/>
      </w:pPr>
      <w:r>
        <w:rPr>
          <w:rFonts w:ascii="IRNazanin" w:hAnsi="IRNazanin" w:eastAsia="IRNazanin"/>
          <w:color w:val="111111"/>
          <w:sz w:val="28"/>
          <w:sz w:val="28"/>
          <w:szCs w:val="28"/>
          <w:rtl w:val="true"/>
          <w:lang w:bidi="fa-IR"/>
        </w:rPr>
        <w:t xml:space="preserve">أمّا الأوّل،فالظاهر من أصحابنا عدم الترجیح به </w:t>
      </w:r>
      <w:r>
        <w:rPr>
          <w:rStyle w:val="FootnoteAnchor"/>
          <w:rtl w:val="true"/>
        </w:rPr>
        <w:footnoteReference w:id="2026"/>
      </w:r>
      <w:r>
        <w:rPr>
          <w:rFonts w:ascii="IRNazanin" w:hAnsi="IRNazanin" w:eastAsia="IRNazanin"/>
          <w:color w:val="111111"/>
          <w:sz w:val="28"/>
          <w:sz w:val="28"/>
          <w:szCs w:val="28"/>
          <w:rtl w:val="true"/>
          <w:lang w:bidi="fa-IR"/>
        </w:rPr>
        <w:t>،نعم یظهر من المعارج وجود القول به بین أصحابنا؛حیث قال فی باب القیاس</w:t>
      </w:r>
      <w:r>
        <w:rPr>
          <w:rFonts w:eastAsia="IRNazanin" w:cs="IRNazanin"/>
          <w:color w:val="111111"/>
          <w:sz w:val="28"/>
          <w:szCs w:val="28"/>
          <w:rtl w:val="true"/>
          <w:lang w:bidi="fa-IR"/>
        </w:rPr>
        <w:t>:</w:t>
      </w:r>
    </w:p>
    <w:p>
      <w:pPr>
        <w:pStyle w:val="Heading6"/>
        <w:numPr>
          <w:ilvl w:val="5"/>
          <w:numId w:val="1"/>
        </w:numPr>
        <w:rPr/>
      </w:pPr>
      <w:bookmarkStart w:id="1596" w:name="__RefHeading___Toc5447655_3224264995"/>
      <w:bookmarkStart w:id="1597" w:name="_Toc609"/>
      <w:bookmarkEnd w:id="1596"/>
      <w:r>
        <w:rPr>
          <w:rtl w:val="true"/>
        </w:rPr>
        <w:t>کلام المحقّق فی الترجیح بالقیاس</w:t>
      </w:r>
      <w:bookmarkEnd w:id="1597"/>
    </w:p>
    <w:p>
      <w:pPr>
        <w:pStyle w:val="BookText"/>
        <w:rPr/>
      </w:pPr>
      <w:r>
        <w:rPr>
          <w:rFonts w:ascii="IRNazanin" w:hAnsi="IRNazanin" w:eastAsia="IRNazanin"/>
          <w:color w:val="111111"/>
          <w:sz w:val="28"/>
          <w:sz w:val="28"/>
          <w:szCs w:val="28"/>
          <w:rtl w:val="true"/>
          <w:lang w:bidi="fa-IR"/>
        </w:rPr>
        <w:t>ذهب ذاهب إلی أنّ الخبرین إذا تعارضا و کان القیاس موافقا لما تضمّنه أحدهما،کان ذلک وجها یقتضی ترجیح ذلک الخبر علی معارضه؛و یمکن أن یحتجّ لذلک بأنّ الحقّ فی أحد الخبرین فلا یمکن العمل بهما و لا طرحهما،فتعیّن العمل بأحدهما،و إذا کان التقدیر تقدیر التعارض،فلا بدّ للعمل بأحدهما من مرجّح،و القیاس یصلح أن یکون مرجّحا؛لحصول الظنّ به،فتعیّن العمل بما طابقه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أجمعنا علی أنّ القیاس مطروح فی الشریعة</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أنّه لیس بدلیل علی الحکم،لا بمعنی أنّه لا یکون مرجّحا لأحد الخبرین علی الآخر؛و هذا لأنّ فائدة کونه </w:t>
      </w:r>
      <w:bookmarkStart w:id="1598" w:name="pg12977_114639"/>
    </w:p>
    <w:p>
      <w:pPr>
        <w:pStyle w:val="BookText"/>
        <w:rPr/>
      </w:pPr>
      <w:bookmarkEnd w:id="1598"/>
      <w:r>
        <w:rPr>
          <w:rFonts w:ascii="IRNazanin" w:hAnsi="IRNazanin" w:eastAsia="IRNazanin"/>
          <w:color w:val="111111"/>
          <w:sz w:val="28"/>
          <w:sz w:val="28"/>
          <w:szCs w:val="28"/>
          <w:rtl w:val="true"/>
          <w:lang w:bidi="fa-IR"/>
        </w:rPr>
        <w:t xml:space="preserve">مرجّحا کونه دافعا </w:t>
      </w:r>
      <w:r>
        <w:rPr>
          <w:rStyle w:val="FootnoteAnchor"/>
          <w:rtl w:val="true"/>
        </w:rPr>
        <w:footnoteReference w:id="2027"/>
      </w:r>
      <w:r>
        <w:rPr>
          <w:rFonts w:ascii="IRNazanin" w:hAnsi="IRNazanin" w:eastAsia="IRNazanin"/>
          <w:color w:val="111111"/>
          <w:sz w:val="28"/>
          <w:sz w:val="28"/>
          <w:szCs w:val="28"/>
          <w:rtl w:val="true"/>
          <w:lang w:bidi="fa-IR"/>
        </w:rPr>
        <w:t>للعمل بالخبر المرجوح،فیعود الراجح کالخبر السلیم عن المعارض،فیکون العمل به،لا بذلک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نظر </w:t>
      </w:r>
      <w:r>
        <w:rPr>
          <w:rStyle w:val="FootnoteAnchor"/>
          <w:rtl w:val="true"/>
        </w:rPr>
        <w:footnoteReference w:id="202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Heading6"/>
        <w:numPr>
          <w:ilvl w:val="5"/>
          <w:numId w:val="1"/>
        </w:numPr>
        <w:rPr/>
      </w:pPr>
      <w:bookmarkStart w:id="1599" w:name="__RefHeading___Toc5447657_3224264995"/>
      <w:bookmarkStart w:id="1600" w:name="_Toc610"/>
      <w:bookmarkEnd w:id="1599"/>
      <w:r>
        <w:rPr>
          <w:rtl w:val="true"/>
        </w:rPr>
        <w:t>الحقّ عدم الترجیح</w:t>
      </w:r>
      <w:bookmarkEnd w:id="1600"/>
    </w:p>
    <w:p>
      <w:pPr>
        <w:pStyle w:val="BookText"/>
        <w:rPr/>
      </w:pPr>
      <w:r>
        <w:rPr>
          <w:rFonts w:ascii="IRNazanin" w:hAnsi="IRNazanin" w:eastAsia="IRNazanin"/>
          <w:color w:val="111111"/>
          <w:sz w:val="28"/>
          <w:sz w:val="28"/>
          <w:szCs w:val="28"/>
          <w:rtl w:val="true"/>
          <w:lang w:bidi="fa-IR"/>
        </w:rPr>
        <w:t xml:space="preserve">و مال إلی ذلک بعض سادة مشایخنا المعاصرین قدّس سرّه </w:t>
      </w:r>
      <w:r>
        <w:rPr>
          <w:rStyle w:val="FootnoteAnchor"/>
          <w:rtl w:val="true"/>
        </w:rPr>
        <w:footnoteReference w:id="2029"/>
      </w:r>
      <w:r>
        <w:rPr>
          <w:rFonts w:ascii="IRNazanin" w:hAnsi="IRNazanin" w:eastAsia="IRNazanin"/>
          <w:color w:val="111111"/>
          <w:sz w:val="28"/>
          <w:sz w:val="28"/>
          <w:szCs w:val="28"/>
          <w:rtl w:val="true"/>
          <w:lang w:bidi="fa-IR"/>
        </w:rPr>
        <w:t xml:space="preserve">بعض المیل، و الحقّ خلافه؛لأنّ رفع </w:t>
      </w:r>
      <w:r>
        <w:rPr>
          <w:rStyle w:val="FootnoteAnchor"/>
          <w:rtl w:val="true"/>
        </w:rPr>
        <w:footnoteReference w:id="2030"/>
      </w:r>
      <w:r>
        <w:rPr>
          <w:rFonts w:ascii="IRNazanin" w:hAnsi="IRNazanin" w:eastAsia="IRNazanin"/>
          <w:color w:val="111111"/>
          <w:sz w:val="28"/>
          <w:sz w:val="28"/>
          <w:szCs w:val="28"/>
          <w:rtl w:val="true"/>
          <w:lang w:bidi="fa-IR"/>
        </w:rPr>
        <w:t xml:space="preserve">الخبر المرجوح بالقیاس عمل به حقیقة؛فإنّه لو لا القیاس کان العمل به جائزا،و المقصود تحریم العمل به لأجل القیاس </w:t>
      </w:r>
      <w:r>
        <w:rPr>
          <w:rStyle w:val="FootnoteAnchor"/>
          <w:rtl w:val="true"/>
        </w:rPr>
        <w:footnoteReference w:id="2031"/>
      </w:r>
      <w:r>
        <w:rPr>
          <w:rFonts w:ascii="IRNazanin" w:hAnsi="IRNazanin" w:eastAsia="IRNazanin"/>
          <w:color w:val="111111"/>
          <w:sz w:val="28"/>
          <w:sz w:val="28"/>
          <w:szCs w:val="28"/>
          <w:rtl w:val="true"/>
          <w:lang w:bidi="fa-IR"/>
        </w:rPr>
        <w:t>،و أیّ عمل أعظم من هذا؟</w:t>
      </w:r>
    </w:p>
    <w:p>
      <w:pPr>
        <w:pStyle w:val="BookText"/>
        <w:rPr/>
      </w:pPr>
      <w:r>
        <w:rPr>
          <w:rFonts w:ascii="IRNazanin" w:hAnsi="IRNazanin" w:eastAsia="IRNazanin"/>
          <w:color w:val="111111"/>
          <w:sz w:val="28"/>
          <w:sz w:val="28"/>
          <w:szCs w:val="28"/>
          <w:rtl w:val="true"/>
          <w:lang w:bidi="fa-IR"/>
        </w:rPr>
        <w:t xml:space="preserve">و الفرق بین المرجّح و الدلیل لیس إلاّ أنّ الدلیل مقتض لتعیّن العمل به و المرجّح رافع </w:t>
      </w:r>
      <w:r>
        <w:rPr>
          <w:rStyle w:val="FootnoteAnchor"/>
          <w:rtl w:val="true"/>
        </w:rPr>
        <w:footnoteReference w:id="2032"/>
      </w:r>
      <w:r>
        <w:rPr>
          <w:rFonts w:ascii="IRNazanin" w:hAnsi="IRNazanin" w:eastAsia="IRNazanin"/>
          <w:color w:val="111111"/>
          <w:sz w:val="28"/>
          <w:sz w:val="28"/>
          <w:szCs w:val="28"/>
          <w:rtl w:val="true"/>
          <w:lang w:bidi="fa-IR"/>
        </w:rPr>
        <w:t>للمزاحم عنه،فلکلّ منهما مدخل فی العلّة التامّة لتعیّن العمل به،فإذا کان استعمال القیاس محظورا و أنّه لا یعبأ به فی الشرعیّات کان وجوده کعدمه غیر 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مقتضی الاستناد فی الترجیح به إلی إفادته للظنّ کونه من قبیل الجزء لمقتضی تعیّن العمل،لا من قبیل دفع المزاحم،فیشترک مع الدلیل المنضمّ إلیه فی الاقتضاء</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علی مذهب غیر القائلین بمطلق الظنّ،و أمّا علی مذهبهم </w:t>
      </w:r>
      <w:bookmarkStart w:id="1601" w:name="pg12977_114640"/>
    </w:p>
    <w:p>
      <w:pPr>
        <w:pStyle w:val="BookText"/>
        <w:rPr/>
      </w:pPr>
      <w:bookmarkEnd w:id="1601"/>
      <w:r>
        <w:rPr>
          <w:rFonts w:ascii="IRNazanin" w:hAnsi="IRNazanin" w:eastAsia="IRNazanin"/>
          <w:color w:val="111111"/>
          <w:sz w:val="28"/>
          <w:sz w:val="28"/>
          <w:szCs w:val="28"/>
          <w:rtl w:val="true"/>
          <w:lang w:bidi="fa-IR"/>
        </w:rPr>
        <w:t xml:space="preserve">فیکون القیاس تمام المقتضی بناء علی کون الحجّة عندهم الظنّ الفعلیّ؛ لأنّ الخبر </w:t>
      </w:r>
      <w:r>
        <w:rPr>
          <w:rStyle w:val="FootnoteAnchor"/>
          <w:rtl w:val="true"/>
        </w:rPr>
        <w:footnoteReference w:id="2033"/>
      </w:r>
      <w:r>
        <w:rPr>
          <w:rFonts w:ascii="IRNazanin" w:hAnsi="IRNazanin" w:eastAsia="IRNazanin"/>
          <w:color w:val="111111"/>
          <w:sz w:val="28"/>
          <w:sz w:val="28"/>
          <w:szCs w:val="28"/>
          <w:rtl w:val="true"/>
          <w:lang w:bidi="fa-IR"/>
        </w:rPr>
        <w:t>المنضمّ إلیه لیس له مدخل فی حصول الظنّ الفعلیّ بمضمونه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نعم،قد یکون الظنّ مستندا إلیهما فیصیر من قبیل جزء المقتضی، فتأمّل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 ما ذکرنا،بل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استمرار سیرة أصحابنا الإمامیّة رضوان اللّه علیهم فی الاستنباط علی هجره و ترک الاعتناء بما حصل لهم من الظنّ القیاسیّ أحیانا،فضلا عن أن یتوقّفوا فی التخییر بین الخبرین المتعارضین </w:t>
      </w:r>
      <w:r>
        <w:rPr>
          <w:rStyle w:val="FootnoteAnchor"/>
          <w:rtl w:val="true"/>
        </w:rPr>
        <w:footnoteReference w:id="2035"/>
      </w:r>
      <w:r>
        <w:rPr>
          <w:rFonts w:ascii="IRNazanin" w:hAnsi="IRNazanin" w:eastAsia="IRNazanin"/>
          <w:color w:val="111111"/>
          <w:sz w:val="28"/>
          <w:sz w:val="28"/>
          <w:szCs w:val="28"/>
          <w:rtl w:val="true"/>
          <w:lang w:bidi="fa-IR"/>
        </w:rPr>
        <w:t>مع عدم مرجّح آخر أو الترجیح بمرجّح موجود، إلی أن یبحثوا عن القیاس؛کیف و لو کان کذلک لاحتاجوا إلی عنوان مباحث القیاس و البحث عنه بما یقتضی البحث عنها علی تقدیر الحجّیّة</w:t>
      </w:r>
      <w:r>
        <w:rPr>
          <w:rFonts w:eastAsia="IRNazanin" w:cs="IRNazanin"/>
          <w:color w:val="111111"/>
          <w:sz w:val="28"/>
          <w:szCs w:val="28"/>
          <w:rtl w:val="true"/>
          <w:lang w:bidi="fa-IR"/>
        </w:rPr>
        <w:t>.</w:t>
      </w:r>
    </w:p>
    <w:p>
      <w:pPr>
        <w:pStyle w:val="Heading6"/>
        <w:numPr>
          <w:ilvl w:val="5"/>
          <w:numId w:val="1"/>
        </w:numPr>
        <w:rPr/>
      </w:pPr>
      <w:bookmarkStart w:id="1602" w:name="__RefHeading___Toc5447659_3224264995"/>
      <w:bookmarkStart w:id="1603" w:name="_Toc611"/>
      <w:bookmarkEnd w:id="1602"/>
      <w:r>
        <w:rPr>
          <w:rtl w:val="true"/>
        </w:rPr>
        <w:t>الکلام فی الظنّ غیر المعتبر لأجل عدم الدلیل فی مقامات</w:t>
      </w:r>
      <w:r>
        <w:rPr>
          <w:rtl w:val="true"/>
        </w:rPr>
        <w:t>:</w:t>
      </w:r>
      <w:bookmarkEnd w:id="1603"/>
    </w:p>
    <w:p>
      <w:pPr>
        <w:pStyle w:val="BookText"/>
        <w:rPr/>
      </w:pPr>
      <w:r>
        <w:rPr>
          <w:rFonts w:ascii="IRNazanin" w:hAnsi="IRNazanin" w:eastAsia="IRNazanin"/>
          <w:color w:val="111111"/>
          <w:sz w:val="28"/>
          <w:sz w:val="28"/>
          <w:szCs w:val="28"/>
          <w:rtl w:val="true"/>
          <w:lang w:bidi="fa-IR"/>
        </w:rPr>
        <w:t>و أمّا القسم الآخر،و هو الظنّ الغیر المعتبر لأجل بقائه تحت أصالة حرمة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فالکلام فی الترجیح به یقع فی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الترجیح به فی الدلالة،بأن یقع التعارض بین ظهوری الدلیلین کما فی العامّین من وجه و أشباهه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اختصاص له بالدلیل الظنّی السند،بل یجری فی الکتاب و السنّة المتواترة</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الترجیح به فی وجه الصدور،بأن نفرض الخبرین </w:t>
      </w:r>
      <w:bookmarkStart w:id="1604" w:name="pg12977_114641"/>
    </w:p>
    <w:p>
      <w:pPr>
        <w:pStyle w:val="BookText"/>
        <w:rPr/>
      </w:pPr>
      <w:bookmarkEnd w:id="1604"/>
      <w:r>
        <w:rPr>
          <w:rFonts w:ascii="IRNazanin" w:hAnsi="IRNazanin" w:eastAsia="IRNazanin"/>
          <w:color w:val="111111"/>
          <w:sz w:val="28"/>
          <w:sz w:val="28"/>
          <w:szCs w:val="28"/>
          <w:rtl w:val="true"/>
          <w:lang w:bidi="fa-IR"/>
        </w:rPr>
        <w:t>صادرین و ظاهری الدلالة،و انحصر التحیّر فی تعیین ما صدر لبیان الحکم و تمییزه عمّا صدر علی وجه التقیّة أو غیرها من الحکم المقتضیة لبیان خلاف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یجری فی مقطوعی الصدور و مظنونی الصدور مع بقاء الظنّ بالصدور فی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الترجیح به من حیث الصدور،بأن صار بالمرجّح أحدهما مظنون الصدور</w:t>
      </w:r>
      <w:r>
        <w:rPr>
          <w:rFonts w:eastAsia="IRNazanin" w:cs="IRNazanin"/>
          <w:color w:val="111111"/>
          <w:sz w:val="28"/>
          <w:szCs w:val="28"/>
          <w:rtl w:val="true"/>
          <w:lang w:bidi="fa-IR"/>
        </w:rPr>
        <w:t>.</w:t>
      </w:r>
    </w:p>
    <w:p>
      <w:pPr>
        <w:pStyle w:val="Heading6"/>
        <w:numPr>
          <w:ilvl w:val="5"/>
          <w:numId w:val="1"/>
        </w:numPr>
        <w:rPr/>
      </w:pPr>
      <w:bookmarkStart w:id="1605" w:name="__RefHeading___Toc5447661_3224264995"/>
      <w:bookmarkStart w:id="1606" w:name="_Toc612"/>
      <w:bookmarkEnd w:id="1605"/>
      <w:r>
        <w:rPr>
          <w:rtl w:val="true"/>
        </w:rPr>
        <w:t>أمّا المقام الأوّل، الترجیح به فی الدلالة فتفصیل القول فیه</w:t>
      </w:r>
      <w:r>
        <w:rPr>
          <w:rtl w:val="true"/>
        </w:rPr>
        <w:t>:</w:t>
      </w:r>
      <w:bookmarkEnd w:id="1606"/>
    </w:p>
    <w:p>
      <w:pPr>
        <w:pStyle w:val="BookText"/>
        <w:rPr/>
      </w:pPr>
      <w:r>
        <w:rPr>
          <w:rFonts w:ascii="IRNazanin" w:hAnsi="IRNazanin" w:eastAsia="IRNazanin"/>
          <w:color w:val="111111"/>
          <w:sz w:val="28"/>
          <w:sz w:val="28"/>
          <w:szCs w:val="28"/>
          <w:rtl w:val="true"/>
          <w:lang w:bidi="fa-IR"/>
        </w:rPr>
        <w:t>أنّه إن قلنا بأنّ مطلق الظنّ علی خلاف الظواهر یسقطها عن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لاشتراط حجّیتها بعدم الظنّ علی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إشکال فی وجوب الأخذ بمقتضی ذلک الظنّ المرجّح،لکن یخرج حینئذ عن کونه مرجّحا،بل یصیر سببا لسقوط الظهور المقابل له عن الحجّیة،لا لدفع مزاحمته للظهور المنضمّ إلیه،فیصیر ما وافقه حجّة سلیمة عن الدلیل المعارض؛إذ لو لم یکن فی مقابل ذلک المعارض إلاّ هذا الظنّ لأسقطه عن الاعتبار،نظیر الشهرة فی أحد الخبرین الموجبة لدخول الآخر فی الشواذّ التی لا اعتبار بها،بل امرنا بترکها </w:t>
      </w:r>
      <w:r>
        <w:rPr>
          <w:rStyle w:val="FootnoteAnchor"/>
          <w:rtl w:val="true"/>
        </w:rPr>
        <w:footnoteReference w:id="2036"/>
      </w:r>
      <w:r>
        <w:rPr>
          <w:rFonts w:ascii="IRNazanin" w:hAnsi="IRNazanin" w:eastAsia="IRNazanin"/>
          <w:color w:val="111111"/>
          <w:sz w:val="28"/>
          <w:sz w:val="28"/>
          <w:szCs w:val="28"/>
          <w:rtl w:val="true"/>
          <w:lang w:bidi="fa-IR"/>
        </w:rPr>
        <w:t>و لو لم یکن فی مقابلها خبر معتبر</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أولی 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قلنا باشتراط حجّیة الظواهر بحصول الظنّ منها أو من غیرها علی طبقها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هذا القول سخیف جدّا،و الأوّل أیضا بعید،کما حقّق فی مسألة حجّیّة الظواهر </w:t>
      </w:r>
      <w:r>
        <w:rPr>
          <w:rStyle w:val="FootnoteAnchor"/>
          <w:rtl w:val="true"/>
        </w:rPr>
        <w:footnoteReference w:id="2037"/>
      </w:r>
    </w:p>
    <w:p>
      <w:pPr>
        <w:pStyle w:val="BookText"/>
        <w:rPr/>
      </w:pPr>
      <w:r>
        <w:rPr>
          <w:rFonts w:ascii="IRNazanin" w:hAnsi="IRNazanin" w:eastAsia="IRNazanin"/>
          <w:color w:val="111111"/>
          <w:sz w:val="28"/>
          <w:sz w:val="28"/>
          <w:szCs w:val="28"/>
          <w:rtl w:val="true"/>
          <w:lang w:bidi="fa-IR"/>
        </w:rPr>
        <w:t>و إن قلنا بأنّ حجّیة الظواهر من حیث إفادتها للظنّ الفعلیّ و أنّه لا عبرة بالظنّ الحاصل من غیرها علی طبقها،أو قلنا بأنّ حجّیتها من حیث الاتّکال علی أصالة عدم القرینة التی لا یعتبر فیها إفادتها للظنّ الفعلیّ،فالأقوی عدم اعتبار مطلق الظنّ فی مقام الترجیح؛إذ المفروض علی هذین القولین سقوط کلا الظاهرین عن الحجّیة فی مورد التعارض، و أنّه إذا صدر عنه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ثوبک من أبوال ما لا یؤکل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یطیر لا بأس بخرئه و 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فرض عدم قوّة أحد الظاهرین من حیث نفسه علی الآخر،کان ذلک مسقطا لظاهر کلیهما عن الحجّیّة فی مادّة التعارض،أعنی خرء الطیر الغیر المأکول </w:t>
      </w:r>
      <w:r>
        <w:rPr>
          <w:rStyle w:val="FootnoteAnchor"/>
          <w:rtl w:val="true"/>
        </w:rPr>
        <w:footnoteReference w:id="2038"/>
      </w:r>
      <w:r>
        <w:rPr>
          <w:rFonts w:ascii="IRNazanin" w:hAnsi="IRNazanin" w:eastAsia="IRNazanin"/>
          <w:color w:val="111111"/>
          <w:sz w:val="28"/>
          <w:sz w:val="28"/>
          <w:szCs w:val="28"/>
          <w:rtl w:val="true"/>
          <w:lang w:bidi="fa-IR"/>
        </w:rPr>
        <w:t>و 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القول الأوّل؛فلأنّ حجّیة الظواهر مشروطة بالظنّ المفقود فی المقام</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علی الثانی؛فلأنّ أصالة عدم القرینة فی کلّ منهما معارضة بمثلها فی الآخر،و الحکم </w:t>
      </w:r>
      <w:r>
        <w:rPr>
          <w:rStyle w:val="FootnoteAnchor"/>
          <w:rtl w:val="true"/>
        </w:rPr>
        <w:footnoteReference w:id="2039"/>
      </w:r>
      <w:r>
        <w:rPr>
          <w:rFonts w:ascii="IRNazanin" w:hAnsi="IRNazanin" w:eastAsia="IRNazanin"/>
          <w:color w:val="111111"/>
          <w:sz w:val="28"/>
          <w:sz w:val="28"/>
          <w:szCs w:val="28"/>
          <w:rtl w:val="true"/>
          <w:lang w:bidi="fa-IR"/>
        </w:rPr>
        <w:t xml:space="preserve">فی باب تعارض الأصلین مع عدم حکومة أحدهما علی الآخر،التساقط و الرجوع إلی عموم أو أصل یکون حجّیته مشروطة </w:t>
      </w:r>
      <w:r>
        <w:rPr>
          <w:rStyle w:val="FootnoteAnchor"/>
          <w:rtl w:val="true"/>
        </w:rPr>
        <w:footnoteReference w:id="2040"/>
      </w:r>
      <w:r>
        <w:rPr>
          <w:rFonts w:ascii="IRNazanin" w:hAnsi="IRNazanin" w:eastAsia="IRNazanin"/>
          <w:color w:val="111111"/>
          <w:sz w:val="28"/>
          <w:sz w:val="28"/>
          <w:szCs w:val="28"/>
          <w:rtl w:val="true"/>
          <w:lang w:bidi="fa-IR"/>
        </w:rPr>
        <w:t>بعدم وجودهما علی قابلیّة الاعتبار،فلو عمل حینئذ بالظنّ الموجود مع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کالشهرة القائمة فی المسألة المذکورة علی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قد عملنا بذلک الظنّ مستقلا،لا من باب کونه مرجّحا؛ </w:t>
      </w:r>
      <w:bookmarkStart w:id="1607" w:name="pg12977_114643"/>
    </w:p>
    <w:p>
      <w:pPr>
        <w:pStyle w:val="BookText"/>
        <w:rPr/>
      </w:pPr>
      <w:bookmarkEnd w:id="1607"/>
      <w:r>
        <w:rPr>
          <w:rFonts w:ascii="IRNazanin" w:hAnsi="IRNazanin" w:eastAsia="IRNazanin"/>
          <w:color w:val="111111"/>
          <w:sz w:val="28"/>
          <w:sz w:val="28"/>
          <w:szCs w:val="28"/>
          <w:rtl w:val="true"/>
          <w:lang w:bidi="fa-IR"/>
        </w:rPr>
        <w:t xml:space="preserve">لفرض </w:t>
      </w:r>
      <w:r>
        <w:rPr>
          <w:rStyle w:val="FootnoteAnchor"/>
          <w:rtl w:val="true"/>
        </w:rPr>
        <w:footnoteReference w:id="2041"/>
      </w:r>
      <w:r>
        <w:rPr>
          <w:rFonts w:ascii="IRNazanin" w:hAnsi="IRNazanin" w:eastAsia="IRNazanin"/>
          <w:color w:val="111111"/>
          <w:sz w:val="28"/>
          <w:sz w:val="28"/>
          <w:szCs w:val="28"/>
          <w:rtl w:val="true"/>
          <w:lang w:bidi="fa-IR"/>
        </w:rPr>
        <w:t>تساقط الظاهرین و صیرورتهما کالعدم،فالمتّجه حینئذ الرجوع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الفراغ من المرجّحات من حیث السند أو من حیث الصدور تقیّة أو لبیان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قاعدة الطهارة</w:t>
      </w:r>
      <w:r>
        <w:rPr>
          <w:rFonts w:eastAsia="IRNazanin" w:cs="IRNazanin"/>
          <w:color w:val="111111"/>
          <w:sz w:val="28"/>
          <w:szCs w:val="28"/>
          <w:rtl w:val="true"/>
          <w:lang w:bidi="fa-IR"/>
        </w:rPr>
        <w:t>.</w:t>
      </w:r>
    </w:p>
    <w:p>
      <w:pPr>
        <w:pStyle w:val="Heading6"/>
        <w:numPr>
          <w:ilvl w:val="5"/>
          <w:numId w:val="1"/>
        </w:numPr>
        <w:rPr/>
      </w:pPr>
      <w:bookmarkStart w:id="1608" w:name="__RefHeading___Toc5447663_3224264995"/>
      <w:bookmarkStart w:id="1609" w:name="_Toc613"/>
      <w:bookmarkEnd w:id="1608"/>
      <w:r>
        <w:rPr>
          <w:rtl w:val="true"/>
        </w:rPr>
        <w:t>و أمّا المقام الثانی</w:t>
      </w:r>
      <w:r>
        <w:rPr>
          <w:rtl w:val="true"/>
        </w:rPr>
        <w:t xml:space="preserve">: </w:t>
      </w:r>
      <w:r>
        <w:rPr>
          <w:rtl w:val="true"/>
        </w:rPr>
        <w:t>الترجیح به فی وجه الصدور ،فتفصیل القول فیه</w:t>
      </w:r>
      <w:r>
        <w:rPr>
          <w:rtl w:val="true"/>
        </w:rPr>
        <w:t>:</w:t>
      </w:r>
      <w:bookmarkEnd w:id="1609"/>
    </w:p>
    <w:p>
      <w:pPr>
        <w:pStyle w:val="BookText"/>
        <w:rPr/>
      </w:pPr>
      <w:r>
        <w:rPr>
          <w:rFonts w:ascii="IRNazanin" w:hAnsi="IRNazanin" w:eastAsia="IRNazanin"/>
          <w:color w:val="111111"/>
          <w:sz w:val="28"/>
          <w:sz w:val="28"/>
          <w:szCs w:val="28"/>
          <w:rtl w:val="true"/>
          <w:lang w:bidi="fa-IR"/>
        </w:rPr>
        <w:t>أنّ أصالة عدم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المستند فیها أصل العدم فی کلّ 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أنّ دواعی التقیّة التی هی من قبیل الموانع لإظهار الحقّ حادثة تدفع بالأصل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فالمرجع بعد معارضة هذا الأصل فی کلّ خبر بمثله فی الآخر،هو التساقط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لو استندنا فیها إلی أنّ ظاهر حال المتکلّم بالکلام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الإمام علیه السّلام فی مقام إظهار الأحکام التی نصب لأجلها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بیان الحقّ،و قلنا بأنّ </w:t>
      </w:r>
      <w:r>
        <w:rPr>
          <w:rStyle w:val="FootnoteAnchor"/>
          <w:rtl w:val="true"/>
        </w:rPr>
        <w:footnoteReference w:id="2042"/>
      </w:r>
      <w:r>
        <w:rPr>
          <w:rFonts w:ascii="IRNazanin" w:hAnsi="IRNazanin" w:eastAsia="IRNazanin"/>
          <w:color w:val="111111"/>
          <w:sz w:val="28"/>
          <w:sz w:val="28"/>
          <w:szCs w:val="28"/>
          <w:rtl w:val="true"/>
          <w:lang w:bidi="fa-IR"/>
        </w:rPr>
        <w:t>اعتبار هذا الظهور مشروط بإفادته الظنّ الفعلی المفروض سقوطه من الطرفین</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عملنا بمطلق الظنّ فی تشخیص التقیّة و خلافها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حجّیّة الظنّ فی هذا المقام؛لأجل الحاجة إلیه؛من جهة العلم بصدور کثیر من الأخبار تقیّة،و أنّ الرجوع إلی أصالة عدمها فی کلّ مورد یوجب الافتاء بکثیر ممّا صدر تقیّة،فیتعیّن العمل بالظنّ،أو لأنّا نفهم ممّا ورد فی ترجیح ما خالف العامّة علی ما وافقهم کون ذلک من أجل کون الموافقة مظنّة للتقیّة،فیتعیّن العمل بما هو أبعد عنها بحسب کلّ أمارة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ذلک الظنّ دلیلا مستقلا فی ذلک المقام و خرج عن کونه مرجّحا</w:t>
      </w:r>
      <w:r>
        <w:rPr>
          <w:rFonts w:eastAsia="IRNazanin" w:cs="IRNazanin"/>
          <w:color w:val="111111"/>
          <w:sz w:val="28"/>
          <w:szCs w:val="28"/>
          <w:rtl w:val="true"/>
          <w:lang w:bidi="fa-IR"/>
        </w:rPr>
        <w:t xml:space="preserve">. </w:t>
      </w:r>
      <w:bookmarkStart w:id="1610" w:name="pg12977_114644"/>
    </w:p>
    <w:p>
      <w:pPr>
        <w:pStyle w:val="BookText"/>
        <w:rPr/>
      </w:pPr>
      <w:bookmarkEnd w:id="1610"/>
      <w:r>
        <w:rPr>
          <w:rFonts w:ascii="IRNazanin" w:hAnsi="IRNazanin" w:eastAsia="IRNazanin"/>
          <w:color w:val="111111"/>
          <w:sz w:val="28"/>
          <w:sz w:val="28"/>
          <w:szCs w:val="28"/>
          <w:rtl w:val="true"/>
          <w:lang w:bidi="fa-IR"/>
        </w:rPr>
        <w:t xml:space="preserve">و لو استندنا فیها إلی الظهور المذکور و اشترطنا فی اعتباره عدم الظنّ علی خلافه،کان الخبر الموافق لذلک الظنّ حجّة سلیمة عن المعارض لا عن المزاحم،کما عرفت نظیره فی المقام الأوّل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 استندنا فیها إلی الظهور النوعیّ،نظیر ظهور فعل المسلم فی الصحیح و ظهور تکلّم المتکلّم فی کونه قاصدا لا هازلا،و لم نشترط فی اعتباره الظنّ الفعلی و لا عدم الظنّ بالخلاف،تعارض الظاهران،فیقع الکلام فی الترجیح بهذا الظنّ المفروض،و الکلام فیه یعلم ممّا سیجیء فی </w:t>
      </w:r>
      <w:r>
        <w:rPr>
          <w:rStyle w:val="FootnoteAnchor"/>
          <w:rtl w:val="true"/>
        </w:rPr>
        <w:footnoteReference w:id="2044"/>
      </w: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w:t>
      </w:r>
    </w:p>
    <w:p>
      <w:pPr>
        <w:pStyle w:val="Heading6"/>
        <w:numPr>
          <w:ilvl w:val="5"/>
          <w:numId w:val="1"/>
        </w:numPr>
        <w:rPr/>
      </w:pPr>
      <w:bookmarkStart w:id="1611" w:name="__RefHeading___Toc5447665_3224264995"/>
      <w:bookmarkStart w:id="1612" w:name="_Toc614"/>
      <w:bookmarkEnd w:id="1611"/>
      <w:r>
        <w:rPr>
          <w:rtl w:val="true"/>
        </w:rPr>
        <w:t>و أمّا المقام الثالث</w:t>
      </w:r>
      <w:r>
        <w:rPr>
          <w:rtl w:val="true"/>
        </w:rPr>
        <w:t>:</w:t>
      </w:r>
      <w:r>
        <w:rPr>
          <w:rtl w:val="true"/>
        </w:rPr>
        <w:t>ترجیح السند بمطلق الظن</w:t>
      </w:r>
      <w:bookmarkEnd w:id="16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المقام الثالث</w:t>
      </w:r>
      <w:r>
        <w:rPr>
          <w:rFonts w:eastAsia="IRNazanin" w:cs="IRNazanin"/>
          <w:color w:val="111111"/>
          <w:sz w:val="28"/>
          <w:szCs w:val="28"/>
          <w:rtl w:val="true"/>
          <w:lang w:bidi="fa-IR"/>
        </w:rPr>
        <w:t xml:space="preserve">]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ترجیح السند بمطلق الظنّ</w:t>
      </w:r>
    </w:p>
    <w:p>
      <w:pPr>
        <w:pStyle w:val="BookText"/>
        <w:rPr/>
      </w:pPr>
      <w:r>
        <w:rPr>
          <w:rFonts w:ascii="IRNazanin" w:hAnsi="IRNazanin" w:eastAsia="IRNazanin"/>
          <w:color w:val="111111"/>
          <w:sz w:val="28"/>
          <w:sz w:val="28"/>
          <w:szCs w:val="28"/>
          <w:rtl w:val="true"/>
          <w:lang w:bidi="fa-IR"/>
        </w:rPr>
        <w:t xml:space="preserve">؛إذ الکلام </w:t>
      </w:r>
      <w:r>
        <w:rPr>
          <w:rStyle w:val="FootnoteAnchor"/>
          <w:rtl w:val="true"/>
        </w:rPr>
        <w:footnoteReference w:id="2046"/>
      </w:r>
      <w:r>
        <w:rPr>
          <w:rFonts w:ascii="IRNazanin" w:hAnsi="IRNazanin" w:eastAsia="IRNazanin"/>
          <w:color w:val="111111"/>
          <w:sz w:val="28"/>
          <w:sz w:val="28"/>
          <w:szCs w:val="28"/>
          <w:rtl w:val="true"/>
          <w:lang w:bidi="fa-IR"/>
        </w:rPr>
        <w:t>فیه أیضا مفروض فیما إذا لم نقل بحجّیة الظنّ المطلق و لا بحجّیة الخبرین بشرط إفادة الظنّ و لا بشرط عدم الظنّ علی خلافه؛إذ یخرج الظنّ المفروض علی هذه التقادیر عن المرجّحیّة</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یصیر حجّة مستقلّة علی الأوّل،سواء کان حجّیة المتعارضین من باب الظنّ المطلق أو من باب الاطمئنان أو من باب الظنّ الخاصّ؛ فإنّ القول بالظنّ المطلق لا ینافی القول بالظنّ الخاصّ فی بعض الأمارات کالخبر الصحیح بعدلین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یسقط المرجوح عن الحجّیة علی </w:t>
      </w:r>
      <w:bookmarkStart w:id="1613" w:name="pg12977_114645"/>
    </w:p>
    <w:p>
      <w:pPr>
        <w:pStyle w:val="BookText"/>
        <w:rPr/>
      </w:pPr>
      <w:bookmarkEnd w:id="1613"/>
      <w:r>
        <w:rPr>
          <w:rFonts w:ascii="IRNazanin" w:hAnsi="IRNazanin" w:eastAsia="IRNazanin"/>
          <w:color w:val="111111"/>
          <w:sz w:val="28"/>
          <w:sz w:val="28"/>
          <w:szCs w:val="28"/>
          <w:rtl w:val="true"/>
          <w:lang w:bidi="fa-IR"/>
        </w:rPr>
        <w:t>الأخیرین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فیتعیّن الکلام فی مرجّحیّته فیما إذا قلنا بحجّیة کلّ منهما من حیث الظنّ النوعیّ کما هو مذهب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یقع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فی الترجیح بالظنّ فی مقام لولاه لحکم بالتخییر،و اخری فی الترجیح به فی مقابل المرجّحات المنصوصة فی الأخبار العلاجیّة</w:t>
      </w:r>
      <w:r>
        <w:rPr>
          <w:rFonts w:eastAsia="IRNazanin" w:cs="IRNazanin"/>
          <w:color w:val="111111"/>
          <w:sz w:val="28"/>
          <w:szCs w:val="28"/>
          <w:rtl w:val="true"/>
          <w:lang w:bidi="fa-IR"/>
        </w:rPr>
        <w:t>.</w:t>
      </w:r>
    </w:p>
    <w:p>
      <w:pPr>
        <w:pStyle w:val="Heading6"/>
        <w:numPr>
          <w:ilvl w:val="5"/>
          <w:numId w:val="1"/>
        </w:numPr>
        <w:rPr/>
      </w:pPr>
      <w:bookmarkStart w:id="1614" w:name="__RefHeading___Toc5447667_3224264995"/>
      <w:bookmarkStart w:id="1615" w:name="_Toc615"/>
      <w:bookmarkEnd w:id="1614"/>
      <w:r>
        <w:rPr>
          <w:rtl w:val="true"/>
        </w:rPr>
        <w:t>مقتضی الأصل عدم الترجیح</w:t>
      </w:r>
      <w:bookmarkEnd w:id="1615"/>
    </w:p>
    <w:p>
      <w:pPr>
        <w:pStyle w:val="BookText"/>
        <w:rPr/>
      </w:pPr>
      <w:r>
        <w:rPr>
          <w:rFonts w:ascii="Amiri" w:hAnsi="Amiri" w:eastAsia="Amiri" w:cs="Amiri"/>
          <w:color w:val="111111"/>
          <w:sz w:val="28"/>
          <w:sz w:val="28"/>
          <w:szCs w:val="28"/>
          <w:rtl w:val="true"/>
          <w:lang w:bidi="ar-SA"/>
        </w:rPr>
        <w:t xml:space="preserve">أمّا الکلام فی الأوّل </w:t>
      </w:r>
      <w:r>
        <w:rPr>
          <w:rStyle w:val="FootnoteAnchor"/>
          <w:rtl w:val="true"/>
        </w:rPr>
        <w:footnoteReference w:id="2047"/>
      </w:r>
      <w:r>
        <w:rPr>
          <w:rFonts w:ascii="Amiri" w:hAnsi="Amiri" w:eastAsia="Amiri" w:cs="Amiri"/>
          <w:color w:val="111111"/>
          <w:sz w:val="28"/>
          <w:sz w:val="28"/>
          <w:szCs w:val="28"/>
          <w:rtl w:val="true"/>
          <w:lang w:bidi="ar-SA"/>
        </w:rPr>
        <w:t>فملخّصه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 لا ریب فی أنّ مقتضی الأصل عدم الترجیح کما أنّ الأصل عدم الحجّیّة؛لأنّ العمل بالخبر الموافق لذلک الظنّ إن کان علی وجه التدیّن و الالتزام بتعیّن العمل به من جانب الشارع و أنّ الحکم الشرعیّ الواقعیّ هو مضمونه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مضمون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دلیل قطعیّ یدلّ علی ذلک،فهو تشریع محرّم بالأدلّة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العمل به لا علی هذا الوجه محرّم إذا استلزم مخالفة القاعدة أو الأصل الذی یرجع إلیه علی تقدیر فقد هذا الظنّ</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فالوجه المقتضی لتحریم العمل بالظنّ مستقلا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التشریع أو مخالفة الاصول القطعیّة الموجودة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جار بعینه فی الترجیح بالظنّ،و الآیات و الأخبار الناهیة عن القول بغیر علم کلّها متساویة النسبة إلی الحجّیّة و إلی المرجّحیة،و قد عرفت </w:t>
      </w:r>
      <w:r>
        <w:rPr>
          <w:rStyle w:val="FootnoteAnchor"/>
          <w:rtl w:val="true"/>
        </w:rPr>
        <w:footnoteReference w:id="2048"/>
      </w:r>
      <w:r>
        <w:rPr>
          <w:rFonts w:ascii="IRNazanin" w:hAnsi="IRNazanin" w:eastAsia="IRNazanin"/>
          <w:color w:val="111111"/>
          <w:sz w:val="28"/>
          <w:sz w:val="28"/>
          <w:szCs w:val="28"/>
          <w:rtl w:val="true"/>
          <w:lang w:bidi="fa-IR"/>
        </w:rPr>
        <w:t xml:space="preserve">فی الترجیح بالقیاس </w:t>
      </w:r>
      <w:bookmarkStart w:id="1616" w:name="pg12977_114646"/>
    </w:p>
    <w:p>
      <w:pPr>
        <w:pStyle w:val="BookText"/>
        <w:rPr/>
      </w:pPr>
      <w:bookmarkEnd w:id="1616"/>
      <w:r>
        <w:rPr>
          <w:rFonts w:ascii="IRNazanin" w:hAnsi="IRNazanin" w:eastAsia="IRNazanin"/>
          <w:color w:val="111111"/>
          <w:sz w:val="28"/>
          <w:sz w:val="28"/>
          <w:szCs w:val="28"/>
          <w:rtl w:val="true"/>
          <w:lang w:bidi="fa-IR"/>
        </w:rPr>
        <w:t xml:space="preserve">أنّ المرجّح یحدث حکما شرعیّا لم یکن مع عدمه،و هو وجوب العمل بموافقه </w:t>
      </w:r>
      <w:r>
        <w:rPr>
          <w:rStyle w:val="FootnoteAnchor"/>
          <w:rtl w:val="true"/>
        </w:rPr>
        <w:footnoteReference w:id="2049"/>
      </w:r>
      <w:r>
        <w:rPr>
          <w:rFonts w:ascii="IRNazanin" w:hAnsi="IRNazanin" w:eastAsia="IRNazanin"/>
          <w:color w:val="111111"/>
          <w:sz w:val="28"/>
          <w:sz w:val="28"/>
          <w:szCs w:val="28"/>
          <w:rtl w:val="true"/>
          <w:lang w:bidi="fa-IR"/>
        </w:rPr>
        <w:t>عینا مع کون الحکم لا معه هو التخییر أو الرجوع إلی الأصل الموافق للآخر</w:t>
      </w:r>
      <w:r>
        <w:rPr>
          <w:rFonts w:eastAsia="IRNazanin" w:cs="IRNazanin"/>
          <w:color w:val="111111"/>
          <w:sz w:val="28"/>
          <w:szCs w:val="28"/>
          <w:rtl w:val="true"/>
          <w:lang w:bidi="fa-IR"/>
        </w:rPr>
        <w:t>.</w:t>
      </w:r>
    </w:p>
    <w:p>
      <w:pPr>
        <w:pStyle w:val="Heading6"/>
        <w:numPr>
          <w:ilvl w:val="5"/>
          <w:numId w:val="1"/>
        </w:numPr>
        <w:rPr/>
      </w:pPr>
      <w:bookmarkStart w:id="1617" w:name="__RefHeading___Toc5447669_3224264995"/>
      <w:bookmarkStart w:id="1618" w:name="_Toc616"/>
      <w:bookmarkEnd w:id="1617"/>
      <w:r>
        <w:rPr>
          <w:rtl w:val="true"/>
        </w:rPr>
        <w:t>ظاهر معظم الاصولیین هو الترجیح</w:t>
      </w:r>
      <w:bookmarkEnd w:id="1618"/>
    </w:p>
    <w:p>
      <w:pPr>
        <w:pStyle w:val="BookText"/>
        <w:rPr/>
      </w:pPr>
      <w:r>
        <w:rPr>
          <w:rFonts w:ascii="IRNazanin" w:hAnsi="IRNazanin" w:eastAsia="IRNazanin"/>
          <w:color w:val="111111"/>
          <w:sz w:val="28"/>
          <w:sz w:val="28"/>
          <w:szCs w:val="28"/>
          <w:rtl w:val="true"/>
          <w:lang w:bidi="fa-IR"/>
        </w:rPr>
        <w:t xml:space="preserve">هذا،و لکنّ الذی یظهر من کلمات معظم الاصولیّین </w:t>
      </w:r>
      <w:r>
        <w:rPr>
          <w:rStyle w:val="FootnoteAnchor"/>
          <w:rtl w:val="true"/>
        </w:rPr>
        <w:footnoteReference w:id="2050"/>
      </w:r>
      <w:r>
        <w:rPr>
          <w:rFonts w:ascii="IRNazanin" w:hAnsi="IRNazanin" w:eastAsia="IRNazanin"/>
          <w:color w:val="111111"/>
          <w:sz w:val="28"/>
          <w:sz w:val="28"/>
          <w:szCs w:val="28"/>
          <w:rtl w:val="true"/>
          <w:lang w:bidi="fa-IR"/>
        </w:rPr>
        <w:t>هو الترجیح بمطلق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 فی عنوان المقامات الثلاثة،أعنی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الجبر،و الوهن،و الترجیح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الظنّ الذی لم یعلم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فالترجیح به من حیث السند أو الدلالة ترجیح بأمر خارجیّ، و هذا لا دخل له بمسألة اخری اتّفاقیّة،و هی وجوب العمل بأقوی الدلیلین و أرجحهما؛فإنّ الکلام فیها فی </w:t>
      </w:r>
      <w:r>
        <w:rPr>
          <w:rStyle w:val="FootnoteAnchor"/>
          <w:rtl w:val="true"/>
        </w:rPr>
        <w:footnoteReference w:id="2051"/>
      </w:r>
      <w:r>
        <w:rPr>
          <w:rFonts w:ascii="IRNazanin" w:hAnsi="IRNazanin" w:eastAsia="IRNazanin"/>
          <w:color w:val="111111"/>
          <w:sz w:val="28"/>
          <w:sz w:val="28"/>
          <w:szCs w:val="28"/>
          <w:rtl w:val="true"/>
          <w:lang w:bidi="fa-IR"/>
        </w:rPr>
        <w:t>ترجیح أحد الخبرین الذی یکون بنفسه أقوی من الآخر من حیث السند،کالأعدل و الأفقه أو المسند أو الأشهر روایة أو غیر ذلک،أو من حیث الدلالة، کالعامّ علی المطلق،و الحقیقة علی المجاز،و المجاز علی الإضمار، و غیر ذلک</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الترجیح بالمرجّحات الداخلیّة من جهة السند </w:t>
      </w:r>
      <w:r>
        <w:rPr>
          <w:rStyle w:val="FootnoteAnchor"/>
          <w:rtl w:val="true"/>
        </w:rPr>
        <w:footnoteReference w:id="2052"/>
      </w:r>
      <w:bookmarkStart w:id="1619" w:name="pg12977_114647"/>
    </w:p>
    <w:p>
      <w:pPr>
        <w:pStyle w:val="BookText"/>
        <w:rPr/>
      </w:pPr>
      <w:bookmarkEnd w:id="1619"/>
      <w:r>
        <w:rPr>
          <w:rFonts w:ascii="IRNazanin" w:hAnsi="IRNazanin" w:eastAsia="IRNazanin"/>
          <w:color w:val="111111"/>
          <w:sz w:val="28"/>
          <w:sz w:val="28"/>
          <w:szCs w:val="28"/>
          <w:rtl w:val="true"/>
          <w:lang w:bidi="fa-IR"/>
        </w:rPr>
        <w:t xml:space="preserve">اتّفاقیّ،و استفاض نقل الإجماع من الخاصّة و العامّة علی وجوب العمل بأقوی الدلیلین عن الآخر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الکلام هنا فی المرجّحات الخارجیّة المعاضدة لمضمون أحد الخبرین الموجبة لصیرورة مضمونه أقرب إلی الواقع من مضمون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نعم،لو کشف تلک الأمارة عن مزیّة داخلیّة لأحد الخبرین علی الآخر من حیث سنده أو دلالته دخلت فی المسألة الاتّفاقیّة و وجب الأخذ بها؛لأنّ العمل بالراجح من الدلیلین واجب إجماعا </w:t>
      </w:r>
      <w:r>
        <w:rPr>
          <w:rStyle w:val="FootnoteAnchor"/>
          <w:rtl w:val="true"/>
        </w:rPr>
        <w:footnoteReference w:id="2054"/>
      </w:r>
      <w:r>
        <w:rPr>
          <w:rFonts w:ascii="IRNazanin" w:hAnsi="IRNazanin" w:eastAsia="IRNazanin"/>
          <w:color w:val="111111"/>
          <w:sz w:val="28"/>
          <w:sz w:val="28"/>
          <w:szCs w:val="28"/>
          <w:rtl w:val="true"/>
          <w:lang w:bidi="fa-IR"/>
        </w:rPr>
        <w:t>،سواء علم وجه الرجحان تفصیلا أم لم یعلم إلاّ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الترجیح بالشهرة و الإجماع المنقول إذا کشفا عن مزیّة داخلیّة فی سند أحد الخبرین أو دلالته،ممّا لا ینبغی الخلاف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لم یکشفا عن ذلک إلاّ ظنّا ففی حجّیته أو إلحاقه بالمرجّح الخارجیّ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أقواهما الأوّل کما سیجیء</w:t>
      </w:r>
      <w:r>
        <w:rPr>
          <w:rFonts w:eastAsia="IRNazanin" w:cs="IRNazanin"/>
          <w:color w:val="111111"/>
          <w:sz w:val="28"/>
          <w:szCs w:val="28"/>
          <w:rtl w:val="true"/>
          <w:lang w:bidi="fa-IR"/>
        </w:rPr>
        <w:t>.</w:t>
      </w:r>
    </w:p>
    <w:p>
      <w:pPr>
        <w:pStyle w:val="Heading6"/>
        <w:numPr>
          <w:ilvl w:val="5"/>
          <w:numId w:val="1"/>
        </w:numPr>
        <w:rPr/>
      </w:pPr>
      <w:bookmarkStart w:id="1620" w:name="__RefHeading___Toc5447671_3224264995"/>
      <w:bookmarkStart w:id="1621" w:name="_Toc617"/>
      <w:bookmarkEnd w:id="1620"/>
      <w:r>
        <w:rPr>
          <w:rtl w:val="true"/>
        </w:rPr>
        <w:t>ما استدلّ به للترجیح بمطلق الظنّ</w:t>
      </w:r>
      <w:r>
        <w:rPr>
          <w:rtl w:val="true"/>
        </w:rPr>
        <w:t>:</w:t>
      </w:r>
      <w:bookmarkEnd w:id="1621"/>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 یمکن أن یستدلّ به للترجیح بمطلق الظنّ الخارجیّ وجوه</w:t>
      </w:r>
      <w:r>
        <w:rPr>
          <w:rFonts w:eastAsia="IRNazanin" w:cs="IRNazanin"/>
          <w:color w:val="111111"/>
          <w:sz w:val="28"/>
          <w:szCs w:val="28"/>
          <w:rtl w:val="true"/>
          <w:lang w:bidi="fa-IR"/>
        </w:rPr>
        <w:t>:</w:t>
      </w:r>
    </w:p>
    <w:p>
      <w:pPr>
        <w:pStyle w:val="Heading6"/>
        <w:numPr>
          <w:ilvl w:val="5"/>
          <w:numId w:val="1"/>
        </w:numPr>
        <w:rPr/>
      </w:pPr>
      <w:bookmarkStart w:id="1622" w:name="__RefHeading___Toc5447673_3224264995"/>
      <w:bookmarkStart w:id="1623" w:name="_Toc618"/>
      <w:bookmarkEnd w:id="1622"/>
      <w:r>
        <w:rPr>
          <w:rtl w:val="true"/>
        </w:rPr>
        <w:t>الوجه الأوّل</w:t>
      </w:r>
      <w:r>
        <w:rPr>
          <w:rtl w:val="true"/>
        </w:rPr>
        <w:t>:</w:t>
      </w:r>
      <w:r>
        <w:rPr>
          <w:rtl w:val="true"/>
        </w:rPr>
        <w:t>قاعدة الاشتغال</w:t>
      </w:r>
      <w:bookmarkEnd w:id="1623"/>
    </w:p>
    <w:p>
      <w:pPr>
        <w:pStyle w:val="BookText"/>
        <w:rPr/>
      </w:pPr>
      <w:r>
        <w:rPr>
          <w:rFonts w:ascii="IRNazanin" w:hAnsi="IRNazanin" w:eastAsia="IRNazanin"/>
          <w:color w:val="111111"/>
          <w:sz w:val="28"/>
          <w:sz w:val="28"/>
          <w:szCs w:val="28"/>
          <w:rtl w:val="true"/>
          <w:lang w:bidi="fa-IR"/>
        </w:rPr>
        <w:t>؛لدوران الأمر بین التخییر و تعیین الموافق للظنّ</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قد یکون الطرف المخالف للظنّ موافقا للاحتیاط اللازم فی المسألة الفرعیّة فیعارض الاحتیاط فی المسألة الاصولیّة،بل </w:t>
      </w:r>
    </w:p>
    <w:p>
      <w:pPr>
        <w:pStyle w:val="BookText"/>
        <w:rPr/>
      </w:pPr>
      <w:r>
        <w:rPr>
          <w:rFonts w:ascii="IRNazanin" w:hAnsi="IRNazanin" w:eastAsia="IRNazanin"/>
          <w:color w:val="111111"/>
          <w:sz w:val="28"/>
          <w:sz w:val="28"/>
          <w:szCs w:val="28"/>
          <w:rtl w:val="true"/>
          <w:lang w:bidi="fa-IR"/>
        </w:rPr>
        <w:t>یرجّح علیه فی مثل المقام کما نبّهنا علیه عند الکلام فی معمّمات نتیجة دلیل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المفروض فی ما نحن فیه عدم وجوب الأخذ بما وافق الاحتیاط من الخبرین لو لا الظنّ؛لأنّ الأخذ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من جهة اقتضاء المورد للاحتیاط،فقد ورد علیه حکم الشارع بالتخییر المرخّص للأخذ بخلاف الاحتیاط،و براءة الذمّة من الواقع فی حکم الشارع بالعمل بالخبر المخالف له؛و لهذا یحکم بالتخییر أیضا و إن کان أحدهما موافقا للاستصحاب و الآخر مخالفا؛إذ کما أنّ الدلیل المعیّن للعمل به یکون حاکما علی الاصول،کذلک الدلیل المخیّر فی العمل به و بمعارضه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من جهة بعض الأخبار الدالّة علی وجوب الأخذ بما وافق الاحتیاط و طرح ما خالفه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تقرّر فی محلّه </w:t>
      </w:r>
      <w:r>
        <w:rPr>
          <w:rStyle w:val="FootnoteAnchor"/>
          <w:rtl w:val="true"/>
        </w:rPr>
        <w:footnoteReference w:id="2056"/>
      </w:r>
      <w:r>
        <w:rPr>
          <w:rFonts w:ascii="IRNazanin" w:hAnsi="IRNazanin" w:eastAsia="IRNazanin"/>
          <w:color w:val="111111"/>
          <w:sz w:val="28"/>
          <w:sz w:val="28"/>
          <w:szCs w:val="28"/>
          <w:rtl w:val="true"/>
          <w:lang w:bidi="fa-IR"/>
        </w:rPr>
        <w:t>،من عدم نهوض تلک الأخبار لتخصیص الأخبار الدالّة علی التخییر</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هنا کلام آخر،و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حجّیّة الخبر المرجوح فی المقام و جواز الأخذ به یحتاج إلی توقیف؛إذ لا یکفی فی ذلک ما دلّ علی حجّیة کلا المتعارضین بعد فرض امتناع العمل بکلّ منهما،فیجب الأخذ بالمتیقّن جواز العمل به و طرح المشکوک،و لیس المقام مقام التکلیف المردّد بین التعیین و التخییر حتّی یبنی علی مسألة البراءة و الاشتغال</w:t>
      </w:r>
      <w:r>
        <w:rPr>
          <w:rFonts w:eastAsia="IRNazanin" w:cs="IRNazanin"/>
          <w:color w:val="111111"/>
          <w:sz w:val="28"/>
          <w:szCs w:val="28"/>
          <w:rtl w:val="true"/>
          <w:lang w:bidi="fa-IR"/>
        </w:rPr>
        <w:t xml:space="preserve">. </w:t>
      </w:r>
      <w:bookmarkStart w:id="1624" w:name="pg12977_114649"/>
    </w:p>
    <w:p>
      <w:pPr>
        <w:pStyle w:val="BookText"/>
        <w:rPr/>
      </w:pPr>
      <w:bookmarkEnd w:id="1624"/>
      <w:r>
        <w:rPr>
          <w:rFonts w:ascii="IRNazanin" w:hAnsi="IRNazanin" w:eastAsia="IRNazanin"/>
          <w:color w:val="111111"/>
          <w:sz w:val="28"/>
          <w:sz w:val="28"/>
          <w:szCs w:val="28"/>
          <w:rtl w:val="true"/>
          <w:lang w:bidi="fa-IR"/>
        </w:rPr>
        <w:t xml:space="preserve">و تمام الکلام فی خاتمة الکتاب فی مبحث التراجیح </w:t>
      </w:r>
      <w:r>
        <w:rPr>
          <w:rStyle w:val="FootnoteAnchor"/>
          <w:rtl w:val="true"/>
        </w:rPr>
        <w:footnoteReference w:id="2057"/>
      </w:r>
      <w:r>
        <w:rPr>
          <w:rFonts w:ascii="IRNazanin" w:hAnsi="IRNazanin" w:eastAsia="IRNazanin"/>
          <w:color w:val="111111"/>
          <w:sz w:val="28"/>
          <w:sz w:val="28"/>
          <w:szCs w:val="28"/>
          <w:rtl w:val="true"/>
          <w:lang w:bidi="fa-IR"/>
        </w:rPr>
        <w:t xml:space="preserve">إن شاء اللّه تعالی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25" w:name="__RefHeading___Toc5447675_3224264995"/>
      <w:bookmarkStart w:id="1626" w:name="_Toc619"/>
      <w:bookmarkEnd w:id="1625"/>
      <w:r>
        <w:rPr>
          <w:rtl w:val="true"/>
        </w:rPr>
        <w:t>الوجه الثانی</w:t>
      </w:r>
      <w:r>
        <w:rPr>
          <w:rtl w:val="true"/>
        </w:rPr>
        <w:t>:</w:t>
      </w:r>
      <w:r>
        <w:rPr>
          <w:rtl w:val="true"/>
        </w:rPr>
        <w:t>ظهور الإجماع علی ذلک</w:t>
      </w:r>
      <w:bookmarkEnd w:id="1626"/>
    </w:p>
    <w:p>
      <w:pPr>
        <w:pStyle w:val="BookText"/>
        <w:rPr/>
      </w:pPr>
      <w:r>
        <w:rPr>
          <w:rFonts w:ascii="IRNazanin" w:hAnsi="IRNazanin" w:eastAsia="IRNazanin"/>
          <w:color w:val="111111"/>
          <w:sz w:val="28"/>
          <w:sz w:val="28"/>
          <w:szCs w:val="28"/>
          <w:rtl w:val="true"/>
          <w:lang w:bidi="fa-IR"/>
        </w:rPr>
        <w:t xml:space="preserve">،کما استظهره بعض مشایخنا </w:t>
      </w:r>
      <w:r>
        <w:rPr>
          <w:rStyle w:val="FootnoteAnchor"/>
          <w:rtl w:val="true"/>
        </w:rPr>
        <w:footnoteReference w:id="2059"/>
      </w:r>
      <w:r>
        <w:rPr>
          <w:rFonts w:ascii="IRNazanin" w:hAnsi="IRNazanin" w:eastAsia="IRNazanin"/>
          <w:color w:val="111111"/>
          <w:sz w:val="28"/>
          <w:sz w:val="28"/>
          <w:szCs w:val="28"/>
          <w:rtl w:val="true"/>
          <w:lang w:bidi="fa-IR"/>
        </w:rPr>
        <w:t xml:space="preserve">فتراهم یستدلّون فی موارد الترجیح </w:t>
      </w:r>
      <w:r>
        <w:rPr>
          <w:rStyle w:val="FootnoteAnchor"/>
          <w:rtl w:val="true"/>
        </w:rPr>
        <w:footnoteReference w:id="2060"/>
      </w:r>
      <w:r>
        <w:rPr>
          <w:rFonts w:ascii="IRNazanin" w:hAnsi="IRNazanin" w:eastAsia="IRNazanin"/>
          <w:color w:val="111111"/>
          <w:sz w:val="28"/>
          <w:sz w:val="28"/>
          <w:szCs w:val="28"/>
          <w:rtl w:val="true"/>
          <w:lang w:bidi="fa-IR"/>
        </w:rPr>
        <w:t>ببعض المرجّحات الخارجیّة، بإفادته للظنّ بمطابقة أحد الدلیلین للواقع،فکأنّ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وجوب الأخذ بمطلق ما یفید الظنّ علی طبق أحد الدلیلین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مسلّمة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یستفاد ذلک من الإجماعات المستفیضة علی وجوب الأخذ بأقوی المتعارضین </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یشکل بما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Style w:val="FootnoteAnchor"/>
          <w:rtl w:val="true"/>
        </w:rPr>
        <w:footnoteReference w:id="2062"/>
      </w:r>
      <w:r>
        <w:rPr>
          <w:rFonts w:ascii="IRNazanin" w:hAnsi="IRNazanin" w:eastAsia="IRNazanin"/>
          <w:color w:val="111111"/>
          <w:sz w:val="28"/>
          <w:sz w:val="28"/>
          <w:szCs w:val="28"/>
          <w:rtl w:val="true"/>
          <w:lang w:bidi="fa-IR"/>
        </w:rPr>
        <w:t xml:space="preserve">أنّ الظاهر أنّ المراد بأقوی الدلیلین فیها </w:t>
      </w:r>
      <w:r>
        <w:rPr>
          <w:rStyle w:val="FootnoteAnchor"/>
          <w:rtl w:val="true"/>
        </w:rPr>
        <w:footnoteReference w:id="2063"/>
      </w:r>
      <w:r>
        <w:rPr>
          <w:rFonts w:ascii="IRNazanin" w:hAnsi="IRNazanin" w:eastAsia="IRNazanin"/>
          <w:color w:val="111111"/>
          <w:sz w:val="28"/>
          <w:sz w:val="28"/>
          <w:szCs w:val="28"/>
          <w:rtl w:val="true"/>
          <w:lang w:bidi="fa-IR"/>
        </w:rPr>
        <w:t xml:space="preserve">ما کان کذلک فی نفسه و لو لکشف أمر خارجیّ عن ذلک،کعمل الأکثر الکاشف عن مرجّح داخلیّ لا نعلمه تفصیلا، فلا یدخل فیه ما کان مضمونه مطابقا لأمارة غیر معتبرة،کالاستقراء و الأولویّة الظنیّة مثلا علی تقدیر عدم اعتبارهما؛فإنّ الظاهر خروج </w:t>
      </w:r>
    </w:p>
    <w:p>
      <w:pPr>
        <w:pStyle w:val="BookText"/>
        <w:rPr/>
      </w:pPr>
      <w:r>
        <w:rPr>
          <w:rFonts w:ascii="IRNazanin" w:hAnsi="IRNazanin" w:eastAsia="IRNazanin"/>
          <w:color w:val="111111"/>
          <w:sz w:val="28"/>
          <w:sz w:val="28"/>
          <w:szCs w:val="28"/>
          <w:rtl w:val="true"/>
          <w:lang w:bidi="fa-IR"/>
        </w:rPr>
        <w:t>ذلک عن معقد تلک الإجماعات و إن کان بعض أدلّتهم الآخر قد یفید العموم لما نحن فیه کقبح ترجیح المرجوح،إلاّ أنّه لا یبعد أن یکون المراد المرجوح فی نفسه من المتعارضین لا مجرّد المرجوح بحسب الواقع؛ و إلاّ اقتضی ذلک حجّیة نفس المرجّح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 کلماتهم یستفاد منه،أنّ العبرة فی الترجیح بصیرورة مضمون أحد الخبرین بواسطة المرجّح أقرب إلی الواقع من مضمون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استظهر بعض مشایخنا </w:t>
      </w:r>
      <w:r>
        <w:rPr>
          <w:rStyle w:val="FootnoteAnchor"/>
          <w:rtl w:val="true"/>
        </w:rPr>
        <w:footnoteReference w:id="2064"/>
      </w:r>
      <w:r>
        <w:rPr>
          <w:rFonts w:ascii="IRNazanin" w:hAnsi="IRNazanin" w:eastAsia="IRNazanin"/>
          <w:color w:val="111111"/>
          <w:sz w:val="28"/>
          <w:sz w:val="28"/>
          <w:szCs w:val="28"/>
          <w:rtl w:val="true"/>
          <w:lang w:bidi="fa-IR"/>
        </w:rPr>
        <w:t>الاتّفاق علی الترجیح بکلّ ظنّ ما عدا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تقدّم عن المعارج </w:t>
      </w:r>
      <w:r>
        <w:rPr>
          <w:rStyle w:val="FootnoteAnchor"/>
          <w:rtl w:val="true"/>
        </w:rPr>
        <w:footnoteReference w:id="2065"/>
      </w:r>
      <w:r>
        <w:rPr>
          <w:rFonts w:ascii="IRNazanin" w:hAnsi="IRNazanin" w:eastAsia="IRNazanin"/>
          <w:color w:val="111111"/>
          <w:sz w:val="28"/>
          <w:sz w:val="28"/>
          <w:szCs w:val="28"/>
          <w:rtl w:val="true"/>
          <w:lang w:bidi="fa-IR"/>
        </w:rPr>
        <w:t>،من الاستدلال للترجیح بالقیاس بکون مضمون الخبر الموافق له أقرب إلی الواقع من مضمون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ذکروه فی مسائل تعارض الناقل مع المقرّر،فإنّ مرجع ما ذکروا فیها لتقدیم أحدهما علی الآخر إلی الظنّ بموافقة أحدهما لحکم اللّه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حاصل من نفس الخبر المتّصف بکونه مقرّرا أو ناقلا</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ذکروه فی ترجیح أحد الخبرین بعمل أکثر السلف معلّلین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الأکثر یوفّق للصواب بما لا یوفّق له الأقلّ،و فی ترجیحه </w:t>
      </w:r>
      <w:bookmarkStart w:id="1627" w:name="pg12977_114651"/>
    </w:p>
    <w:p>
      <w:pPr>
        <w:pStyle w:val="BookText"/>
        <w:rPr/>
      </w:pPr>
      <w:bookmarkEnd w:id="1627"/>
      <w:r>
        <w:rPr>
          <w:rFonts w:ascii="IRNazanin" w:hAnsi="IRNazanin" w:eastAsia="IRNazanin"/>
          <w:color w:val="111111"/>
          <w:sz w:val="28"/>
          <w:sz w:val="28"/>
          <w:szCs w:val="28"/>
          <w:rtl w:val="true"/>
          <w:lang w:bidi="fa-IR"/>
        </w:rPr>
        <w:t>بعمل علماء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کاشف عن مرجّح داخلیّ فی أحد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فتتبّع کلماتهم یوجب الظنّ القویّ بل القطع بأنّ بناءهم علی الأخذ بکلّ ما یشتمل علی ما یوجب أقربیّته إلی الصواب،سواء کان لأمر راجع إلی نفسه أو لاحتفافه بأمارة أجنبیّة توجب قوّة مضمونها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لو فرض عدم حصول القطع من هذه الکلمات بمرجّحیة مطلق الظنّ </w:t>
      </w:r>
      <w:r>
        <w:rPr>
          <w:rStyle w:val="FootnoteAnchor"/>
          <w:rtl w:val="true"/>
        </w:rPr>
        <w:footnoteReference w:id="2066"/>
      </w:r>
      <w:r>
        <w:rPr>
          <w:rFonts w:ascii="IRNazanin" w:hAnsi="IRNazanin" w:eastAsia="IRNazanin"/>
          <w:color w:val="111111"/>
          <w:sz w:val="28"/>
          <w:sz w:val="28"/>
          <w:szCs w:val="28"/>
          <w:rtl w:val="true"/>
          <w:lang w:bidi="fa-IR"/>
        </w:rPr>
        <w:t xml:space="preserve">المطابق لمضمون أحد الخبرین،فلا أقلّ من کونه مظنونا، و الظاهر وجوب العمل به فی مقابل التخییر و إن لم یجب العمل به فی مقابل الاصول،و سیجیء بیان ذلک </w:t>
      </w:r>
      <w:r>
        <w:rPr>
          <w:rStyle w:val="FootnoteAnchor"/>
          <w:rtl w:val="true"/>
        </w:rPr>
        <w:footnoteReference w:id="2067"/>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Heading6"/>
        <w:numPr>
          <w:ilvl w:val="5"/>
          <w:numId w:val="1"/>
        </w:numPr>
        <w:rPr/>
      </w:pPr>
      <w:bookmarkStart w:id="1628" w:name="__RefHeading___Toc5447677_3224264995"/>
      <w:bookmarkStart w:id="1629" w:name="_Toc620"/>
      <w:bookmarkEnd w:id="1628"/>
      <w:r>
        <w:rPr>
          <w:rtl w:val="true"/>
        </w:rPr>
        <w:t>الوجه الثالث</w:t>
      </w:r>
      <w:r>
        <w:rPr>
          <w:rtl w:val="true"/>
        </w:rPr>
        <w:t>:</w:t>
      </w:r>
      <w:r>
        <w:rPr>
          <w:rtl w:val="true"/>
        </w:rPr>
        <w:t>ما یظهر من بعض الأخبار</w:t>
      </w:r>
      <w:bookmarkEnd w:id="1629"/>
    </w:p>
    <w:p>
      <w:pPr>
        <w:pStyle w:val="BookText"/>
        <w:rPr/>
      </w:pPr>
      <w:r>
        <w:rPr>
          <w:rFonts w:ascii="IRNazanin" w:hAnsi="IRNazanin" w:eastAsia="IRNazanin"/>
          <w:color w:val="111111"/>
          <w:sz w:val="28"/>
          <w:sz w:val="28"/>
          <w:szCs w:val="28"/>
          <w:rtl w:val="true"/>
          <w:lang w:bidi="fa-IR"/>
        </w:rPr>
        <w:t xml:space="preserve">،من أنّ المناط فی الترجیح کون أحد الخبرین أقرب مطابقة للواقع،سواء کان لمرجّح داخلیّ کالأعدلیّة مثلا،أو لمرجّح </w:t>
      </w:r>
      <w:r>
        <w:rPr>
          <w:rStyle w:val="FootnoteAnchor"/>
          <w:rtl w:val="true"/>
        </w:rPr>
        <w:footnoteReference w:id="2068"/>
      </w:r>
      <w:r>
        <w:rPr>
          <w:rFonts w:ascii="IRNazanin" w:hAnsi="IRNazanin" w:eastAsia="IRNazanin"/>
          <w:color w:val="111111"/>
          <w:sz w:val="28"/>
          <w:sz w:val="28"/>
          <w:szCs w:val="28"/>
          <w:rtl w:val="true"/>
          <w:lang w:bidi="fa-IR"/>
        </w:rPr>
        <w:t>خارجیّ کمطابقته لأمارة توجب کون مضمونه أقرب إلی الواقع من مضمون الآخر</w:t>
      </w:r>
      <w:r>
        <w:rPr>
          <w:rFonts w:eastAsia="IRNazanin" w:cs="IRNazanin"/>
          <w:color w:val="111111"/>
          <w:sz w:val="28"/>
          <w:szCs w:val="28"/>
          <w:rtl w:val="true"/>
          <w:lang w:bidi="fa-IR"/>
        </w:rPr>
        <w:t>:</w:t>
      </w:r>
    </w:p>
    <w:p>
      <w:pPr>
        <w:pStyle w:val="Heading6"/>
        <w:numPr>
          <w:ilvl w:val="5"/>
          <w:numId w:val="1"/>
        </w:numPr>
        <w:rPr/>
      </w:pPr>
      <w:bookmarkStart w:id="1630" w:name="__RefHeading___Toc5447679_3224264995"/>
      <w:bookmarkStart w:id="1631" w:name="_Toc621"/>
      <w:bookmarkEnd w:id="1630"/>
      <w:r>
        <w:rPr>
          <w:rtl w:val="true"/>
        </w:rPr>
        <w:t>ما دل علی الترجیح بالاصدقیه</w:t>
      </w:r>
      <w:bookmarkEnd w:id="1631"/>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فمنها </w:t>
      </w:r>
      <w:r>
        <w:rPr>
          <w:rStyle w:val="FootnoteAnchor"/>
          <w:rtl w:val="true"/>
        </w:rPr>
        <w:footnoteReference w:id="20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 علی الترجیح بالأصدقیّة فی الحدیث کما فی مقبولة ابن حنظلة </w:t>
      </w:r>
      <w:r>
        <w:rPr>
          <w:rStyle w:val="FootnoteAnchor"/>
          <w:rtl w:val="true"/>
        </w:rPr>
        <w:footnoteReference w:id="2070"/>
      </w:r>
      <w:r>
        <w:rPr>
          <w:rFonts w:ascii="IRNazanin" w:hAnsi="IRNazanin" w:eastAsia="IRNazanin"/>
          <w:color w:val="111111"/>
          <w:sz w:val="28"/>
          <w:sz w:val="28"/>
          <w:szCs w:val="28"/>
          <w:rtl w:val="true"/>
          <w:lang w:bidi="fa-IR"/>
        </w:rPr>
        <w:t xml:space="preserve">،فإنّا نعلم أنّ وجه الترجیح بهذه الصفة لیس إلاّ کون </w:t>
      </w:r>
      <w:bookmarkStart w:id="1632" w:name="pg12977_114652"/>
    </w:p>
    <w:p>
      <w:pPr>
        <w:pStyle w:val="BookText"/>
        <w:rPr/>
      </w:pPr>
      <w:bookmarkEnd w:id="1632"/>
      <w:r>
        <w:rPr>
          <w:rFonts w:ascii="IRNazanin" w:hAnsi="IRNazanin" w:eastAsia="IRNazanin"/>
          <w:color w:val="111111"/>
          <w:sz w:val="28"/>
          <w:sz w:val="28"/>
          <w:szCs w:val="28"/>
          <w:rtl w:val="true"/>
          <w:lang w:bidi="fa-IR"/>
        </w:rPr>
        <w:t xml:space="preserve">خبر الموصوف بها أقرب إلی الواقع من خبر غیر الموصوف بها، لا لمجرّد کون راوی أحدهما أصدق </w:t>
      </w:r>
      <w:r>
        <w:rPr>
          <w:rStyle w:val="FootnoteAnchor"/>
          <w:rtl w:val="true"/>
        </w:rPr>
        <w:footnoteReference w:id="2071"/>
      </w:r>
      <w:r>
        <w:rPr>
          <w:rFonts w:ascii="IRNazanin" w:hAnsi="IRNazanin" w:eastAsia="IRNazanin"/>
          <w:color w:val="111111"/>
          <w:sz w:val="28"/>
          <w:sz w:val="28"/>
          <w:szCs w:val="28"/>
          <w:rtl w:val="true"/>
          <w:lang w:bidi="fa-IR"/>
        </w:rPr>
        <w:t xml:space="preserve">،و لیس هذه الصفة مثل الأعدلیّة و شبهها فی احتمال کون العبرة بالظنّ الحاصل من جهتها بالخصوص؛و لذا اعتبر الظنّ الحاصل من عدالة البیّنة دون الحاصل من مطلق وثاقته </w:t>
      </w:r>
      <w:r>
        <w:rPr>
          <w:rStyle w:val="FootnoteAnchor"/>
          <w:rtl w:val="true"/>
        </w:rPr>
        <w:footnoteReference w:id="2072"/>
      </w:r>
      <w:r>
        <w:rPr>
          <w:rFonts w:ascii="IRNazanin" w:hAnsi="IRNazanin" w:eastAsia="IRNazanin"/>
          <w:color w:val="111111"/>
          <w:sz w:val="28"/>
          <w:sz w:val="28"/>
          <w:szCs w:val="28"/>
          <w:rtl w:val="true"/>
          <w:lang w:bidi="fa-IR"/>
        </w:rPr>
        <w:t>لأنّ صفة الصدق لیست إلاّ المطابقة للواقع،فمعنی الأصدق هو الأقرب إلی الواقع،فالترجیح بها یدلّ علی أنّ العبرة بالأقربیّة من أیّ سبب حصلت</w:t>
      </w:r>
      <w:r>
        <w:rPr>
          <w:rFonts w:eastAsia="IRNazanin" w:cs="IRNazanin"/>
          <w:color w:val="111111"/>
          <w:sz w:val="28"/>
          <w:szCs w:val="28"/>
          <w:rtl w:val="true"/>
          <w:lang w:bidi="fa-IR"/>
        </w:rPr>
        <w:t>.</w:t>
      </w:r>
    </w:p>
    <w:p>
      <w:pPr>
        <w:pStyle w:val="Heading6"/>
        <w:numPr>
          <w:ilvl w:val="5"/>
          <w:numId w:val="1"/>
        </w:numPr>
        <w:rPr/>
      </w:pPr>
      <w:bookmarkStart w:id="1633" w:name="__RefHeading___Toc5447681_3224264995"/>
      <w:bookmarkStart w:id="1634" w:name="_Toc622"/>
      <w:bookmarkEnd w:id="1633"/>
      <w:r>
        <w:rPr>
          <w:rtl w:val="true"/>
        </w:rPr>
        <w:t>ما دل علی ترجیح احد الخبرین لکونه مشهورا</w:t>
      </w:r>
      <w:bookmarkEnd w:id="1634"/>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20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دلّ </w:t>
      </w:r>
      <w:r>
        <w:rPr>
          <w:rStyle w:val="FootnoteAnchor"/>
          <w:rtl w:val="true"/>
        </w:rPr>
        <w:footnoteReference w:id="2074"/>
      </w:r>
      <w:r>
        <w:rPr>
          <w:rFonts w:ascii="IRNazanin" w:hAnsi="IRNazanin" w:eastAsia="IRNazanin"/>
          <w:color w:val="111111"/>
          <w:sz w:val="28"/>
          <w:sz w:val="28"/>
          <w:szCs w:val="28"/>
          <w:rtl w:val="true"/>
          <w:lang w:bidi="fa-IR"/>
        </w:rPr>
        <w:t xml:space="preserve">علی ترجیح أوثق المخبرین </w:t>
      </w:r>
      <w:r>
        <w:rPr>
          <w:rStyle w:val="FootnoteAnchor"/>
          <w:rtl w:val="true"/>
        </w:rPr>
        <w:footnoteReference w:id="2075"/>
      </w:r>
      <w:r>
        <w:rPr>
          <w:rFonts w:ascii="IRNazanin" w:hAnsi="IRNazanin" w:eastAsia="IRNazanin"/>
          <w:color w:val="111111"/>
          <w:sz w:val="28"/>
          <w:sz w:val="28"/>
          <w:szCs w:val="28"/>
          <w:rtl w:val="true"/>
          <w:lang w:bidi="fa-IR"/>
        </w:rPr>
        <w:t xml:space="preserve">،فإنّ معنی الأوثقیّة شدّة الاعتماد علیه،و لیس إلاّ لکون خبره أوثق </w:t>
      </w:r>
      <w:r>
        <w:rPr>
          <w:rStyle w:val="FootnoteAnchor"/>
          <w:rtl w:val="true"/>
        </w:rPr>
        <w:footnoteReference w:id="2076"/>
      </w:r>
      <w:r>
        <w:rPr>
          <w:rFonts w:ascii="IRNazanin" w:hAnsi="IRNazanin" w:eastAsia="IRNazanin"/>
          <w:color w:val="111111"/>
          <w:sz w:val="28"/>
          <w:sz w:val="28"/>
          <w:szCs w:val="28"/>
          <w:rtl w:val="true"/>
          <w:lang w:bidi="fa-IR"/>
        </w:rPr>
        <w:t>،فإذا حصل هذا المعنی فی أحد الخبرین من مرجّح خارجی،اتّبع</w:t>
      </w:r>
      <w:r>
        <w:rPr>
          <w:rFonts w:eastAsia="IRNazanin" w:cs="IRNazanin"/>
          <w:color w:val="111111"/>
          <w:sz w:val="28"/>
          <w:szCs w:val="28"/>
          <w:rtl w:val="true"/>
          <w:lang w:bidi="fa-IR"/>
        </w:rPr>
        <w:t>.</w:t>
      </w:r>
    </w:p>
    <w:p>
      <w:pPr>
        <w:pStyle w:val="Heading6"/>
        <w:numPr>
          <w:ilvl w:val="5"/>
          <w:numId w:val="1"/>
        </w:numPr>
        <w:rPr/>
      </w:pPr>
      <w:bookmarkStart w:id="1635" w:name="__RefHeading___Toc5447683_3224264995"/>
      <w:bookmarkStart w:id="1636" w:name="_Toc623"/>
      <w:bookmarkEnd w:id="1635"/>
      <w:r>
        <w:rPr>
          <w:rtl w:val="true"/>
        </w:rPr>
        <w:t>ما دل علی ترجیح احد الخبرین لکونه مشهورا</w:t>
      </w:r>
      <w:bookmarkEnd w:id="1636"/>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دلّ </w:t>
      </w:r>
      <w:r>
        <w:rPr>
          <w:rStyle w:val="FootnoteAnchor"/>
          <w:rtl w:val="true"/>
        </w:rPr>
        <w:footnoteReference w:id="2077"/>
      </w:r>
      <w:r>
        <w:rPr>
          <w:rFonts w:ascii="IRNazanin" w:hAnsi="IRNazanin" w:eastAsia="IRNazanin"/>
          <w:color w:val="111111"/>
          <w:sz w:val="28"/>
          <w:sz w:val="28"/>
          <w:szCs w:val="28"/>
          <w:rtl w:val="true"/>
          <w:lang w:bidi="fa-IR"/>
        </w:rPr>
        <w:t>علی ترجیح أحد الخبرین لکونه مشهورا و ممّا یستفاد منه المطلب علی وجه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 </w:t>
      </w:r>
      <w:r>
        <w:rPr>
          <w:rStyle w:val="FootnoteAnchor"/>
          <w:rtl w:val="true"/>
        </w:rPr>
        <w:footnoteReference w:id="2078"/>
      </w:r>
      <w:r>
        <w:rPr>
          <w:rFonts w:ascii="IRNazanin" w:hAnsi="IRNazanin" w:eastAsia="IRNazanin"/>
          <w:color w:val="111111"/>
          <w:sz w:val="28"/>
          <w:sz w:val="28"/>
          <w:szCs w:val="28"/>
          <w:rtl w:val="true"/>
          <w:lang w:bidi="fa-IR"/>
        </w:rPr>
        <w:t xml:space="preserve">علی ترجیح أحد الخبرین علی الآخر بکونه مشهورا بین الأصحاب بحیث </w:t>
      </w:r>
    </w:p>
    <w:p>
      <w:pPr>
        <w:pStyle w:val="BookText"/>
        <w:rPr/>
      </w:pPr>
      <w:r>
        <w:rPr>
          <w:rFonts w:ascii="IRNazanin" w:hAnsi="IRNazanin" w:eastAsia="IRNazanin"/>
          <w:color w:val="111111"/>
          <w:sz w:val="28"/>
          <w:sz w:val="28"/>
          <w:szCs w:val="28"/>
          <w:rtl w:val="true"/>
          <w:lang w:bidi="fa-IR"/>
        </w:rPr>
        <w:t xml:space="preserve">یعرفه کلّهم و کون الآخر غیر مشهور الروایة بینهم بل ینفرد </w:t>
      </w:r>
      <w:r>
        <w:rPr>
          <w:rStyle w:val="FootnoteAnchor"/>
          <w:rtl w:val="true"/>
        </w:rPr>
        <w:footnoteReference w:id="2079"/>
      </w:r>
      <w:r>
        <w:rPr>
          <w:rFonts w:ascii="IRNazanin" w:hAnsi="IRNazanin" w:eastAsia="IRNazanin"/>
          <w:color w:val="111111"/>
          <w:sz w:val="28"/>
          <w:sz w:val="28"/>
          <w:szCs w:val="28"/>
          <w:rtl w:val="true"/>
          <w:lang w:bidi="fa-IR"/>
        </w:rPr>
        <w:t>بروایته بعضهم دون بعض؛معلّلا ذلک بأنّ المجمع علیه لا ریب فیه؛فیدلّ علی أنّ طرح الآخر لأجل ثبوت الریب فیه،لا لأنّه لا ریب فی بطلانه کما قد یتوهّم؛و إلاّ لم یکن معنی للتعارض و تحیّر السائل،و لا لتقدیمه علی الخبر المجمع علیه،إذا کان راویه أعدل کما یقتضیه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الخبر، و لا لقول السائل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معا مشهوران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فحاصل المرجّح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ثبوت الریب فی الخبر الغیر المشهور و انتفاؤه فی المشهور،فیکون المشهور من الأمر البیّن الرشد،و غیره من الأمر المشکل،لا بیّن الغیّ کما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المراد به </w:t>
      </w:r>
      <w:r>
        <w:rPr>
          <w:rStyle w:val="FootnoteAnchor"/>
          <w:rtl w:val="true"/>
        </w:rPr>
        <w:footnoteReference w:id="2080"/>
      </w:r>
      <w:r>
        <w:rPr>
          <w:rFonts w:ascii="IRNazanin" w:hAnsi="IRNazanin" w:eastAsia="IRNazanin"/>
          <w:color w:val="111111"/>
          <w:sz w:val="28"/>
          <w:sz w:val="28"/>
          <w:szCs w:val="28"/>
          <w:rtl w:val="true"/>
          <w:lang w:bidi="fa-IR"/>
        </w:rPr>
        <w:t>نفی الریب من جمیع الجهات؛لأنّ الإجماع علی الروایة لا یوجب ذلک ضرورة،بل المراد وجود ریب فی غیر المشهور یکون منتفیا فی الخبر المشهور،و هو احتمال وروده علی بعض الوجوه أو عدم صدوره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المراد بالریب مجرّد الاحتمال و لو موهوما؛لأنّ الخبر المجمع علیه یحتمل فیه أیضا من حیث الصدور بعض الاحتمالات المتطرّقة فی غیر المشهور،غایة الأمر کونه فی المشهور فی غایة الضعف بحیث یکون خلافه واضحا و فی غیر المشهور احتمالا مساویا یصدق علیه الریب عرفا</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فیدلّ علی رجحان کلّ خبر یکون نسبته إلی معارضه </w:t>
      </w:r>
      <w:bookmarkStart w:id="1637" w:name="pg12977_114654"/>
    </w:p>
    <w:p>
      <w:pPr>
        <w:pStyle w:val="BookText"/>
        <w:rPr/>
      </w:pPr>
      <w:bookmarkEnd w:id="1637"/>
      <w:r>
        <w:rPr>
          <w:rFonts w:ascii="IRNazanin" w:hAnsi="IRNazanin" w:eastAsia="IRNazanin"/>
          <w:color w:val="111111"/>
          <w:sz w:val="28"/>
          <w:sz w:val="28"/>
          <w:szCs w:val="28"/>
          <w:rtl w:val="true"/>
          <w:lang w:bidi="fa-IR"/>
        </w:rPr>
        <w:t>مثل نسبة الخبر المجمع علی روایته إلی الخبر الذی اختصّ بروایته بعض دون بعض مع کونه بحیث لو سلم عن المعارض أو کان راویه أعدل و أصدق من راوی معارضه المجمع علیه لاخذ به،و من المعلوم أنّ الخبر المعتضد بأمارة توجب الظنّ بمطابقته و مخالفة معارضه للواقع نسبته إلی معارضه تلک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لذا علّل تقدیم الخبر المخالف للعامّة علی الموافق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ذاک لا یحتمل إلاّ الفتوی و هذا یحتمل التقیّة؛لأنّ الریب الموجود فی الثانی منتف فی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کثیر من المرجّحات الراجعة إلی وجود احتمال فی أحدهما مفقود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أو ظنّا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الآخر،فتدبّر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خبر من المتعارضین یکون فیه ریب لا یوجد فی الآخر،أو یوجد و لا یعدّ لغایة ضعفه ریبا،فذاک الآخر مقدّم علیه</w:t>
      </w:r>
      <w:r>
        <w:rPr>
          <w:rFonts w:eastAsia="IRNazanin" w:cs="IRNazanin"/>
          <w:color w:val="111111"/>
          <w:sz w:val="28"/>
          <w:szCs w:val="28"/>
          <w:rtl w:val="true"/>
          <w:lang w:bidi="fa-IR"/>
        </w:rPr>
        <w:t>.</w:t>
      </w:r>
    </w:p>
    <w:p>
      <w:pPr>
        <w:pStyle w:val="Heading6"/>
        <w:numPr>
          <w:ilvl w:val="5"/>
          <w:numId w:val="1"/>
        </w:numPr>
        <w:rPr/>
      </w:pPr>
      <w:bookmarkStart w:id="1638" w:name="__RefHeading___Toc5447685_3224264995"/>
      <w:bookmarkStart w:id="1639" w:name="_Toc624"/>
      <w:bookmarkEnd w:id="1638"/>
      <w:r>
        <w:rPr>
          <w:rtl w:val="true"/>
        </w:rPr>
        <w:t>ما دلّ علی الترجیح بمخالفة العامّة</w:t>
      </w:r>
      <w:bookmarkEnd w:id="1639"/>
    </w:p>
    <w:p>
      <w:pPr>
        <w:pStyle w:val="BookText"/>
        <w:rPr/>
      </w:pPr>
      <w:r>
        <w:rPr>
          <w:rFonts w:ascii="IRNazanin" w:hAnsi="IRNazanin" w:eastAsia="IRNazanin"/>
          <w:color w:val="111111"/>
          <w:sz w:val="28"/>
          <w:sz w:val="28"/>
          <w:szCs w:val="28"/>
          <w:rtl w:val="true"/>
          <w:lang w:bidi="fa-IR"/>
        </w:rPr>
        <w:t>و أظهر من ذلک کلّه فی إفادة الترجیح بمطلق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 من الأخبار العلاجیّة علی الترجیح بمخالفة العامّة </w:t>
      </w:r>
      <w:r>
        <w:rPr>
          <w:rStyle w:val="FootnoteAnchor"/>
          <w:rtl w:val="true"/>
        </w:rPr>
        <w:footnoteReference w:id="2081"/>
      </w:r>
      <w:r>
        <w:rPr>
          <w:rFonts w:ascii="IRNazanin" w:hAnsi="IRNazanin" w:eastAsia="IRNazanin"/>
          <w:color w:val="111111"/>
          <w:sz w:val="28"/>
          <w:sz w:val="28"/>
          <w:szCs w:val="28"/>
          <w:rtl w:val="true"/>
          <w:lang w:bidi="fa-IR"/>
        </w:rPr>
        <w:t>،بناء علی أنّ الوجه فی الترجیح بها أحد وجهین</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الخبر </w:t>
      </w:r>
      <w:r>
        <w:rPr>
          <w:rStyle w:val="FootnoteAnchor"/>
          <w:rtl w:val="true"/>
        </w:rPr>
        <w:footnoteReference w:id="2082"/>
      </w:r>
      <w:r>
        <w:rPr>
          <w:rFonts w:ascii="IRNazanin" w:hAnsi="IRNazanin" w:eastAsia="IRNazanin"/>
          <w:color w:val="111111"/>
          <w:sz w:val="28"/>
          <w:sz w:val="28"/>
          <w:szCs w:val="28"/>
          <w:rtl w:val="true"/>
          <w:lang w:bidi="fa-IR"/>
        </w:rPr>
        <w:t xml:space="preserve">المخالف أبعد من التقیة،کما علّل </w:t>
      </w:r>
      <w:r>
        <w:rPr>
          <w:rStyle w:val="FootnoteAnchor"/>
          <w:rtl w:val="true"/>
        </w:rPr>
        <w:footnoteReference w:id="2083"/>
      </w:r>
      <w:r>
        <w:rPr>
          <w:rFonts w:ascii="IRNazanin" w:hAnsi="IRNazanin" w:eastAsia="IRNazanin"/>
          <w:color w:val="111111"/>
          <w:sz w:val="28"/>
          <w:sz w:val="28"/>
          <w:szCs w:val="28"/>
          <w:rtl w:val="true"/>
          <w:lang w:bidi="fa-IR"/>
        </w:rPr>
        <w:t xml:space="preserve">به الشیخ </w:t>
      </w:r>
      <w:r>
        <w:rPr>
          <w:rStyle w:val="FootnoteAnchor"/>
          <w:rtl w:val="true"/>
        </w:rPr>
        <w:footnoteReference w:id="2084"/>
      </w:r>
      <w:r>
        <w:rPr>
          <w:rFonts w:ascii="Amiri" w:hAnsi="Amiri" w:eastAsia="Amiri" w:cs="Amiri"/>
          <w:color w:val="111111"/>
          <w:sz w:val="28"/>
          <w:sz w:val="28"/>
          <w:szCs w:val="28"/>
          <w:rtl w:val="true"/>
          <w:lang w:bidi="ar-SA"/>
        </w:rPr>
        <w:t xml:space="preserve">و المحقّق </w:t>
      </w:r>
      <w:r>
        <w:rPr>
          <w:rStyle w:val="FootnoteAnchor"/>
          <w:rtl w:val="true"/>
        </w:rPr>
        <w:footnoteReference w:id="2085"/>
      </w:r>
      <w:r>
        <w:rPr>
          <w:rFonts w:ascii="IRNazanin" w:hAnsi="IRNazanin" w:eastAsia="IRNazanin"/>
          <w:color w:val="111111"/>
          <w:sz w:val="28"/>
          <w:sz w:val="28"/>
          <w:szCs w:val="28"/>
          <w:rtl w:val="true"/>
          <w:lang w:bidi="fa-IR"/>
        </w:rPr>
        <w:t xml:space="preserve">،فیستفاد منه اعتبار کلّ قرینة خارجیّة توجب أبعدیّة </w:t>
      </w:r>
    </w:p>
    <w:p>
      <w:pPr>
        <w:pStyle w:val="BookText"/>
        <w:rPr/>
      </w:pPr>
      <w:r>
        <w:rPr>
          <w:rFonts w:ascii="IRNazanin" w:hAnsi="IRNazanin" w:eastAsia="IRNazanin"/>
          <w:color w:val="111111"/>
          <w:sz w:val="28"/>
          <w:sz w:val="28"/>
          <w:szCs w:val="28"/>
          <w:rtl w:val="true"/>
          <w:lang w:bidi="fa-IR"/>
        </w:rPr>
        <w:t>أحدهما عن خلاف الحقّ و لو کانت مثل الشهرة و الاستقراء،بل یستفاد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اشتراط الظنّ فی الترجیح،بل یکفی تطرّق احتمال غیر بعید فی أحد الخبرین بعید فی الآخر،کما هو مفاد الخبر المتقدّم </w:t>
      </w:r>
      <w:r>
        <w:rPr>
          <w:rStyle w:val="FootnoteAnchor"/>
          <w:rtl w:val="true"/>
        </w:rPr>
        <w:footnoteReference w:id="2086"/>
      </w:r>
      <w:r>
        <w:rPr>
          <w:rFonts w:ascii="IRNazanin" w:hAnsi="IRNazanin" w:eastAsia="IRNazanin"/>
          <w:color w:val="111111"/>
          <w:sz w:val="28"/>
          <w:sz w:val="28"/>
          <w:szCs w:val="28"/>
          <w:rtl w:val="true"/>
          <w:lang w:bidi="fa-IR"/>
        </w:rPr>
        <w:t>الدالّ علی ترجیح ما لا ریب فیه علی ما فیه الریب بالإضافة إلی معارضه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هذا الوجه لم ینصّ علیه فی الأخبار،و إنّما هو شیء مستنبط منها،ذکره الشیخ و من تأخّر عنه </w:t>
      </w:r>
      <w:r>
        <w:rPr>
          <w:rStyle w:val="FootnoteAnchor"/>
          <w:rtl w:val="true"/>
        </w:rPr>
        <w:footnoteReference w:id="20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 روایة عبید بن زرارة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سمعت منّی یشبه قول الناس ففیه التقیّة،و ما سمعت منّی لا یشبه قول الناس فلا تقیّة فیه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الخبر </w:t>
      </w:r>
      <w:r>
        <w:rPr>
          <w:rStyle w:val="FootnoteAnchor"/>
          <w:rtl w:val="true"/>
        </w:rPr>
        <w:footnoteReference w:id="2090"/>
      </w:r>
      <w:r>
        <w:rPr>
          <w:rFonts w:ascii="IRNazanin" w:hAnsi="IRNazanin" w:eastAsia="IRNazanin"/>
          <w:color w:val="111111"/>
          <w:sz w:val="28"/>
          <w:sz w:val="28"/>
          <w:szCs w:val="28"/>
          <w:rtl w:val="true"/>
          <w:lang w:bidi="fa-IR"/>
        </w:rPr>
        <w:t>المخالف أقرب من حیث المضمون إلی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الأوّل کاشف عن وجه صدور الخبر،و الثانی کاشف عن مطابقة مضمون أحدهما للواقع</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الوجه لما نحن فیه </w:t>
      </w:r>
      <w:r>
        <w:rPr>
          <w:rStyle w:val="FootnoteAnchor"/>
          <w:rtl w:val="true"/>
        </w:rPr>
        <w:footnoteReference w:id="2091"/>
      </w:r>
      <w:r>
        <w:rPr>
          <w:rFonts w:ascii="IRNazanin" w:hAnsi="IRNazanin" w:eastAsia="IRNazanin"/>
          <w:color w:val="111111"/>
          <w:sz w:val="28"/>
          <w:sz w:val="28"/>
          <w:szCs w:val="28"/>
          <w:rtl w:val="true"/>
          <w:lang w:bidi="fa-IR"/>
        </w:rPr>
        <w:t>منصوص فی الأخبار،مثل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تعلیل الحکم المذکور فیها بقولهم علیهم السّلام </w:t>
      </w:r>
      <w:r>
        <w:rPr>
          <w:rStyle w:val="FootnoteAnchor"/>
          <w:rtl w:val="true"/>
        </w:rPr>
        <w:footnoteReference w:id="20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الرشد فی خلافهم</w:t>
      </w:r>
      <w:r>
        <w:rPr>
          <w:rFonts w:eastAsia="IRNazanin" w:cs="IRNazanin"/>
          <w:color w:val="111111"/>
          <w:sz w:val="28"/>
          <w:szCs w:val="28"/>
          <w:rtl w:val="true"/>
          <w:lang w:bidi="fa-IR"/>
        </w:rPr>
        <w:t xml:space="preserve">» </w:t>
      </w:r>
      <w:r>
        <w:rPr>
          <w:rStyle w:val="FootnoteAnchor"/>
          <w:rtl w:val="true"/>
        </w:rPr>
        <w:footnoteReference w:id="209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خالف العامّة ففیه الرشاد</w:t>
      </w:r>
      <w:r>
        <w:rPr>
          <w:rFonts w:eastAsia="IRNazanin" w:cs="IRNazanin"/>
          <w:color w:val="111111"/>
          <w:sz w:val="28"/>
          <w:szCs w:val="28"/>
          <w:rtl w:val="true"/>
          <w:lang w:bidi="fa-IR"/>
        </w:rPr>
        <w:t xml:space="preserve">» </w:t>
      </w:r>
      <w:r>
        <w:rPr>
          <w:rStyle w:val="FootnoteAnchor"/>
          <w:rtl w:val="true"/>
        </w:rPr>
        <w:footnoteReference w:id="2094"/>
      </w:r>
      <w:r>
        <w:rPr>
          <w:rFonts w:ascii="IRNazanin" w:hAnsi="IRNazanin" w:eastAsia="IRNazanin"/>
          <w:color w:val="111111"/>
          <w:sz w:val="28"/>
          <w:sz w:val="28"/>
          <w:szCs w:val="28"/>
          <w:rtl w:val="true"/>
          <w:lang w:bidi="fa-IR"/>
        </w:rPr>
        <w:t>فإنّه هذه القضیّة قضیّة غالبیّة لا دائمیّة، فیدلّ علی أنّه یکفی فی الترجیح الظنّ بکون الرشد فی مضمون أحد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هذا التعلیل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صورة عدم وجدان المفتی بالحقّ فی بلد،من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 فقیه البلد فاستفته فی أمرک،فإذا أفتاک بشیء فخذ بخلافه؛فإنّ الحقّ فیه</w:t>
      </w:r>
      <w:r>
        <w:rPr>
          <w:rFonts w:eastAsia="IRNazanin" w:cs="IRNazanin"/>
          <w:color w:val="111111"/>
          <w:sz w:val="28"/>
          <w:szCs w:val="28"/>
          <w:rtl w:val="true"/>
          <w:lang w:bidi="fa-IR"/>
        </w:rPr>
        <w:t xml:space="preserve">» </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أصرح من الکلّ فی التعلیل بالوجه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مرفوعة أبی إسحاق الأرجائیّ إلی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تدری لم امرتم بالأخذ بخلاف ما یقوله العامّة؟فقلت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علیه السّلام لم یکن یدین اللّه بدین إلاّ خالف علیه الامّة إلی غیره؛ إرادة لإبطال أمره،و کانوا یسألون أمیر المؤمنین علیه السّلام عن الشیء الذی لا یعلمونه،فإذا أفتاهم بشیء جعلوا له ضدّا من عند أنفسهم لیلبسوا علی الناس</w:t>
      </w:r>
      <w:r>
        <w:rPr>
          <w:rFonts w:eastAsia="IRNazanin" w:cs="IRNazanin"/>
          <w:color w:val="111111"/>
          <w:sz w:val="28"/>
          <w:szCs w:val="28"/>
          <w:rtl w:val="true"/>
          <w:lang w:bidi="fa-IR"/>
        </w:rPr>
        <w:t xml:space="preserve">»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یصدّق هذا الخبر سیرة أهل الباطل مع الأئمّة علیهم السّلام علی هذا النحو تبعا لسلفهم،حتّی أنّ أبا حنیفة حکی عنه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خالفت جعفرا فی کلّ ما یقول أو یفعل،لکنّی لا أدری هل یغمض عینیه فی السجود أو یفتحهما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 xml:space="preserve">. </w:t>
      </w:r>
      <w:bookmarkStart w:id="1640" w:name="pg12977_114657"/>
    </w:p>
    <w:p>
      <w:pPr>
        <w:pStyle w:val="BookText"/>
        <w:rPr/>
      </w:pPr>
      <w:bookmarkEnd w:id="1640"/>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تعلیل الأخذ بخلاف العامّة فی هذه الروایات بکونه أقرب إلی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أنّه یجعل دلیلا مستقلاّ عند فقد من یرجع إلیه فی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وجوب الترجیح بکلّ ما هو من قبیل هذه الأمارة فی کون مضمونه مظنّة الرشد،فإذا انضمّ هذا الظهور إلی الظهور الذی ادّعیناه فی روایات الترجیح بالأصدقیّة و الأوثقیّة،فالظاهر أنّه یحصل من المجموع دلالة لفظیّة تامّة</w:t>
      </w:r>
      <w:r>
        <w:rPr>
          <w:rFonts w:eastAsia="IRNazanin" w:cs="IRNazanin"/>
          <w:color w:val="111111"/>
          <w:sz w:val="28"/>
          <w:szCs w:val="28"/>
          <w:rtl w:val="true"/>
          <w:lang w:bidi="fa-IR"/>
        </w:rPr>
        <w:t>.</w:t>
      </w:r>
    </w:p>
    <w:p>
      <w:pPr>
        <w:pStyle w:val="Heading6"/>
        <w:numPr>
          <w:ilvl w:val="5"/>
          <w:numId w:val="1"/>
        </w:numPr>
        <w:rPr/>
      </w:pPr>
      <w:bookmarkStart w:id="1641" w:name="__RefHeading___Toc5447687_3224264995"/>
      <w:bookmarkStart w:id="1642" w:name="_Toc625"/>
      <w:bookmarkEnd w:id="1641"/>
      <w:r>
        <w:rPr>
          <w:rtl w:val="true"/>
        </w:rPr>
        <w:t>ما دعا أصحابنا إلی العمل بکلّ ما یوجب رجحان أحد الخبرین</w:t>
      </w:r>
      <w:bookmarkEnd w:id="1642"/>
    </w:p>
    <w:p>
      <w:pPr>
        <w:pStyle w:val="BookText"/>
        <w:rPr/>
      </w:pPr>
      <w:r>
        <w:rPr>
          <w:rFonts w:ascii="IRNazanin" w:hAnsi="IRNazanin" w:eastAsia="IRNazanin"/>
          <w:color w:val="111111"/>
          <w:sz w:val="28"/>
          <w:sz w:val="28"/>
          <w:szCs w:val="28"/>
          <w:rtl w:val="true"/>
          <w:lang w:bidi="fa-IR"/>
        </w:rPr>
        <w:t>و لعلّ هذا الظهور المحصّل من مجموع الأخبار العلاجیّة هو الذی دعا أصحابنا إلی العمل بکلّ ما یوجب رجحان أحد الخبرین علی الآخر،بل یوجب فی أحدهما مزیّة مفقودة فی الآخر و لو بمجرّد کون خلاف الحقّ فی أحدهما أبعد منه فی الآخر،کما هو کذلک فی کثیر من المرجّحات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ظنّه بعض المتأخّرین من أصحابنا </w:t>
      </w:r>
      <w:r>
        <w:rPr>
          <w:rStyle w:val="FootnoteAnchor"/>
          <w:rtl w:val="true"/>
        </w:rPr>
        <w:footnoteReference w:id="2098"/>
      </w:r>
      <w:r>
        <w:rPr>
          <w:rFonts w:ascii="IRNazanin" w:hAnsi="IRNazanin" w:eastAsia="IRNazanin"/>
          <w:color w:val="111111"/>
          <w:sz w:val="28"/>
          <w:sz w:val="28"/>
          <w:szCs w:val="28"/>
          <w:rtl w:val="true"/>
          <w:lang w:bidi="fa-IR"/>
        </w:rPr>
        <w:t>علی العلاّمة و غیره قدّست أسرارهم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متابعتهم فی ذلک </w:t>
      </w:r>
      <w:r>
        <w:rPr>
          <w:rStyle w:val="FootnoteAnchor"/>
          <w:rtl w:val="true"/>
        </w:rPr>
        <w:footnoteReference w:id="2099"/>
      </w:r>
      <w:r>
        <w:rPr>
          <w:rFonts w:ascii="Amiri" w:hAnsi="Amiri" w:eastAsia="Amiri" w:cs="Amiri"/>
          <w:color w:val="111111"/>
          <w:sz w:val="28"/>
          <w:sz w:val="28"/>
          <w:szCs w:val="28"/>
          <w:rtl w:val="true"/>
          <w:lang w:bidi="ar-SA"/>
        </w:rPr>
        <w:t>طریقة العامّة،ظنّ فی غیر المحلّ</w:t>
      </w:r>
      <w:r>
        <w:rPr>
          <w:rFonts w:eastAsia="Amiri" w:cs="Amiri" w:ascii="Amiri" w:hAnsi="Amiri"/>
          <w:color w:val="111111"/>
          <w:sz w:val="28"/>
          <w:szCs w:val="28"/>
          <w:rtl w:val="true"/>
          <w:lang w:bidi="ar-SA"/>
        </w:rPr>
        <w:t>.</w:t>
      </w:r>
    </w:p>
    <w:p>
      <w:pPr>
        <w:pStyle w:val="Heading6"/>
        <w:numPr>
          <w:ilvl w:val="5"/>
          <w:numId w:val="1"/>
        </w:numPr>
        <w:rPr/>
      </w:pPr>
      <w:bookmarkStart w:id="1643" w:name="__RefHeading___Toc5447689_3224264995"/>
      <w:bookmarkStart w:id="1644" w:name="_Toc626"/>
      <w:bookmarkEnd w:id="1643"/>
      <w:r>
        <w:rPr>
          <w:rtl w:val="true"/>
        </w:rPr>
        <w:t>القول بوجوب الترجیح و دلیله</w:t>
      </w:r>
      <w:bookmarkEnd w:id="1644"/>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الاستفادة التی ذکرناها إن دخلت تحت الدلالة اللفظیّة، فلا إشکال فی الاعتماد علیها،و إن لم یبلغ هذا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لم یکن إلاّ مجرّد الإشعار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مؤیّدا لما ذکرناه من ظهور الاتّفاق،فإن لم یبلغ المجموع حدّ الحجّیة </w:t>
      </w:r>
      <w:r>
        <w:rPr>
          <w:rStyle w:val="FootnoteAnchor"/>
          <w:rtl w:val="true"/>
        </w:rPr>
        <w:footnoteReference w:id="2100"/>
      </w:r>
      <w:r>
        <w:rPr>
          <w:rFonts w:ascii="IRNazanin" w:hAnsi="IRNazanin" w:eastAsia="IRNazanin"/>
          <w:color w:val="111111"/>
          <w:sz w:val="28"/>
          <w:sz w:val="28"/>
          <w:szCs w:val="28"/>
          <w:rtl w:val="true"/>
          <w:lang w:bidi="fa-IR"/>
        </w:rPr>
        <w:t xml:space="preserve">فلا أقلّ من کونها أمارة مفیدة للظنّ بالمدّعی، </w:t>
      </w:r>
    </w:p>
    <w:p>
      <w:pPr>
        <w:pStyle w:val="BookText"/>
        <w:rPr/>
      </w:pPr>
      <w:r>
        <w:rPr>
          <w:rFonts w:ascii="IRNazanin" w:hAnsi="IRNazanin" w:eastAsia="IRNazanin"/>
          <w:color w:val="111111"/>
          <w:sz w:val="28"/>
          <w:sz w:val="28"/>
          <w:szCs w:val="28"/>
          <w:rtl w:val="true"/>
          <w:lang w:bidi="fa-IR"/>
        </w:rPr>
        <w:t>و لا بدّ من العمل به؛لأنّ التکلیف بالترجیح بین المتعارضین ثابت؛لأنّ التخییر فی جمیع الموارد و عدم ملاحظة المرجّحات یوجب مخالفة الواقع فی کثیر من الموارد؛لأنّا نعلم بوجوب الأخذ ببعض الأخبار المتعارضة و طرح بعضها معیّنا،و المرجّحات المنصوصة فی الأخبار غیر وافیة،مع أنّ تلک الأخبار معارض بعضها بعضا،بل بعضها غیر معمول به بظاهره،کمقبولة ابن حنظلة المتضمّنة لتقدیم الأعدلیّة علی الشهرة و مخالفة العامّة و موافقة الکتاب</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هذه المقدّمات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ثبوت التکلیف بالترجیح،و انتفاء المرجّح الیقینیّ،و انتفاء ما دلّ الشرع علی کونه مرجّحا،فینحصر العمل فی الظنّ بالمرجّح </w:t>
      </w:r>
      <w:r>
        <w:rPr>
          <w:rStyle w:val="FootnoteAnchor"/>
          <w:rtl w:val="true"/>
        </w:rPr>
        <w:footnoteReference w:id="2101"/>
      </w:r>
      <w:r>
        <w:rPr>
          <w:rFonts w:ascii="IRNazanin" w:hAnsi="IRNazanin" w:eastAsia="IRNazanin"/>
          <w:color w:val="111111"/>
          <w:sz w:val="28"/>
          <w:sz w:val="28"/>
          <w:szCs w:val="28"/>
          <w:rtl w:val="true"/>
          <w:lang w:bidi="fa-IR"/>
        </w:rPr>
        <w:t xml:space="preserve">فکلّ ما ظنّ أنّه مرجّح فی نظر الشارع وجب الترجیح به؛و إلاّ لوجب ترک الترجیح أو العمل بما ظنّ من المتعارضین أنّ الشارع رجّح </w:t>
      </w:r>
      <w:r>
        <w:rPr>
          <w:rStyle w:val="FootnoteAnchor"/>
          <w:rtl w:val="true"/>
        </w:rPr>
        <w:footnoteReference w:id="2102"/>
      </w:r>
      <w:r>
        <w:rPr>
          <w:rFonts w:ascii="IRNazanin" w:hAnsi="IRNazanin" w:eastAsia="IRNazanin"/>
          <w:color w:val="111111"/>
          <w:sz w:val="28"/>
          <w:sz w:val="28"/>
          <w:szCs w:val="28"/>
          <w:rtl w:val="true"/>
          <w:lang w:bidi="fa-IR"/>
        </w:rPr>
        <w:t xml:space="preserve">غیره علیه،و الأوّل مستلزم للعمل بالتخییر فی موارد کثیرة نعلم </w:t>
      </w:r>
      <w:r>
        <w:rPr>
          <w:rStyle w:val="FootnoteAnchor"/>
          <w:rtl w:val="true"/>
        </w:rPr>
        <w:footnoteReference w:id="2103"/>
      </w:r>
      <w:r>
        <w:rPr>
          <w:rFonts w:ascii="IRNazanin" w:hAnsi="IRNazanin" w:eastAsia="IRNazanin"/>
          <w:color w:val="111111"/>
          <w:sz w:val="28"/>
          <w:sz w:val="28"/>
          <w:szCs w:val="28"/>
          <w:rtl w:val="true"/>
          <w:lang w:bidi="fa-IR"/>
        </w:rPr>
        <w:t>بوجوب الترجیح،و الثانی ترجیح للمرجوح علی الراجح فی مقام وجوب البناء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تعذّر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أحدهما، و قبحه بدیهیّ؛و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ظنّنا من الأمارات السابقة أنّ مجرّد أقربیّة مضمون أحد الخبرین إلی الواقع مرجّح فی نظر الشارع تعیّن الأخذ به</w:t>
      </w:r>
      <w:r>
        <w:rPr>
          <w:rFonts w:eastAsia="IRNazanin" w:cs="IRNazanin"/>
          <w:color w:val="111111"/>
          <w:sz w:val="28"/>
          <w:szCs w:val="28"/>
          <w:rtl w:val="true"/>
          <w:lang w:bidi="fa-IR"/>
        </w:rPr>
        <w:t xml:space="preserve">. </w:t>
      </w:r>
      <w:bookmarkStart w:id="1645" w:name="pg12977_114659"/>
    </w:p>
    <w:p>
      <w:pPr>
        <w:pStyle w:val="Heading6"/>
        <w:numPr>
          <w:ilvl w:val="5"/>
          <w:numId w:val="1"/>
        </w:numPr>
        <w:rPr/>
      </w:pPr>
      <w:bookmarkStart w:id="1646" w:name="__RefHeading___Toc5447691_3224264995"/>
      <w:bookmarkStart w:id="1647" w:name="_Toc627"/>
      <w:bookmarkEnd w:id="1645"/>
      <w:bookmarkEnd w:id="1646"/>
      <w:r>
        <w:rPr>
          <w:rtl w:val="true"/>
        </w:rPr>
        <w:t>القول بعدم وجوب الترجیح و دلیله</w:t>
      </w:r>
      <w:bookmarkEnd w:id="1647"/>
    </w:p>
    <w:p>
      <w:pPr>
        <w:pStyle w:val="BookText"/>
        <w:rPr/>
      </w:pPr>
      <w:r>
        <w:rPr>
          <w:rFonts w:ascii="IRNazanin" w:hAnsi="IRNazanin" w:eastAsia="IRNazanin"/>
          <w:color w:val="111111"/>
          <w:sz w:val="28"/>
          <w:sz w:val="28"/>
          <w:szCs w:val="28"/>
          <w:rtl w:val="true"/>
          <w:lang w:bidi="fa-IR"/>
        </w:rPr>
        <w:t>هذا،و لکن لمانع أن یمنع وجوب الترجیح بین المتعارضین الفاقدین للمرجّحات المعلومة،کالتراجیح الراجعة إلی الدلالة التی دلّ العرف علی وجوب الترجیح بها کتقدیم النصّ و الأظهر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 کان من المتعارضین من قبیل النصّ و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کالعامّ و الخاصّ و شبههما ممّا لا یحتاج الجمع بینهما إلی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فالمرجّح فیه معلوم من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من قبیل تعارض الظاهرین کالعامّین من وجه و شبههما ممّا یحتاج الجمع بینهما إلی شاهد واحد،فالوجه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الترجیح إلاّ بقوّة الدلالة،لا بمطابقة أحدهما لظنّ خارجیّ غیر معتبر؛و لذا لم یحکم فیه بالتخییر مع عدم ذلک الظنّ،بل یرجع فیه إلی الاصول و القواعد؛فهذا کاشف عن أنّ الحکم فیهما </w:t>
      </w:r>
      <w:r>
        <w:rPr>
          <w:rStyle w:val="FootnoteAnchor"/>
          <w:rtl w:val="true"/>
        </w:rPr>
        <w:footnoteReference w:id="2104"/>
      </w:r>
      <w:r>
        <w:rPr>
          <w:rFonts w:ascii="IRNazanin" w:hAnsi="IRNazanin" w:eastAsia="IRNazanin"/>
          <w:color w:val="111111"/>
          <w:sz w:val="28"/>
          <w:sz w:val="28"/>
          <w:szCs w:val="28"/>
          <w:rtl w:val="true"/>
          <w:lang w:bidi="fa-IR"/>
        </w:rPr>
        <w:t>ذلک من أوّل الأمر؛للتساقط؛لإجمال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من قبیل المتباینین اللذین لا یمکن الجمع بینهما إلاّ بشاهدین،فهذا هو المتیقّن من مورد وجوب الترجیح بالمرجّحات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موارد هذا التعارض علی قسمین</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یمکن الرجوع فیه إلی أصل أو عموم کتاب أو سنّة مطابق لأحدهما،و هذا القسم یرجع فیه إلی ذلک العموم أو الأصل و إن کان الخبر المخالف لأحدهما مطابقا لأمارة خارجیّة؛و ذلک لأنّ العمل بالعموم و الأصل یقینیّ لا یرفع الید عنه إلاّ بوارد یقینیّ،و الخبر المخالف </w:t>
      </w:r>
      <w:bookmarkStart w:id="1648" w:name="pg12977_114660"/>
    </w:p>
    <w:p>
      <w:pPr>
        <w:pStyle w:val="BookText"/>
        <w:rPr/>
      </w:pPr>
      <w:bookmarkEnd w:id="1648"/>
      <w:r>
        <w:rPr>
          <w:rFonts w:ascii="IRNazanin" w:hAnsi="IRNazanin" w:eastAsia="IRNazanin"/>
          <w:color w:val="111111"/>
          <w:sz w:val="28"/>
          <w:sz w:val="28"/>
          <w:szCs w:val="28"/>
          <w:rtl w:val="true"/>
          <w:lang w:bidi="fa-IR"/>
        </w:rPr>
        <w:t>له لا ینهض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لمعارضته بمثله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أنّ وجوب الترجیح بذلک الظنّ لم یثبت،فلا وارد علی العموم و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لا یکون کذلک،و هذا أقلّ قلیل بین المتعارضات، فلو فرضنا العمل فیه بالتخییر مع وجود ظنّ خارجیّ علی طبق أحدهما لم یلزم </w:t>
      </w:r>
      <w:r>
        <w:rPr>
          <w:rStyle w:val="FootnoteAnchor"/>
          <w:rtl w:val="true"/>
        </w:rPr>
        <w:footnoteReference w:id="2105"/>
      </w:r>
      <w:r>
        <w:rPr>
          <w:rFonts w:ascii="IRNazanin" w:hAnsi="IRNazanin" w:eastAsia="IRNazanin"/>
          <w:color w:val="111111"/>
          <w:sz w:val="28"/>
          <w:sz w:val="28"/>
          <w:szCs w:val="28"/>
          <w:rtl w:val="true"/>
          <w:lang w:bidi="fa-IR"/>
        </w:rPr>
        <w:t>محذور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الاحتیاط یقتضی الأخذ بما یطابق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مع أنّ مبنی المسألة علی حجّیة الخبر من باب الظنّ غیر مقیّد بعدم الظنّ الفعلیّ علی خلافه،و الدلیل علی هذا الاطلاق مشکل، خصوصا لو کان الظنّ المقابل من الشهرة المحقّقة أو نقل الإجماع الکاشف عن تحقّق الشهرة؛فإنّ إثبات حجّیّة الخبر المخالف للمشهور فی غایة الإشکال و إن لم نقل بحجّیة الشهرة؛و لذا قال صاحب المدارک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العمل بالخبر المخالف للمشهور مشکل،و موافقة الأصحاب من غیر دلیل أشکل </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49" w:name="__RefHeading___Toc5447693_3224264995"/>
      <w:bookmarkStart w:id="1650" w:name="_Toc628"/>
      <w:bookmarkEnd w:id="1649"/>
      <w:r>
        <w:rPr>
          <w:rtl w:val="true"/>
        </w:rPr>
        <w:t>مقتضی الاحتیاط فی المقام</w:t>
      </w:r>
      <w:bookmarkEnd w:id="1650"/>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ینبغی ترک الاحتیاط بالأخذ بالمظنون فی مقابل التخییر،و أمّا فی مقابل العمل بالأصل </w:t>
      </w:r>
      <w:r>
        <w:rPr>
          <w:rStyle w:val="FootnoteAnchor"/>
          <w:rtl w:val="true"/>
        </w:rPr>
        <w:footnoteReference w:id="2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الأصل مثبتا للاحتیاط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کالاحتیاط اللازم فی بعض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فالأحوط العمل بالأصل،و إن کان نافیا للتکلیف کأصل البراءة و الاستصحاب النافی للتکلیف،أو مثبتا له مع عدم التمکّن من الاحتیاط کأصالة الفساد فی باب المعاملات و نحو ذلک،ففیه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باب التراجیح تتمّة </w:t>
      </w:r>
    </w:p>
    <w:p>
      <w:pPr>
        <w:pStyle w:val="BookText"/>
        <w:rPr/>
      </w:pPr>
      <w:r>
        <w:rPr>
          <w:rFonts w:ascii="IRNazanin" w:hAnsi="IRNazanin" w:eastAsia="IRNazanin"/>
          <w:color w:val="111111"/>
          <w:sz w:val="28"/>
          <w:sz w:val="28"/>
          <w:szCs w:val="28"/>
          <w:rtl w:val="true"/>
          <w:lang w:bidi="fa-IR"/>
        </w:rPr>
        <w:t xml:space="preserve">المقال </w:t>
      </w:r>
      <w:r>
        <w:rPr>
          <w:rStyle w:val="FootnoteAnchor"/>
          <w:rtl w:val="true"/>
        </w:rPr>
        <w:footnoteReference w:id="2108"/>
      </w:r>
      <w:r>
        <w:rPr>
          <w:rFonts w:ascii="IRNazanin" w:hAnsi="IRNazanin" w:eastAsia="IRNazanin"/>
          <w:color w:val="111111"/>
          <w:sz w:val="28"/>
          <w:sz w:val="28"/>
          <w:szCs w:val="28"/>
          <w:rtl w:val="true"/>
          <w:lang w:bidi="fa-IR"/>
        </w:rPr>
        <w:t>،و اللّه العالم بحقیقة الحال</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أوّلا و آخرا،و صلّی اللّه علی محمّد و آله الطاهرین</w:t>
      </w:r>
      <w:r>
        <w:rPr>
          <w:rFonts w:eastAsia="IRNazanin" w:cs="IRNazanin"/>
          <w:color w:val="111111"/>
          <w:sz w:val="28"/>
          <w:szCs w:val="28"/>
          <w:rtl w:val="true"/>
          <w:lang w:bidi="fa-IR"/>
        </w:rPr>
        <w:t xml:space="preserve">. </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الجزء الأوّل و یلیه الجزء الثانی فی البراءة و الاشتغال </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1" w:name="pg12977_114664"/>
      <w:bookmarkStart w:id="1652" w:name="pg12977_114664"/>
      <w:bookmarkEnd w:id="1652"/>
    </w:p>
    <w:p>
      <w:pPr>
        <w:pStyle w:val="Heading2"/>
        <w:numPr>
          <w:ilvl w:val="1"/>
          <w:numId w:val="1"/>
        </w:numPr>
        <w:rPr/>
      </w:pPr>
      <w:bookmarkStart w:id="1653" w:name="pg12977_114664"/>
      <w:bookmarkStart w:id="1654" w:name="__RefHeading___Toc5447695_3224264995"/>
      <w:bookmarkStart w:id="1655" w:name="_Toc629"/>
      <w:bookmarkEnd w:id="1653"/>
      <w:bookmarkEnd w:id="1654"/>
      <w:r>
        <w:rPr>
          <w:rtl w:val="true"/>
        </w:rPr>
        <w:t>العناوین العامّة</w:t>
      </w:r>
      <w:bookmarkEnd w:id="1655"/>
    </w:p>
    <w:p>
      <w:pPr>
        <w:pStyle w:val="BookText"/>
        <w:rPr/>
      </w:pPr>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القطع التنبیه علی امور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مبحث التجرّی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القطع الحاصل من المقدّمات العقلیّة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قطع القطّاع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العلم الإجمالی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الظنّ فی إمکان التعبّد بالظنّ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فی وقوع التعبّد بالظنّ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حجّیة ظواهر الکتاب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حجّیة الظواهر بالنسبة إلی من لم یقصد إفهامه </w:t>
      </w:r>
      <w:r>
        <w:rPr>
          <w:rFonts w:eastAsia="IRNazanin" w:cs="IRNazanin"/>
          <w:color w:val="111111"/>
          <w:sz w:val="28"/>
          <w:szCs w:val="28"/>
          <w:lang w:bidi="fa-IR"/>
        </w:rPr>
        <w:t>160</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حجّیة قول اللغوی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حجّیة الإجماع المنقول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حجّیة الشهرة الفتوائیّة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حجّیة الخبر الواحد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حجّیة مطلق الظنّ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دلیل الانسداد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الظنّ فی اصول الدین </w:t>
      </w:r>
      <w:r>
        <w:rPr>
          <w:rFonts w:eastAsia="IRNazanin" w:cs="IRNazanin"/>
          <w:color w:val="111111"/>
          <w:sz w:val="28"/>
          <w:szCs w:val="28"/>
          <w:lang w:bidi="fa-IR"/>
        </w:rPr>
        <w:t>553</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کون الظنّ جابرا أو موهنا أو مرجّحا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bookmarkStart w:id="1656" w:name="pg12977_114666"/>
    </w:p>
    <w:p>
      <w:pPr>
        <w:pStyle w:val="Heading2"/>
        <w:numPr>
          <w:ilvl w:val="1"/>
          <w:numId w:val="1"/>
        </w:numPr>
        <w:rPr/>
      </w:pPr>
      <w:bookmarkStart w:id="1657" w:name="__RefHeading___Toc5447697_3224264995"/>
      <w:bookmarkStart w:id="1658" w:name="_Toc630"/>
      <w:bookmarkEnd w:id="1656"/>
      <w:bookmarkEnd w:id="1657"/>
      <w:r>
        <w:rPr>
          <w:rtl w:val="true"/>
        </w:rPr>
        <w:t>فهرس المحتوی</w:t>
      </w:r>
      <w:bookmarkEnd w:id="1658"/>
    </w:p>
    <w:p>
      <w:pPr>
        <w:pStyle w:val="BookText"/>
        <w:rPr/>
      </w:pPr>
      <w:r>
        <w:rPr>
          <w:rFonts w:ascii="IRNazanin" w:hAnsi="IRNazanin" w:eastAsia="IRNazanin"/>
          <w:color w:val="111111"/>
          <w:sz w:val="28"/>
          <w:sz w:val="28"/>
          <w:szCs w:val="28"/>
          <w:rtl w:val="true"/>
          <w:lang w:bidi="fa-IR"/>
        </w:rPr>
        <w:t xml:space="preserve">المکلّف إذا التفت إلی حکم شرعی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الاصول العملیّة الأربعة و مجاریها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تقریر آخر لمجاری الاصول العملیّة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مقاصد الکتاب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القطع وجوب متابعة القطع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إطلاق الحجّة علی القطع و المراد منه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انقسام القطع إلی طریقی و موضوعی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خواصّ القسمین</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جواز النهی عن العمل فی الطریقی و جوازه فی الموضوعی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القطع الموضوعی تابع فی اعتباره لدلیل الحکم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أمثلة للقطع الموضوعی المعتبر مطلقا </w:t>
      </w:r>
      <w:r>
        <w:rPr>
          <w:rFonts w:eastAsia="IRNazanin" w:cs="IRNazanin"/>
          <w:color w:val="111111"/>
          <w:sz w:val="28"/>
          <w:szCs w:val="28"/>
          <w:lang w:bidi="fa-IR"/>
        </w:rPr>
        <w:t>32</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أمثلة للقطع الموضوعی المعتبر علی وجه خاص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أمثلة للقطع الموضوعی بالنسبة إلی حکم غیر القاطع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الأمارات و بعض الاصول مقام القطع الطریقی و الموضوعی الطریقی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عدم قیامها مقام القطع الموضوعی الصفتی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انقسام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طریقی و موضوعی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التنبیه علی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التجرّی و أنّه حرام أم لا؟</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هل القطع حجّة مطلقا أو فی خصوص صورة مصادفته للواقع؟</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الاستدلال علی حرمة التجرّی بالإجماع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تأیید الحرمة ببناء العقلاء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الاستدلال علی الحرمة بالدلیل العقلی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المناقشة فی الإجماع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المناقشة فی بناء العقلاء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المناقشة فی الدلیل العقلی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تفصیل صاحب الفصول فی التجرّی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المناقشة فی تفصیل صاحب الفصول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عدم الإشکال فی القبح الفاعلی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الإشکال فی القبح الفعلی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دلالة الأخبار الکثیرة علی العفو عن التجرّی بمجرّد القصد إلی المعصیة </w:t>
      </w:r>
      <w:r>
        <w:rPr>
          <w:rFonts w:eastAsia="IRNazanin" w:cs="IRNazanin"/>
          <w:color w:val="111111"/>
          <w:sz w:val="28"/>
          <w:szCs w:val="28"/>
          <w:lang w:bidi="fa-IR"/>
        </w:rPr>
        <w:t>46</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دلالة بعض الأخبار علی العقاب فی القصد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الجمع بین أخبار العفو و العقاب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أقسام التجرّی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ما أفاده الشهید حول بعض الأقسام المذکورة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حجّیة القطع الحاصل من المقدّمات العقلیّة عند الأخباریّین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مناقشة الأخباریّین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کلام المحدّث الأسترابادی فی المسألة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کلام جماعة من الأخباریّین فی المسألة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نظریّة المصنّف فی المسألة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تفسیر الأخبار الدالّة علی مدخلیّة تبلیغ الحجّة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عدم جواز الرکون إلی العقل فیما یتعلّق بمناطات الأحکام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ترک الخوض فی المطالب العقلیّة فیما یتعلّق باصول الدین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المشهور عدم اعتبار قطع القطّاع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کلام کاشف الغطاء فی المسألة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مناقشة ما أفاده کاشف الغطاء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توجیه الحکم بعدم اعتبار قطع القطّاع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مناقشة التوجیه المذکور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اعتبار العلم الإجمالی،و فیه مقامان</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یکفی العلم الإجمالی فی الامتثال؟</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الامتثال الإجمالی فی العبادات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لو توقّف الاحتیاط علی تکرار العبادة </w:t>
      </w:r>
      <w:r>
        <w:rPr>
          <w:rFonts w:eastAsia="IRNazanin" w:cs="IRNazanin"/>
          <w:color w:val="111111"/>
          <w:sz w:val="28"/>
          <w:szCs w:val="28"/>
          <w:lang w:bidi="fa-IR"/>
        </w:rPr>
        <w:t>72</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لم یتوقّف الاحتیاط علی التکرار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هل یقدّم الظنّ التفصیلی المعتبر علی العلم الإجمالی؟</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لو کان الظنّ ممّا ثبت اعتباره بدلیل الانسداد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لو کان الظنّ ممّا ثبت اعتباره بالخصوص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تحرم المخالفة القطعیّة للعلم الإجمالی؟</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صور العلم الإجمالی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العلم الإجمالی الطریقی و الموضوعی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إذا تولّد من العلم الإجمالی علم تفصیلی بالحکم الشرعی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عدم الفرق بین هذا العلم التفصیلی و غیره من العلوم التفصیلیّة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الموارد التی توهم خلاف ذلک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الجواب عن الموارد المذکورة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أقسام مخالفة العلم الإجمالی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جواز المخالفة الالتزامیّة للعلم الإجمالی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المخالفة الالتزامیّة لیست مخالفة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دلیل الجواز بوجه أخصر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المخالفة العملیّة للعلم الإجمالی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لو کانت المخالفة لخطاب تفصیلی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لو کانت المخالفة لخطاب مردّد،ففیها وجوه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الأقوی عدم الجواز مطلقا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الاشتباه من حیث شخص المکلّف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لو تردّد التکلیف بین شخصین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لو اتّفق لأحدهما أو لثالث علم بتوجّه خطاب إلیه </w:t>
      </w:r>
      <w:r>
        <w:rPr>
          <w:rFonts w:eastAsia="IRNazanin" w:cs="IRNazanin"/>
          <w:color w:val="111111"/>
          <w:sz w:val="28"/>
          <w:szCs w:val="28"/>
          <w:lang w:bidi="fa-IR"/>
        </w:rPr>
        <w:t>96</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فروع المسألة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أحکام الخنثی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معاملتها مع الغیر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حکمها بالنسبة إلی التکالیف المختصّة بکل من الفریقین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معاملة الغیر معها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الظنّ و فیه مقامان 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إمکان التعبّد بالظنّ و عدمه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أدلّة ابن قبة علی الامتناع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استدلال المشهور علی الإمکان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الأولی فی وجه الاستدلال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المناقشة فی أدلّة ابن قبة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التعبّد بالخبر علی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الطریقیّة و السببیّة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عدم الامتناع بناء علی الطریقیّة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عدم الامتناع بناء علی السببیّة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التعبّد بالأمارات غیر العلمیّة علی وجهین</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مسلک الطریقیّة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مسلک السببیّة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وجوه الطریقیّة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وجوه السببیّة</w:t>
      </w:r>
      <w:r>
        <w:rPr>
          <w:rFonts w:eastAsia="IRNazanin" w:cs="IRNazanin"/>
          <w:color w:val="111111"/>
          <w:sz w:val="28"/>
          <w:szCs w:val="28"/>
          <w:rtl w:val="true"/>
          <w:lang w:bidi="fa-IR"/>
        </w:rPr>
        <w:t>:</w:t>
      </w:r>
      <w:r>
        <w:rPr>
          <w:rFonts w:eastAsia="IRNazanin" w:cs="IRNazanin"/>
          <w:color w:val="111111"/>
          <w:sz w:val="28"/>
          <w:szCs w:val="28"/>
          <w:lang w:bidi="fa-IR"/>
        </w:rPr>
        <w:t>113</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الحکم مطلقا تابعا للأمارة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الحکم الفعلی تابعا للأمارة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الفرق بین هذین الوجهین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المصلحة السلوکیّة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الفرق بین الوجهین الأخیرین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معنی وجوب العمل علی طبق الأمارة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إشکال الجمع بین الحکم الواقعی و الظاهری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جواب الإشکال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حال الأمارة علی الموضوعات الخارجیّة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القول بوجوب التعبّد بالأمارة و المناقشة فیه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وقوع التعبّد بالظنّ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أصالة حرمة العمل بالظنّ للأدلّة الأربعة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تقریر هذا الأصل بوجوه أخر و المناقشة فیها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للحرمة فی العمل بالظنّ جهتان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الإشارة إلی هاتین الجهتین فی الکتاب و السنّة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الاستدلال علی أصالة الحرمة بالآیات الناهیة عن العمل بالظنّ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موضوع هذه الرسالة هی الظنون المعتبرة الخارجة عن الأصل المتقدّم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الأمارات المستعملة فی استنباط الأحکام من ألفاظ الکتاب و السنّة،و هی علی قسمین</w:t>
      </w:r>
      <w:r>
        <w:rPr>
          <w:rFonts w:eastAsia="IRNazanin" w:cs="IRNazanin"/>
          <w:color w:val="111111"/>
          <w:sz w:val="28"/>
          <w:szCs w:val="28"/>
          <w:rtl w:val="true"/>
          <w:lang w:bidi="fa-IR"/>
        </w:rPr>
        <w:t>:</w:t>
      </w:r>
      <w:r>
        <w:rPr>
          <w:rFonts w:eastAsia="IRNazanin" w:cs="IRNazanin"/>
          <w:color w:val="111111"/>
          <w:sz w:val="28"/>
          <w:szCs w:val="28"/>
          <w:lang w:bidi="fa-IR"/>
        </w:rPr>
        <w:t>135</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یستعمل لتشخیص مراد المتکلّم الخلاف فی موضعین</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حجّیة ظواهر الکتاب عدم حجّیة ظواهر الکتاب عند جماعة من الأخباریین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الاستدلال علی ذلک بالأخبار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الجواب عن الاستدلال بالأخبار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بالرأی</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الأخبار الدالّة علی جواز التمسّک بظاهر القرآن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الدلیل الثانی علی عدم حجّیة ظواهر الکتاب و الجواب عنه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توهّم عدم الثمرة فی الخلاف فی حجّیة ظواهر الکتاب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الجواب عن التوهّم المذکور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لو اختلفت القراءة فی الکتاب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وقوع التحریف فی القرآن لا یمنع من التمسّک بالظواهر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توهّم و دفع </w:t>
      </w:r>
      <w:r>
        <w:rPr>
          <w:rFonts w:eastAsia="Amiri" w:cs="Amiri" w:ascii="Amiri" w:hAnsi="Amiri"/>
          <w:color w:val="111111"/>
          <w:sz w:val="28"/>
          <w:szCs w:val="28"/>
          <w:lang w:bidi="ar-SA"/>
        </w:rPr>
        <w:t>158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حجّیة الظواهر بالنسبة إلی من لم یقصد إفهامه تفصیل صاحب القوانین بین من قصد إفهامه و غیره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توجیه هذا التفصیل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المناقشة فی التفصیل المذکور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احتمال التفصیل المتقدّم فی کلام صاحب المعالم </w:t>
      </w:r>
      <w:r>
        <w:rPr>
          <w:rFonts w:eastAsia="IRNazanin" w:cs="IRNazanin"/>
          <w:color w:val="111111"/>
          <w:sz w:val="28"/>
          <w:szCs w:val="28"/>
          <w:lang w:bidi="fa-IR"/>
        </w:rPr>
        <w:t>168</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الفرق فی حجّیة الظواهر بین ما یفید الظنّ بالمراد و غیره نظریّة المحقّق الکلباسی و المناقشة فیها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تفصیل صاحب هدایة المسترشدین و المناقشة فیه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تفصیل السیّد المجاهد فی المسألة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المناقشة فی هذا التفصیل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یستعمل لتشخیص الظواهر حجّیة قول اللغوی هل قول اللغویین حجّة فی الأوضاع اللغویّة،أم لا؟</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الاستدلال علی الحجیّة بإجماع العلماء و العقلاء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المناقشة فی الإجماع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مختار المصنّف فی المسألة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حجّیة الإجماع المنقول هل الإجماع المنقول حجّة،أم لا؟</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الکلام فی الملازمة بین حجّیة الخبر الواحد و حجّیة الإجماع المنقول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عدم حجّیة الإخبار عن حدس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الاستدلال بآیة النبأ علی حجّیة الإجماع المنقول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عدم عمومیّة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لکلّ خبر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الإجماع فی مصطلح الخاصّة و العامّة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وجه حجّیة الإجماع عند الإمامیّة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المسامحة فی إطلاق الإجماع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مسامحة اخری فی إطلاق الإجماع </w:t>
      </w:r>
      <w:r>
        <w:rPr>
          <w:rFonts w:eastAsia="IRNazanin" w:cs="IRNazanin"/>
          <w:color w:val="111111"/>
          <w:sz w:val="28"/>
          <w:szCs w:val="28"/>
          <w:lang w:bidi="fa-IR"/>
        </w:rPr>
        <w:t>189</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ضیر فی المسامحتین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أنحاء حکایة الإجماع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مستند العلم بقول الإمام علیه السّلام أحد امور</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قاعدة اللطف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عدم صحّة الاستناد إلی اللطف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ظهور الاستناد إلی قاعدة اللطف من کلام جماعة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الحدس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لا یصلح للاستناد إلاّ الحدس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محامل دعوی إجماع الکلّ</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یراد اتّفاق المعروفین </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یستفاد إجماع الکلّ من اتّفاق المعروفین </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یستفاد إجماع الکلّ من اتّفاقهم علی أمر من الامور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ذکر موارد تدلّ علی الوجه الأخیر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حاصل الکلام فی المسألة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فائدة نقل الإجماع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لو حصل من نقل الإجماع و ما انضمّ إلیه القطع بالحکم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لو حصل من نقل الإجماع القطع بوجود دلیل ظنیّ معتبر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کلام المحقّق التستری فی فائدة نقل الإجماع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الفائدة المذکورة لنقل الإجماع بحکم المعدومة </w:t>
      </w:r>
      <w:r>
        <w:rPr>
          <w:rFonts w:eastAsia="IRNazanin" w:cs="IRNazanin"/>
          <w:color w:val="111111"/>
          <w:sz w:val="28"/>
          <w:szCs w:val="28"/>
          <w:lang w:bidi="fa-IR"/>
        </w:rPr>
        <w:t>224</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استلزام الإجماع قول الإمام علیه السّلام أو الدلیل المعتبر إذا انضمّ إلی أمارات أخر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 المتواتر المنقول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معنی قبول نقل التواتر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الکلام فی تواتر القراءات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حجّیة الشهرة الفتوائیّة هل الشهرة الفتوائیّة حجّة،أم لا؟</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منشأ توهّم الحجّیة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الاستدلال بمفهوم الموافقة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المناقشة فی هذا الاستدلال </w:t>
      </w:r>
      <w:r>
        <w:rPr>
          <w:rFonts w:eastAsia="IRNazanin" w:cs="IRNazanin"/>
          <w:color w:val="111111"/>
          <w:sz w:val="28"/>
          <w:szCs w:val="28"/>
          <w:lang w:bidi="fa-IR"/>
        </w:rPr>
        <w:t>232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الاستدلال بمرفوعة زرارة و مقبولة ابن حنظلة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الجواب عن الاستدلال بالمرفوعة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الجواب عن الاستدلال بالمقبولة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حجّیة الخبر الواحد إثبات الحکم الشرعی بالأخبار یتوقّف علی مقدّمات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الخلاف فی الأخبار المدوّنة فی مقامین</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هی مقطوعة الصدور،أم لا؟</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هی معتبرة بالخصوص،أم لا؟</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ما هو المعتبر منها؟</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أدلّة المانعین من الحجّیة</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الاستدلال بالآیات </w:t>
      </w:r>
      <w:r>
        <w:rPr>
          <w:rFonts w:eastAsia="IRNazanin" w:cs="IRNazanin"/>
          <w:color w:val="111111"/>
          <w:sz w:val="28"/>
          <w:szCs w:val="28"/>
          <w:lang w:bidi="fa-IR"/>
        </w:rPr>
        <w:t>242</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الاستدلال بالأخبار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وجه الاستدلال بالأخبار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الاستدلال بالإجماع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الجواب عن الاستدلال بالآیات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الجواب عن الاستدلال بالأخبار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الجواب عن الاستدلال بالإجماع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أدلّة القائلین بالحجیّة</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الاستدلال بالکتاب</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الآیة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الاستدلال بها من طریقین</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طریق مفهوم الشرط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طریق مفهوم الوصف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ما اورد علی الاستدلال بالآیة بما لا یمکن دفعه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اعتبار مفهوم الوصف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عدم اعتبار مفهوم الشرط فی الآیة لأنّه سالبة بانتفاء الموضوع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تعارض المفهوم و التعلیل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ما اجیب به عن إیراد تعارض المفهوم و التعلیل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المناقشة فی هذا الجواب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الأولی فی التخلّص عن هذا الإیراد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الإیرادات القابلة للدفع</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تعارض مفهوم الآیة للآیات الناهیة عن العمل بغیر العلم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الجواب عن هذا الإیراد </w:t>
      </w:r>
      <w:r>
        <w:rPr>
          <w:rFonts w:eastAsia="IRNazanin" w:cs="IRNazanin"/>
          <w:color w:val="111111"/>
          <w:sz w:val="28"/>
          <w:szCs w:val="28"/>
          <w:lang w:bidi="fa-IR"/>
        </w:rPr>
        <w:t>262</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شمول الآیة لخبر السیّد المرتضی،و الجواب عنه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شمول الآیة للأخبار مع الواسطة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الجواب عن هذا الإیراد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إشکال تقدّم الحکم علی الموضوع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الجواب عن الإشکال </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إمکان العمل بمفهوم الآیة فی الأحکام الشرعیّة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الجواب عن هذا الإیراد </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العمل بمفهوم الآیة فی مورده،و الجواب عنه </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الآیة لا یستلزم العمل و الجواب عنه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المسألة اصولیّة و جوابه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انحصار مفهوم الآیة فی المعصوم علیه السّلام و من دونه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الجواب عن هذا الإیراد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الاستدلال بمنطوق الآیة علی حجیّة خبر غیر العادل إذا حصل الظنّ بصدقه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المناقشة فی الاستدلال المذکور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الآیة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النفر</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وجه الاستدلال بها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ظهور الآیة فی وجوب التفقّه و الإنذار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الأخبار التی استشهد فیها الإمام علیه السّلام بآیة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وجوب التفقّه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المناقشة فی الاستدلال بهذه الآیة من وجوه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الأولی الاستدلال بالآیة علی وجوب الاجتهاد و التقلید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الآیة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الکتمان</w:t>
      </w:r>
      <w:r>
        <w:rPr>
          <w:rFonts w:eastAsia="IRNazanin" w:cs="IRNazanin"/>
          <w:color w:val="111111"/>
          <w:sz w:val="28"/>
          <w:szCs w:val="28"/>
          <w:rtl w:val="true"/>
          <w:lang w:bidi="fa-IR"/>
        </w:rPr>
        <w:t>»</w:t>
      </w:r>
      <w:r>
        <w:rPr>
          <w:rFonts w:eastAsia="IRNazanin" w:cs="IRNazanin"/>
          <w:color w:val="111111"/>
          <w:sz w:val="28"/>
          <w:szCs w:val="28"/>
          <w:lang w:bidi="fa-IR"/>
        </w:rPr>
        <w:t>287</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الاستدلال بها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المناقشة فی الاستدلال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الآیة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 من أهل الذکر</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وجه الاستدلال بها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المناقشة فی الاستدلال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من هم أهل الذکر؟</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استدلال جماعة بالآیة علی وجوب التقلید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الآیة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الاذن</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وجه الاستدلال بها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تأیید الاستدلال،بالروایة الواردة فی حکایة إسماعیل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المناقشة فی الاستدلال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الاذن</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المؤمنین</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توجیه روایة إسماعیل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مدلول الآیات المستدلّ بها علی حجیّة الخبر الواحد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الاستدلال علی حجیّة الخبر الواحد بطوائف من الأخبار</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فی الخبرین المتعارضین </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 علی إرجاع آحاد الرواة إلی آحاد الأصحاب </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 علی وجوب الرجوع إلی الرواة و الثقات و العلماء </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یظهر منها جواز العمل بالخبر الواحد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القدر المتیقّن من الأخبار اعتبار الوثاقة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عدم اعتبار العدالة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الاستدلال علی حجیّة الخبر الواحد بالإجماع من وجوه</w:t>
      </w:r>
      <w:r>
        <w:rPr>
          <w:rFonts w:eastAsia="IRNazanin" w:cs="IRNazanin"/>
          <w:color w:val="111111"/>
          <w:sz w:val="28"/>
          <w:szCs w:val="28"/>
          <w:rtl w:val="true"/>
          <w:lang w:bidi="fa-IR"/>
        </w:rPr>
        <w:t>:</w:t>
      </w:r>
      <w:r>
        <w:rPr>
          <w:rFonts w:eastAsia="IRNazanin" w:cs="IRNazanin"/>
          <w:color w:val="111111"/>
          <w:sz w:val="28"/>
          <w:szCs w:val="28"/>
          <w:lang w:bidi="fa-IR"/>
        </w:rPr>
        <w:t>311</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فی مقابل السیّد و أتباعه و تحصیله بطریقین</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تتبّع أقوال العلماء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تتبّع الإجماعات المنقولة علی الحجّیة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دعوی الشیخ الطوسی الإجماع علی حجیّة الخبر الواحد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التدافع بین دعوی السیّد و الشیخ قدّس سرّهما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الجمع بین دعوی السیّد و الشیخ قدّس سرّهما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عدم صحّة هذا الجمع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الجمع بوجه آخر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اعتراف السیّد بعمل الطائفة بأخبار الآحاد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القرائن علی صدق الإجماع المدّعی من الشیخ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ذهاب معظم الأصحاب إلی حجیّة الخبر الواحد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القدر المتیقّن هو الخبر المفید للاطمئنان </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حتّی من السیّد و أتباعه علی العمل بخبر الواحد </w:t>
      </w:r>
      <w:r>
        <w:rPr>
          <w:rFonts w:eastAsia="IRNazanin" w:cs="IRNazanin"/>
          <w:color w:val="111111"/>
          <w:sz w:val="28"/>
          <w:szCs w:val="28"/>
          <w:lang w:bidi="fa-IR"/>
        </w:rPr>
        <w:t>342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استقرار سیرة المسلمین علی العمل بخبر الواحد </w:t>
      </w:r>
      <w:r>
        <w:rPr>
          <w:rFonts w:eastAsia="IRNazanin" w:cs="IRNazanin"/>
          <w:color w:val="111111"/>
          <w:sz w:val="28"/>
          <w:szCs w:val="28"/>
          <w:lang w:bidi="fa-IR"/>
        </w:rPr>
        <w:t>343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استقرار طریقة العقلاء علی العمل بخبر الواحد </w:t>
      </w:r>
      <w:r>
        <w:rPr>
          <w:rFonts w:eastAsia="IRNazanin" w:cs="IRNazanin"/>
          <w:color w:val="111111"/>
          <w:sz w:val="28"/>
          <w:szCs w:val="28"/>
          <w:lang w:bidi="fa-IR"/>
        </w:rPr>
        <w:t>345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إجماع الصحابة علی العمل بخبر الواحد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التأمّل فی هذا الوجه </w:t>
      </w:r>
      <w:r>
        <w:rPr>
          <w:rFonts w:eastAsia="IRNazanin" w:cs="IRNazanin"/>
          <w:color w:val="111111"/>
          <w:sz w:val="28"/>
          <w:szCs w:val="28"/>
          <w:lang w:bidi="fa-IR"/>
        </w:rPr>
        <w:t>347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دعوی إجماع الإمامیّة علی وجوب الرجوع إلی الأخبار المدوّنة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المناقشة فی هذا الوجه أیضا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الاستدلال علی حجیّة الخبر الواحد بالعقل من وجوه</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الإجمالی بصدور أکثر الأخبار عن الأئمّة علیهم السّلام </w:t>
      </w:r>
      <w:r>
        <w:rPr>
          <w:rFonts w:eastAsia="IRNazanin" w:cs="IRNazanin"/>
          <w:color w:val="111111"/>
          <w:sz w:val="28"/>
          <w:szCs w:val="28"/>
          <w:lang w:bidi="fa-IR"/>
        </w:rPr>
        <w:t>351</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شدّة اهتمام الأصحاب بتنقیح الأخبار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الداعی إلی هذا الاهتمام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دسّ الأخبار المکذوبة فی کتب أصحاب الأئمّة علیهم السّلام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المناقشة فی الوجه الأوّل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الفاضل التونی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المناقشة فیما أفاده الفاضل التونی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صاحب هدایة المسترشدین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المناقشة فیما أفاده صاحب الهدایة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حاصل الکلام فی أدلّة حجیّة الخبر الواحد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الدلیل العقلی علی حجیّة مطلق الظنّ من وجوه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دفع الضرر المظنون</w:t>
      </w:r>
    </w:p>
    <w:p>
      <w:pPr>
        <w:pStyle w:val="BookText"/>
        <w:rPr/>
      </w:pPr>
      <w:r>
        <w:rPr>
          <w:rFonts w:ascii="IRNazanin" w:hAnsi="IRNazanin" w:eastAsia="IRNazanin"/>
          <w:color w:val="111111"/>
          <w:sz w:val="28"/>
          <w:sz w:val="28"/>
          <w:szCs w:val="28"/>
          <w:rtl w:val="true"/>
          <w:lang w:bidi="fa-IR"/>
        </w:rPr>
        <w:t xml:space="preserve">جواب الحاجبیّ عن هذا الوجه،و المناقشة فیه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جواب آخر عن هذا الوجه،و المناقشة فیه أیضا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جواب ثالث عن هذا الوجه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ما اجیب به عن هذا الجواب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عدم صحّة ما اجیب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الأولی فی المناقشة فی الجواب الثالث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الأولی فی الجواب عن الوجه الأوّل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مفاد هذا الدلیل </w:t>
      </w:r>
      <w:r>
        <w:rPr>
          <w:rFonts w:eastAsia="IRNazanin" w:cs="IRNazanin"/>
          <w:color w:val="111111"/>
          <w:sz w:val="28"/>
          <w:szCs w:val="28"/>
          <w:lang w:bidi="fa-IR"/>
        </w:rPr>
        <w:t>379</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قبح ترجیح المرجوح ما اجیب عن هذا الوجه و مناقشته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اجیب عن هذا الوجه أیضا و مناقشته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الأولی فی الجواب عن هذا الوجه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حکی عن صاحب الریاض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المناقشة فی هذا الوجه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الانسداد مقدّمات دلیل الانسداد</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انسداد باب العلم و الظنّ الخاصّ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تسلیم أو منع هذه المقدّمة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إهمال الوقائع المشتبهة و الدلیل علیه من وجوه</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القطعی </w:t>
      </w:r>
      <w:r>
        <w:rPr>
          <w:rFonts w:eastAsia="IRNazanin" w:cs="IRNazanin"/>
          <w:color w:val="111111"/>
          <w:sz w:val="28"/>
          <w:szCs w:val="28"/>
          <w:lang w:bidi="fa-IR"/>
        </w:rPr>
        <w:t>388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لزوم المخالفة القطعیّة الکثیرة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الإشارة إلی هذا الوجه فی کلام جماعة </w:t>
      </w:r>
      <w:r>
        <w:rPr>
          <w:rFonts w:eastAsia="IRNazanin" w:cs="IRNazanin"/>
          <w:color w:val="111111"/>
          <w:sz w:val="28"/>
          <w:szCs w:val="28"/>
          <w:lang w:bidi="fa-IR"/>
        </w:rPr>
        <w:t>390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الإجمالی بوجود الواجبات و المحرّمات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بطلان وجوب تحصیل الامتثال بالطرق المقرّرة للجاهل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عدم وجوب الاحتیاط لوجهین</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القطعی </w:t>
      </w:r>
      <w:r>
        <w:rPr>
          <w:rFonts w:eastAsia="IRNazanin" w:cs="IRNazanin"/>
          <w:color w:val="111111"/>
          <w:sz w:val="28"/>
          <w:szCs w:val="28"/>
          <w:lang w:bidi="fa-IR"/>
        </w:rPr>
        <w:t>403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لزوم العسر و الحرج </w:t>
      </w:r>
      <w:r>
        <w:rPr>
          <w:rFonts w:eastAsia="IRNazanin" w:cs="IRNazanin"/>
          <w:color w:val="111111"/>
          <w:sz w:val="28"/>
          <w:szCs w:val="28"/>
          <w:lang w:bidi="fa-IR"/>
        </w:rPr>
        <w:t>404</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تعلیم و تعلّم موارد الاحتیاط حرج أیضا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 عدم إمکان الاحتیاط لا مناص عن العمل بالظنّ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الإیراد علی لزوم الحرج بوجوه</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الإیراد الأوّل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جواب الإیراد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حکومة أدلّة نفی الحرج علی العمومات المثبتة للتکلیف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الإیراد الثانی علی لزوم الحرج و جوابه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الإیراد الثالث علی لزوم الحرج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جواب الإیراد الثالث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الردّ علی الاحتیاط بوجوه أخر</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الوجه الأوّل و المناقشة فیه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المناقشة فی هذا الوجه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مقتضی نفی الاحتیاط عدم وجوب مراعاة الاحتمالات الموهومة فقط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دعوی الإجماع علی عدم وجوب الاحتیاط فی المشکوکات أیضا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الإشکال فی هذه الدعوی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إشکال آخر فی المقام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بطلان الرجوع فی کلّ واقعة إلی ما یقتضیه الأصل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بطلان الرجوع إلی فتوی العالم و تقلیده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تعیّن العمل بمطلق الظنّ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مراتب امتثال الحکم الشرعی </w:t>
      </w:r>
      <w:r>
        <w:rPr>
          <w:rFonts w:eastAsia="IRNazanin" w:cs="IRNazanin"/>
          <w:color w:val="111111"/>
          <w:sz w:val="28"/>
          <w:szCs w:val="28"/>
          <w:lang w:bidi="fa-IR"/>
        </w:rPr>
        <w:t>432</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ترتّب هذه المراتب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الامتثال الظنّی بعد تعذّر العلمی لا یحتاج إلی جعل جاعل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الأخذ بالمرجوح و طرح الراجح قبیح مطلقا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التنبیه علی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الفرق فی الامتثال الظنّی بین الظنّ بالحکم الواقعی أو الظاهری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المخالف للتعمیم فریقان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أدلّة القائلین باعتبار الظنّ فی المسائل الاصولیّة دون الفرعیّة</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صاحب الفصول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المناقشة فیما أفاده صاحب الفصول </w:t>
      </w:r>
      <w:r>
        <w:rPr>
          <w:rFonts w:eastAsia="IRNazanin" w:cs="IRNazanin"/>
          <w:color w:val="111111"/>
          <w:sz w:val="28"/>
          <w:szCs w:val="28"/>
          <w:lang w:bidi="fa-IR"/>
        </w:rPr>
        <w:t>439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صاحب هدایة المسترشدین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المناقشة فیما أفاده صاحب الهدایة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القول باعتبار الظنّ فی المسائل الفرعیّة دون الاصولیّة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ما ذکره صاحب ضوابط الاصول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المناقشة فیما أفاده صاحب ضوابط الاصول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مقامات</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نتیجة دلیل الانسداد مهملة أو معیّنة؟</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تقریر دلیل الانسداد بوجهین</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وجه الکشف </w:t>
      </w:r>
      <w:r>
        <w:rPr>
          <w:rFonts w:eastAsia="IRNazanin" w:cs="IRNazanin"/>
          <w:color w:val="111111"/>
          <w:sz w:val="28"/>
          <w:szCs w:val="28"/>
          <w:lang w:bidi="fa-IR"/>
        </w:rPr>
        <w:t>465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وجه الحکومة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التعمیم من حیث الموارد مشترک بین التقریرین </w:t>
      </w:r>
      <w:r>
        <w:rPr>
          <w:rFonts w:eastAsia="IRNazanin" w:cs="IRNazanin"/>
          <w:color w:val="111111"/>
          <w:sz w:val="28"/>
          <w:szCs w:val="28"/>
          <w:lang w:bidi="fa-IR"/>
        </w:rPr>
        <w:t>467</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الحکومة التعمیم من حیث الأسباب دون المراتب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لازم الکشف الإهمال من حیث الأسباب و المراتب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الحقّ فی تقریر دلیل الانسداد هو الحکومة من وجوه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علی أحد التقریرین السابقین هل یحکم بتعمیم الظنّ من حیث الأسباب المرتّبة،أم لا؟</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طرق التعمیم علی الکشف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المرجّح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ما یصلح أن یکون معیّنا أو مرجّحا</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بعض الظنون متیقّنا بالنسبة إلی الباقی </w:t>
      </w:r>
      <w:r>
        <w:rPr>
          <w:rFonts w:eastAsia="IRNazanin" w:cs="IRNazanin"/>
          <w:color w:val="111111"/>
          <w:sz w:val="28"/>
          <w:szCs w:val="28"/>
          <w:lang w:bidi="fa-IR"/>
        </w:rPr>
        <w:t>472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بعض الظنون أقوی </w:t>
      </w:r>
      <w:r>
        <w:rPr>
          <w:rFonts w:eastAsia="IRNazanin" w:cs="IRNazanin"/>
          <w:color w:val="111111"/>
          <w:sz w:val="28"/>
          <w:szCs w:val="28"/>
          <w:lang w:bidi="fa-IR"/>
        </w:rPr>
        <w:t>472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بعض الظنون مظنون الحجّیة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المناقشة فی المرجّحات المذکورة</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تیقّن البعض لا ینفع </w:t>
      </w:r>
      <w:r>
        <w:rPr>
          <w:rFonts w:eastAsia="IRNazanin" w:cs="IRNazanin"/>
          <w:color w:val="111111"/>
          <w:sz w:val="28"/>
          <w:szCs w:val="28"/>
          <w:lang w:bidi="fa-IR"/>
        </w:rPr>
        <w:t>474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أقوائیّة البعض لا یمکن ضبطه </w:t>
      </w:r>
      <w:r>
        <w:rPr>
          <w:rFonts w:eastAsia="IRNazanin" w:cs="IRNazanin"/>
          <w:color w:val="111111"/>
          <w:sz w:val="28"/>
          <w:szCs w:val="28"/>
          <w:lang w:bidi="fa-IR"/>
        </w:rPr>
        <w:t>475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الظنّ بحجیّة البعض لیست له ضابطة کلیّة أیضا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عدم اعتبار مطلق الظنّ فی تعیین القضیة المهملة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عدم صحّة تعیین بعض الظنون لأجل الظنّ بعدم حجّیة ما سواه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صحّة تعیین القضیّة المهملة بمطلق الظنّ فی مواضع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وجوب الاقتصار علی القدر المتیقّن بناء علی الکشف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لو لم یکن القدر المتیقّن کافیا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الطریق الثانی للتعمیم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کفایة الظنون المعتبرة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المناقشة فی هذه الطریقة </w:t>
      </w:r>
      <w:r>
        <w:rPr>
          <w:rFonts w:eastAsia="IRNazanin" w:cs="IRNazanin"/>
          <w:color w:val="111111"/>
          <w:sz w:val="28"/>
          <w:szCs w:val="28"/>
          <w:lang w:bidi="fa-IR"/>
        </w:rPr>
        <w:t>495</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 الثالث للتعمیم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قاعدة الاشتغال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المناقشة فی هذه الطریقة أیضا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وجوب الاقتصار علی الظنّ الاطمئنانی بناء علی الحکومة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النتیجة بناء علی الحکومة هو التبعیض فی الاحتیاط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الفرق بین العمل بالظنّ بعنوان التبعیض فی الاحتیاط أو بعنوان الحجیّة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عدم الفرق فی الظنّ الاطمینانی بین الظنّ بالحکم أو الظنّ بالطریق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الإشکال فی العمل بما یقتضیه الأصل فی المشکوکات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الإشکال فی الاصول اللفظیّة أیضا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الإشکال فی خروج الظنّ القیاسی علی الکشف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توجّه الإشکال علی الحکومة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الإشکال فی مقامین</w:t>
      </w:r>
      <w:r>
        <w:rPr>
          <w:rFonts w:eastAsia="IRNazanin" w:cs="IRNazanin"/>
          <w:color w:val="111111"/>
          <w:sz w:val="28"/>
          <w:szCs w:val="28"/>
          <w:rtl w:val="true"/>
          <w:lang w:bidi="fa-IR"/>
        </w:rPr>
        <w:t>:</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خروج الظنّ القیاسی عن حجیّة مطلق الظنّ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ما قیل فی توجیه خروج القیاس</w:t>
      </w:r>
      <w:r>
        <w:rPr>
          <w:rFonts w:eastAsia="IRNazanin" w:cs="IRNazanin"/>
          <w:color w:val="111111"/>
          <w:sz w:val="28"/>
          <w:szCs w:val="28"/>
          <w:rtl w:val="true"/>
          <w:lang w:bidi="fa-IR"/>
        </w:rPr>
        <w:t>:</w:t>
      </w:r>
      <w:r>
        <w:rPr>
          <w:rFonts w:eastAsia="IRNazanin" w:cs="IRNazanin"/>
          <w:color w:val="111111"/>
          <w:sz w:val="28"/>
          <w:szCs w:val="28"/>
          <w:lang w:bidi="fa-IR"/>
        </w:rPr>
        <w:t>517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حرمة العمل بالقیاس فی زمان الانسداد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المناقشة فی هذا الوجه </w:t>
      </w:r>
      <w:r>
        <w:rPr>
          <w:rFonts w:eastAsia="IRNazanin" w:cs="IRNazanin"/>
          <w:color w:val="111111"/>
          <w:sz w:val="28"/>
          <w:szCs w:val="28"/>
          <w:lang w:bidi="fa-IR"/>
        </w:rPr>
        <w:t>520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إفادة القیاس للظنّ و المناقشة فیه </w:t>
      </w:r>
      <w:r>
        <w:rPr>
          <w:rFonts w:eastAsia="IRNazanin" w:cs="IRNazanin"/>
          <w:color w:val="111111"/>
          <w:sz w:val="28"/>
          <w:szCs w:val="28"/>
          <w:lang w:bidi="fa-IR"/>
        </w:rPr>
        <w:t>521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باب العلم فی القیاس مفتوح و المناقشة فیه </w:t>
      </w:r>
      <w:r>
        <w:rPr>
          <w:rFonts w:eastAsia="IRNazanin" w:cs="IRNazanin"/>
          <w:color w:val="111111"/>
          <w:sz w:val="28"/>
          <w:szCs w:val="28"/>
          <w:lang w:bidi="fa-IR"/>
        </w:rPr>
        <w:t>522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حجیّة مطلق الظنّ النفس الأمری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المناقشة فی هذا الوجه </w:t>
      </w:r>
      <w:r>
        <w:rPr>
          <w:rFonts w:eastAsia="IRNazanin" w:cs="IRNazanin"/>
          <w:color w:val="111111"/>
          <w:sz w:val="28"/>
          <w:szCs w:val="28"/>
          <w:lang w:bidi="fa-IR"/>
        </w:rPr>
        <w:t>525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حجیّة الظنّ الذی قام علی حجیّته دلیل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المناقشة فی هذا الوجه </w:t>
      </w:r>
      <w:r>
        <w:rPr>
          <w:rFonts w:eastAsia="IRNazanin" w:cs="IRNazanin"/>
          <w:color w:val="111111"/>
          <w:sz w:val="28"/>
          <w:szCs w:val="28"/>
          <w:lang w:bidi="fa-IR"/>
        </w:rPr>
        <w:t>526</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اخترناه سابقا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عدم تمامیّة هذا الوجه أیضا </w:t>
      </w:r>
      <w:r>
        <w:rPr>
          <w:rFonts w:eastAsia="IRNazanin" w:cs="IRNazanin"/>
          <w:color w:val="111111"/>
          <w:sz w:val="28"/>
          <w:szCs w:val="28"/>
          <w:lang w:bidi="fa-IR"/>
        </w:rPr>
        <w:t>529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مختار المصنّف فی التوجیه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إذا قام ظنّ علی حرمة العمل ببعض الظنون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هل یجب العمل بالظنّ الممنوع أو المانع أو الأقوی منهما أو التساقط؟</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القول بوجوب طرح الظنّ الممنوع و الاستدلال علیه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المناقشة فی هذا الاستدلال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مختار المصنّف فی المسألة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حصل الظنّ بالحکم من أمارة متعلّقة بألفاظ الدلیل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الظنّ المتعلّق بالألفاظ علی قسمین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الظاهر حجیّة هذه الظنون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لو حصل الظنّ بالحکم من الأمارة المتعلّقة بالموضوع الخارجی </w:t>
      </w:r>
      <w:r>
        <w:rPr>
          <w:rFonts w:eastAsia="IRNazanin" w:cs="IRNazanin"/>
          <w:color w:val="111111"/>
          <w:sz w:val="28"/>
          <w:szCs w:val="28"/>
          <w:lang w:bidi="fa-IR"/>
        </w:rPr>
        <w:t>539</w:t>
      </w:r>
    </w:p>
    <w:p>
      <w:pPr>
        <w:pStyle w:val="BookText"/>
        <w:rPr/>
      </w:pPr>
      <w:r>
        <w:rPr>
          <w:rFonts w:ascii="Amiri" w:hAnsi="Amiri" w:eastAsia="Amiri" w:cs="Amiri"/>
          <w:color w:val="111111"/>
          <w:sz w:val="28"/>
          <w:sz w:val="28"/>
          <w:szCs w:val="28"/>
          <w:rtl w:val="true"/>
          <w:lang w:bidi="ar-SA"/>
        </w:rPr>
        <w:t xml:space="preserve">حجیّة الظنون الرجالیّة </w:t>
      </w:r>
      <w:r>
        <w:rPr>
          <w:rFonts w:eastAsia="Amiri" w:cs="Amiri" w:ascii="Amiri" w:hAnsi="Amiri"/>
          <w:color w:val="111111"/>
          <w:sz w:val="28"/>
          <w:szCs w:val="28"/>
          <w:lang w:bidi="ar-SA"/>
        </w:rPr>
        <w:t>539</w:t>
      </w:r>
    </w:p>
    <w:p>
      <w:pPr>
        <w:pStyle w:val="BookText"/>
        <w:rPr/>
      </w:pPr>
      <w:r>
        <w:rPr>
          <w:rFonts w:ascii="IRNazanin" w:hAnsi="IRNazanin" w:eastAsia="IRNazanin"/>
          <w:color w:val="111111"/>
          <w:sz w:val="28"/>
          <w:sz w:val="28"/>
          <w:szCs w:val="28"/>
          <w:rtl w:val="true"/>
          <w:lang w:bidi="fa-IR"/>
        </w:rPr>
        <w:t xml:space="preserve">ملخّص الکلام فی هذا التنبیه </w:t>
      </w:r>
      <w:r>
        <w:rPr>
          <w:rFonts w:eastAsia="IRNazanin" w:cs="IRNazanin"/>
          <w:color w:val="111111"/>
          <w:sz w:val="28"/>
          <w:szCs w:val="28"/>
          <w:lang w:bidi="fa-IR"/>
        </w:rPr>
        <w:t>540</w:t>
      </w:r>
    </w:p>
    <w:p>
      <w:pPr>
        <w:pStyle w:val="BookText"/>
        <w:rPr/>
      </w:pPr>
      <w:r>
        <w:rPr>
          <w:rFonts w:ascii="Amiri" w:hAnsi="Amiri" w:eastAsia="Amiri" w:cs="Amiri"/>
          <w:color w:val="111111"/>
          <w:sz w:val="28"/>
          <w:sz w:val="28"/>
          <w:szCs w:val="28"/>
          <w:rtl w:val="true"/>
          <w:lang w:bidi="ar-SA"/>
        </w:rPr>
        <w:t xml:space="preserve">حجیّة الظنّ فی المسائل الاصولیّة </w:t>
      </w:r>
      <w:r>
        <w:rPr>
          <w:rFonts w:eastAsia="Amiri" w:cs="Amiri" w:ascii="Amiri" w:hAnsi="Amiri"/>
          <w:color w:val="111111"/>
          <w:sz w:val="28"/>
          <w:szCs w:val="28"/>
          <w:lang w:bidi="ar-SA"/>
        </w:rPr>
        <w:t>541</w:t>
      </w:r>
    </w:p>
    <w:p>
      <w:pPr>
        <w:pStyle w:val="BookText"/>
        <w:rPr/>
      </w:pPr>
      <w:r>
        <w:rPr>
          <w:rFonts w:ascii="IRNazanin" w:hAnsi="IRNazanin" w:eastAsia="IRNazanin"/>
          <w:color w:val="111111"/>
          <w:sz w:val="28"/>
          <w:sz w:val="28"/>
          <w:szCs w:val="28"/>
          <w:rtl w:val="true"/>
          <w:lang w:bidi="fa-IR"/>
        </w:rPr>
        <w:t>أدلّة القائلین بعدم الحجّیة</w:t>
      </w:r>
      <w:r>
        <w:rPr>
          <w:rFonts w:eastAsia="IRNazanin" w:cs="IRNazanin"/>
          <w:color w:val="111111"/>
          <w:sz w:val="28"/>
          <w:szCs w:val="28"/>
          <w:rtl w:val="true"/>
          <w:lang w:bidi="fa-IR"/>
        </w:rPr>
        <w:t>:</w:t>
      </w:r>
      <w:r>
        <w:rPr>
          <w:rFonts w:eastAsia="IRNazanin" w:cs="IRNazanin"/>
          <w:color w:val="111111"/>
          <w:sz w:val="28"/>
          <w:szCs w:val="28"/>
          <w:lang w:bidi="fa-IR"/>
        </w:rPr>
        <w:t>541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أصالة حرمة العمل بالظنّ </w:t>
      </w:r>
      <w:r>
        <w:rPr>
          <w:rFonts w:eastAsia="Amiri" w:cs="Amiri" w:ascii="Amiri" w:hAnsi="Amiri"/>
          <w:color w:val="111111"/>
          <w:sz w:val="28"/>
          <w:szCs w:val="28"/>
          <w:lang w:bidi="ar-SA"/>
        </w:rPr>
        <w:t>541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اشتهر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عدم حجیّة الظنّ فی مسائل اصول الفقه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الجواب عن الدلیل الأوّل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الجواب عن الدلیل الثانی </w:t>
      </w:r>
      <w:r>
        <w:rPr>
          <w:rFonts w:eastAsia="IRNazanin" w:cs="IRNazanin"/>
          <w:color w:val="111111"/>
          <w:sz w:val="28"/>
          <w:szCs w:val="28"/>
          <w:lang w:bidi="fa-IR"/>
        </w:rPr>
        <w:t>547</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کفایة الظنّ بالامتثال فی مقام التطبیق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عدم حجیّة الظنّ فی الامور الخارجیّة </w:t>
      </w:r>
      <w:r>
        <w:rPr>
          <w:rFonts w:eastAsia="Amiri" w:cs="Amiri" w:ascii="Amiri" w:hAnsi="Amiri"/>
          <w:color w:val="111111"/>
          <w:sz w:val="28"/>
          <w:szCs w:val="28"/>
          <w:lang w:bidi="ar-SA"/>
        </w:rPr>
        <w:t>550</w:t>
      </w:r>
    </w:p>
    <w:p>
      <w:pPr>
        <w:pStyle w:val="BookText"/>
        <w:rPr/>
      </w:pPr>
      <w:r>
        <w:rPr>
          <w:rFonts w:ascii="IRNazanin" w:hAnsi="IRNazanin" w:eastAsia="IRNazanin"/>
          <w:color w:val="111111"/>
          <w:sz w:val="28"/>
          <w:sz w:val="28"/>
          <w:szCs w:val="28"/>
          <w:rtl w:val="true"/>
          <w:lang w:bidi="fa-IR"/>
        </w:rPr>
        <w:t xml:space="preserve">حجّیة الظنّ فی بعض الامور الخارجیّة کالضرر و النسب و شبههما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یعتبر الظنّ فی اصول الدین؟</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الأقوال فی المسألة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مسائل اصول الدین علی قسمین</w:t>
      </w:r>
      <w:r>
        <w:rPr>
          <w:rFonts w:eastAsia="IRNazanin" w:cs="IRNazanin"/>
          <w:color w:val="111111"/>
          <w:sz w:val="28"/>
          <w:szCs w:val="28"/>
          <w:rtl w:val="true"/>
          <w:lang w:bidi="fa-IR"/>
        </w:rPr>
        <w:t>:</w:t>
      </w:r>
      <w:r>
        <w:rPr>
          <w:rFonts w:eastAsia="IRNazanin" w:cs="IRNazanin"/>
          <w:color w:val="111111"/>
          <w:sz w:val="28"/>
          <w:szCs w:val="28"/>
          <w:lang w:bidi="fa-IR"/>
        </w:rPr>
        <w:t>555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یجب الاعتقاد به إذا حصل العلم به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لو حصل الظنّ من الخبر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العمل بظاهر الکتاب و الخبر المتواتر فی اصول الدین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تمییز ما یجب تحصیل العلم به عمّا لا یجب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هل تجب معرفة التفاصیل؟</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عدم اعتبار معرفة التفاصیل فی الإسلام و الإیمان للأخبار الکثیرة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ما یکفی فی معرفة اللّه تعالی </w:t>
      </w:r>
      <w:r>
        <w:rPr>
          <w:rFonts w:eastAsia="IRNazanin" w:cs="IRNazanin"/>
          <w:color w:val="111111"/>
          <w:sz w:val="28"/>
          <w:szCs w:val="28"/>
          <w:lang w:bidi="fa-IR"/>
        </w:rPr>
        <w:t>565</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p>
    <w:p>
      <w:pPr>
        <w:pStyle w:val="BookText"/>
        <w:rPr/>
      </w:pPr>
      <w:r>
        <w:rPr>
          <w:rFonts w:ascii="IRNazanin" w:hAnsi="IRNazanin" w:eastAsia="IRNazanin"/>
          <w:color w:val="111111"/>
          <w:sz w:val="28"/>
          <w:sz w:val="28"/>
          <w:szCs w:val="28"/>
          <w:rtl w:val="true"/>
          <w:lang w:bidi="fa-IR"/>
        </w:rPr>
        <w:t xml:space="preserve">ما یکفی فی معرفة النبی صلّی اللّه علیه و آله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ما یکفی فی معرفة الأئمّة علیهم السّلام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ما یکفی فی التصدیق بما جاء به النبی صلّی اللّه علیه و آله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ما یعتبر فی الإیمان </w:t>
      </w:r>
      <w:r>
        <w:rPr>
          <w:rFonts w:eastAsia="IRNazanin" w:cs="IRNazanin"/>
          <w:color w:val="111111"/>
          <w:sz w:val="28"/>
          <w:szCs w:val="28"/>
          <w:lang w:bidi="fa-IR"/>
        </w:rPr>
        <w:t>568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یجب فیه النظر لتحصیل الاعتقاد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القادر علی تحصیل العلم فی الاعتقادیّات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وجوب تحصیل العلم و عدم جواز الاقتصار علی الظنّ فی الاعتقادیّات </w:t>
      </w:r>
      <w:r>
        <w:rPr>
          <w:rFonts w:eastAsia="IRNazanin" w:cs="IRNazanin"/>
          <w:color w:val="111111"/>
          <w:sz w:val="28"/>
          <w:szCs w:val="28"/>
          <w:lang w:bidi="fa-IR"/>
        </w:rPr>
        <w:t>569</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الاستدلال علی ذلک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الحکم بعدم الإیمان لو اقتصر علی الظنّ و الدلیل علیه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هل یحکم بالکفر مع الظنّ بالحق؟</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حکم الشاکّ غیر الجاحد من حیث الإیمان و الکفر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هل یکفی حصول الجزم من التقلید أو لا بدّ من النظر و الاستدلال؟</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الجزم الحاصل من التقلید فی الاعتقادیّات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العاجز عن تحصیل العلم فی الاعتقادیّات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هل یوجد العاجز فی الاعتقادیّات؟</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شهادة الوجدان بقصور بعض المکلّفین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هل یجب تحصیل الظنّ علی العاجز؟</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حکم العاجز من حیث الإیمان و الکفر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کلام السیّد الصدر فی أقسام المقلّد فی اصول الدین و بعض المناقشات فیه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کلام الشیخ الطوسی فی العدّة فی وجوب النظر مع العفو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المناقشة فیما أفاده الشیخ الطوسی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رأی المصنّف فی المسألة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عدم حجیّة الظنّ فهل له آثار أخر غیر الحجیّة؟</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هل یکون الظنّ غیر المعتبر جابرا؟</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الکلام فی جبر قصور السند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الکلام فی جبر قصور الدلالة </w:t>
      </w:r>
      <w:r>
        <w:rPr>
          <w:rFonts w:eastAsia="IRNazanin" w:cs="IRNazanin"/>
          <w:color w:val="111111"/>
          <w:sz w:val="28"/>
          <w:szCs w:val="28"/>
          <w:lang w:bidi="fa-IR"/>
        </w:rPr>
        <w:t>586</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فیما اشتهر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کون الشهرة فی الفتوی جابرة لضعف سند الخبر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هل یکون الظنّ غیر المعتبر موهنا؟</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الکلام فی الظنّ الذی علم عدم اعتباره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الکلام فی الظنّ الذی لم یثبت اعتباره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هل یکون الظنّ غیر المعتبر مرجّحا؟</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الکلام فی الظنّ الذی ورد النهی عنه بالخصوص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کلام المحقّق فی الترجیح بالقیاس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الحقّ عدم الترجیح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الکلام فی الظنّ غیر المعتبر لأجل عدم الدلیل فی مقامات</w:t>
      </w:r>
      <w:r>
        <w:rPr>
          <w:rFonts w:eastAsia="IRNazanin" w:cs="IRNazanin"/>
          <w:color w:val="111111"/>
          <w:sz w:val="28"/>
          <w:szCs w:val="28"/>
          <w:rtl w:val="true"/>
          <w:lang w:bidi="fa-IR"/>
        </w:rPr>
        <w:t>:</w:t>
      </w:r>
      <w:r>
        <w:rPr>
          <w:rFonts w:eastAsia="IRNazanin" w:cs="IRNazanin"/>
          <w:color w:val="111111"/>
          <w:sz w:val="28"/>
          <w:szCs w:val="28"/>
          <w:lang w:bidi="fa-IR"/>
        </w:rPr>
        <w:t>599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الترجیح به فی الدلالة </w:t>
      </w:r>
      <w:r>
        <w:rPr>
          <w:rFonts w:eastAsia="IRNazanin" w:cs="IRNazanin"/>
          <w:color w:val="111111"/>
          <w:sz w:val="28"/>
          <w:szCs w:val="28"/>
          <w:lang w:bidi="fa-IR"/>
        </w:rPr>
        <w:t>600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الترجیح به فی وجه الصدور </w:t>
      </w:r>
      <w:r>
        <w:rPr>
          <w:rFonts w:eastAsia="IRNazanin" w:cs="IRNazanin"/>
          <w:color w:val="111111"/>
          <w:sz w:val="28"/>
          <w:szCs w:val="28"/>
          <w:lang w:bidi="fa-IR"/>
        </w:rPr>
        <w:t>602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ترجیح السند بمطلق الظنّ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مقتضی الأصل عدم الترجیح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ظاهر معظم الاصولیین هو الترجیح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ما استدلّ به للترجیح بمطلق الظنّ</w:t>
      </w:r>
      <w:r>
        <w:rPr>
          <w:rFonts w:eastAsia="IRNazanin" w:cs="IRNazanin"/>
          <w:color w:val="111111"/>
          <w:sz w:val="28"/>
          <w:szCs w:val="28"/>
          <w:rtl w:val="true"/>
          <w:lang w:bidi="fa-IR"/>
        </w:rPr>
        <w:t>:</w:t>
      </w:r>
      <w:r>
        <w:rPr>
          <w:rFonts w:eastAsia="IRNazanin" w:cs="IRNazanin"/>
          <w:color w:val="111111"/>
          <w:sz w:val="28"/>
          <w:szCs w:val="28"/>
          <w:lang w:bidi="fa-IR"/>
        </w:rPr>
        <w:t>606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قاعدة الاشتغال </w:t>
      </w:r>
      <w:r>
        <w:rPr>
          <w:rFonts w:eastAsia="Amiri" w:cs="Amiri" w:ascii="Amiri" w:hAnsi="Amiri"/>
          <w:color w:val="111111"/>
          <w:sz w:val="28"/>
          <w:szCs w:val="28"/>
          <w:lang w:bidi="ar-SA"/>
        </w:rPr>
        <w:t>606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علی ذلک </w:t>
      </w:r>
      <w:r>
        <w:rPr>
          <w:rFonts w:eastAsia="IRNazanin" w:cs="IRNazanin"/>
          <w:color w:val="111111"/>
          <w:sz w:val="28"/>
          <w:szCs w:val="28"/>
          <w:lang w:bidi="fa-IR"/>
        </w:rPr>
        <w:t>608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یظهر من بعض الأخبار</w:t>
      </w:r>
      <w:r>
        <w:rPr>
          <w:rFonts w:eastAsia="IRNazanin" w:cs="IRNazanin"/>
          <w:color w:val="111111"/>
          <w:sz w:val="28"/>
          <w:szCs w:val="28"/>
          <w:rtl w:val="true"/>
          <w:lang w:bidi="fa-IR"/>
        </w:rPr>
        <w:t>:</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ما دعا أصحابنا إلی العمل بکلّ ما یوجب رجحان أحد الخبرین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 xml:space="preserve">القول بوجوب الترجیح و دلیله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 xml:space="preserve">القول بعدم وجوب الترجیح و دلیله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 xml:space="preserve">مقتضی الاحتیاط فی المقام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 xml:space="preserve">العناوین العامّة </w:t>
      </w:r>
      <w:r>
        <w:rPr>
          <w:rFonts w:eastAsia="IRNazanin" w:cs="IRNazanin"/>
          <w:color w:val="111111"/>
          <w:sz w:val="28"/>
          <w:szCs w:val="28"/>
          <w:lang w:bidi="fa-IR"/>
        </w:rPr>
        <w:t>623</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المحتوی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فیحصل له إمّا الشکّ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الثانی مجری أصالة البراءة،و الثالث مجری قاعدة الاحتیاط،و الرابع مجری قاعدة التخییر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السابقة أو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بعبارة 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قاعدة التخییر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 مع اختلاف یسیر،و لم ترد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بعبارة اخری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الثالث فی الاصول العملیة المذکورة التی هی المرجع عند الشکّ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الکلام فی المقصد الأوّل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نفیا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لمتعلّقه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لم یطلق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لحکم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 عن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فیخرج العلم عن کونه طریقا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فیکون العلم مأخوذا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فیکون مأخوذا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الشرع</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 مطلق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کالمحدّث البحرانی فی الحدائق </w:t>
      </w:r>
      <w:r>
        <w:rPr>
          <w:rFonts w:eastAsia="IRNazanin" w:cs="IRNazanin"/>
          <w:b w:val="false"/>
          <w:bCs w:val="false"/>
          <w:i w:val="false"/>
          <w:iCs w:val="false"/>
          <w:color w:val="333333"/>
          <w:sz w:val="20"/>
          <w:szCs w:val="20"/>
        </w:rPr>
        <w:t>5:249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کالأمین الأسترابادی و السیّد المحدّث الجزائری و غیرهما،و سیجیء کلامهم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إلیه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،و نسبه فی المسالک و الریاض إلی الحلّی أیضا،و لکن لم نعثر علیه فی السرائر،بل ذهب فیه إلی الجواز فی جمیع الأشیاء،انظر المسالک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،و الریاض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2:390</w:t>
      </w:r>
      <w:r>
        <w:rPr>
          <w:rFonts w:ascii="IRNazanin" w:hAnsi="IRNazanin" w:eastAsia="IRNazanin"/>
          <w:b w:val="false"/>
          <w:b w:val="false"/>
          <w:bCs w:val="false"/>
          <w:i w:val="false"/>
          <w:i w:val="false"/>
          <w:iCs w:val="false"/>
          <w:color w:val="333333"/>
          <w:sz w:val="20"/>
          <w:sz w:val="20"/>
          <w:szCs w:val="20"/>
          <w:rtl w:val="true"/>
        </w:rPr>
        <w:t xml:space="preserve">،و السرائر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ما 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؛لرجوع الضمیر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الطرق</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 الحکم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من دلیل خارج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کالأمثلة المتقدّمة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ظهر منه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القطع</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الرباعیّة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مأخوذ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18:215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الظنّ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یؤخذ طریقا مجعولا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موضوعا 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یؤخذ طریقا مجعولا إلی متعلّقه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 کان موضوعا علی وجه الطریقیة لحکم متعلّقه أو لحکم آخر یقوم مقامه سائر الطرق الشرعیّة،فیقال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یؤخذ موضوعا لا علی وجه الطریقیّة لحکم متعلّقه أو لحکم آخر،و لا یطلق علیه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بعضها زیادة یسیرة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طبعة جماعة المدرّسین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یؤخذ موضوعا للحکم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،لکنّها لم ترد فی ما بأیدینا من النسخ</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العلاّمة فی المنتهی </w:t>
      </w:r>
      <w:r>
        <w:rPr>
          <w:rFonts w:eastAsia="IRNazanin" w:cs="IRNazanin"/>
          <w:b w:val="false"/>
          <w:bCs w:val="false"/>
          <w:i w:val="false"/>
          <w:iCs w:val="false"/>
          <w:color w:val="333333"/>
          <w:sz w:val="20"/>
          <w:szCs w:val="20"/>
        </w:rPr>
        <w:t>4:107</w:t>
      </w:r>
      <w:r>
        <w:rPr>
          <w:rFonts w:ascii="IRNazanin" w:hAnsi="IRNazanin" w:eastAsia="IRNazanin"/>
          <w:b w:val="false"/>
          <w:b w:val="false"/>
          <w:bCs w:val="false"/>
          <w:i w:val="false"/>
          <w:i w:val="false"/>
          <w:iCs w:val="false"/>
          <w:color w:val="333333"/>
          <w:sz w:val="20"/>
          <w:sz w:val="20"/>
          <w:szCs w:val="20"/>
          <w:rtl w:val="true"/>
        </w:rPr>
        <w:t xml:space="preserve">،و الفاضل الهندی فی کشف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،و السیّد العاملی فی مفتاح الکرامة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السیّد المجاهد فی مفاتیح الاصول عن الزبدة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التوقّف،و عن النهایة قولین فی موضعین،انظر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،و الزبدة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 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السیّد المجاهد فی مفاتیح الاصول عن الزبدة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التوقّف،و عن النهایة قولین فی موضعین،انظر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،و الزبدة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 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بطلانه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فی التذکرة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زائدة،إلاّ أنّه اضیف فیهما تصحیحا بعد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المفاتیح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تبعا للعلاّمة فی التذکرة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هو المحقّق السبزواری فی الذخیرة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معیّن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ذخیرة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السابقة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لکونه جریئا عازما علی العصیان و التمرّد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المنهیّ عنه باعتقاده ظاهرا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عازما علیه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سیجیء</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البحار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xml:space="preserve">،ضمن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کنز العمّال </w:t>
      </w:r>
      <w:r>
        <w:rPr>
          <w:rFonts w:eastAsia="IRNazanin" w:cs="IRNazanin"/>
          <w:b w:val="false"/>
          <w:bCs w:val="false"/>
          <w:i w:val="false"/>
          <w:iCs w:val="false"/>
          <w:color w:val="333333"/>
          <w:sz w:val="20"/>
          <w:szCs w:val="20"/>
        </w:rPr>
        <w:t>15:780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43078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بعینه،و یدلّ علیه ما فی کنز العمّال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14597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العقاب</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تأکّده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الفصول،کما سیأتی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بملاحظة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العبارة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سیجیء فی الروایة أنّ علی الراضی إثما،و علی الداخل إثمین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جرأته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کتب بعدها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الزیادة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یظهر منه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الکلام فی تأثیر نیّة المعصیة إذا تلبّس بما یراه معصیة،لا فی تأثیر الفعل المتلبّس به إذا صدر عن قصد المعصیة،فتأمّل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نعم،یظهر من بعض الروایات حرمة الفعل المتجرّی به؛لمجرّد الاعتقاد،مثل موثّقة سماعة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رجلین قاما إلی الفجر،فقال 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ذا،و قال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أری شیئا،قال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فلیأکل الذی لم یبن له،و حرّم علی الذی زعم أنّه طلع الفجر؛ إنّ اللّه تعالی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کُلُوا وَ اشْرَبُوا حَتّی یَتَبَیَّنَ لَکُمُ الْخَیْطُ الْأَبْیَضُ مِنَ الْخَیْطِ الْأَسْوَدِ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لو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بسبب القصد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،إلاّ أنّ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یحشر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11:113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،إلاّ فیه بعد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بسیفهما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غیر سنّة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12:165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کالفعل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قوله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الراضی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الداخل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الدخول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،مع اختلاف،و الوسائل </w:t>
      </w:r>
      <w:r>
        <w:rPr>
          <w:rFonts w:eastAsia="IRNazanin" w:cs="IRNazanin"/>
          <w:b w:val="false"/>
          <w:bCs w:val="false"/>
          <w:i w:val="false"/>
          <w:iCs w:val="false"/>
          <w:color w:val="333333"/>
          <w:sz w:val="20"/>
          <w:szCs w:val="20"/>
        </w:rPr>
        <w:t>11:411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النهی،الحدیث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برضاهم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2:409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11:509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النهی،الحدیث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بلفظه،و یدلّ علیه ما تقدّم آنفا،و ما فی الوسائل </w:t>
      </w:r>
      <w:r>
        <w:rPr>
          <w:rFonts w:eastAsia="IRNazanin" w:cs="IRNazanin"/>
          <w:b w:val="false"/>
          <w:bCs w:val="false"/>
          <w:i w:val="false"/>
          <w:iCs w:val="false"/>
          <w:color w:val="333333"/>
          <w:sz w:val="20"/>
          <w:szCs w:val="20"/>
        </w:rPr>
        <w:t>11:410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النهی،الحدیثان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کاشف الغطاء فی شرحه علی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علم ممّا ذکرنا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یجمعها عدم المبالاة بالمعصیة أو قلّتها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الثانی،و الثالث،و الرابع،و الخامس،و السادس</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التلبّس برجاء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التلبّس به رجاء</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جرأته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العبادات،الأحادیث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الصلاح الحلبی فی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کالأمین الأسترابادی،و المحدّث الجزائری،و المحدّث البحرانی،کما سیأتی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أقصی ما یستفاد من المنطق فی باب موادّ الأقیسة تقسیم الموادّ علی وجه کلّی إلی أقسام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أنّ الشخص الأوّل باق</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لم یتوافق علیه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استحسن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تعارضا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مطابق لسائر النسخ و الدرر النجفیة لصاحب الحدائق،انظر الدرر النجفیة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للمتأیّد بالدلیل النقلی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له،للتأیید النقلی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للتأیّد بالدلیل النقلی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أدری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کتب علیها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تعارض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تساقطهما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الاستشکال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تقدیم العقلی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تقدیم النقلی علی العقلی الفطری الخالی عن شوائب الأوهام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بصفات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البدیهی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 البدیهی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الفطری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العقلی البدیهی أو العقل الفطری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مواردها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موارده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بعینه،نعم جاء فی نهج البلاغة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سکت عن أشیاء و لم یدعها نسیانا فلا تتکلّفوها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المنکشف</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یلغی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النقلی علی العقلی الفطری السلیم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 الفطری السلیم علی الدلیل النقلی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باطنیّة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العقل و الجهل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ترکه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بالأحکام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غیر مراجعة حجج اللّه،بل فی مقابلهم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العبارة التالیة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البدیهی لحکم شرعیّ نظری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 ظاهرها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عنه فی البحار </w:t>
      </w:r>
      <w:r>
        <w:rPr>
          <w:rFonts w:eastAsia="IRNazanin" w:cs="IRNazanin"/>
          <w:b w:val="false"/>
          <w:bCs w:val="false"/>
          <w:i w:val="false"/>
          <w:iCs w:val="false"/>
          <w:color w:val="333333"/>
          <w:sz w:val="20"/>
          <w:szCs w:val="20"/>
        </w:rPr>
        <w:t>2:303</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بالعقول الناقصة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 به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خطبة حجّة الوداع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الحدیث فی الصفحة السابقة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هذا المضمون فی المجامیع الحدیثیة،نعم ورد فی الوسائل ما یقرب منه،انظر الوسائل </w:t>
      </w:r>
      <w:r>
        <w:rPr>
          <w:rFonts w:eastAsia="IRNazanin" w:cs="IRNazanin"/>
          <w:b w:val="false"/>
          <w:bCs w:val="false"/>
          <w:i w:val="false"/>
          <w:iCs w:val="false"/>
          <w:color w:val="333333"/>
          <w:sz w:val="20"/>
          <w:szCs w:val="20"/>
        </w:rPr>
        <w:t>18:149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المصادر الحدیثیة،و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 الثلث رجع</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19:268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الأعضاء،الحدیث الأوّل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لمقتضی القیاس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للقیاس</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التوحید؛للشیخ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القضاء و القدر و الفتنة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النهی عن الکلام و الجدال و المراء فی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البحار </w:t>
      </w:r>
      <w:r>
        <w:rPr>
          <w:rFonts w:eastAsia="IRNazanin" w:cs="IRNazanin"/>
          <w:b w:val="false"/>
          <w:bCs w:val="false"/>
          <w:i w:val="false"/>
          <w:iCs w:val="false"/>
          <w:color w:val="333333"/>
          <w:sz w:val="20"/>
          <w:szCs w:val="20"/>
        </w:rPr>
        <w:t>5:110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3:257</w:t>
      </w:r>
      <w:r>
        <w:rPr>
          <w:rFonts w:ascii="IRNazanin" w:hAnsi="IRNazanin" w:eastAsia="IRNazanin"/>
          <w:b w:val="false"/>
          <w:b w:val="false"/>
          <w:bCs w:val="false"/>
          <w:i w:val="false"/>
          <w:i w:val="false"/>
          <w:iCs w:val="false"/>
          <w:color w:val="333333"/>
          <w:sz w:val="20"/>
          <w:sz w:val="20"/>
          <w:szCs w:val="20"/>
          <w:rtl w:val="true"/>
        </w:rPr>
        <w:t>،باب النهی عن التفکّر فی ذات اللّه و الخوض فی مسائل التوحید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بتنزیله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تنزّله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الفصول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المراسلة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سیأتی البحث فی المقام الأوّل فی الصفحة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العلم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الحدائق،کما سیشیر إلیه المصنّف قدّس سرّه فی مبحث الاشتغال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التعمیم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حینئذ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علیه،و حکاه الشهیدان فی الذکری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،و روض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السیّد المرتضی،نعم یوجد نظیر هذا فی أجوبة المسائل الرسیّة الثانیة للسیّد المرتضی،انظر رسائل الشریف المرتضی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القمی،انظر القوانین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فی ذلک موکول إلی الفقه،انظر کتاب الطهارة للمؤلف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کالسیّد 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،و الحلّی فی السرائر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،و المحقّق فی الشرائع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،و العلاّمة فی نهایة الإحکام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،و التذکرة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،و المحقّق الثانی فی جامع المقاصد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الصلاة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،و کتاب الطهارة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الشهید الأوّل فی الألفیّة و النفلیّة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 الشهید الثانی فی المقاصد العلیّة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 روض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تعیین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إلیهم فی الصفحة السابقة،الهامش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الضمیر یعود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 السیّد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الانسداد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نعثر علی کلام للسیّد فی الموضع الذی أشار إلیه المصنّف،و یؤیّده ما قاله فی أوثق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یذهب علیک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لم یتعرّض المصنّف رحمه اللّه عند الکلام علی الاحتیاط فی مقدّمات دلیل الانسداد،للکلام علی عدم مشروعیّة الاحتیاط و لا لکلام السیّد، مع إطنابه الکلام ثمّة فی وجوب الاحتیاط و منعه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أوثق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مراتبه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مخالفته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 من حکم بذلک،نعم حکاه الشیخ فی العدّة </w:t>
      </w:r>
      <w:r>
        <w:rPr>
          <w:rFonts w:eastAsia="IRNazanin" w:cs="IRNazanin"/>
          <w:b w:val="false"/>
          <w:bCs w:val="false"/>
          <w:i w:val="false"/>
          <w:iCs w:val="false"/>
          <w:color w:val="333333"/>
          <w:sz w:val="20"/>
          <w:szCs w:val="20"/>
        </w:rPr>
        <w:t>2:636</w:t>
      </w:r>
      <w:r>
        <w:rPr>
          <w:rFonts w:ascii="IRNazanin" w:hAnsi="IRNazanin" w:eastAsia="IRNazanin"/>
          <w:b w:val="false"/>
          <w:b w:val="false"/>
          <w:bCs w:val="false"/>
          <w:i w:val="false"/>
          <w:i w:val="false"/>
          <w:iCs w:val="false"/>
          <w:color w:val="333333"/>
          <w:sz w:val="20"/>
          <w:sz w:val="20"/>
          <w:szCs w:val="20"/>
          <w:rtl w:val="true"/>
        </w:rPr>
        <w:t>،و المحقّق فی 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،و تبعهما صاحبا المعالم و القوانین فی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،و القوانین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،و قال المحقّق النراقی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الظاهر فی بادئ النظر،انظر مناهج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المجلسی فی أربعینه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ما فی القوانین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 سیجیء فی مبحث الاشتغال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نسبة ذلک إلی صاحب المدارک،انظر المدارک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العلاّمة فی التذکرة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،و نهایة الإحکام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،و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السیّد العاملی فی المدارک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للآخر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الشرائع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،و نهایة 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،و قواعد الأحکام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 و الدروس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للآخر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بیعهما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4:453</w:t>
      </w:r>
      <w:r>
        <w:rPr>
          <w:rFonts w:ascii="IRNazanin" w:hAnsi="IRNazanin" w:eastAsia="IRNazanin"/>
          <w:b w:val="false"/>
          <w:b w:val="false"/>
          <w:bCs w:val="false"/>
          <w:i w:val="false"/>
          <w:i w:val="false"/>
          <w:iCs w:val="false"/>
          <w:color w:val="333333"/>
          <w:sz w:val="20"/>
          <w:sz w:val="20"/>
          <w:szCs w:val="20"/>
          <w:rtl w:val="true"/>
        </w:rPr>
        <w:t xml:space="preserve">،و مفتاح الکرامة </w:t>
      </w:r>
      <w:r>
        <w:rPr>
          <w:rFonts w:eastAsia="IRNazanin" w:cs="IRNazanin"/>
          <w:b w:val="false"/>
          <w:bCs w:val="false"/>
          <w:i w:val="false"/>
          <w:iCs w:val="false"/>
          <w:color w:val="333333"/>
          <w:sz w:val="20"/>
          <w:szCs w:val="20"/>
        </w:rPr>
        <w:t>4:766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بأنّهما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فنقول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فنحکم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الواقعی</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الموافقة و حرمة المخالفة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الواقعی لم ینفع لأنّ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الواقعی إلاّ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وردت العبارة 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المتن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الالتزام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وردت بدلها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فالحقّ مع فرض عدم الدلیل علی وجوب الالتزام بما جاء به الشارع علی ما جاء به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الشیء</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اخذ فی ذلک،الفعل بنیّة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لذا قیّدنا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تعبّدیا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مخالفته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العبارة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قطع النظر عن وجوب تصدیق النبیّ صلّی اللّه علیه و آله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واقعا فهو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یلتزمه أحد؛لأنّه تکلیف من غیر بیان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بأحدهما علی وجه التخییر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عقلی أو نقلی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عدم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تخییرا عند الشکّ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المخیّر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المجمل،فلا بدّ له من خطاب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العبارة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المعیّن المردّد بین الأمر و النهی،فلا بدّ له من خطاب آخر عقلیّ أو نقلی،و المفروض عدم ثبوته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ذلک الخطاب حیث فرض کونه توصّلیا،فالغرض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واحد من الفعل و الترک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حاصل بدونه،فهو محال؛لأنّه طلب للحاصل،إلاّ أن یلتزم بأنّ الخطاب التخییری المدّعی ثبوته لیس الغرض منه ما هو حاصل بدونه،بل المقصود منه صدور واحد من الفعل أو الترک مع الالتزام بالحکم،لا علی وجه عدم المبالاة و التقیید بالمعلوم إجمالا من الشارع،فافهم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 النسختین اختلاف یسیر،و ما أثبتناه مطابق لنسخة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کالمحقّق فی 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،و صاحب المعالم فی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،و المحقّق القمی فی القوانین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،و صاحب الفصول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،و الفاضل النراقی فی مناهج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صاحب الفصول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،و الفاضل النراقی فی المناهج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الفصول،نفس المصدر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بجعل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یدلّ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العدّة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الشیخ فی العدّة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کصاحب الفصول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کالعلاّمة فی 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قصد و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قصد و عمد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واقعة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تقیید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بدل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العقل کما یحکم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العبارة التالیة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العقل یقبّح المخالفة التدریجیّة إذا کان عن قصد إلیها و من غیر تقیید بحکم ظاهریّ عند کلّ واقعة؛لأنّ ارتکاب ما هو مبغوض للمولی من قصد قبیح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کان فی واقعتین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لم یکن له عند کلّ واقعة ما هو بدل ظاهرا للمعلوم إجمالا فی الواقعتین،و حینئذ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فیجب بحکم العقل الالتزام بالفعل أو الترک، و بقبح عقابه لو اتّفق مخالفة ما التزم للحکم الواقعی؛لأنّ هذا الالتزام غایة الإمکان فی الانقیاد لذلک التکلیف المجهول،فافهم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 النسختین اختلاف یسیر غیر مخلّ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کلّه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فی الشبهة الحکمیّة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وجوب صلاة الظهر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إتماما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 قصرا أو إتماما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مبحث الاشتغال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 دون الثانی</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المرتّب</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الیقینیّة العلمیّة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الجنب</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الموجّه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الخطاب</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القطعیّة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قطع النظر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یعلم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اشتباه متعلّق التکلیف</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الذکری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،و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القصر و الإتمام و</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4:766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الاکتفاء</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5:364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الداماد فی رسالة ضوابط الرضاع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کلمات المحقّقین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 جدّا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فتأمّل جدّا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التزویج</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صرّح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الکلام فی المقام الثانی فی الصفحة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المحقّق فی 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جعفر محمّد بن عبد الرحمن بن قبة الرازی،من متکلّمی الإمامیّة، و کان معتزلیّا،ثمّ تبصّر،انظر 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العدّة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العقول</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تسلیم صحّة الملازمة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 الإجماع علی عدم الجواز إنّما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اللّه سبحانه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اللّه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الجملة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العوارض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 وردت 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امتناع العمل</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بفتوی الغیر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،و العدّة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تحلیل الحرام الواقعی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الأمارات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أصله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المخطئة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،و راجع الکافی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،باب سؤال العالم و تذاکره، و الصفحة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الصفحة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الصفحة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،الحدیث الأوّل،و البحار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لحکم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واقعی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النسخة الموجودة عند المحقّق الهمدانی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 هو ظاهر تعلیقته علی الرسائل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بالعمل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حاشیة الهمدانی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للمحقّق النائینی قدّس سرّه هنا تنبیه ینفعنا فی المقام،فقد جاء فی فوائد الاصول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شیخنا الاستاذ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العبارة التی صدرت من الشیخ قدّس سرّه‌ فی الوجه الثالث کانت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نقل العبارة کما أوردناه فی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یکن فی أصل العبارة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أضافها بعض أصحابه، و علی ذلک جرت نسخ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ترتّب</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 شیء أو وجود تخییر أو إباحة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لو قطع بهما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کتب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الأمر بالعمل</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الأمارة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ترتّب</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الحکم الواقعی</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وجوب</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واجبة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الواجبة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معنی الأمر بالعمل</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أنّ مضمونها هو الحکم الواقعی</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ترتیب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الرخصة فی ترتیب</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أحکام الواجب الواقعی</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الواقع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المتقدّمتین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لفوات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وردت بدلها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بجواز ترکها إلی آخر وقتها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الحکم الظاهریّ المستمرّ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یسیر بینها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باقتضائه له فقد یشکل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بالاقتضاء فیشکل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وردت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لأجل ما ذکرنا ذکر فی تمهید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وردت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تصحیحا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لوجوب</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فعلم من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بوجوبه واقعا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اختلافات یسیرة،و 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الأمارة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بالأمارة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توهّم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ما ذکره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المنزل</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المتعلّق بالعباد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وردت 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 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أثبتناه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هذا المذهب عن ابن سریج و غیره،انظر العدّة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،و المعتمد للبصری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xml:space="preserve">،و الإحکام للآمدی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ارید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ارید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خصوصیّة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إلاّ فیکفی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الانسداد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الواقع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الانسداد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فی الجملة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الکلام فی المقام الأول فی الصفحة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الرسائل الاصولیّة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جهل</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المعلوم وجوب العمل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وردت بدلها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الموجودة فی مورده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الموجودة فی مورده،خ</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بالظنّ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السیّد المجاهد فی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،و انظر الوافی للمحقّق الکاظمی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،وردت بدلها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هنالک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مقابله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یعلم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لم یعلم وجوب التعبّد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الرافع</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الافتراء</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17:248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فلأنّ عدم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،و مناهج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المقصد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عقلاء أهل اللسان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تشخیص</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فالقسمان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الفوائد المدنیّة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،و 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 الحدائق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 الدرر النجفیّة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،و الفوائد الطوسیّة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4:104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18:140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18:140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18:149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18:151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فأصاب الحقّ</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18:39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18:151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قریب منه فی الوسائل </w:t>
      </w:r>
      <w:r>
        <w:rPr>
          <w:rFonts w:eastAsia="IRNazanin" w:cs="IRNazanin"/>
          <w:b w:val="false"/>
          <w:bCs w:val="false"/>
          <w:i w:val="false"/>
          <w:iCs w:val="false"/>
          <w:color w:val="333333"/>
          <w:sz w:val="20"/>
          <w:szCs w:val="20"/>
        </w:rPr>
        <w:t>18:150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شعیب</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18:136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18:151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القاضی،ذیل الحدیث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18:148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 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فیعرّفونهم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النسخ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18:148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المصدر،و فی النسخ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18:153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القاضی،الحدیث الأوّل</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18:77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مسند أحمد بن حنبل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،و انظر کتاب حدیث الثقلین للسیّد علی الحسینی المیلانی</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فی الوسائل </w:t>
      </w:r>
      <w:r>
        <w:rPr>
          <w:rFonts w:eastAsia="IRNazanin" w:cs="IRNazanin"/>
          <w:b w:val="false"/>
          <w:bCs w:val="false"/>
          <w:i w:val="false"/>
          <w:iCs w:val="false"/>
          <w:color w:val="333333"/>
          <w:sz w:val="20"/>
          <w:szCs w:val="20"/>
        </w:rPr>
        <w:t>11:130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12:353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الوضوء،الحدیث الأوّل</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8:619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الآیة من 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13:230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أحکام الودیعة،الحدیث الأوّل،و الآیة من 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2:957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المسنونة،الحدیث الأوّل، و الآیة من 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15:370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الطلاق،الحدیث الأوّل، و الآیة من 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15:369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الآیة من 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14:410</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ما یحرم بالکفر و نحوه،الحدیث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الآیتان من سورتی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الآیة من 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6:539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المسافر،الحدیث الأوّل</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5:531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،و فی النسخ وردت الآیة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جناح علیکم أن تقصروا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فلیس علیکم جناح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جناح</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5:538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الآیة من 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14:377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الآیة من 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15:341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الآیة من 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16:324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کراهة لحوم الخیل و البغال،الحدیث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الآیة من 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لظاهر الآخر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یجوز</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بالفحص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الفحص</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یمکنه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مطابق للمصدر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مطابق للمصدر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کونها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المطلب</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استفادته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السیّد الصدر المتقدّم کلامه فی الصفحة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توهّم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الفاضل النراقی</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الاصول</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،و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 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التخفیف</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القوانین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،و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،و مناهج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 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ذکرهم فی القوانین و مفاتیح الاصول،و ذهب إلیه الفاضل النراقی فی المناهج أیضا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العبارة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البیضاوی عند تفسیر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یَطْهُرْنَ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القراءتین آیتان یعمل بهما،ثمّ فرّع علی ذلک ما لا یخلو تفرّعه عن بحث</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هو الظاهر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المحقّق القمّی فی القوانین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بظاهره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وجه لا یقع المخاطب معه فی خلاف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وجه لا یقع المخاطب الملقی إلیه معه فی خلاف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وجه لا یقع الملقی إلیه فی خلاف المراد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الملقی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اخفیت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کثیرا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المتوجّه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المقصود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مخاطبهم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اعترف</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الأئمّة الماضین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الماضین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کانوا</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سمعوها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4:828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القرآن،و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،باب الردّ إلی الکتاب و السنّة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فیتمّ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إلی کثیر منها فی الصفحة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خبر الثقلین فیمکن منع ظهوره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الصفحة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الراجح بأنّ التکلیف بخلاف ذلک الظاهر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الواحد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المحقّق الکلباسی،و سیأتی من المصنّف فی الصفحة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حکاه له بعض معاصریه عن شیخه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المحدّث البحرانی فی الدرر النجفیّة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،و القواعد و الفوائد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محمد تقی فی هدایة المسترشدین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مرجعه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،و القوانین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التفصیل للسیّد المجاهد فی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الکلام فی القسم الأوّل فی الصفحة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جزئیّات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ذکرها فی الصفحة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کلمات السید المرتضی،و لا علی الحاکی،نعم حکاه السید المجاهد عن السید الاستاذ،انظر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السید المجاهد فی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الغناء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للفاضل السبزواری،لا توجد لدینا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فقیه واحد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کلفظ الصعید و 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القوانین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،و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 الواجد بالدّین یحلّ عرضه و عقوبته،ما لم یکن دینه فیما یکره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 و القرض،الحدیث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الوصفیّة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اللسان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 لکن الإنصاف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صاحب المعالم فی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،و صاحب الفصول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 المحقّق القمّی فی القوانین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شمولها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تصلح مناطا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مقبولیّة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الشاهد و الراوی</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غفلته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فی 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،و صاحب الفصول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،و المحقّق القمّی فی القوانین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،و السیّد المجاهد فی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الشرائع </w:t>
      </w:r>
      <w:r>
        <w:rPr>
          <w:rFonts w:eastAsia="IRNazanin" w:cs="IRNazanin"/>
          <w:b w:val="false"/>
          <w:bCs w:val="false"/>
          <w:i w:val="false"/>
          <w:iCs w:val="false"/>
          <w:color w:val="333333"/>
          <w:sz w:val="20"/>
          <w:szCs w:val="20"/>
        </w:rPr>
        <w:t>4:132</w:t>
      </w:r>
      <w:r>
        <w:rPr>
          <w:rFonts w:ascii="IRNazanin" w:hAnsi="IRNazanin" w:eastAsia="IRNazanin"/>
          <w:b w:val="false"/>
          <w:b w:val="false"/>
          <w:bCs w:val="false"/>
          <w:i w:val="false"/>
          <w:i w:val="false"/>
          <w:iCs w:val="false"/>
          <w:color w:val="333333"/>
          <w:sz w:val="20"/>
          <w:sz w:val="20"/>
          <w:szCs w:val="20"/>
          <w:rtl w:val="true"/>
        </w:rPr>
        <w:t xml:space="preserve">،و الشهید فی الدروس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xml:space="preserve">،و الفاضل المقداد فی التنقیح الرائع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عدم اعتبار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العبارة التالیة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لعلّ لما ذکرنا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عدم دلالة الآیة و أمثالها من أدلّة قبول قول العادل،علی وجوب تصویبه فی الاعتقاد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 المعظم،بل أطبقوا کما فی الریاض علی عدم اعتبار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بدعوی</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لإناطة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لاشتراط</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تعمّده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عبارة عن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کثیر من تعریفات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المستصفی للغزالی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،و الإحکام للآمدی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،و شرح مختصر الاصول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،و ستأتی الإشارة إلی کلمات الخاصّة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الوصول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محمّد بن علی بن محمّد الجرجانی الغروی،تلمیذ 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الذریعة إلی تصانیف الشیعة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البادئ فی شرح المبادئ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اتّفاق جمع من أمّة محمّد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،و 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إیضاح الفوائد </w:t>
      </w:r>
      <w:r>
        <w:rPr>
          <w:rFonts w:eastAsia="IRNazanin" w:cs="IRNazanin"/>
          <w:b w:val="false"/>
          <w:bCs w:val="false"/>
          <w:i w:val="false"/>
          <w:iCs w:val="false"/>
          <w:color w:val="333333"/>
          <w:sz w:val="20"/>
          <w:szCs w:val="20"/>
        </w:rPr>
        <w:t>3:318</w:t>
      </w:r>
      <w:r>
        <w:rPr>
          <w:rFonts w:ascii="IRNazanin" w:hAnsi="IRNazanin" w:eastAsia="IRNazanin"/>
          <w:b w:val="false"/>
          <w:b w:val="false"/>
          <w:bCs w:val="false"/>
          <w:i w:val="false"/>
          <w:i w:val="false"/>
          <w:iCs w:val="false"/>
          <w:color w:val="333333"/>
          <w:sz w:val="20"/>
          <w:sz w:val="20"/>
          <w:szCs w:val="20"/>
          <w:rtl w:val="true"/>
        </w:rPr>
        <w:t>،و حاشیة الشرائع للمحقّق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2:630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الشهید الثانی فی المسالک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،و صاحب الریاض فی 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اصطلاحا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الاصطلاح</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مصنّفات الشیخ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،و 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،و تهذیب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،و القواعد و الفوائد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،و 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المعالم فی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،و الفاضل التونی فی 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التستری فی کشف القناع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السابقة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للمستدلّ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الأکثر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بدلها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کلام المحقّق فی المعتبر المتقدّم فی الصفحة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السابقة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السیّد المجاهد فی مفاتیح الاصول عن جماعة،منهم الحلبی فی ظاهر الکافی،انظر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،و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القوانین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،و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 الآتیة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قاعدة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القمّی فی القوانین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المحقّق التستری عن الشیخ الحمصی فی التعلیق العراقی،راجع کشف القناع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یوجد لدینا،و هو شرح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للسیّد المرتضی،یوجد منه نسخة فی الخزانة الرضویّة،کما فی الذریعة إلی تصانیف الشیعة </w:t>
      </w:r>
      <w:r>
        <w:rPr>
          <w:rFonts w:eastAsia="IRNazanin" w:cs="IRNazanin"/>
          <w:b w:val="false"/>
          <w:bCs w:val="false"/>
          <w:i w:val="false"/>
          <w:iCs w:val="false"/>
          <w:color w:val="333333"/>
          <w:sz w:val="20"/>
          <w:szCs w:val="20"/>
        </w:rPr>
        <w:t>4:433</w:t>
      </w:r>
      <w:r>
        <w:rPr>
          <w:rFonts w:ascii="IRNazanin" w:hAnsi="IRNazanin" w:eastAsia="IRNazanin"/>
          <w:b w:val="false"/>
          <w:b w:val="false"/>
          <w:bCs w:val="false"/>
          <w:i w:val="false"/>
          <w:i w:val="false"/>
          <w:iCs w:val="false"/>
          <w:color w:val="333333"/>
          <w:sz w:val="20"/>
          <w:sz w:val="20"/>
          <w:szCs w:val="20"/>
          <w:rtl w:val="true"/>
        </w:rPr>
        <w:t xml:space="preserve">،و انظر العدّة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ایضاح الفوائد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الواردة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أَسْبَغَ عَلَیْکُمْ نِعَمَهُ ظاهِرَةً وَ باطِنَةً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الحاکی عن البعض هو المحقّق التستری فی کشف القناع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یحصل</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یسمع دعوی من استند إلیه،تعیّن کون المستند فی الإجماعات المتداولة علی ألسنة ناقلیها هو الحدس</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المحقّق الکاظمی المعروف بالسیّد الأعرجی</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فی 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القوانین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،و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ذکر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جزمه فی غیر محلّه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لحکم</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تنشأ</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العصرین</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الموارد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أو مسائل الخلاف من مصنّفات السیّد المرتضی،و هی مفقودة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الخلاف من مصنّفات الشیخ المفید،و هی مفقودة أیضا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المصریة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التسع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،و أمّا مسائل الخلاف فهی من مصنّفات الشیخ المفید المفقودة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6:290</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علیه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6:290</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 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أثبتناه</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بلفظه،و ورد ما یقرب منه فی کنز العمّال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14:356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مع تفاوت یسیر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مصنّفات الشیخ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یبدو أنّ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فی غایة المراد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،و السرائر </w:t>
      </w:r>
      <w:r>
        <w:rPr>
          <w:rFonts w:eastAsia="IRNazanin" w:cs="IRNazanin"/>
          <w:b w:val="false"/>
          <w:bCs w:val="false"/>
          <w:i w:val="false"/>
          <w:iCs w:val="false"/>
          <w:color w:val="333333"/>
          <w:sz w:val="20"/>
          <w:szCs w:val="20"/>
        </w:rPr>
        <w:t>3:601</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المصنّفین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فی الوسائل </w:t>
      </w:r>
      <w:r>
        <w:rPr>
          <w:rFonts w:eastAsia="IRNazanin" w:cs="IRNazanin"/>
          <w:b w:val="false"/>
          <w:bCs w:val="false"/>
          <w:i w:val="false"/>
          <w:iCs w:val="false"/>
          <w:color w:val="333333"/>
          <w:sz w:val="20"/>
          <w:szCs w:val="20"/>
        </w:rPr>
        <w:t>20:47</w:t>
      </w:r>
      <w:r>
        <w:rPr>
          <w:rFonts w:ascii="IRNazanin" w:hAnsi="IRNazanin" w:eastAsia="IRNazanin"/>
          <w:b w:val="false"/>
          <w:b w:val="false"/>
          <w:bCs w:val="false"/>
          <w:i w:val="false"/>
          <w:i w:val="false"/>
          <w:iCs w:val="false"/>
          <w:color w:val="333333"/>
          <w:sz w:val="20"/>
          <w:sz w:val="20"/>
          <w:szCs w:val="20"/>
          <w:rtl w:val="true"/>
        </w:rPr>
        <w:t xml:space="preserve">،و أمّا کتاب نوادر الحکمة فإنّه من تألیفات محمّد بن أحمد بن یحیی،کما ستأتی الإشارة إلیه فی الصفحة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،و انظر الذریعة إلی تصانیف الشیعة </w:t>
      </w:r>
      <w:r>
        <w:rPr>
          <w:rFonts w:eastAsia="IRNazanin" w:cs="IRNazanin"/>
          <w:b w:val="false"/>
          <w:bCs w:val="false"/>
          <w:i w:val="false"/>
          <w:iCs w:val="false"/>
          <w:color w:val="333333"/>
          <w:sz w:val="20"/>
          <w:szCs w:val="20"/>
        </w:rPr>
        <w:t>24:346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حفظة کهمزة،أی کثیر الحفظ،تاج العروس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خلاصة الاستدلال من مؤلّفات الحلّی قدّس سرّه،و هی مفقودة،و حکاه عنه الشهید قدّس سرّه فی غایة المراد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الصدوق فی الفقیه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 و الشیخ الطوسی فی التهذیب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الرکون</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نفقة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6:228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الفطرة،الحدیث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العزیّة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التسع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،و الذکری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89:222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المذکور</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اللازم</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الأکثرین</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یستلزم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صدور</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تحقّق</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یعرف</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المصدر،و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الأوّل أولی</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مزیّته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عرفت</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التعرّض</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القناع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فالإنصاف</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تعبّدا</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الواحد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یشترط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الشرط</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لیرتّب</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یعقوب و خلف</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بإخبار</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2:246</w:t>
      </w:r>
      <w:r>
        <w:rPr>
          <w:rFonts w:ascii="IRNazanin" w:hAnsi="IRNazanin" w:eastAsia="IRNazanin"/>
          <w:b w:val="false"/>
          <w:b w:val="false"/>
          <w:bCs w:val="false"/>
          <w:i w:val="false"/>
          <w:i w:val="false"/>
          <w:iCs w:val="false"/>
          <w:color w:val="333333"/>
          <w:sz w:val="20"/>
          <w:sz w:val="20"/>
          <w:szCs w:val="20"/>
          <w:rtl w:val="true"/>
        </w:rPr>
        <w:t>،و روض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،و المقاصد العلیّة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کتب العلاّمة،بل وجدنا خلافه،انظر 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،و لم ینسبه المحقّق و الشهید الثانیان فی الکتب المذکورة إلاّ إلی الشهید، و یبدو أنّ المصنّف اعتمد فی ذلک علی ما نقله السیّد المجاهد فی مفاتیح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بخلاف</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17:303</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18:75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القاضی،الحدیث الأوّل</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ملتفت</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المراد بالشهرة فی الروایة الحاصلة بأن یکون الروایة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المراد بالشهرة فی الروایة الظهور بأن یکون الروایة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یعرفها</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یشارک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الخارج</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الحاکیة لقولهم</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دلالتها</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شطب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،و 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لم نستبعد الحجّیّة أخیرا</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الدعوی من صاحب الفصول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الوسائل فی الوسائل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،و الشیخ حسین الکرکی فی هدایة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هذه الرسالة مفقودة</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2:528</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صاحب المعالم فی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ینسب</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 بأصول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مصنّفات الشیخ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إلیهم الفاضل التونی فی 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وردت بدلها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الأربعة</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المحدّث العاملی فی الوسائل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،و المحدّث البحرانی فی الحدائق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،و الشیخ حسین الکرکی فی هدایة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المحقّق النراقی فی المناهج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تفصیل ذلک فی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فوقها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الواحد</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18:79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فیه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یوافق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یخالف کتاب اللّه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 فیه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تصدّق</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یستبین</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18:78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17:304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17:304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أتاکم</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18:79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بمخالفة</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،ذیل آیة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الأنبیاء</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کثیر</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الحدیثان فی الصفحة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الحدیثان فی الصفحة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xml:space="preserve">،ضمن الحدیث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18:79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معانی الأخبار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مرسلة</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البصائر</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المصدر،و فی جمیع النسخ 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الاحتجاج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المصدر،و فی جمیع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فاعرضوهما</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المصدر،و فی جمیع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لم تجدوا</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،ضمن الحدیث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القاضی،ضمن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یوافق</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18:84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القدماء و المتأخّرین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مختصر الاصول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،المتن للحاجبی،و الشرح للعضدی</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یصحّ</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الأسوئیّة</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تعذّره</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،و 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الطوسی فی العدّة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السید المجاهد عن جماعة،انظر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عنهم فی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زبدة الاصول للمولی صالح المازندرانی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وجوب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الأنسب ما أثبتناه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فطرح المفهوم</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لعلّة</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التقدیر</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 الظنّ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ابن التلمسانی عن القاضی،انظر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ففیها</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مبحث انقلاب النسبة فی مبحث التعادل و التراجیح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العادل</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یعمّ</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فلأنّا لو</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حینئذ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منحصر</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بمقتضی الآیة</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یثبت</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اضطربت النسخ فی تقریر الاشکال و فی بیان جوابه الحلّی،کما سیوافیک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اخترناه مطابق لنسخة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یسیر بینها</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یثبت موضوع الخبریّة إلاّ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أثبت موضوع المخبر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یحکیه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الخبریة إلاّ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ورد بدلها ما یلی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الآیة إنّما تدلّ علی وجوب تصدیق کلّ مخبر،و معنی وجوب تصدیقه لیس إلاّ ترتیب الآثار الشرعیّة المترتّبة علی صدقه علیه،فإذا قال المخبر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زیدا عدل،فمعنی وجوب تصدیقه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ترتیب الآثار الشرعیّة المترتّبة علی عدالة زید،من جواز الاقتداء به و قبول شهادته،و إذا قال المخبر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أخبرنی عمرو أنّ زیدا عادل فمعنی تصدیق المخبر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 عرفت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ترتیب الآثار الشرعیّة المترتّبة علی إخبار عمرو بعدالة زید،و من الآثار الشرعیّة المترتّبة علی إخبار عمرو بعدالة 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 عادلا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کان هو وجوب تصدیقه فی عدالة زید،إلاّ أنّ هذا الحکم الشرعیّ لإخبار عمرو إنّما حدث بهذه الآیة،و لیس من الآثار الشرعیّة الثابتة للمخبر به مع قطع النظر عن الآیة حتّی یحکم بمقتضی الآیة بترتیبه علی إخبار عمرو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الآیة تدلّ علی ترتیب الآثار الشرعیّة الثابتة للمخبر به الواقعی علی إخبار العادل،و من المعلوم أنّ المراد من الآثار غیر هذا الأثر الشرعی الثابت بنفس الآیة،فاللازم علی هذا دلالة الآیة علی ترتیب جمیع آثار المخبر به علی الخبر إلاّ الأثر الشرعی الثابت بهذه الآیة للمخبر به إذا کان خبرا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بعبارة 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 لا تدلّ علی وجوب قبول الخبر الذی لم یثبت موضوع الخبریّة له إلاّ بدلالة الآیة علی وجوب قبول الخبر؛لأنّ الحکم لا یشمل الفرد الذی یصیر موضوعا له بواسطة ثبوته لفرد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یتّجه أن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أدلّة قبول الشهادة لا تشمل الشهادة علی الشهادة؛لأن الأصل لا یدخل فی موضوع الشاهد إلاّ بعد قبول شهادة الفرع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العبارة 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یشکل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أوّلها موجودة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عدم قبول الشهادة علی الشهادة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من هذه الجهة</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إخبار العادل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ثانیا بأنّ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بدلها 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کرفع الید عن الیقین السابق بنجاسة الثوب المغسول بالماء المستصحب الطهارة بالیقین الاستصحابی بطهارته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ثانیا بالحل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أنّه لا مانع من ترتب أفراد العام فی الوجود الخارجی،و کون وجود بعضها موقوفا علی ثبوت الحکم لبعضها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لا ینافی کون أفراد العام متساویة الأقدام فی شمول الحکم لها فی نظر المتکلّم،لا فی الوجود الخارجی حتّی لا یکون لبعضها تقدّم علی بعض فی الوجود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ثالثا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وردت بدلها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مخالفة قبول الشهادة علی الشهادة لیست من هذه‌ الجهة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ثانیا بالحلّ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أن الممتنع هو توقّف فردیّة بعض أفراد العام علی إثبات الحکم لبعضها الآخر،کما فی قول القائل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خبری صادق أو کاذب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توقّف العلم ببعض الأفراد و انکشاف فردیّته علی ثبوت الحکم لبعضها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فیما نحن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مانع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ثالثا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هذا الجواب الحلّی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ما یلی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موضوع الیقین بطهارة الثوب الناقض للیقین بنجاسته إنّما یحدث بحکم الشارع باستصحاب طهارة الماء،فیثبت الحکم لذلک الموضوع،الموجود بعد تحقّق الحکم و إن لم یکن کلام المتکلّم قابلا لإرادة ذلک الموضوع الغیر الثابت إلاّ بعد الحکم العام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فوجوب تصدیق قول المخبر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أخبرنی عمرو بعدالة 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لم یکن داخلا فی موضوع ذلک الحکم العامّ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إلاّ لزم تأخیر الموضوع وجودا عن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معلوم أنّ هذا الخروج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وردت الزیادة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فإخبار عمرو بعدالة زید فیما لو قال المخبر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أخبرنی عمرو بأنّ زیدا عادل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لم یکن داخلا فی موضوع ذلک الحکم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إلاّ لزم تأخیر الموضوع وجودا عن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معلوم أنّ هذا الخروج</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لا قصور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نظر المولی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القطعیّة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المقتضی للحکم الشرعیّ</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غیرها</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العدلین</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لعدمه</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للحکم</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غایة المبادی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 ما أثبتناه</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فی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،و لکنّه لا یوجد فیه،انظر غایة البادئ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کالحلّی فی السرائر </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،و انظر تفصیل ذلک فی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ذکرهم فی الصفحة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الفوائد الحائریّة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،و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القمّی فی القوانین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بحسن</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 لکن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بالارتداد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9:194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الحسن و أبو مسلم،انظر تفسیر التبیان </w:t>
      </w:r>
      <w:r>
        <w:rPr>
          <w:rFonts w:eastAsia="IRNazanin" w:cs="IRNazanin"/>
          <w:b w:val="false"/>
          <w:bCs w:val="false"/>
          <w:i w:val="false"/>
          <w:iCs w:val="false"/>
          <w:color w:val="333333"/>
          <w:sz w:val="20"/>
          <w:szCs w:val="20"/>
        </w:rPr>
        <w:t>5:321</w:t>
      </w:r>
      <w:r>
        <w:rPr>
          <w:rFonts w:ascii="IRNazanin" w:hAnsi="IRNazanin" w:eastAsia="IRNazanin"/>
          <w:b w:val="false"/>
          <w:b w:val="false"/>
          <w:bCs w:val="false"/>
          <w:i w:val="false"/>
          <w:i w:val="false"/>
          <w:iCs w:val="false"/>
          <w:color w:val="333333"/>
          <w:sz w:val="20"/>
          <w:sz w:val="20"/>
          <w:szCs w:val="20"/>
          <w:rtl w:val="true"/>
        </w:rPr>
        <w:t xml:space="preserve">،و مجمع البیان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فسّره بذلک الشیخ الطبرسی فی مجمع البیان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18:69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،باب فرض العلم،الحدیث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الکافی،و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رفعت</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،باب ما یجب علی الناس عند مضیّ الإمام،الحدیث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،باب ما یجب علی الناس عند مضیّ الإمام،ضمن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18:101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نفس هذه الصفحة و الصفحتین السابقتین</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بأوامری لعلّه یمتثلها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بکذا لعلّه یقبل منک</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فهذه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بعضها فی الصفحة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أنّها زائدة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 بالامور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یحکی و 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 الخبر الکذائی بالخصوص لا قبول کلّ ما یخبر فلان بأنّه کذا و إن</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مقام التخویف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للخوف</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حدیثا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 القمّی فی القوانین </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،و صاحب الفصول فی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العدّة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البیان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الفصول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النسخ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المجاهد فی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،باب أنّ أهل الذکر هم الأئمّة علیهم السّلام،الحدیث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الشهید الثانی فی 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،و المحقّق القمّی فی 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،و صاحب الفصول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سمعها</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بابراهیم بن هاشم</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13:230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الودیعة،الحدیث الأوّل</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لسماعه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یؤذیه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یؤذنه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یؤذن به</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،و حکاه عنه الفیض الکاشانی فی تفسیر الصافی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یترتّب</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لجمیع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بجمیع المؤمنین</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التفصیل</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المقرونون</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بترتیب</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الحاصل أنّ</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بعضها فی مبحث الاستصحاب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8:609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العشرة،الحدیث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یأتی فی مبحث الاستصحاب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الآتیة فی الصفحة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بمفهوم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بمنطوق</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شهادة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النسخة المصحّحة الموجودة عند المحقّق الآشتیانی قدّس سرّه علی ما ذکره فی بحر الفوائد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إفادة</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یعارض</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الوثوق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المنطوق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وردت فیها العبارة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المعبّر عنه بالوثوق،نعم لو لم نقل بدلالة آیة النبأ من جهة عدم المفهوم لها اقتصر علی منصرف سائر الآیات و هو الخبر المفید للوثوق و إن لم یکن المخبر عادلا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لکن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وردت کلتا العبارتین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علی الثانیة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الأصدق</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و إن وردت فی الحکم</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القاضی،ضمن الحدیث الأوّل</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4:133</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،و مستدرک الوسائل </w:t>
      </w:r>
      <w:r>
        <w:rPr>
          <w:rFonts w:eastAsia="IRNazanin" w:cs="IRNazanin"/>
          <w:b w:val="false"/>
          <w:bCs w:val="false"/>
          <w:i w:val="false"/>
          <w:iCs w:val="false"/>
          <w:color w:val="333333"/>
          <w:sz w:val="20"/>
          <w:szCs w:val="20"/>
        </w:rPr>
        <w:t>17:303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الجهم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الجهم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جهم</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مبحث التعادل و التراجیح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التعیین</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المغیرة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جهم</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18:104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18:104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18:105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سلمة بن أبی حبلة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 بن أبی حیّة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رجال النجاشی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 بن أبی حیّة</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الرجال،المعروف برجال الکشّی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18:103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18:106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الوسائل و اختیار معرفة الرجال،و لکن فی جمیع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العزیز ابن المهدیّ</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18:107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لیترتّب</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،باب تسمیة من رآه علیه السّلام،الحدیث الأوّل</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المصدر،ذیل الحدیث</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،ضمن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،ضمن الحدیث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،و الاحتجاج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18:64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،و انظر العدّة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أجلهم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یتعارفون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تقارفون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مطابق للمصدر</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لتلک</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ینتقضون</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،و تفسیر العسکری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18:110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18:109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ظاهرها</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شمولها</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سابقتهما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سابقیها</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للشیخ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18:69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القاضی،الأحادیث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17:298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18:108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18:64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مرفوعة الکناسی</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القاضی،الأحادیث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حدیثا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الثقة</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فی المصدر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عمّک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إخوانک</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18:99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الصفحة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،نفس الباب،الحدیث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فی المجامیع الحدیثیّة،و رواه فی المعتبر مرسلا عن الصادق علیه السّلام، المعتبر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فی المجامیع الحدیثیّة،و رواه فی المعتبر مرسلا عن النبیّ صلی اللّه علیه و آله، المعتبر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،و ورد قریب منه فی الوسائل </w:t>
      </w:r>
      <w:r>
        <w:rPr>
          <w:rFonts w:eastAsia="IRNazanin" w:cs="IRNazanin"/>
          <w:b w:val="false"/>
          <w:bCs w:val="false"/>
          <w:i w:val="false"/>
          <w:iCs w:val="false"/>
          <w:color w:val="333333"/>
          <w:sz w:val="20"/>
          <w:szCs w:val="20"/>
        </w:rPr>
        <w:t>18:153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القاضی،ضمن الحدیث الأوّل</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صادقون</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2:246</w:t>
      </w:r>
      <w:r>
        <w:rPr>
          <w:rFonts w:ascii="IRNazanin" w:hAnsi="IRNazanin" w:eastAsia="IRNazanin"/>
          <w:b w:val="false"/>
          <w:b w:val="false"/>
          <w:bCs w:val="false"/>
          <w:i w:val="false"/>
          <w:i w:val="false"/>
          <w:iCs w:val="false"/>
          <w:color w:val="333333"/>
          <w:sz w:val="20"/>
          <w:sz w:val="20"/>
          <w:szCs w:val="20"/>
          <w:rtl w:val="true"/>
        </w:rPr>
        <w:t xml:space="preserve">،ضمن الحدیث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،و سیأتی الحدیث بکامله فی الصفحة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 فی المجامیع الحدیثیّة،و لعلّه منقول بالمعنی</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الفائدة الثامنة</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بأجمعها فی الصفحة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تقدّم فی الصفحة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معلوم</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من أحال ذلک عقلا فقد دللنا فیما مضی علی بطلان قوله،و بیّنا أنّ ذلک جائز،فمن أنکره کان محجوجا بذلک</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متوازیان</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،باب اختلاف الحدیث،الحدیث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الأحادیث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أشار إلیهم</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بخبر</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یکن</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السنّة</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إجماع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الإجماع</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ذکرهم فی الصفحة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حسین بن شهاب الدین الکرکی العاملی فی کتاب هدایة الأبرار، کما سیأتی،انظر 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الباب الحادی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الطوسی فی العدّة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،و المحقّق فی 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،و الشهید الأوّل فی الألفیّة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 الشهید الثانی فی المقاصد العلیّة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الأبرار إلی طریق الأئمّة الأطهار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التبّانیّات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بالقرینة</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أجمع</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نوادر الحکمة لمحمّد بن أحمد بن یحیی بن عمران الأشعری القمّی</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الحسن بن أحمد بن الولید،أبو جعفر،شیخ القمّیین و فقیههم</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الشیخ حسین الکرکی العاملی فی کلامه المتقدّم فی الصفحة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بالیقین</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أصحابه</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2:395</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یؤوّله</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تقدّم فی الصفحة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أمالی السیّد المرتضی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الشیخ الکرکی العاملی فی کلامه المتقدّم فی الصفحة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المولی صالح المازندرانی فی حاشیته علی المعالم،انظر هامش المعالم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الشیخ حسین الکرکی العاملی</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خلافه</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المولی صالح المازندرانی هذه الحاشیة فی حاشیته علی المعالم،انظر هامش المعالم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المحدّث البحرانی فی الدرر النجفیّة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الخارجیّة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الخارجة</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بالقرائن</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تعمل</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الماضین</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علیه،و لا علی من حکاه</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المصدر فقط،و فی غیرها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بها</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الفقیه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محمد بن الحسن بن أحمد بن الولید،انظر نفس المصدر</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صریحا</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یطّلع</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الموصلیات الثالثة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 حکی عنه فی السرائر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اعتراف بما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2:507</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6739</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کالشیخ البهائی،انظر مشرق الشمسین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الشیخ البهائی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 المحدّث البحرانی فی الحدائق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،و المحقّق القمی فی القوانین </w:t>
      </w:r>
      <w:r>
        <w:rPr>
          <w:rFonts w:eastAsia="IRNazanin" w:cs="IRNazanin"/>
          <w:b w:val="false"/>
          <w:bCs w:val="false"/>
          <w:i w:val="false"/>
          <w:iCs w:val="false"/>
          <w:color w:val="333333"/>
          <w:sz w:val="20"/>
          <w:szCs w:val="20"/>
        </w:rPr>
        <w:t>1:484</w:t>
      </w:r>
      <w:r>
        <w:rPr>
          <w:rFonts w:ascii="IRNazanin" w:hAnsi="IRNazanin" w:eastAsia="IRNazanin"/>
          <w:b w:val="false"/>
          <w:b w:val="false"/>
          <w:bCs w:val="false"/>
          <w:i w:val="false"/>
          <w:i w:val="false"/>
          <w:iCs w:val="false"/>
          <w:color w:val="333333"/>
          <w:sz w:val="20"/>
          <w:sz w:val="20"/>
          <w:szCs w:val="20"/>
          <w:rtl w:val="true"/>
        </w:rPr>
        <w:t>، و صاحب الفصول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نقل هذا الکلام من خلاصة الاستدلال فی الصفحة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یوجب</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الحدیثان فی الصفحة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کتبه قدّس سرّه غیر مطبوعة،و لم نعثر علی مخطوطها</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ما سیأتی،نعم تقدّم ذلک عن الوسائل،راجع الصفحة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الشیخ البهائی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یقینا</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هنا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زیادة،و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حکی السیّد المحدّث الجزائری عمّن یثق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قد زار السیّد صاحب المدارک المشهد الغروی،فزاره العلماء و زارهم إلاّ المولی عبد اللّه التستری،فقیل للسیّد فی ذلک،فاعتذر بأنّه لا یری العمل بأخبار الآحاد فهو مبدع،و نقل فی ذلک روایة مضمونها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من زار مبدعا فقد خرّب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حکایة عجیبة لا بدّ من توجیهها،کما لا یخفی علی من اطّلع علی طریقة المولی المشار إلیه و مسلکه فی الفقه،فراجع</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العظیمة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القطعیّة</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،و راجع الصفحة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،و انظر رسائل الشریف المرتضی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نفسه</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محیص</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العدل الواحد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مبتاع</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یعوّلون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یقولون به</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یتجشّم</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الذریعة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حسین الکرکی العاملی المتقدّم کلامه فی الصفحة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تتکرّر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المرویّة</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ودّعوه</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طلب منه</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بعده</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وقعت فی نقل هذه الحکایة اختلافات غیر مهمّة بین النسخ،و بینهما و المصدر</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المصدر،و فی جمیع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 شیخ</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 عنده دفاتر</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شئتم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فافعلوا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تکتبوا ذلک</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1:795</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الفقیه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1817</w:t>
      </w:r>
      <w:r>
        <w:rPr>
          <w:rFonts w:ascii="IRNazanin" w:hAnsi="IRNazanin" w:eastAsia="IRNazanin"/>
          <w:b w:val="false"/>
          <w:b w:val="false"/>
          <w:bCs w:val="false"/>
          <w:i w:val="false"/>
          <w:i w:val="false"/>
          <w:iCs w:val="false"/>
          <w:color w:val="333333"/>
          <w:sz w:val="20"/>
          <w:sz w:val="20"/>
          <w:szCs w:val="20"/>
          <w:rtl w:val="true"/>
        </w:rPr>
        <w:t xml:space="preserve">،و راجع الصفحة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،و 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یحترزون</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الفهرست للشیخ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،و فی البحار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51:358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ملأی</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51:358</w:t>
      </w:r>
      <w:r>
        <w:rPr>
          <w:rFonts w:ascii="IRNazanin" w:hAnsi="IRNazanin" w:eastAsia="IRNazanin"/>
          <w:b w:val="false"/>
          <w:b w:val="false"/>
          <w:bCs w:val="false"/>
          <w:i w:val="false"/>
          <w:i w:val="false"/>
          <w:iCs w:val="false"/>
          <w:color w:val="333333"/>
          <w:sz w:val="20"/>
          <w:sz w:val="20"/>
          <w:szCs w:val="20"/>
          <w:rtl w:val="true"/>
        </w:rPr>
        <w:t>،باب احوال السفراء،و الغیبة للشیخ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،و انظر الوسائل </w:t>
      </w:r>
      <w:r>
        <w:rPr>
          <w:rFonts w:eastAsia="IRNazanin" w:cs="IRNazanin"/>
          <w:b w:val="false"/>
          <w:bCs w:val="false"/>
          <w:i w:val="false"/>
          <w:iCs w:val="false"/>
          <w:color w:val="333333"/>
          <w:sz w:val="20"/>
          <w:szCs w:val="20"/>
        </w:rPr>
        <w:t>18:103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عذافر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عزاقر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عذافر</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المصادر المتقدّمة،البحار و الغیبة</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18:103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2:490</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بعضها فی الصفحة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الفوائد المدنیّة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 هدایة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یعترف بها المنصف بعد التأمّل فی ما ذکرنا و تتبّع أضعافه من تراجم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الصادرة</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الواقعی</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لوجوب</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 عدمه لعدم وجود ثان له</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شاة</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بدّ</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یجری</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زیادة،و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العمل بالخبر من باب الاحتیاط لا یوجب تخصیص العام و تقیید المطلق</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الشیخ محمد تقی الأصفهانی،صاحب هدایة المسترشدین</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،الوجه السادس</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کونها</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بالصدور</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دلیل</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به العلاّمة فی النهایة کما سیأتی،و المحقّق القمی فی القوانین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 و صاحب الفصول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،و انظر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التقریرین</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مختصر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،المتن للحاجبی و الشرح للعضدی</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کالعضدی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شارح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یخالفه</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المتکلّمون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المنقذ من التقلید للشیخ سدید الدین الحمصی الرازی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العدّة فی البحث المذکور تمسّک بالآیة المذکورة،نعم استدلّ بها فخر المحقّقین فی إیضاح الفوائد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،و الآیة من 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الذریعة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البعث</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النقض مذکور فی الذریعة </w:t>
      </w:r>
      <w:r>
        <w:rPr>
          <w:rFonts w:eastAsia="IRNazanin" w:cs="IRNazanin"/>
          <w:b w:val="false"/>
          <w:bCs w:val="false"/>
          <w:i w:val="false"/>
          <w:iCs w:val="false"/>
          <w:color w:val="333333"/>
          <w:sz w:val="20"/>
          <w:szCs w:val="20"/>
        </w:rPr>
        <w:t>2:550</w:t>
      </w:r>
      <w:r>
        <w:rPr>
          <w:rFonts w:ascii="IRNazanin" w:hAnsi="IRNazanin" w:eastAsia="IRNazanin"/>
          <w:b w:val="false"/>
          <w:b w:val="false"/>
          <w:bCs w:val="false"/>
          <w:i w:val="false"/>
          <w:i w:val="false"/>
          <w:iCs w:val="false"/>
          <w:color w:val="333333"/>
          <w:sz w:val="20"/>
          <w:sz w:val="20"/>
          <w:szCs w:val="20"/>
          <w:rtl w:val="true"/>
        </w:rPr>
        <w:t>،و 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و 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 انظر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من المحقّق القمّی فی القوانین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حینئذ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هو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المفروض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المفسدة</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السابقة</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السابقة</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الظنّ بالضرر</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بالضرر</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ظنّیّة</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مع اختلاف یسیر بینها،و 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محصّل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الضرر الدنیویّ لمّا جاز حکم الشارع علیه بجواز الارتکاب بخلاف الضرر الاخروی،فیجوز أن یحکم الشارع بجواز الارتکاب مع ظنّه،فیکون ترک مظنون الضرر کمحتمله مرخّصا فیه بأدلّة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نعم،لو ثبت طریقیّة الظنّ و حجّیّته کان کمقطوع الضرر،فإذا فرضنا أنّ الإضرار الواقعی بالنفس محرّم فإن قطع أو ظنّ بظنّ معتبر جاء التحریم،و إلاّ دخل تحت الشبهة الموضوعیّة المرخّص فیها مع الشکّ و الظنّ غیر المعتبر،فوجوب رفع الضرر المظنون موقوف علی إثبات طریقیّة الظنّ،فإثباتها به دور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الظنّ بالضرر إن استند إلی الأمارات الخارجیّة فی الشبهات الموضوعیّة کان طریقا و حجّة بإجماع العلماء و العقلاء؛و السرّ فیه انسداد باب العلم بالضرر فی الامور الخارجیّة،فالعمل بالاصول فی مقابل الظنّ یوجب الوقوع فی المضارّ الکثیرة بحیث یختلّ نظام المعاش نظیر العمل بظنّ السلامة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مستندا إلی الأمارات فی الشبهات الحکمیّة فلا دلیل علی اعتباره،بل‌ المرجع الاصول المرخّصة النافیة للتکلیف،إلاّ إذا ثبت انسداد باب العلم فیها فیرجع إلی دلیل الانسداد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الکلام فی ظنّ السلامة فی مقابل الاصول المثبتة للتکلیف،فتأمّل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الأولی و الأسلم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 بمنع ترتّب الضرر الدنیوی علی مخالفة الواجب و الحرام إمّا بالوجدان،و إمّا لاحتمال کون المصالح و المفاسد مترتّبة علی المخالفة عصیانا لا مطلقا،و لا یلزم من ذلک عدم حسن الاحتیاط فی موارد الشکّ فافهم،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مع اختلاف یسیر،و هی کما یلی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یمکن أن یردّ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بأنّها قاعدة عملیّة لا تنهض دلیلا حتّی ینتفع به فی مقابل العمومات الدالّة علی الحکم الغیر الضرری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یشکل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المعارضة حینئذ تقع بین هذه القاعدة و بین الاصول اللفظیّة، فإن نهضت للحکومة علی هذه القاعدة جری ذلک أیضا فی البراءة و الاستصحاب النافیین للتکلیف المرخّصین للفعل و الترک المؤمّنین من الضرر،فافهم</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الاستدلال أشار إلیه العلاّمة أیضا فی ذیل الدلیل السابق،انظر 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،و کذا المحقّق القمّی فی القوانین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،و صاحب الفصول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الجواب من الشیخ محمّد تقی فی هدایة المسترشدین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مرجّح للمرجوح و لا للراجح</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 جدّا</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ترک ترجیح الراجح علی المرجوح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قریب منها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شریف العلماء عن استاذه صاحب الریاض قدّس سرّهما فی مجلس المذاکرة،علی ما فی بحر الفوائد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محتاج</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التفصیلی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الیقینی</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فیحصل من جمیع هذه المقدّمات وجوب الامتثال الظنّی و الرجوع إلی الظنّ</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کالسیّد المجاهد فی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الظنّ الخاصّ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نقل کلامه فی الصفحة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کالفاضل النراقی فی عوائد الأیّام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رسائل الشریف المرتضی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،و حکاه عنه فی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هدایة المسترشدین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،و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،و ضوابط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الفاضل النراقی فی عوائد الأیّام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،و مناهج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حیث قال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رسائل الشریف المرتضی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العلم</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التصالح</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دعوی</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 فی المعتبر،حیث قال فی مسألة خمس الغوص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ردّ من نفاه مستدلا بأنّه لو کان لنقل بالسنّة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تواترا فممنوع؛و إلاّ لبطل کثیر من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لعدم وجود التواتر فی کثیر من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زین الدین البیاضی النباطی العاملی،المتوفّی سنة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عصرة المنجود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الإمامة،الصفحة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الباب الحادی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ترتفع</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شرح مختصر الاصول للمحقق جمال الدین الخوانساری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ذکرهم فی الصفحة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19:231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شرح مختصر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،المتن للحاجبی،و الشرح للعضدی</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الحاجبی فی ذیل الاستدلال المذکور</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بإکمال</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الفاضل النراقی فی عوائد الأیّام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،و مناهج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المشتبهات</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المجتهد</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الرادّ هو المحقّق القمّی فی القوانین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بعدم التکلیف</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حجّیّتهما</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الأخبار</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فضلا من الاختلاف</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یضحک الثکلی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تری</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حاشیته علی شرح مختصر الاصول</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جمال الدین الخوانساری علی شرح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الآحاد</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نفسه</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أنّ</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فوقها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أصابه ماء</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یظهر لک</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کالشیخ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لمراعاتها</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فیما نحن فیه</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فی الوسائل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الصفحة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انظر عوائد الأیّام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القوانین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زعمه السیّد المجاهد فی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الحرج</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اختفی عنّا</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ممّا یوضح ما ذکرنا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توضیح هذا و إن کان له مقام آخر،إلاّ أنّا نشیر إجمالا إلی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کالسیّد المجاهد فی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،و الفاضل النراقی فی 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الآیة من 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حاجة إلی</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قوّتها</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الحرج</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فتعمل</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تخصّصها</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المطابقة</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الحرج</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بعض اللیالی</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الزیارات</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7:162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النسخ،و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أمثاله</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بملزم</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حرجیّا</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بتمیّز</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الاحتیاطات</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یتّفق</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التکالیف</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النسخ،و لعلّ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الاحتیاط</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تمیّز</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منها</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بوجهه</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الرسائل التسع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،و المدارک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شرعا</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الصلوات</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تحصیل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بقصد الندب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شطب علیها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 علی اعتبار قصد الوجه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عبارة 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یسیر بینها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بقصد الندب بناء علی اعتبار قصد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التمام المأتیّ به فی الفرض الأوّل و السورة المأتیّ بها فی الفرض الثانی،یحتمل وجوبهما،فیکون نیّة الندب نیّة الخلاف و الندب مخالفة للاحتیاط، یدفعها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الإجماع علی أنّه لا یعتبر فیما یؤتی به لخصوص الاحتیاط إلاّ الوجه الظاهریّ؛و إلاّ لارتفع الاحتیاط رأسا،و هو باطل بدیهة من العقل و الشرع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لکن کتب فوقها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نیّة الوجوب</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تعیّن</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،بخطّ یغایر خط المتن، زیادة،و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مرجع الإجماع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قطعیّا کان أو ظنّیا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الرجوع فی المشکوکات إلی الاصول،هو الإجماع علی وجود الحجّة الکافیة فی المسائل التی انسدّ فیها باب العلم حتّی تکون المسائل الخالیة عنها موارد للاصول،و مرجع هذا إلی دعوی الإجماع علی حجّیّة الظنّ بعد الانسداد</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شطب علیها</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 اعتبار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اعتبار الظنّ بالطریق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وردت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الواقع</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 اعتبار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لم ترد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الحاصل أن اعتبار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وردت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تحصّل</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سیجیء بیان ذلک عند التعرّض لحال نتیجة المقدّمات إن شاء اللّه تعالی</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یعلم</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یعلم و لا یظنّ</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المطابق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 الذی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 الجاهل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ذلک</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کان أعلم</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جاءت العبارة کما یلی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المقدّمة الرابعة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أنّه إذا وجب التعرّض لامتثال الواقع فی مسألة واحدة أو فی مسائل،و لم یمکن الرجوع فیها إلی الاصول،و لم یجب أو لم یجز الاحتیاط،تعیّن العمل فیها بمطلق الظنّ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لذلک یجب العمل بالظنّ فی الضرر و العدالة و أمثالهما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تمهّدت هذه المقدّمات،فنقول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ثبت وجوب التعرّض فیما نحن فیه للامتثال حیث انسدّ فیه باب العلم و الظنّ الخاصّ کما مرّ فی المقدّمة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المحتمل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یکون الصادر من قلمه الشریف أوّلا ما أثبتناه ثمّ شطب علیه و أثبت ما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أشار إلی ذلک المحقّق الحاج میرزا موسی التبریزی قدّس سرّه فی هامش أوثق الوسائل</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 الرابعة</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سابقه إلی لاحقه</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إشکال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وردت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الفاضل النراقی فی عوائد الأیّام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الاغماض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إحراز الواقع و امتثاله</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نحن فیه</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بإحداهما</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الظنّ</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محمد تقی فی هدایة المسترشدین و أخوه صاحب الفصول،کما سیأتی</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شریف العلماء،انظر تقریرات درسه فی ضوابط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،و کذا السیّد المجاهد فی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الفصول</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تلک الطرق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وافیة بها</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للأحکام</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کلامه فی الصفحة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الظنّ</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الامتثال</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الخاصّة</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ذکرهم فی الصفحة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ابن قبة،راجع الصفحة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نعم،ورد بدلها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حسب ما</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یقبل</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بمثله</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العملی</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بالطریق المحتمل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بالظنّ</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النافی للتکلیف</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یعمل بذلک الظنّ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إنّما زید فیها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لو کان مخالفا للاستصحاب المثبت للتکلیف</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یحصّل</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مع العلم الإجمالیّ؛بناء علی أنّ الامتثال التفصیلیّ مقدّم علی الإجمالیّ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لأنّ الاحتیاط یوجب الحرج المؤدّی إلی الاختلال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فوقها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أخذهما</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المثالین</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نتیجة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هذا المضمون فی المجامیع الحدیثیّة،نعم ورد فی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شیء أبعد من عقول الرجال عن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الوسائل </w:t>
      </w:r>
      <w:r>
        <w:rPr>
          <w:rFonts w:eastAsia="IRNazanin" w:cs="IRNazanin"/>
          <w:b w:val="false"/>
          <w:bCs w:val="false"/>
          <w:i w:val="false"/>
          <w:iCs w:val="false"/>
          <w:color w:val="333333"/>
          <w:sz w:val="20"/>
          <w:szCs w:val="20"/>
        </w:rPr>
        <w:t>18:149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5:394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بعضها فی الصفحة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الطرق</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بالطریق</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بالواقع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بدلها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شخصا أو نوعا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نوعا أو شخصا</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الطریق</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الظنّ</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الطریق</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محمّد تقی صاحب هدایة المسترشدین</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المستدلّ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أنّه 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محمّد تقی صاحب هدایة المسترشدین أیضا</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الآتیة</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لأمره</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ذکرهم فی الصفحة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شریف العلماء</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العملیة</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وقفنا علی هذا المطلب فی ضوابط الاصول للسیّد ابراهیم القزوینی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 قد أثبت فیه دروس استاذه شریف العلماء</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الطریق</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کالوحید البهبهانی فی الفوائد الحائریّة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،و الرسائل الاصولیة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،و المحقق القمّی فی القوانین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یحتاج</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القوانین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بطلان</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أصالة</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الاستصحاب</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لأحدهما</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تلازم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بالمظنّة</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بحیث یحکم العقل العمل بکلّ ظنّ قویّا و ضعیفا</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المعترضین</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 و البعض المردّد 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یعیّن</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یعیّن</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المقام الثانی،الصفحة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المرتبة</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جهتها</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یستصلح</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متعیّنا</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المتیقّن</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الظنّ</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الموافق</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الموافق</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أنّ تیقّن البعض بالنسبة إلی الباقی من المرجّحات</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فیبقی تحت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منفیّ بحسب</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لمعارضته بشیء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بمعارضته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لمعارضة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لمعارضته شیء</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الامور</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عدم کفایته لندرته</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متعیّن</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بحجّیته</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حجّیة</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لحجّیتها</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صاحب هدایة المسترشدین کما سیأتی،و کذا صاحب الفصول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محمد تقی صاحب هدایة المسترشدین</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توجیه</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یجعل</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بتعیین</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ورد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تصحیحا</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الفاضل النراقی قدّس سرّه</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القائلین</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الفاضل النراقی</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بدلها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عرفی وجوبی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جزمی</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الشیخ محمّد تقی،و قد تقدّم کلامه فی الصفحة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فی الصفحة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،و انظر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الثانی فی المسالک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،و کولده صاحب المعالم فی فقه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،کما ستأتی الإشارة إلیه فی مبحث الاستصحاب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متیقّن</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بعض</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الحق</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إمّا بالإضافة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اعتباره دونها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کتبت هنا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دلیل</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إمّا بالاضافة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اعتباره دونها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تقدّمت فی الصفحة السابقة</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دلیل</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بطلان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الاحتیاط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فالذی ینبغی أن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 فی تلک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یسلم</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الثابتة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الجمیع</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لتعیّن</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لغیره</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تعیّن</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غیرها</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،و هدایة المسترشدین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المرادة</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لغیرها</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بعدم</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لإطلاق</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فعلم</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أفراد</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شریف العلماء،انظر تقریرات درسه فی ضوابط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الفروع</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بفعل</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وجوبه</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الأمارة</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تصیر</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فرضنا</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ینفع و لا یثمر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ینفع و لا یتم</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أبطل</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یقتضی</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یقطع</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یعمل</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یوجد</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یبلغ</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 واقعة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لو</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المفروض عدم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فیؤخذ بالراجح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إلاّ فبالأصول</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موهوما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فی غیرها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موارد عدمه إلی مقتضی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موارد الخلوّ عنه بمقتضی الأصل</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موارد وجوده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موارده</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شطب علیه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یدلّ</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المعلومة</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تبعیض</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المظنونات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الموهومات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الموهومات المقابلة للظنّ الغیر القویّ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المظنونات بالظنّ الغیر القویّ</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کلّ منها</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بالظنّ الغیر القویّ فی نفی التکلیف فضلا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بالظنّ القویّ فضلا</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إفادة</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 و نسخة بدلها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الاحتیاط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تعلّق</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بالطریق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بالواقع</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المشکوک</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الاحتیاط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العسر</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فحیث</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تثبت</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 یقتضیه</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طبعة جماعة المدرّسین</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بأکثر تلک</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 الاستدلال</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عملا</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دون ملاحظة</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تمیّز</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 أمارة طریقا لتعیین المحرّمات فی</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دلیل</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دافع</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المعدّل</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للتعدیلات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الکلام فی المقامین الأوّلین فی الصفحة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بإحدی</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 دونه</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دافع</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القمّی فی القوانین </w:t>
      </w:r>
      <w:r>
        <w:rPr>
          <w:rFonts w:eastAsia="IRNazanin" w:cs="IRNazanin"/>
          <w:b w:val="false"/>
          <w:bCs w:val="false"/>
          <w:i w:val="false"/>
          <w:iCs w:val="false"/>
          <w:color w:val="333333"/>
          <w:sz w:val="20"/>
          <w:szCs w:val="20"/>
        </w:rPr>
        <w:t>1:449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،مع تفاوت</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المصدر،الحدیث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الأمارة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الأمارة</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القوانین </w:t>
      </w:r>
      <w:r>
        <w:rPr>
          <w:rFonts w:eastAsia="IRNazanin" w:cs="IRNazanin"/>
          <w:b w:val="false"/>
          <w:bCs w:val="false"/>
          <w:i w:val="false"/>
          <w:iCs w:val="false"/>
          <w:color w:val="333333"/>
          <w:sz w:val="20"/>
          <w:szCs w:val="20"/>
        </w:rPr>
        <w:t>1:449</w:t>
      </w:r>
      <w:r>
        <w:rPr>
          <w:rFonts w:ascii="IRNazanin" w:hAnsi="IRNazanin" w:eastAsia="IRNazanin"/>
          <w:b w:val="false"/>
          <w:b w:val="false"/>
          <w:bCs w:val="false"/>
          <w:i w:val="false"/>
          <w:i w:val="false"/>
          <w:iCs w:val="false"/>
          <w:color w:val="333333"/>
          <w:sz w:val="20"/>
          <w:sz w:val="20"/>
          <w:szCs w:val="20"/>
          <w:rtl w:val="true"/>
        </w:rPr>
        <w:t>،و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متقدّمة</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الأمارة</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الجواب أیضا ذکره المحقّق القمّی فی القوانین </w:t>
      </w:r>
      <w:r>
        <w:rPr>
          <w:rFonts w:eastAsia="IRNazanin" w:cs="IRNazanin"/>
          <w:b w:val="false"/>
          <w:bCs w:val="false"/>
          <w:i w:val="false"/>
          <w:iCs w:val="false"/>
          <w:color w:val="333333"/>
          <w:sz w:val="20"/>
          <w:szCs w:val="20"/>
        </w:rPr>
        <w:t>1:448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2:303</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بالعقول الناقصة</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علیه،نعم فی الوسائل ما یقرب منه،انظر الوسائل </w:t>
      </w:r>
      <w:r>
        <w:rPr>
          <w:rFonts w:eastAsia="IRNazanin" w:cs="IRNazanin"/>
          <w:b w:val="false"/>
          <w:bCs w:val="false"/>
          <w:i w:val="false"/>
          <w:iCs w:val="false"/>
          <w:color w:val="333333"/>
          <w:sz w:val="20"/>
          <w:szCs w:val="20"/>
        </w:rPr>
        <w:t>18:149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الروایة فی الصفحة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 لم نعثر علیها فیما یأتی</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ما ذکر من تتبّع الأخبار فی أحوال القیاس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ما ذکر من تتبّع الأخبار فی منع العمل بالقیاس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ما ذکر من الأخبار فی أحوال القیاس</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الجواب أیضا للمحقق القمّی فی القوانین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توجیه صحّة منع الشارع</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قبح الأمر بغیره من المکلّف</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بتعیین</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الجواب أیضا للمحقّق القمّی</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لا یقبح</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ما فی الأدلّة</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1:448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بالجملة</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الاشکال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القیاس</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الجواب ذکره الشیخ محمد تقی فی هدایة المسترشدین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،و أخوه صاحب الفصول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نظیره</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هذا لا 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یوجب ذلک</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الوجه الآتی</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الذی اخترناه سابقا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البراءة الظنّیة مع عدم العلم</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المحکّمة</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5:394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علیه،نعم ورد ما یقرب منه،فی الوسائل </w:t>
      </w:r>
      <w:r>
        <w:rPr>
          <w:rFonts w:eastAsia="IRNazanin" w:cs="IRNazanin"/>
          <w:b w:val="false"/>
          <w:bCs w:val="false"/>
          <w:i w:val="false"/>
          <w:iCs w:val="false"/>
          <w:color w:val="333333"/>
          <w:sz w:val="20"/>
          <w:szCs w:val="20"/>
        </w:rPr>
        <w:t>18:149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بعضها فی الصفحة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القیاس</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الکلام فی المقام الأوّل فی الصفحة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شریف العلماء،انظر تقریرات درسه فی ضوابط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الفصول،و قد تقدّم کلامه فی الصفحة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محمد تقی فی هدایة المسترشدین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مبحث الاستصحاب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ترجیح</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الأمارة القطعیّة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الأمارة العقلیّة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الأمارات العقلیّة</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مبحث الاستصحاب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ترجیح و لا تخصیص</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فالأولی</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إذا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وردت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الکلام فی الأمر الأوّل و الثانی فی الصفحة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،و 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لزمه القول بالاعتبار</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الظنّ</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بحجّیة</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کتب فوقها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العملیّة</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المجاهد فی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الاطمئنان</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کالقائل</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الواقعیّ أو الظاهریّ</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شریف العلماء و السیّد المجاهد کما تقدّم،راجع الصفحة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داخلة</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الفرعی الکلّی</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الشرط</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الباقی</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المسألة</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تقریرات درسه فی ضوابط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للمقام</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فی خصوص الفروع</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حصول الظنّ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الظنّ</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هذا،و لکن من المحتمل أن یکون ما صدر عن الشیخ الأعظم قدّس سرّه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الأمر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ذلک لأنّه قدّس سرّه تعرّض للبحث عن الظنّ فی المسائل الاصولیّة العملیّة فی ذیل الأمر الثالث،من غیر أن یعدّه أمرا مستقلا،فلعلّه 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أمرا رابعا،و کتب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الخامس</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إجمال</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الحاصل</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فإجراء</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تقدّم توجیهه فی الصفحة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الطوسی فی العدّة </w:t>
      </w:r>
      <w:r>
        <w:rPr>
          <w:rFonts w:eastAsia="IRNazanin" w:cs="IRNazanin"/>
          <w:b w:val="false"/>
          <w:bCs w:val="false"/>
          <w:i w:val="false"/>
          <w:iCs w:val="false"/>
          <w:color w:val="333333"/>
          <w:sz w:val="20"/>
          <w:szCs w:val="20"/>
        </w:rPr>
        <w:t>2:730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،و المحقّق فی 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 العلاّمة فی 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،و الشهید الأوّل فی الألفیّة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الشهید الثانی فی المقاصد العلیّة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انظر مناهج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،و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الحادی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الفاضل النراقی فی المناهج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،و المحقّق القمی فی 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مختصر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کالسیّد الصدر فی 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الشهید الثانی عن جماعة من المحقّقین منّا و من الجمهور،انظر المقاصد العلیّة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،و راجع القوانین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،و مناهج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النصیریّة،فارسیّ فی اصول الدین</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أکثرهم المحقّق القمّی فی القوانین </w:t>
      </w:r>
      <w:r>
        <w:rPr>
          <w:rFonts w:eastAsia="IRNazanin" w:cs="IRNazanin"/>
          <w:b w:val="false"/>
          <w:bCs w:val="false"/>
          <w:i w:val="false"/>
          <w:iCs w:val="false"/>
          <w:color w:val="333333"/>
          <w:sz w:val="20"/>
          <w:szCs w:val="20"/>
        </w:rPr>
        <w:t>2:180</w:t>
      </w:r>
      <w:r>
        <w:rPr>
          <w:rFonts w:ascii="IRNazanin" w:hAnsi="IRNazanin" w:eastAsia="IRNazanin"/>
          <w:b w:val="false"/>
          <w:b w:val="false"/>
          <w:bCs w:val="false"/>
          <w:i w:val="false"/>
          <w:i w:val="false"/>
          <w:iCs w:val="false"/>
          <w:color w:val="333333"/>
          <w:sz w:val="20"/>
          <w:sz w:val="20"/>
          <w:szCs w:val="20"/>
          <w:rtl w:val="true"/>
        </w:rPr>
        <w:t>،و الفاضل النراقی فی المناهج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،و انظر مجمع الفائدة للمحقّق الأردبیلی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،و الزبدة للشیخ البهائی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الشیخ البهائی علی شرح مختصر ابن الحاجب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یوجد لدینا</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البحث فی القسم الأوّل فی الصفحة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وجوب تحصیل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حصول</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18:111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القاضی،فی وجوب التوقّف و الاحتیاط</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،و انظر رسائل الشریف المرتضی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ظاهر المحکی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11:129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الآیة من 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الظنّ المطلق</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علی العلم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ربقة الإسلام</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الحادی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الفرائض،الحدیث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مرویّ فی مصادر الحدیث عن أبی عبد اللّه علیه السّلام،و فیه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الصلوات الخمس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الصلاة</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آیة النفر فی 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،و انظر تفسیر القمّی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،باب فرض العلم و وجوب طلبه</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بنظر</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بنظر</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،ضمن الحدیث الأوّل</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التغیّر</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69:16</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الآیة من 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دعائم</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المصدر،و فی النسخ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2:405</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الألفیّة و النفلیّة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الجعفریّة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الکرکی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العلیّة فی شرح الجعفریّة للفاضل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کأبی المجد الحلبی فی إشارة السبق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رکزها</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الباب الحادی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دفعه</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فضول</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12:245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10:435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،و 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المستفیضة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للشیخ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التدیّن بسائر الضروریّات ففی اشتراطه أو کفایة عدم إنکارها مع العلم بکونها من الدین أو لا یشترط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زیادة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یضرّ إنکارها إلاّ مع العلم بکونها من الدین</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و البرهان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مقدّمته</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بهذه</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المتیقّن</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الصفحة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،الحدیث الأوّل</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18:561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المرتدّ،الحدیث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سورة 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،باب طینة المؤمن و الکافر</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18:568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المرتدّ،الحدیث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18:566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المرتدّ،الحدیث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2:403</w:t>
      </w:r>
      <w:r>
        <w:rPr>
          <w:rFonts w:ascii="IRNazanin" w:hAnsi="IRNazanin" w:eastAsia="IRNazanin"/>
          <w:b w:val="false"/>
          <w:b w:val="false"/>
          <w:bCs w:val="false"/>
          <w:i w:val="false"/>
          <w:i w:val="false"/>
          <w:iCs w:val="false"/>
          <w:color w:val="333333"/>
          <w:sz w:val="20"/>
          <w:sz w:val="20"/>
          <w:szCs w:val="20"/>
          <w:rtl w:val="true"/>
        </w:rPr>
        <w:t xml:space="preserve">،باب الضلال من کتاب الإیمان و الکفر،الحدیث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الحادی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الجعفریّة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الکرکی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أصرح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مثلها</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مختصر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یعضده</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المبنیّة</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فینتج</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تمکّن من تحصیل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تمکّن علیه</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صار</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الطوسی فی العدّة </w:t>
      </w:r>
      <w:r>
        <w:rPr>
          <w:rFonts w:eastAsia="IRNazanin" w:cs="IRNazanin"/>
          <w:b w:val="false"/>
          <w:bCs w:val="false"/>
          <w:i w:val="false"/>
          <w:iCs w:val="false"/>
          <w:color w:val="333333"/>
          <w:sz w:val="20"/>
          <w:szCs w:val="20"/>
        </w:rPr>
        <w:t>2:723</w:t>
      </w:r>
      <w:r>
        <w:rPr>
          <w:rFonts w:ascii="IRNazanin" w:hAnsi="IRNazanin" w:eastAsia="IRNazanin"/>
          <w:b w:val="false"/>
          <w:b w:val="false"/>
          <w:bCs w:val="false"/>
          <w:i w:val="false"/>
          <w:i w:val="false"/>
          <w:iCs w:val="false"/>
          <w:color w:val="333333"/>
          <w:sz w:val="20"/>
          <w:sz w:val="20"/>
          <w:szCs w:val="20"/>
          <w:rtl w:val="true"/>
        </w:rPr>
        <w:t>،و صاحب المعالم فی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القاصر</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18:566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المرتدّ،الحدیث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2:403</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18:569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المرتدّ،الحدیث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فیجب</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فیجب</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2:407</w:t>
      </w:r>
      <w:r>
        <w:rPr>
          <w:rFonts w:ascii="IRNazanin" w:hAnsi="IRNazanin" w:eastAsia="IRNazanin"/>
          <w:b w:val="false"/>
          <w:b w:val="false"/>
          <w:bCs w:val="false"/>
          <w:i w:val="false"/>
          <w:i w:val="false"/>
          <w:iCs w:val="false"/>
          <w:color w:val="333333"/>
          <w:sz w:val="20"/>
          <w:sz w:val="20"/>
          <w:szCs w:val="20"/>
          <w:rtl w:val="true"/>
        </w:rPr>
        <w:t>،الحدیث الأوّل،و الآیة من 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2:407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باللسان</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عموم</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السابع</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بالصدور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بمضمونه</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لوصف</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مدلولها</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 کلّ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فی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،و غایة المأمول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،و انظر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18:109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کان لقیام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6:156</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ادّعاه الوحید البهبهانی فی الفوائد الحائریّة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،و کذا کاشف الغطاء فی کشف الغطاء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الظنّ</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القاضی،الحدیث الأوّل</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17:303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عدم المعارض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مقام التعارض</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18:20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یؤیّد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وهنها</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حجّیتها</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القیاس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لأصل الانسداد</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القمّی،کما تقدّم فی الصفحة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لحاله</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،و رجال السیّد بحر العلوم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الطائفة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الصفحة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وهنه</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کالقیاس و شبهه</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کالقیاس و شبهه</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رافعا</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المجاهد فی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لأجل القیاس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بالقیاس</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دافع</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المتعارضین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امرنا بترکها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الغیر المأکول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المحکّم</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مشروطا</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لزوم</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منّا</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فالکلام</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کتب علیها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بموافقته</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،و غایة البادئ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،و غایة المأمول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،و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،و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الکلام فیها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بها</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جهة السند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،و مناهج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إجماعا</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17:303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مبحث التعادل و التراجیح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مبحث التعادل و التراجیح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هنا 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المجاهد فی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للترجیح</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،و مبادئ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،و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یشکل بما ذکرنا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یقال</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المجاهد فی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الظنّ المطلق</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مرجّح</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القاضی،الحدیث الأوّل</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لمجرّد کون راوی أحدهما أصدق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الوثاقة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وثاقتها</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مرفوعة زرارة،المستدرک </w:t>
      </w:r>
      <w:r>
        <w:rPr>
          <w:rFonts w:eastAsia="IRNazanin" w:cs="IRNazanin"/>
          <w:b w:val="false"/>
          <w:bCs w:val="false"/>
          <w:i w:val="false"/>
          <w:iCs w:val="false"/>
          <w:color w:val="333333"/>
          <w:sz w:val="20"/>
          <w:szCs w:val="20"/>
        </w:rPr>
        <w:t>17:303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الخبرین</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أوثق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مقبولة ابن حنظلة،الوسائل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القاضی،الحدیث الأوّل</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مقبولة ابن حنظلة،الوسائل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القاضی،الحدیث الأوّل</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یتفرّد</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القاضی،الحدیث الأوّل</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علّله</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العدّة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مقبولة ابن حنظلة المتقدّمة فی الصفحة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کصاحب المعالم فی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تقیّة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15:492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الخلع و المباراة،الحدیث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نحن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بقوله علیه السّلام</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القاضی،ضمن الحدیث </w:t>
      </w:r>
      <w:r>
        <w:rPr>
          <w:rFonts w:eastAsia="IRNazanin" w:cs="IRNazanin"/>
          <w:b w:val="false"/>
          <w:bCs w:val="false"/>
          <w:i w:val="false"/>
          <w:iCs w:val="false"/>
          <w:color w:val="333333"/>
          <w:sz w:val="20"/>
          <w:szCs w:val="20"/>
        </w:rPr>
        <w:t>19</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مقبولة ابن حنظلة المتقدّمة فی الصفحة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المحدّث الجزائری فی زهر الربیع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،و هدایة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فینحصر الأمر فی العمل بالظنّ بالترجیح</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یرجّح</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التکلیف</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یکن یلزم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استظهره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یکن</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بالاصول</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باب التراجیح تتمّة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image" Target="media/image3.jpeg"/><Relationship Id="rId25" Type="http://schemas.openxmlformats.org/officeDocument/2006/relationships/image" Target="media/image3.jpeg"/><Relationship Id="rId26" Type="http://schemas.openxmlformats.org/officeDocument/2006/relationships/footer" Target="footer19.xml"/><Relationship Id="rId27" Type="http://schemas.openxmlformats.org/officeDocument/2006/relationships/image" Target="media/image4.jpeg"/><Relationship Id="rId28" Type="http://schemas.openxmlformats.org/officeDocument/2006/relationships/image" Target="media/image4.jpeg"/><Relationship Id="rId29" Type="http://schemas.openxmlformats.org/officeDocument/2006/relationships/footer" Target="footer20.xml"/><Relationship Id="rId30" Type="http://schemas.openxmlformats.org/officeDocument/2006/relationships/image" Target="media/image5.jpeg"/><Relationship Id="rId31" Type="http://schemas.openxmlformats.org/officeDocument/2006/relationships/image" Target="media/image5.jpeg"/><Relationship Id="rId32" Type="http://schemas.openxmlformats.org/officeDocument/2006/relationships/footer" Target="footer21.xml"/><Relationship Id="rId33" Type="http://schemas.openxmlformats.org/officeDocument/2006/relationships/image" Target="media/image6.jpeg"/><Relationship Id="rId34" Type="http://schemas.openxmlformats.org/officeDocument/2006/relationships/image" Target="media/image6.jpeg"/><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footer" Target="footer262.xml"/><Relationship Id="rId276" Type="http://schemas.openxmlformats.org/officeDocument/2006/relationships/footer" Target="footer263.xml"/><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footer" Target="footer303.xml"/><Relationship Id="rId317" Type="http://schemas.openxmlformats.org/officeDocument/2006/relationships/footer" Target="footer304.xml"/><Relationship Id="rId318" Type="http://schemas.openxmlformats.org/officeDocument/2006/relationships/footer" Target="footer305.xml"/><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footer" Target="footer309.xml"/><Relationship Id="rId323" Type="http://schemas.openxmlformats.org/officeDocument/2006/relationships/footer" Target="footer310.xml"/><Relationship Id="rId324" Type="http://schemas.openxmlformats.org/officeDocument/2006/relationships/footer" Target="footer311.xml"/><Relationship Id="rId325" Type="http://schemas.openxmlformats.org/officeDocument/2006/relationships/footer" Target="footer312.xml"/><Relationship Id="rId326" Type="http://schemas.openxmlformats.org/officeDocument/2006/relationships/footer" Target="footer313.xml"/><Relationship Id="rId327" Type="http://schemas.openxmlformats.org/officeDocument/2006/relationships/footer" Target="footer314.xml"/><Relationship Id="rId328" Type="http://schemas.openxmlformats.org/officeDocument/2006/relationships/footer" Target="footer315.xml"/><Relationship Id="rId329" Type="http://schemas.openxmlformats.org/officeDocument/2006/relationships/footer" Target="footer316.xml"/><Relationship Id="rId330" Type="http://schemas.openxmlformats.org/officeDocument/2006/relationships/footer" Target="footer317.xml"/><Relationship Id="rId331" Type="http://schemas.openxmlformats.org/officeDocument/2006/relationships/footer" Target="footer318.xml"/><Relationship Id="rId332" Type="http://schemas.openxmlformats.org/officeDocument/2006/relationships/footer" Target="footer319.xml"/><Relationship Id="rId333" Type="http://schemas.openxmlformats.org/officeDocument/2006/relationships/footer" Target="footer320.xml"/><Relationship Id="rId334" Type="http://schemas.openxmlformats.org/officeDocument/2006/relationships/footer" Target="footer321.xml"/><Relationship Id="rId335" Type="http://schemas.openxmlformats.org/officeDocument/2006/relationships/footer" Target="footer322.xml"/><Relationship Id="rId336" Type="http://schemas.openxmlformats.org/officeDocument/2006/relationships/footer" Target="footer323.xml"/><Relationship Id="rId337" Type="http://schemas.openxmlformats.org/officeDocument/2006/relationships/footer" Target="footer324.xml"/><Relationship Id="rId338" Type="http://schemas.openxmlformats.org/officeDocument/2006/relationships/footer" Target="footer325.xml"/><Relationship Id="rId339" Type="http://schemas.openxmlformats.org/officeDocument/2006/relationships/footer" Target="footer326.xml"/><Relationship Id="rId340" Type="http://schemas.openxmlformats.org/officeDocument/2006/relationships/footer" Target="footer327.xml"/><Relationship Id="rId341" Type="http://schemas.openxmlformats.org/officeDocument/2006/relationships/footer" Target="footer328.xml"/><Relationship Id="rId342" Type="http://schemas.openxmlformats.org/officeDocument/2006/relationships/footer" Target="footer329.xml"/><Relationship Id="rId343" Type="http://schemas.openxmlformats.org/officeDocument/2006/relationships/footer" Target="footer330.xml"/><Relationship Id="rId344" Type="http://schemas.openxmlformats.org/officeDocument/2006/relationships/footer" Target="footer331.xml"/><Relationship Id="rId345" Type="http://schemas.openxmlformats.org/officeDocument/2006/relationships/footer" Target="footer332.xml"/><Relationship Id="rId346" Type="http://schemas.openxmlformats.org/officeDocument/2006/relationships/footer" Target="footer333.xml"/><Relationship Id="rId347" Type="http://schemas.openxmlformats.org/officeDocument/2006/relationships/footer" Target="footer334.xml"/><Relationship Id="rId348" Type="http://schemas.openxmlformats.org/officeDocument/2006/relationships/footer" Target="footer335.xml"/><Relationship Id="rId349" Type="http://schemas.openxmlformats.org/officeDocument/2006/relationships/footer" Target="footer336.xml"/><Relationship Id="rId350" Type="http://schemas.openxmlformats.org/officeDocument/2006/relationships/footer" Target="footer337.xml"/><Relationship Id="rId351" Type="http://schemas.openxmlformats.org/officeDocument/2006/relationships/footer" Target="footer338.xml"/><Relationship Id="rId352" Type="http://schemas.openxmlformats.org/officeDocument/2006/relationships/footer" Target="footer339.xml"/><Relationship Id="rId353" Type="http://schemas.openxmlformats.org/officeDocument/2006/relationships/footer" Target="footer340.xml"/><Relationship Id="rId354" Type="http://schemas.openxmlformats.org/officeDocument/2006/relationships/footer" Target="footer341.xml"/><Relationship Id="rId355" Type="http://schemas.openxmlformats.org/officeDocument/2006/relationships/footer" Target="footer342.xml"/><Relationship Id="rId356" Type="http://schemas.openxmlformats.org/officeDocument/2006/relationships/footer" Target="footer343.xml"/><Relationship Id="rId357" Type="http://schemas.openxmlformats.org/officeDocument/2006/relationships/footer" Target="footer344.xml"/><Relationship Id="rId358" Type="http://schemas.openxmlformats.org/officeDocument/2006/relationships/footer" Target="footer345.xml"/><Relationship Id="rId359" Type="http://schemas.openxmlformats.org/officeDocument/2006/relationships/footer" Target="footer346.xml"/><Relationship Id="rId360" Type="http://schemas.openxmlformats.org/officeDocument/2006/relationships/footer" Target="footer347.xml"/><Relationship Id="rId361" Type="http://schemas.openxmlformats.org/officeDocument/2006/relationships/footer" Target="footer348.xml"/><Relationship Id="rId362" Type="http://schemas.openxmlformats.org/officeDocument/2006/relationships/footer" Target="footer349.xml"/><Relationship Id="rId363" Type="http://schemas.openxmlformats.org/officeDocument/2006/relationships/footer" Target="footer350.xml"/><Relationship Id="rId364" Type="http://schemas.openxmlformats.org/officeDocument/2006/relationships/footer" Target="footer351.xml"/><Relationship Id="rId365" Type="http://schemas.openxmlformats.org/officeDocument/2006/relationships/footer" Target="footer352.xml"/><Relationship Id="rId366" Type="http://schemas.openxmlformats.org/officeDocument/2006/relationships/footer" Target="footer353.xml"/><Relationship Id="rId367" Type="http://schemas.openxmlformats.org/officeDocument/2006/relationships/footer" Target="footer354.xml"/><Relationship Id="rId368" Type="http://schemas.openxmlformats.org/officeDocument/2006/relationships/footer" Target="footer355.xml"/><Relationship Id="rId369" Type="http://schemas.openxmlformats.org/officeDocument/2006/relationships/footer" Target="footer356.xml"/><Relationship Id="rId370" Type="http://schemas.openxmlformats.org/officeDocument/2006/relationships/footer" Target="footer357.xml"/><Relationship Id="rId371" Type="http://schemas.openxmlformats.org/officeDocument/2006/relationships/footer" Target="footer358.xml"/><Relationship Id="rId372" Type="http://schemas.openxmlformats.org/officeDocument/2006/relationships/footer" Target="footer359.xml"/><Relationship Id="rId373" Type="http://schemas.openxmlformats.org/officeDocument/2006/relationships/footer" Target="footer360.xml"/><Relationship Id="rId374" Type="http://schemas.openxmlformats.org/officeDocument/2006/relationships/footer" Target="footer361.xml"/><Relationship Id="rId375" Type="http://schemas.openxmlformats.org/officeDocument/2006/relationships/footer" Target="footer362.xml"/><Relationship Id="rId376" Type="http://schemas.openxmlformats.org/officeDocument/2006/relationships/footer" Target="footer363.xml"/><Relationship Id="rId377" Type="http://schemas.openxmlformats.org/officeDocument/2006/relationships/footer" Target="footer364.xml"/><Relationship Id="rId378" Type="http://schemas.openxmlformats.org/officeDocument/2006/relationships/footer" Target="footer365.xml"/><Relationship Id="rId379" Type="http://schemas.openxmlformats.org/officeDocument/2006/relationships/footer" Target="footer366.xml"/><Relationship Id="rId380" Type="http://schemas.openxmlformats.org/officeDocument/2006/relationships/footer" Target="footer367.xml"/><Relationship Id="rId381" Type="http://schemas.openxmlformats.org/officeDocument/2006/relationships/footer" Target="footer368.xml"/><Relationship Id="rId382" Type="http://schemas.openxmlformats.org/officeDocument/2006/relationships/footer" Target="footer369.xml"/><Relationship Id="rId383" Type="http://schemas.openxmlformats.org/officeDocument/2006/relationships/footer" Target="footer370.xml"/><Relationship Id="rId384" Type="http://schemas.openxmlformats.org/officeDocument/2006/relationships/footer" Target="footer371.xml"/><Relationship Id="rId385" Type="http://schemas.openxmlformats.org/officeDocument/2006/relationships/footer" Target="footer372.xml"/><Relationship Id="rId386" Type="http://schemas.openxmlformats.org/officeDocument/2006/relationships/footer" Target="footer373.xml"/><Relationship Id="rId387" Type="http://schemas.openxmlformats.org/officeDocument/2006/relationships/footer" Target="footer374.xml"/><Relationship Id="rId388" Type="http://schemas.openxmlformats.org/officeDocument/2006/relationships/footer" Target="footer375.xml"/><Relationship Id="rId389" Type="http://schemas.openxmlformats.org/officeDocument/2006/relationships/footer" Target="footer376.xml"/><Relationship Id="rId390" Type="http://schemas.openxmlformats.org/officeDocument/2006/relationships/footer" Target="footer377.xml"/><Relationship Id="rId391" Type="http://schemas.openxmlformats.org/officeDocument/2006/relationships/footer" Target="footer378.xml"/><Relationship Id="rId392" Type="http://schemas.openxmlformats.org/officeDocument/2006/relationships/footer" Target="footer379.xml"/><Relationship Id="rId393" Type="http://schemas.openxmlformats.org/officeDocument/2006/relationships/footer" Target="footer380.xml"/><Relationship Id="rId394" Type="http://schemas.openxmlformats.org/officeDocument/2006/relationships/footer" Target="footer381.xml"/><Relationship Id="rId395" Type="http://schemas.openxmlformats.org/officeDocument/2006/relationships/footer" Target="footer382.xml"/><Relationship Id="rId396" Type="http://schemas.openxmlformats.org/officeDocument/2006/relationships/footer" Target="footer383.xml"/><Relationship Id="rId397" Type="http://schemas.openxmlformats.org/officeDocument/2006/relationships/footer" Target="footer384.xml"/><Relationship Id="rId398" Type="http://schemas.openxmlformats.org/officeDocument/2006/relationships/footer" Target="footer385.xml"/><Relationship Id="rId399" Type="http://schemas.openxmlformats.org/officeDocument/2006/relationships/footer" Target="footer386.xml"/><Relationship Id="rId400" Type="http://schemas.openxmlformats.org/officeDocument/2006/relationships/footer" Target="footer387.xml"/><Relationship Id="rId401" Type="http://schemas.openxmlformats.org/officeDocument/2006/relationships/footer" Target="footer388.xml"/><Relationship Id="rId402" Type="http://schemas.openxmlformats.org/officeDocument/2006/relationships/footer" Target="footer389.xml"/><Relationship Id="rId403" Type="http://schemas.openxmlformats.org/officeDocument/2006/relationships/footer" Target="footer390.xml"/><Relationship Id="rId404" Type="http://schemas.openxmlformats.org/officeDocument/2006/relationships/footer" Target="footer391.xml"/><Relationship Id="rId405" Type="http://schemas.openxmlformats.org/officeDocument/2006/relationships/footer" Target="footer392.xml"/><Relationship Id="rId406" Type="http://schemas.openxmlformats.org/officeDocument/2006/relationships/footer" Target="footer393.xml"/><Relationship Id="rId407" Type="http://schemas.openxmlformats.org/officeDocument/2006/relationships/footer" Target="footer394.xml"/><Relationship Id="rId408" Type="http://schemas.openxmlformats.org/officeDocument/2006/relationships/footer" Target="footer395.xml"/><Relationship Id="rId409" Type="http://schemas.openxmlformats.org/officeDocument/2006/relationships/footer" Target="footer396.xml"/><Relationship Id="rId410" Type="http://schemas.openxmlformats.org/officeDocument/2006/relationships/footer" Target="footer397.xml"/><Relationship Id="rId411" Type="http://schemas.openxmlformats.org/officeDocument/2006/relationships/footer" Target="footer398.xml"/><Relationship Id="rId412" Type="http://schemas.openxmlformats.org/officeDocument/2006/relationships/footer" Target="footer399.xml"/><Relationship Id="rId413" Type="http://schemas.openxmlformats.org/officeDocument/2006/relationships/footer" Target="footer400.xml"/><Relationship Id="rId414" Type="http://schemas.openxmlformats.org/officeDocument/2006/relationships/footer" Target="footer401.xml"/><Relationship Id="rId415" Type="http://schemas.openxmlformats.org/officeDocument/2006/relationships/footer" Target="footer402.xml"/><Relationship Id="rId416" Type="http://schemas.openxmlformats.org/officeDocument/2006/relationships/footer" Target="footer403.xml"/><Relationship Id="rId417" Type="http://schemas.openxmlformats.org/officeDocument/2006/relationships/footer" Target="footer404.xml"/><Relationship Id="rId418" Type="http://schemas.openxmlformats.org/officeDocument/2006/relationships/footer" Target="footer405.xml"/><Relationship Id="rId419" Type="http://schemas.openxmlformats.org/officeDocument/2006/relationships/footer" Target="footer406.xml"/><Relationship Id="rId420" Type="http://schemas.openxmlformats.org/officeDocument/2006/relationships/footer" Target="footer407.xml"/><Relationship Id="rId421" Type="http://schemas.openxmlformats.org/officeDocument/2006/relationships/footer" Target="footer408.xml"/><Relationship Id="rId422" Type="http://schemas.openxmlformats.org/officeDocument/2006/relationships/footer" Target="footer409.xml"/><Relationship Id="rId423" Type="http://schemas.openxmlformats.org/officeDocument/2006/relationships/footer" Target="footer410.xml"/><Relationship Id="rId424" Type="http://schemas.openxmlformats.org/officeDocument/2006/relationships/footer" Target="footer411.xml"/><Relationship Id="rId425" Type="http://schemas.openxmlformats.org/officeDocument/2006/relationships/footer" Target="footer412.xml"/><Relationship Id="rId426" Type="http://schemas.openxmlformats.org/officeDocument/2006/relationships/footer" Target="footer413.xml"/><Relationship Id="rId427" Type="http://schemas.openxmlformats.org/officeDocument/2006/relationships/footer" Target="footer414.xml"/><Relationship Id="rId428" Type="http://schemas.openxmlformats.org/officeDocument/2006/relationships/footer" Target="footer415.xml"/><Relationship Id="rId429" Type="http://schemas.openxmlformats.org/officeDocument/2006/relationships/footer" Target="footer416.xml"/><Relationship Id="rId430" Type="http://schemas.openxmlformats.org/officeDocument/2006/relationships/footer" Target="footer417.xml"/><Relationship Id="rId431" Type="http://schemas.openxmlformats.org/officeDocument/2006/relationships/footer" Target="footer418.xml"/><Relationship Id="rId432" Type="http://schemas.openxmlformats.org/officeDocument/2006/relationships/footer" Target="footer419.xml"/><Relationship Id="rId433" Type="http://schemas.openxmlformats.org/officeDocument/2006/relationships/footer" Target="footer420.xml"/><Relationship Id="rId434" Type="http://schemas.openxmlformats.org/officeDocument/2006/relationships/footer" Target="footer421.xml"/><Relationship Id="rId435" Type="http://schemas.openxmlformats.org/officeDocument/2006/relationships/footer" Target="footer422.xml"/><Relationship Id="rId436" Type="http://schemas.openxmlformats.org/officeDocument/2006/relationships/footer" Target="footer423.xml"/><Relationship Id="rId437" Type="http://schemas.openxmlformats.org/officeDocument/2006/relationships/footer" Target="footer424.xml"/><Relationship Id="rId438" Type="http://schemas.openxmlformats.org/officeDocument/2006/relationships/footer" Target="footer425.xml"/><Relationship Id="rId439" Type="http://schemas.openxmlformats.org/officeDocument/2006/relationships/footer" Target="footer426.xml"/><Relationship Id="rId440" Type="http://schemas.openxmlformats.org/officeDocument/2006/relationships/footer" Target="footer427.xml"/><Relationship Id="rId441" Type="http://schemas.openxmlformats.org/officeDocument/2006/relationships/footer" Target="footer428.xml"/><Relationship Id="rId442" Type="http://schemas.openxmlformats.org/officeDocument/2006/relationships/footer" Target="footer429.xml"/><Relationship Id="rId443" Type="http://schemas.openxmlformats.org/officeDocument/2006/relationships/footer" Target="footer430.xml"/><Relationship Id="rId444" Type="http://schemas.openxmlformats.org/officeDocument/2006/relationships/footer" Target="footer431.xml"/><Relationship Id="rId445" Type="http://schemas.openxmlformats.org/officeDocument/2006/relationships/footer" Target="footer432.xml"/><Relationship Id="rId446" Type="http://schemas.openxmlformats.org/officeDocument/2006/relationships/footer" Target="footer433.xml"/><Relationship Id="rId447" Type="http://schemas.openxmlformats.org/officeDocument/2006/relationships/footer" Target="footer434.xml"/><Relationship Id="rId448" Type="http://schemas.openxmlformats.org/officeDocument/2006/relationships/footer" Target="footer435.xml"/><Relationship Id="rId449" Type="http://schemas.openxmlformats.org/officeDocument/2006/relationships/footer" Target="footer436.xml"/><Relationship Id="rId450" Type="http://schemas.openxmlformats.org/officeDocument/2006/relationships/footer" Target="footer437.xml"/><Relationship Id="rId451" Type="http://schemas.openxmlformats.org/officeDocument/2006/relationships/footer" Target="footer438.xml"/><Relationship Id="rId452" Type="http://schemas.openxmlformats.org/officeDocument/2006/relationships/footer" Target="footer439.xml"/><Relationship Id="rId453" Type="http://schemas.openxmlformats.org/officeDocument/2006/relationships/footer" Target="footer440.xml"/><Relationship Id="rId454" Type="http://schemas.openxmlformats.org/officeDocument/2006/relationships/footer" Target="footer441.xml"/><Relationship Id="rId455" Type="http://schemas.openxmlformats.org/officeDocument/2006/relationships/footer" Target="footer442.xml"/><Relationship Id="rId456" Type="http://schemas.openxmlformats.org/officeDocument/2006/relationships/footer" Target="footer443.xml"/><Relationship Id="rId457" Type="http://schemas.openxmlformats.org/officeDocument/2006/relationships/footer" Target="footer444.xml"/><Relationship Id="rId458" Type="http://schemas.openxmlformats.org/officeDocument/2006/relationships/footer" Target="footer445.xml"/><Relationship Id="rId459" Type="http://schemas.openxmlformats.org/officeDocument/2006/relationships/footer" Target="footer446.xml"/><Relationship Id="rId460" Type="http://schemas.openxmlformats.org/officeDocument/2006/relationships/footer" Target="footer447.xml"/><Relationship Id="rId461" Type="http://schemas.openxmlformats.org/officeDocument/2006/relationships/footer" Target="footer448.xml"/><Relationship Id="rId462" Type="http://schemas.openxmlformats.org/officeDocument/2006/relationships/footer" Target="footer449.xml"/><Relationship Id="rId463" Type="http://schemas.openxmlformats.org/officeDocument/2006/relationships/footer" Target="footer450.xml"/><Relationship Id="rId464" Type="http://schemas.openxmlformats.org/officeDocument/2006/relationships/footer" Target="footer451.xml"/><Relationship Id="rId465" Type="http://schemas.openxmlformats.org/officeDocument/2006/relationships/footer" Target="footer452.xml"/><Relationship Id="rId466" Type="http://schemas.openxmlformats.org/officeDocument/2006/relationships/footer" Target="footer453.xml"/><Relationship Id="rId467" Type="http://schemas.openxmlformats.org/officeDocument/2006/relationships/footer" Target="footer454.xml"/><Relationship Id="rId468" Type="http://schemas.openxmlformats.org/officeDocument/2006/relationships/footer" Target="footer455.xml"/><Relationship Id="rId469" Type="http://schemas.openxmlformats.org/officeDocument/2006/relationships/footer" Target="footer456.xml"/><Relationship Id="rId470" Type="http://schemas.openxmlformats.org/officeDocument/2006/relationships/footer" Target="footer457.xml"/><Relationship Id="rId471" Type="http://schemas.openxmlformats.org/officeDocument/2006/relationships/footer" Target="footer458.xml"/><Relationship Id="rId472" Type="http://schemas.openxmlformats.org/officeDocument/2006/relationships/footer" Target="footer459.xml"/><Relationship Id="rId473" Type="http://schemas.openxmlformats.org/officeDocument/2006/relationships/footer" Target="footer460.xml"/><Relationship Id="rId474" Type="http://schemas.openxmlformats.org/officeDocument/2006/relationships/footer" Target="footer461.xml"/><Relationship Id="rId475" Type="http://schemas.openxmlformats.org/officeDocument/2006/relationships/footer" Target="footer462.xml"/><Relationship Id="rId476" Type="http://schemas.openxmlformats.org/officeDocument/2006/relationships/footer" Target="footer463.xml"/><Relationship Id="rId477" Type="http://schemas.openxmlformats.org/officeDocument/2006/relationships/footer" Target="footer464.xml"/><Relationship Id="rId478" Type="http://schemas.openxmlformats.org/officeDocument/2006/relationships/footer" Target="footer465.xml"/><Relationship Id="rId479" Type="http://schemas.openxmlformats.org/officeDocument/2006/relationships/footer" Target="footer466.xml"/><Relationship Id="rId480" Type="http://schemas.openxmlformats.org/officeDocument/2006/relationships/footer" Target="footer467.xml"/><Relationship Id="rId481" Type="http://schemas.openxmlformats.org/officeDocument/2006/relationships/footer" Target="footer468.xml"/><Relationship Id="rId482" Type="http://schemas.openxmlformats.org/officeDocument/2006/relationships/footer" Target="footer469.xml"/><Relationship Id="rId483" Type="http://schemas.openxmlformats.org/officeDocument/2006/relationships/footer" Target="footer470.xml"/><Relationship Id="rId484" Type="http://schemas.openxmlformats.org/officeDocument/2006/relationships/footer" Target="footer471.xml"/><Relationship Id="rId485" Type="http://schemas.openxmlformats.org/officeDocument/2006/relationships/footer" Target="footer472.xml"/><Relationship Id="rId486" Type="http://schemas.openxmlformats.org/officeDocument/2006/relationships/footer" Target="footer473.xml"/><Relationship Id="rId487" Type="http://schemas.openxmlformats.org/officeDocument/2006/relationships/footer" Target="footer474.xml"/><Relationship Id="rId488" Type="http://schemas.openxmlformats.org/officeDocument/2006/relationships/footer" Target="footer475.xml"/><Relationship Id="rId489" Type="http://schemas.openxmlformats.org/officeDocument/2006/relationships/footer" Target="footer476.xml"/><Relationship Id="rId490" Type="http://schemas.openxmlformats.org/officeDocument/2006/relationships/footer" Target="footer477.xml"/><Relationship Id="rId491" Type="http://schemas.openxmlformats.org/officeDocument/2006/relationships/footer" Target="footer478.xml"/><Relationship Id="rId492" Type="http://schemas.openxmlformats.org/officeDocument/2006/relationships/footer" Target="footer479.xml"/><Relationship Id="rId493" Type="http://schemas.openxmlformats.org/officeDocument/2006/relationships/footer" Target="footer480.xml"/><Relationship Id="rId494" Type="http://schemas.openxmlformats.org/officeDocument/2006/relationships/footer" Target="footer481.xml"/><Relationship Id="rId495" Type="http://schemas.openxmlformats.org/officeDocument/2006/relationships/footer" Target="footer482.xml"/><Relationship Id="rId496" Type="http://schemas.openxmlformats.org/officeDocument/2006/relationships/footer" Target="footer483.xml"/><Relationship Id="rId497" Type="http://schemas.openxmlformats.org/officeDocument/2006/relationships/footer" Target="footer484.xml"/><Relationship Id="rId498" Type="http://schemas.openxmlformats.org/officeDocument/2006/relationships/footer" Target="footer485.xml"/><Relationship Id="rId499" Type="http://schemas.openxmlformats.org/officeDocument/2006/relationships/footer" Target="footer486.xml"/><Relationship Id="rId500" Type="http://schemas.openxmlformats.org/officeDocument/2006/relationships/footer" Target="footer487.xml"/><Relationship Id="rId501" Type="http://schemas.openxmlformats.org/officeDocument/2006/relationships/footer" Target="footer488.xml"/><Relationship Id="rId502" Type="http://schemas.openxmlformats.org/officeDocument/2006/relationships/footer" Target="footer489.xml"/><Relationship Id="rId503" Type="http://schemas.openxmlformats.org/officeDocument/2006/relationships/footer" Target="footer490.xml"/><Relationship Id="rId504" Type="http://schemas.openxmlformats.org/officeDocument/2006/relationships/footer" Target="footer491.xml"/><Relationship Id="rId505" Type="http://schemas.openxmlformats.org/officeDocument/2006/relationships/footer" Target="footer492.xml"/><Relationship Id="rId506" Type="http://schemas.openxmlformats.org/officeDocument/2006/relationships/footer" Target="footer493.xml"/><Relationship Id="rId507" Type="http://schemas.openxmlformats.org/officeDocument/2006/relationships/footer" Target="footer494.xml"/><Relationship Id="rId508" Type="http://schemas.openxmlformats.org/officeDocument/2006/relationships/footer" Target="footer495.xml"/><Relationship Id="rId509" Type="http://schemas.openxmlformats.org/officeDocument/2006/relationships/footer" Target="footer496.xml"/><Relationship Id="rId510" Type="http://schemas.openxmlformats.org/officeDocument/2006/relationships/footer" Target="footer497.xml"/><Relationship Id="rId511" Type="http://schemas.openxmlformats.org/officeDocument/2006/relationships/footer" Target="footer498.xml"/><Relationship Id="rId512" Type="http://schemas.openxmlformats.org/officeDocument/2006/relationships/footer" Target="footer499.xml"/><Relationship Id="rId513" Type="http://schemas.openxmlformats.org/officeDocument/2006/relationships/footer" Target="footer500.xml"/><Relationship Id="rId514" Type="http://schemas.openxmlformats.org/officeDocument/2006/relationships/footer" Target="footer501.xml"/><Relationship Id="rId515" Type="http://schemas.openxmlformats.org/officeDocument/2006/relationships/footer" Target="footer502.xml"/><Relationship Id="rId516" Type="http://schemas.openxmlformats.org/officeDocument/2006/relationships/footer" Target="footer503.xml"/><Relationship Id="rId517" Type="http://schemas.openxmlformats.org/officeDocument/2006/relationships/footer" Target="footer504.xml"/><Relationship Id="rId518" Type="http://schemas.openxmlformats.org/officeDocument/2006/relationships/footer" Target="footer505.xml"/><Relationship Id="rId519" Type="http://schemas.openxmlformats.org/officeDocument/2006/relationships/footer" Target="footer506.xml"/><Relationship Id="rId520" Type="http://schemas.openxmlformats.org/officeDocument/2006/relationships/footer" Target="footer507.xml"/><Relationship Id="rId521" Type="http://schemas.openxmlformats.org/officeDocument/2006/relationships/footer" Target="footer508.xml"/><Relationship Id="rId522" Type="http://schemas.openxmlformats.org/officeDocument/2006/relationships/footer" Target="footer509.xml"/><Relationship Id="rId523" Type="http://schemas.openxmlformats.org/officeDocument/2006/relationships/footer" Target="footer510.xml"/><Relationship Id="rId524" Type="http://schemas.openxmlformats.org/officeDocument/2006/relationships/footer" Target="footer511.xml"/><Relationship Id="rId525" Type="http://schemas.openxmlformats.org/officeDocument/2006/relationships/footer" Target="footer512.xml"/><Relationship Id="rId526" Type="http://schemas.openxmlformats.org/officeDocument/2006/relationships/footer" Target="footer513.xml"/><Relationship Id="rId527" Type="http://schemas.openxmlformats.org/officeDocument/2006/relationships/footer" Target="footer514.xml"/><Relationship Id="rId528" Type="http://schemas.openxmlformats.org/officeDocument/2006/relationships/footer" Target="footer515.xml"/><Relationship Id="rId529" Type="http://schemas.openxmlformats.org/officeDocument/2006/relationships/footer" Target="footer516.xml"/><Relationship Id="rId530" Type="http://schemas.openxmlformats.org/officeDocument/2006/relationships/footer" Target="footer517.xml"/><Relationship Id="rId531" Type="http://schemas.openxmlformats.org/officeDocument/2006/relationships/footer" Target="footer518.xml"/><Relationship Id="rId532" Type="http://schemas.openxmlformats.org/officeDocument/2006/relationships/footer" Target="footer519.xml"/><Relationship Id="rId533" Type="http://schemas.openxmlformats.org/officeDocument/2006/relationships/footer" Target="footer520.xml"/><Relationship Id="rId534" Type="http://schemas.openxmlformats.org/officeDocument/2006/relationships/footer" Target="footer521.xml"/><Relationship Id="rId535" Type="http://schemas.openxmlformats.org/officeDocument/2006/relationships/footer" Target="footer522.xml"/><Relationship Id="rId536" Type="http://schemas.openxmlformats.org/officeDocument/2006/relationships/footer" Target="footer523.xml"/><Relationship Id="rId537" Type="http://schemas.openxmlformats.org/officeDocument/2006/relationships/footer" Target="footer524.xml"/><Relationship Id="rId538" Type="http://schemas.openxmlformats.org/officeDocument/2006/relationships/footer" Target="footer525.xml"/><Relationship Id="rId539" Type="http://schemas.openxmlformats.org/officeDocument/2006/relationships/footer" Target="footer526.xml"/><Relationship Id="rId540" Type="http://schemas.openxmlformats.org/officeDocument/2006/relationships/footer" Target="footer527.xml"/><Relationship Id="rId541" Type="http://schemas.openxmlformats.org/officeDocument/2006/relationships/footer" Target="footer528.xml"/><Relationship Id="rId542" Type="http://schemas.openxmlformats.org/officeDocument/2006/relationships/footer" Target="footer529.xml"/><Relationship Id="rId543" Type="http://schemas.openxmlformats.org/officeDocument/2006/relationships/footer" Target="footer530.xml"/><Relationship Id="rId544" Type="http://schemas.openxmlformats.org/officeDocument/2006/relationships/footer" Target="footer531.xml"/><Relationship Id="rId545" Type="http://schemas.openxmlformats.org/officeDocument/2006/relationships/footer" Target="footer532.xml"/><Relationship Id="rId546" Type="http://schemas.openxmlformats.org/officeDocument/2006/relationships/footer" Target="footer533.xml"/><Relationship Id="rId547" Type="http://schemas.openxmlformats.org/officeDocument/2006/relationships/footer" Target="footer534.xml"/><Relationship Id="rId548" Type="http://schemas.openxmlformats.org/officeDocument/2006/relationships/footer" Target="footer535.xml"/><Relationship Id="rId549" Type="http://schemas.openxmlformats.org/officeDocument/2006/relationships/footer" Target="footer536.xml"/><Relationship Id="rId550" Type="http://schemas.openxmlformats.org/officeDocument/2006/relationships/footer" Target="footer537.xml"/><Relationship Id="rId551" Type="http://schemas.openxmlformats.org/officeDocument/2006/relationships/footer" Target="footer538.xml"/><Relationship Id="rId552" Type="http://schemas.openxmlformats.org/officeDocument/2006/relationships/footer" Target="footer539.xml"/><Relationship Id="rId553" Type="http://schemas.openxmlformats.org/officeDocument/2006/relationships/footer" Target="footer540.xml"/><Relationship Id="rId554" Type="http://schemas.openxmlformats.org/officeDocument/2006/relationships/footer" Target="footer541.xml"/><Relationship Id="rId555" Type="http://schemas.openxmlformats.org/officeDocument/2006/relationships/footer" Target="footer542.xml"/><Relationship Id="rId556" Type="http://schemas.openxmlformats.org/officeDocument/2006/relationships/footer" Target="footer543.xml"/><Relationship Id="rId557" Type="http://schemas.openxmlformats.org/officeDocument/2006/relationships/footer" Target="footer544.xml"/><Relationship Id="rId558" Type="http://schemas.openxmlformats.org/officeDocument/2006/relationships/footer" Target="footer545.xml"/><Relationship Id="rId559" Type="http://schemas.openxmlformats.org/officeDocument/2006/relationships/footer" Target="footer546.xml"/><Relationship Id="rId560" Type="http://schemas.openxmlformats.org/officeDocument/2006/relationships/footer" Target="footer547.xml"/><Relationship Id="rId561" Type="http://schemas.openxmlformats.org/officeDocument/2006/relationships/footer" Target="footer548.xml"/><Relationship Id="rId562" Type="http://schemas.openxmlformats.org/officeDocument/2006/relationships/footer" Target="footer549.xml"/><Relationship Id="rId563" Type="http://schemas.openxmlformats.org/officeDocument/2006/relationships/footer" Target="footer550.xml"/><Relationship Id="rId564" Type="http://schemas.openxmlformats.org/officeDocument/2006/relationships/footer" Target="footer551.xml"/><Relationship Id="rId565" Type="http://schemas.openxmlformats.org/officeDocument/2006/relationships/footer" Target="footer552.xml"/><Relationship Id="rId566" Type="http://schemas.openxmlformats.org/officeDocument/2006/relationships/footer" Target="footer553.xml"/><Relationship Id="rId567" Type="http://schemas.openxmlformats.org/officeDocument/2006/relationships/footer" Target="footer554.xml"/><Relationship Id="rId568" Type="http://schemas.openxmlformats.org/officeDocument/2006/relationships/footer" Target="footer555.xml"/><Relationship Id="rId569" Type="http://schemas.openxmlformats.org/officeDocument/2006/relationships/footer" Target="footer556.xml"/><Relationship Id="rId570" Type="http://schemas.openxmlformats.org/officeDocument/2006/relationships/footer" Target="footer557.xml"/><Relationship Id="rId571" Type="http://schemas.openxmlformats.org/officeDocument/2006/relationships/footer" Target="footer558.xml"/><Relationship Id="rId572" Type="http://schemas.openxmlformats.org/officeDocument/2006/relationships/footer" Target="footer559.xml"/><Relationship Id="rId573" Type="http://schemas.openxmlformats.org/officeDocument/2006/relationships/footer" Target="footer560.xml"/><Relationship Id="rId574" Type="http://schemas.openxmlformats.org/officeDocument/2006/relationships/footer" Target="footer561.xml"/><Relationship Id="rId575" Type="http://schemas.openxmlformats.org/officeDocument/2006/relationships/footer" Target="footer562.xml"/><Relationship Id="rId576" Type="http://schemas.openxmlformats.org/officeDocument/2006/relationships/footer" Target="footer563.xml"/><Relationship Id="rId577" Type="http://schemas.openxmlformats.org/officeDocument/2006/relationships/footer" Target="footer564.xml"/><Relationship Id="rId578" Type="http://schemas.openxmlformats.org/officeDocument/2006/relationships/footer" Target="footer565.xml"/><Relationship Id="rId579" Type="http://schemas.openxmlformats.org/officeDocument/2006/relationships/footer" Target="footer566.xml"/><Relationship Id="rId580" Type="http://schemas.openxmlformats.org/officeDocument/2006/relationships/footer" Target="footer567.xml"/><Relationship Id="rId581" Type="http://schemas.openxmlformats.org/officeDocument/2006/relationships/footer" Target="footer568.xml"/><Relationship Id="rId582" Type="http://schemas.openxmlformats.org/officeDocument/2006/relationships/footer" Target="footer569.xml"/><Relationship Id="rId583" Type="http://schemas.openxmlformats.org/officeDocument/2006/relationships/footer" Target="footer570.xml"/><Relationship Id="rId584" Type="http://schemas.openxmlformats.org/officeDocument/2006/relationships/footer" Target="footer571.xml"/><Relationship Id="rId585" Type="http://schemas.openxmlformats.org/officeDocument/2006/relationships/footer" Target="footer572.xml"/><Relationship Id="rId586" Type="http://schemas.openxmlformats.org/officeDocument/2006/relationships/footer" Target="footer573.xml"/><Relationship Id="rId587" Type="http://schemas.openxmlformats.org/officeDocument/2006/relationships/footer" Target="footer574.xml"/><Relationship Id="rId588" Type="http://schemas.openxmlformats.org/officeDocument/2006/relationships/footer" Target="footer575.xml"/><Relationship Id="rId589" Type="http://schemas.openxmlformats.org/officeDocument/2006/relationships/footer" Target="footer576.xml"/><Relationship Id="rId590" Type="http://schemas.openxmlformats.org/officeDocument/2006/relationships/footer" Target="footer577.xml"/><Relationship Id="rId591" Type="http://schemas.openxmlformats.org/officeDocument/2006/relationships/footer" Target="footer578.xml"/><Relationship Id="rId592" Type="http://schemas.openxmlformats.org/officeDocument/2006/relationships/footer" Target="footer579.xml"/><Relationship Id="rId593" Type="http://schemas.openxmlformats.org/officeDocument/2006/relationships/footer" Target="footer580.xml"/><Relationship Id="rId594" Type="http://schemas.openxmlformats.org/officeDocument/2006/relationships/footer" Target="footer581.xml"/><Relationship Id="rId595" Type="http://schemas.openxmlformats.org/officeDocument/2006/relationships/footer" Target="footer582.xml"/><Relationship Id="rId596" Type="http://schemas.openxmlformats.org/officeDocument/2006/relationships/footer" Target="footer583.xml"/><Relationship Id="rId597" Type="http://schemas.openxmlformats.org/officeDocument/2006/relationships/footer" Target="footer584.xml"/><Relationship Id="rId598" Type="http://schemas.openxmlformats.org/officeDocument/2006/relationships/footer" Target="footer585.xml"/><Relationship Id="rId599" Type="http://schemas.openxmlformats.org/officeDocument/2006/relationships/footer" Target="footer586.xml"/><Relationship Id="rId600" Type="http://schemas.openxmlformats.org/officeDocument/2006/relationships/footer" Target="footer587.xml"/><Relationship Id="rId601" Type="http://schemas.openxmlformats.org/officeDocument/2006/relationships/footer" Target="footer588.xml"/><Relationship Id="rId602" Type="http://schemas.openxmlformats.org/officeDocument/2006/relationships/footer" Target="footer589.xml"/><Relationship Id="rId603" Type="http://schemas.openxmlformats.org/officeDocument/2006/relationships/footer" Target="footer590.xml"/><Relationship Id="rId604" Type="http://schemas.openxmlformats.org/officeDocument/2006/relationships/footer" Target="footer591.xml"/><Relationship Id="rId605" Type="http://schemas.openxmlformats.org/officeDocument/2006/relationships/footer" Target="footer592.xml"/><Relationship Id="rId606" Type="http://schemas.openxmlformats.org/officeDocument/2006/relationships/footer" Target="footer593.xml"/><Relationship Id="rId607" Type="http://schemas.openxmlformats.org/officeDocument/2006/relationships/footer" Target="footer594.xml"/><Relationship Id="rId608" Type="http://schemas.openxmlformats.org/officeDocument/2006/relationships/footer" Target="footer595.xml"/><Relationship Id="rId609" Type="http://schemas.openxmlformats.org/officeDocument/2006/relationships/footer" Target="footer596.xml"/><Relationship Id="rId610" Type="http://schemas.openxmlformats.org/officeDocument/2006/relationships/footer" Target="footer597.xml"/><Relationship Id="rId611" Type="http://schemas.openxmlformats.org/officeDocument/2006/relationships/footer" Target="footer598.xml"/><Relationship Id="rId612" Type="http://schemas.openxmlformats.org/officeDocument/2006/relationships/footer" Target="footer599.xml"/><Relationship Id="rId613" Type="http://schemas.openxmlformats.org/officeDocument/2006/relationships/footer" Target="footer600.xml"/><Relationship Id="rId614" Type="http://schemas.openxmlformats.org/officeDocument/2006/relationships/footer" Target="footer601.xml"/><Relationship Id="rId615" Type="http://schemas.openxmlformats.org/officeDocument/2006/relationships/footer" Target="footer602.xml"/><Relationship Id="rId616" Type="http://schemas.openxmlformats.org/officeDocument/2006/relationships/footer" Target="footer603.xml"/><Relationship Id="rId617" Type="http://schemas.openxmlformats.org/officeDocument/2006/relationships/footer" Target="footer604.xml"/><Relationship Id="rId618" Type="http://schemas.openxmlformats.org/officeDocument/2006/relationships/footer" Target="footer605.xml"/><Relationship Id="rId619" Type="http://schemas.openxmlformats.org/officeDocument/2006/relationships/footer" Target="footer606.xml"/><Relationship Id="rId620" Type="http://schemas.openxmlformats.org/officeDocument/2006/relationships/footer" Target="footer607.xml"/><Relationship Id="rId621" Type="http://schemas.openxmlformats.org/officeDocument/2006/relationships/footer" Target="footer608.xml"/><Relationship Id="rId622" Type="http://schemas.openxmlformats.org/officeDocument/2006/relationships/footer" Target="footer609.xml"/><Relationship Id="rId623" Type="http://schemas.openxmlformats.org/officeDocument/2006/relationships/footer" Target="footer610.xml"/><Relationship Id="rId624" Type="http://schemas.openxmlformats.org/officeDocument/2006/relationships/footer" Target="footer611.xml"/><Relationship Id="rId625" Type="http://schemas.openxmlformats.org/officeDocument/2006/relationships/footer" Target="footer612.xml"/><Relationship Id="rId626" Type="http://schemas.openxmlformats.org/officeDocument/2006/relationships/footer" Target="footer613.xml"/><Relationship Id="rId627" Type="http://schemas.openxmlformats.org/officeDocument/2006/relationships/footer" Target="footer614.xml"/><Relationship Id="rId628" Type="http://schemas.openxmlformats.org/officeDocument/2006/relationships/footer" Target="footer615.xml"/><Relationship Id="rId629" Type="http://schemas.openxmlformats.org/officeDocument/2006/relationships/footer" Target="footer616.xml"/><Relationship Id="rId630" Type="http://schemas.openxmlformats.org/officeDocument/2006/relationships/footer" Target="footer617.xml"/><Relationship Id="rId631" Type="http://schemas.openxmlformats.org/officeDocument/2006/relationships/footer" Target="footer618.xml"/><Relationship Id="rId632" Type="http://schemas.openxmlformats.org/officeDocument/2006/relationships/footer" Target="footer619.xml"/><Relationship Id="rId633" Type="http://schemas.openxmlformats.org/officeDocument/2006/relationships/footer" Target="footer620.xml"/><Relationship Id="rId634" Type="http://schemas.openxmlformats.org/officeDocument/2006/relationships/footer" Target="footer621.xml"/><Relationship Id="rId635" Type="http://schemas.openxmlformats.org/officeDocument/2006/relationships/footer" Target="footer622.xml"/><Relationship Id="rId636" Type="http://schemas.openxmlformats.org/officeDocument/2006/relationships/footer" Target="footer623.xml"/><Relationship Id="rId637" Type="http://schemas.openxmlformats.org/officeDocument/2006/relationships/footer" Target="footer624.xml"/><Relationship Id="rId638" Type="http://schemas.openxmlformats.org/officeDocument/2006/relationships/footer" Target="footer625.xml"/><Relationship Id="rId639" Type="http://schemas.openxmlformats.org/officeDocument/2006/relationships/footer" Target="footer626.xml"/><Relationship Id="rId640" Type="http://schemas.openxmlformats.org/officeDocument/2006/relationships/footer" Target="footer627.xml"/><Relationship Id="rId641" Type="http://schemas.openxmlformats.org/officeDocument/2006/relationships/footer" Target="footer628.xml"/><Relationship Id="rId642" Type="http://schemas.openxmlformats.org/officeDocument/2006/relationships/footer" Target="footer629.xml"/><Relationship Id="rId643" Type="http://schemas.openxmlformats.org/officeDocument/2006/relationships/footer" Target="footer630.xml"/><Relationship Id="rId644" Type="http://schemas.openxmlformats.org/officeDocument/2006/relationships/footer" Target="footer631.xml"/><Relationship Id="rId645" Type="http://schemas.openxmlformats.org/officeDocument/2006/relationships/footer" Target="footer632.xml"/><Relationship Id="rId646" Type="http://schemas.openxmlformats.org/officeDocument/2006/relationships/footer" Target="footer633.xml"/><Relationship Id="rId647" Type="http://schemas.openxmlformats.org/officeDocument/2006/relationships/footer" Target="footer634.xml"/><Relationship Id="rId648" Type="http://schemas.openxmlformats.org/officeDocument/2006/relationships/footer" Target="footer635.xml"/><Relationship Id="rId649" Type="http://schemas.openxmlformats.org/officeDocument/2006/relationships/footer" Target="footer636.xml"/><Relationship Id="rId650" Type="http://schemas.openxmlformats.org/officeDocument/2006/relationships/footer" Target="footer637.xml"/><Relationship Id="rId651" Type="http://schemas.openxmlformats.org/officeDocument/2006/relationships/footer" Target="footer638.xml"/><Relationship Id="rId652" Type="http://schemas.openxmlformats.org/officeDocument/2006/relationships/footer" Target="footer639.xml"/><Relationship Id="rId653" Type="http://schemas.openxmlformats.org/officeDocument/2006/relationships/footer" Target="footer640.xml"/><Relationship Id="rId654" Type="http://schemas.openxmlformats.org/officeDocument/2006/relationships/footer" Target="footer641.xml"/><Relationship Id="rId655" Type="http://schemas.openxmlformats.org/officeDocument/2006/relationships/footer" Target="footer642.xml"/><Relationship Id="rId656" Type="http://schemas.openxmlformats.org/officeDocument/2006/relationships/footer" Target="footer643.xml"/><Relationship Id="rId657" Type="http://schemas.openxmlformats.org/officeDocument/2006/relationships/footer" Target="footer644.xml"/><Relationship Id="rId658" Type="http://schemas.openxmlformats.org/officeDocument/2006/relationships/footer" Target="footer645.xml"/><Relationship Id="rId659" Type="http://schemas.openxmlformats.org/officeDocument/2006/relationships/footer" Target="footer646.xml"/><Relationship Id="rId660" Type="http://schemas.openxmlformats.org/officeDocument/2006/relationships/footer" Target="footer647.xml"/><Relationship Id="rId661" Type="http://schemas.openxmlformats.org/officeDocument/2006/relationships/footer" Target="footer648.xml"/><Relationship Id="rId662" Type="http://schemas.openxmlformats.org/officeDocument/2006/relationships/image" Target="media/image2.jpeg"/><Relationship Id="rId663" Type="http://schemas.openxmlformats.org/officeDocument/2006/relationships/image" Target="media/image2.jpeg"/><Relationship Id="rId664" Type="http://schemas.openxmlformats.org/officeDocument/2006/relationships/footer" Target="footer649.xml"/><Relationship Id="rId665" Type="http://schemas.openxmlformats.org/officeDocument/2006/relationships/footnotes" Target="footnotes.xml"/><Relationship Id="rId666" Type="http://schemas.openxmlformats.org/officeDocument/2006/relationships/numbering" Target="numbering.xml"/><Relationship Id="rId667" Type="http://schemas.openxmlformats.org/officeDocument/2006/relationships/fontTable" Target="fontTable.xml"/><Relationship Id="rId668" Type="http://schemas.openxmlformats.org/officeDocument/2006/relationships/settings" Target="settings.xml"/><Relationship Id="rId6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664</Pages>
  <Words>26939</Words>
  <Characters>124967</Characters>
  <CharactersWithSpaces>150735</CharactersWithSpaces>
  <Paragraphs>1342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2026-08-23T23:32:21Z</dcterms:created>
  <dc:creator>ghaemiyeh.com</dc:creator>
  <dc:description/>
  <dc:language>en-US</dc:language>
  <cp:lastModifiedBy/>
  <dcterms:modified xsi:type="dcterms:W3CDTF">2026-08-24T03:02:41Z</dcterms:modified>
  <cp:revision>1</cp:revision>
  <dc:subject/>
  <dc:title>فرائد الاصول جلد 1</dc:title>
</cp:coreProperties>
</file>

<file path=docProps/custom.xml><?xml version="1.0" encoding="utf-8"?>
<Properties xmlns="http://schemas.openxmlformats.org/officeDocument/2006/custom-properties" xmlns:vt="http://schemas.openxmlformats.org/officeDocument/2006/docPropsVTypes"/>
</file>