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3480_322426499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413482_3224264995">
            <w:r>
              <w:rPr>
                <w:webHidden/>
                <w:rStyle w:val="IndexLink"/>
                <w:rtl w:val="true"/>
              </w:rPr>
              <w:t>هوالشکور</w:t>
            </w:r>
            <w:r>
              <w:rPr>
                <w:rStyle w:val="IndexLink"/>
                <w:rtl w:val="true"/>
              </w:rPr>
              <w:tab/>
            </w:r>
            <w:r>
              <w:rPr>
                <w:rStyle w:val="IndexLink"/>
              </w:rPr>
              <w:t>8</w:t>
            </w:r>
          </w:hyperlink>
        </w:p>
        <w:p>
          <w:pPr>
            <w:pStyle w:val="Contents2"/>
            <w:tabs>
              <w:tab w:val="clear" w:pos="8743"/>
              <w:tab w:val="right" w:pos="9026" w:leader="dot"/>
            </w:tabs>
            <w:rPr/>
          </w:pPr>
          <w:hyperlink w:anchor="__RefHeading___Toc4413484_3224264995">
            <w:r>
              <w:rPr>
                <w:webHidden/>
                <w:rStyle w:val="IndexLink"/>
                <w:rtl w:val="true"/>
              </w:rPr>
              <w:t>درباره این مجموعه</w:t>
            </w:r>
            <w:r>
              <w:rPr>
                <w:rStyle w:val="IndexLink"/>
                <w:rtl w:val="true"/>
              </w:rPr>
              <w:tab/>
            </w:r>
            <w:r>
              <w:rPr>
                <w:rStyle w:val="IndexLink"/>
              </w:rPr>
              <w:t>11</w:t>
            </w:r>
          </w:hyperlink>
        </w:p>
        <w:p>
          <w:pPr>
            <w:pStyle w:val="Contents2"/>
            <w:tabs>
              <w:tab w:val="clear" w:pos="8743"/>
              <w:tab w:val="right" w:pos="9026" w:leader="dot"/>
            </w:tabs>
            <w:rPr/>
          </w:pPr>
          <w:hyperlink w:anchor="__RefHeading___Toc4413486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413488_3224264995">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413490_3224264995">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4413492_3224264995">
            <w:r>
              <w:rPr>
                <w:webHidden/>
                <w:rStyle w:val="IndexLink"/>
                <w:rtl w:val="true"/>
              </w:rPr>
              <w:t>رسالة فی الحبوة</w:t>
            </w:r>
            <w:r>
              <w:rPr>
                <w:rStyle w:val="IndexLink"/>
                <w:rtl w:val="true"/>
              </w:rPr>
              <w:tab/>
            </w:r>
            <w:r>
              <w:rPr>
                <w:rStyle w:val="IndexLink"/>
              </w:rPr>
              <w:t>31</w:t>
            </w:r>
          </w:hyperlink>
        </w:p>
        <w:p>
          <w:pPr>
            <w:pStyle w:val="Contents3"/>
            <w:tabs>
              <w:tab w:val="clear" w:pos="8459"/>
              <w:tab w:val="right" w:pos="9026" w:leader="dot"/>
            </w:tabs>
            <w:rPr/>
          </w:pPr>
          <w:hyperlink w:anchor="__RefHeading___Toc4413494_322426499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413496_3224264995">
            <w:r>
              <w:rPr>
                <w:webHidden/>
                <w:rStyle w:val="IndexLink"/>
                <w:rtl w:val="true"/>
              </w:rPr>
              <w:t>مقدّمه تحقیق</w:t>
            </w:r>
            <w:r>
              <w:rPr>
                <w:rStyle w:val="IndexLink"/>
                <w:rtl w:val="true"/>
              </w:rPr>
              <w:tab/>
            </w:r>
            <w:r>
              <w:rPr>
                <w:rStyle w:val="IndexLink"/>
              </w:rPr>
              <w:t>31</w:t>
            </w:r>
          </w:hyperlink>
        </w:p>
        <w:p>
          <w:pPr>
            <w:pStyle w:val="Contents3"/>
            <w:tabs>
              <w:tab w:val="clear" w:pos="8459"/>
              <w:tab w:val="right" w:pos="9026" w:leader="dot"/>
            </w:tabs>
            <w:rPr/>
          </w:pPr>
          <w:hyperlink w:anchor="__RefHeading___Toc4413498_3224264995">
            <w:r>
              <w:rPr>
                <w:webHidden/>
                <w:rStyle w:val="IndexLink"/>
                <w:rtl w:val="true"/>
              </w:rPr>
              <w:t>زندگینامه مؤلّف</w:t>
            </w:r>
            <w:r>
              <w:rPr>
                <w:rStyle w:val="IndexLink"/>
                <w:rtl w:val="true"/>
              </w:rPr>
              <w:tab/>
            </w:r>
            <w:r>
              <w:rPr>
                <w:rStyle w:val="IndexLink"/>
              </w:rPr>
              <w:t>35</w:t>
            </w:r>
          </w:hyperlink>
        </w:p>
        <w:p>
          <w:pPr>
            <w:pStyle w:val="Contents3"/>
            <w:tabs>
              <w:tab w:val="clear" w:pos="8459"/>
              <w:tab w:val="right" w:pos="9026" w:leader="dot"/>
            </w:tabs>
            <w:rPr/>
          </w:pPr>
          <w:hyperlink w:anchor="__RefHeading___Toc4413500_3224264995">
            <w:r>
              <w:rPr>
                <w:webHidden/>
                <w:rStyle w:val="IndexLink"/>
                <w:rtl w:val="true"/>
              </w:rPr>
              <w:t>نام و شهرت</w:t>
            </w:r>
            <w:r>
              <w:rPr>
                <w:rStyle w:val="IndexLink"/>
                <w:rtl w:val="true"/>
              </w:rPr>
              <w:tab/>
            </w:r>
            <w:r>
              <w:rPr>
                <w:rStyle w:val="IndexLink"/>
              </w:rPr>
              <w:t>35</w:t>
            </w:r>
          </w:hyperlink>
        </w:p>
        <w:p>
          <w:pPr>
            <w:pStyle w:val="Contents3"/>
            <w:tabs>
              <w:tab w:val="clear" w:pos="8459"/>
              <w:tab w:val="right" w:pos="9026" w:leader="dot"/>
            </w:tabs>
            <w:rPr/>
          </w:pPr>
          <w:hyperlink w:anchor="__RefHeading___Toc4413502_3224264995">
            <w:r>
              <w:rPr>
                <w:webHidden/>
                <w:rStyle w:val="IndexLink"/>
                <w:rtl w:val="true"/>
              </w:rPr>
              <w:t>شرح حالِ والدِ ماجد مؤلّف</w:t>
            </w:r>
            <w:r>
              <w:rPr>
                <w:rStyle w:val="IndexLink"/>
                <w:rtl w:val="true"/>
              </w:rPr>
              <w:tab/>
            </w:r>
            <w:r>
              <w:rPr>
                <w:rStyle w:val="IndexLink"/>
              </w:rPr>
              <w:t>35</w:t>
            </w:r>
          </w:hyperlink>
        </w:p>
        <w:p>
          <w:pPr>
            <w:pStyle w:val="Contents3"/>
            <w:tabs>
              <w:tab w:val="clear" w:pos="8459"/>
              <w:tab w:val="right" w:pos="9026" w:leader="dot"/>
            </w:tabs>
            <w:rPr/>
          </w:pPr>
          <w:hyperlink w:anchor="__RefHeading___Toc4413504_3224264995">
            <w:r>
              <w:rPr>
                <w:webHidden/>
                <w:rStyle w:val="IndexLink"/>
                <w:rtl w:val="true"/>
              </w:rPr>
              <w:t>نسب شریف</w:t>
            </w:r>
            <w:r>
              <w:rPr>
                <w:rStyle w:val="IndexLink"/>
                <w:rtl w:val="true"/>
              </w:rPr>
              <w:tab/>
            </w:r>
            <w:r>
              <w:rPr>
                <w:rStyle w:val="IndexLink"/>
              </w:rPr>
              <w:t>37</w:t>
            </w:r>
          </w:hyperlink>
        </w:p>
        <w:p>
          <w:pPr>
            <w:pStyle w:val="Contents3"/>
            <w:tabs>
              <w:tab w:val="clear" w:pos="8459"/>
              <w:tab w:val="right" w:pos="9026" w:leader="dot"/>
            </w:tabs>
            <w:rPr/>
          </w:pPr>
          <w:hyperlink w:anchor="__RefHeading___Toc4413506_3224264995">
            <w:r>
              <w:rPr>
                <w:webHidden/>
                <w:rStyle w:val="IndexLink"/>
                <w:rtl w:val="true"/>
              </w:rPr>
              <w:t>تولّد ـ تحصیل</w:t>
            </w:r>
            <w:r>
              <w:rPr>
                <w:rStyle w:val="IndexLink"/>
                <w:rtl w:val="true"/>
              </w:rPr>
              <w:tab/>
            </w:r>
            <w:r>
              <w:rPr>
                <w:rStyle w:val="IndexLink"/>
              </w:rPr>
              <w:t>37</w:t>
            </w:r>
          </w:hyperlink>
        </w:p>
        <w:p>
          <w:pPr>
            <w:pStyle w:val="Contents3"/>
            <w:tabs>
              <w:tab w:val="clear" w:pos="8459"/>
              <w:tab w:val="right" w:pos="9026" w:leader="dot"/>
            </w:tabs>
            <w:rPr/>
          </w:pPr>
          <w:hyperlink w:anchor="__RefHeading___Toc4413508_3224264995">
            <w:r>
              <w:rPr>
                <w:webHidden/>
                <w:rStyle w:val="IndexLink"/>
                <w:rtl w:val="true"/>
              </w:rPr>
              <w:t>در گفتار بزرگان</w:t>
            </w:r>
            <w:r>
              <w:rPr>
                <w:rStyle w:val="IndexLink"/>
                <w:rtl w:val="true"/>
              </w:rPr>
              <w:tab/>
            </w:r>
            <w:r>
              <w:rPr>
                <w:rStyle w:val="IndexLink"/>
              </w:rPr>
              <w:t>39</w:t>
            </w:r>
          </w:hyperlink>
        </w:p>
        <w:p>
          <w:pPr>
            <w:pStyle w:val="Contents3"/>
            <w:tabs>
              <w:tab w:val="clear" w:pos="8459"/>
              <w:tab w:val="right" w:pos="9026" w:leader="dot"/>
            </w:tabs>
            <w:rPr/>
          </w:pPr>
          <w:hyperlink w:anchor="__RefHeading___Toc4413510_3224264995">
            <w:r>
              <w:rPr>
                <w:webHidden/>
                <w:rStyle w:val="IndexLink"/>
                <w:rtl w:val="true"/>
              </w:rPr>
              <w:t>تألیفات</w:t>
            </w:r>
            <w:r>
              <w:rPr>
                <w:rStyle w:val="IndexLink"/>
                <w:rtl w:val="true"/>
              </w:rPr>
              <w:tab/>
            </w:r>
            <w:r>
              <w:rPr>
                <w:rStyle w:val="IndexLink"/>
              </w:rPr>
              <w:t>40</w:t>
            </w:r>
          </w:hyperlink>
        </w:p>
        <w:p>
          <w:pPr>
            <w:pStyle w:val="Contents3"/>
            <w:tabs>
              <w:tab w:val="clear" w:pos="8459"/>
              <w:tab w:val="right" w:pos="9026" w:leader="dot"/>
            </w:tabs>
            <w:rPr/>
          </w:pPr>
          <w:hyperlink w:anchor="__RefHeading___Toc4413512_3224264995">
            <w:r>
              <w:rPr>
                <w:webHidden/>
                <w:rStyle w:val="IndexLink"/>
                <w:rtl w:val="true"/>
              </w:rPr>
              <w:t>آثار و خدمات</w:t>
            </w:r>
            <w:r>
              <w:rPr>
                <w:rStyle w:val="IndexLink"/>
                <w:rtl w:val="true"/>
              </w:rPr>
              <w:tab/>
            </w:r>
            <w:r>
              <w:rPr>
                <w:rStyle w:val="IndexLink"/>
              </w:rPr>
              <w:t>42</w:t>
            </w:r>
          </w:hyperlink>
        </w:p>
        <w:p>
          <w:pPr>
            <w:pStyle w:val="Contents3"/>
            <w:tabs>
              <w:tab w:val="clear" w:pos="8459"/>
              <w:tab w:val="right" w:pos="9026" w:leader="dot"/>
            </w:tabs>
            <w:rPr/>
          </w:pPr>
          <w:hyperlink w:anchor="__RefHeading___Toc4413514_3224264995">
            <w:r>
              <w:rPr>
                <w:webHidden/>
                <w:rStyle w:val="IndexLink"/>
                <w:rtl w:val="true"/>
              </w:rPr>
              <w:t>مسافرت به عتبات و وفات در بین راه</w:t>
            </w:r>
            <w:r>
              <w:rPr>
                <w:rStyle w:val="IndexLink"/>
                <w:rtl w:val="true"/>
              </w:rPr>
              <w:tab/>
            </w:r>
            <w:r>
              <w:rPr>
                <w:rStyle w:val="IndexLink"/>
              </w:rPr>
              <w:t>42</w:t>
            </w:r>
          </w:hyperlink>
        </w:p>
        <w:p>
          <w:pPr>
            <w:pStyle w:val="Contents3"/>
            <w:tabs>
              <w:tab w:val="clear" w:pos="8459"/>
              <w:tab w:val="right" w:pos="9026" w:leader="dot"/>
            </w:tabs>
            <w:rPr/>
          </w:pPr>
          <w:hyperlink w:anchor="__RefHeading___Toc4413516_3224264995">
            <w:r>
              <w:rPr>
                <w:webHidden/>
                <w:rStyle w:val="IndexLink"/>
                <w:rtl w:val="true"/>
              </w:rPr>
              <w:t>متن الرسالة</w:t>
            </w:r>
            <w:r>
              <w:rPr>
                <w:rStyle w:val="IndexLink"/>
                <w:rtl w:val="true"/>
              </w:rPr>
              <w:tab/>
            </w:r>
            <w:r>
              <w:rPr>
                <w:rStyle w:val="IndexLink"/>
              </w:rPr>
              <w:t>46</w:t>
            </w:r>
          </w:hyperlink>
        </w:p>
        <w:p>
          <w:pPr>
            <w:pStyle w:val="Contents4"/>
            <w:tabs>
              <w:tab w:val="clear" w:pos="8176"/>
              <w:tab w:val="right" w:pos="9026" w:leader="dot"/>
            </w:tabs>
            <w:rPr/>
          </w:pPr>
          <w:hyperlink w:anchor="__RefHeading___Toc4413518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413520_3224264995">
            <w:r>
              <w:rPr>
                <w:webHidden/>
                <w:rStyle w:val="IndexLink"/>
                <w:rtl w:val="true"/>
              </w:rPr>
              <w:t xml:space="preserve">[ </w:t>
            </w:r>
            <w:r>
              <w:rPr>
                <w:rStyle w:val="IndexLink"/>
                <w:rtl w:val="true"/>
              </w:rPr>
              <w:t xml:space="preserve">المقام الأوّل </w:t>
            </w:r>
            <w:r>
              <w:rPr>
                <w:rStyle w:val="IndexLink"/>
                <w:rtl w:val="true"/>
              </w:rPr>
              <w:t>]</w:t>
              <w:tab/>
            </w:r>
            <w:r>
              <w:rPr>
                <w:rStyle w:val="IndexLink"/>
              </w:rPr>
              <w:t>47</w:t>
            </w:r>
          </w:hyperlink>
        </w:p>
        <w:p>
          <w:pPr>
            <w:pStyle w:val="Contents4"/>
            <w:tabs>
              <w:tab w:val="clear" w:pos="8176"/>
              <w:tab w:val="right" w:pos="9026" w:leader="dot"/>
            </w:tabs>
            <w:rPr/>
          </w:pPr>
          <w:hyperlink w:anchor="__RefHeading___Toc4413522_3224264995">
            <w:r>
              <w:rPr>
                <w:webHidden/>
                <w:rStyle w:val="IndexLink"/>
                <w:rtl w:val="true"/>
              </w:rPr>
              <w:t>[</w:t>
            </w:r>
            <w:r>
              <w:rPr>
                <w:rStyle w:val="IndexLink"/>
                <w:rtl w:val="true"/>
              </w:rPr>
              <w:t>المقام الثانی</w:t>
            </w:r>
            <w:r>
              <w:rPr>
                <w:rStyle w:val="IndexLink"/>
                <w:rtl w:val="true"/>
              </w:rPr>
              <w:t>]</w:t>
              <w:tab/>
            </w:r>
            <w:r>
              <w:rPr>
                <w:rStyle w:val="IndexLink"/>
              </w:rPr>
              <w:t>55</w:t>
            </w:r>
          </w:hyperlink>
        </w:p>
        <w:p>
          <w:pPr>
            <w:pStyle w:val="Contents4"/>
            <w:tabs>
              <w:tab w:val="clear" w:pos="8176"/>
              <w:tab w:val="right" w:pos="9026" w:leader="dot"/>
            </w:tabs>
            <w:rPr/>
          </w:pPr>
          <w:hyperlink w:anchor="__RefHeading___Toc4413524_3224264995">
            <w:r>
              <w:rPr>
                <w:webHidden/>
                <w:rStyle w:val="IndexLink"/>
                <w:rtl w:val="true"/>
              </w:rPr>
              <w:t xml:space="preserve">[ </w:t>
            </w:r>
            <w:r>
              <w:rPr>
                <w:rStyle w:val="IndexLink"/>
                <w:rtl w:val="true"/>
              </w:rPr>
              <w:t xml:space="preserve">المقام الثالث </w:t>
            </w:r>
            <w:r>
              <w:rPr>
                <w:rStyle w:val="IndexLink"/>
                <w:rtl w:val="true"/>
              </w:rPr>
              <w:t>]</w:t>
              <w:tab/>
            </w:r>
            <w:r>
              <w:rPr>
                <w:rStyle w:val="IndexLink"/>
              </w:rPr>
              <w:t>60</w:t>
            </w:r>
          </w:hyperlink>
        </w:p>
        <w:p>
          <w:pPr>
            <w:pStyle w:val="Contents4"/>
            <w:tabs>
              <w:tab w:val="clear" w:pos="8176"/>
              <w:tab w:val="right" w:pos="9026" w:leader="dot"/>
            </w:tabs>
            <w:rPr/>
          </w:pPr>
          <w:hyperlink w:anchor="__RefHeading___Toc4413526_3224264995">
            <w:r>
              <w:rPr>
                <w:webHidden/>
                <w:rStyle w:val="IndexLink"/>
                <w:rtl w:val="true"/>
              </w:rPr>
              <w:t xml:space="preserve">[ </w:t>
            </w:r>
            <w:r>
              <w:rPr>
                <w:rStyle w:val="IndexLink"/>
                <w:rtl w:val="true"/>
              </w:rPr>
              <w:t xml:space="preserve">المقام الرابع </w:t>
            </w:r>
            <w:r>
              <w:rPr>
                <w:rStyle w:val="IndexLink"/>
                <w:rtl w:val="true"/>
              </w:rPr>
              <w:t>]</w:t>
              <w:tab/>
            </w:r>
            <w:r>
              <w:rPr>
                <w:rStyle w:val="IndexLink"/>
              </w:rPr>
              <w:t>64</w:t>
            </w:r>
          </w:hyperlink>
        </w:p>
        <w:p>
          <w:pPr>
            <w:pStyle w:val="Contents4"/>
            <w:tabs>
              <w:tab w:val="clear" w:pos="8176"/>
              <w:tab w:val="right" w:pos="9026" w:leader="dot"/>
            </w:tabs>
            <w:rPr/>
          </w:pPr>
          <w:hyperlink w:anchor="__RefHeading___Toc4413528_3224264995">
            <w:r>
              <w:rPr>
                <w:webHidden/>
                <w:rStyle w:val="IndexLink"/>
                <w:rtl w:val="true"/>
              </w:rPr>
              <w:t>بیان و تنبیه</w:t>
            </w:r>
            <w:r>
              <w:rPr>
                <w:rStyle w:val="IndexLink"/>
                <w:rtl w:val="true"/>
              </w:rPr>
              <w:tab/>
            </w:r>
            <w:r>
              <w:rPr>
                <w:rStyle w:val="IndexLink"/>
              </w:rPr>
              <w:t>66</w:t>
            </w:r>
          </w:hyperlink>
        </w:p>
        <w:p>
          <w:pPr>
            <w:pStyle w:val="Contents4"/>
            <w:tabs>
              <w:tab w:val="clear" w:pos="8176"/>
              <w:tab w:val="right" w:pos="9026" w:leader="dot"/>
            </w:tabs>
            <w:rPr/>
          </w:pPr>
          <w:hyperlink w:anchor="__RefHeading___Toc4413530_3224264995">
            <w:r>
              <w:rPr>
                <w:webHidden/>
                <w:rStyle w:val="IndexLink"/>
                <w:rtl w:val="true"/>
              </w:rPr>
              <w:t>فهرست مصادر التحقیق</w:t>
            </w:r>
            <w:r>
              <w:rPr>
                <w:rStyle w:val="IndexLink"/>
                <w:rtl w:val="true"/>
              </w:rPr>
              <w:tab/>
            </w:r>
            <w:r>
              <w:rPr>
                <w:rStyle w:val="IndexLink"/>
              </w:rPr>
              <w:t>70</w:t>
            </w:r>
          </w:hyperlink>
        </w:p>
        <w:p>
          <w:pPr>
            <w:pStyle w:val="Contents2"/>
            <w:tabs>
              <w:tab w:val="clear" w:pos="8743"/>
              <w:tab w:val="right" w:pos="9026" w:leader="dot"/>
            </w:tabs>
            <w:rPr/>
          </w:pPr>
          <w:hyperlink w:anchor="__RefHeading___Toc4413532_3224264995">
            <w:r>
              <w:rPr>
                <w:webHidden/>
                <w:rStyle w:val="IndexLink"/>
                <w:rtl w:val="true"/>
              </w:rPr>
              <w:t>منبع الخیرات</w:t>
            </w:r>
            <w:r>
              <w:rPr>
                <w:rStyle w:val="IndexLink"/>
                <w:rtl w:val="true"/>
              </w:rPr>
              <w:tab/>
            </w:r>
            <w:r>
              <w:rPr>
                <w:rStyle w:val="IndexLink"/>
              </w:rPr>
              <w:t>76</w:t>
            </w:r>
          </w:hyperlink>
        </w:p>
        <w:p>
          <w:pPr>
            <w:pStyle w:val="Contents3"/>
            <w:tabs>
              <w:tab w:val="clear" w:pos="8459"/>
              <w:tab w:val="right" w:pos="9026" w:leader="dot"/>
            </w:tabs>
            <w:rPr/>
          </w:pPr>
          <w:hyperlink w:anchor="__RefHeading___Toc4413534_322426499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413536_3224264995">
            <w:r>
              <w:rPr>
                <w:webHidden/>
                <w:rStyle w:val="IndexLink"/>
                <w:rtl w:val="true"/>
              </w:rPr>
              <w:t>مقدمه تحقیق</w:t>
            </w:r>
            <w:r>
              <w:rPr>
                <w:rStyle w:val="IndexLink"/>
                <w:rtl w:val="true"/>
              </w:rPr>
              <w:tab/>
            </w:r>
            <w:r>
              <w:rPr>
                <w:rStyle w:val="IndexLink"/>
              </w:rPr>
              <w:t>76</w:t>
            </w:r>
          </w:hyperlink>
        </w:p>
        <w:p>
          <w:pPr>
            <w:pStyle w:val="Contents3"/>
            <w:tabs>
              <w:tab w:val="clear" w:pos="8459"/>
              <w:tab w:val="right" w:pos="9026" w:leader="dot"/>
            </w:tabs>
            <w:rPr/>
          </w:pPr>
          <w:hyperlink w:anchor="__RefHeading___Toc4413538_3224264995">
            <w:r>
              <w:rPr>
                <w:webHidden/>
                <w:rStyle w:val="IndexLink"/>
                <w:rtl w:val="true"/>
              </w:rPr>
              <w:t>نگاهی کوتاه به زندگی آقا ملا علی آرانی کاشانی</w:t>
            </w:r>
            <w:r>
              <w:rPr>
                <w:rStyle w:val="IndexLink"/>
                <w:rtl w:val="true"/>
              </w:rPr>
              <w:tab/>
            </w:r>
            <w:r>
              <w:rPr>
                <w:rStyle w:val="IndexLink"/>
              </w:rPr>
              <w:t>76</w:t>
            </w:r>
          </w:hyperlink>
        </w:p>
        <w:p>
          <w:pPr>
            <w:pStyle w:val="Contents3"/>
            <w:tabs>
              <w:tab w:val="clear" w:pos="8459"/>
              <w:tab w:val="right" w:pos="9026" w:leader="dot"/>
            </w:tabs>
            <w:rPr/>
          </w:pPr>
          <w:hyperlink w:anchor="__RefHeading___Toc4413540_3224264995">
            <w:r>
              <w:rPr>
                <w:webHidden/>
                <w:rStyle w:val="IndexLink"/>
                <w:rtl w:val="true"/>
              </w:rPr>
              <w:t>استادان</w:t>
            </w:r>
            <w:r>
              <w:rPr>
                <w:rStyle w:val="IndexLink"/>
                <w:rtl w:val="true"/>
              </w:rPr>
              <w:tab/>
            </w:r>
            <w:r>
              <w:rPr>
                <w:rStyle w:val="IndexLink"/>
              </w:rPr>
              <w:t>77</w:t>
            </w:r>
          </w:hyperlink>
        </w:p>
        <w:p>
          <w:pPr>
            <w:pStyle w:val="Contents3"/>
            <w:tabs>
              <w:tab w:val="clear" w:pos="8459"/>
              <w:tab w:val="right" w:pos="9026" w:leader="dot"/>
            </w:tabs>
            <w:rPr/>
          </w:pPr>
          <w:hyperlink w:anchor="__RefHeading___Toc4413542_3224264995">
            <w:r>
              <w:rPr>
                <w:webHidden/>
                <w:rStyle w:val="IndexLink"/>
                <w:rtl w:val="true"/>
              </w:rPr>
              <w:t>تألیفات آرانی</w:t>
            </w:r>
            <w:r>
              <w:rPr>
                <w:rStyle w:val="IndexLink"/>
                <w:rtl w:val="true"/>
              </w:rPr>
              <w:tab/>
            </w:r>
            <w:r>
              <w:rPr>
                <w:rStyle w:val="IndexLink"/>
              </w:rPr>
              <w:t>78</w:t>
            </w:r>
          </w:hyperlink>
        </w:p>
        <w:p>
          <w:pPr>
            <w:pStyle w:val="Contents3"/>
            <w:tabs>
              <w:tab w:val="clear" w:pos="8459"/>
              <w:tab w:val="right" w:pos="9026" w:leader="dot"/>
            </w:tabs>
            <w:rPr/>
          </w:pPr>
          <w:hyperlink w:anchor="__RefHeading___Toc4413544_3224264995">
            <w:r>
              <w:rPr>
                <w:webHidden/>
                <w:rStyle w:val="IndexLink"/>
                <w:rtl w:val="true"/>
              </w:rPr>
              <w:t>معرفی منبع الخیرات و شیوه تحقیق آن</w:t>
            </w:r>
            <w:r>
              <w:rPr>
                <w:rStyle w:val="IndexLink"/>
                <w:rtl w:val="true"/>
              </w:rPr>
              <w:tab/>
            </w:r>
            <w:r>
              <w:rPr>
                <w:rStyle w:val="IndexLink"/>
              </w:rPr>
              <w:t>81</w:t>
            </w:r>
          </w:hyperlink>
        </w:p>
        <w:p>
          <w:pPr>
            <w:pStyle w:val="Contents3"/>
            <w:tabs>
              <w:tab w:val="clear" w:pos="8459"/>
              <w:tab w:val="right" w:pos="9026" w:leader="dot"/>
            </w:tabs>
            <w:rPr/>
          </w:pPr>
          <w:hyperlink w:anchor="__RefHeading___Toc4413546_3224264995">
            <w:r>
              <w:rPr>
                <w:webHidden/>
                <w:rStyle w:val="IndexLink"/>
                <w:rtl w:val="true"/>
              </w:rPr>
              <w:t>[</w:t>
            </w:r>
            <w:r>
              <w:rPr>
                <w:rStyle w:val="IndexLink"/>
                <w:rtl w:val="true"/>
              </w:rPr>
              <w:t>خطبه رساله</w:t>
            </w:r>
            <w:r>
              <w:rPr>
                <w:rStyle w:val="IndexLink"/>
                <w:rtl w:val="true"/>
              </w:rPr>
              <w:t>]</w:t>
              <w:tab/>
            </w:r>
            <w:r>
              <w:rPr>
                <w:rStyle w:val="IndexLink"/>
              </w:rPr>
              <w:t>86</w:t>
            </w:r>
          </w:hyperlink>
        </w:p>
        <w:p>
          <w:pPr>
            <w:pStyle w:val="Contents4"/>
            <w:tabs>
              <w:tab w:val="clear" w:pos="8176"/>
              <w:tab w:val="right" w:pos="9026" w:leader="dot"/>
            </w:tabs>
            <w:rPr/>
          </w:pPr>
          <w:hyperlink w:anchor="__RefHeading___Toc4413548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413550_3224264995">
            <w:r>
              <w:rPr>
                <w:webHidden/>
                <w:rStyle w:val="IndexLink"/>
                <w:rtl w:val="true"/>
              </w:rPr>
              <w:t>مطلب اول</w:t>
            </w:r>
            <w:r>
              <w:rPr>
                <w:rStyle w:val="IndexLink"/>
                <w:rtl w:val="true"/>
              </w:rPr>
              <w:t>: [</w:t>
            </w:r>
            <w:r>
              <w:rPr>
                <w:rStyle w:val="IndexLink"/>
                <w:rtl w:val="true"/>
              </w:rPr>
              <w:t>نماز اشرف عبادات</w:t>
            </w:r>
            <w:r>
              <w:rPr>
                <w:rStyle w:val="IndexLink"/>
                <w:rtl w:val="true"/>
              </w:rPr>
              <w:t>]</w:t>
              <w:tab/>
            </w:r>
            <w:r>
              <w:rPr>
                <w:rStyle w:val="IndexLink"/>
              </w:rPr>
              <w:t>86</w:t>
            </w:r>
          </w:hyperlink>
        </w:p>
        <w:p>
          <w:pPr>
            <w:pStyle w:val="Contents4"/>
            <w:tabs>
              <w:tab w:val="clear" w:pos="8176"/>
              <w:tab w:val="right" w:pos="9026" w:leader="dot"/>
            </w:tabs>
            <w:rPr/>
          </w:pPr>
          <w:hyperlink w:anchor="__RefHeading___Toc4413552_3224264995">
            <w:r>
              <w:rPr>
                <w:webHidden/>
                <w:rStyle w:val="IndexLink"/>
                <w:rtl w:val="true"/>
              </w:rPr>
              <w:t>مطلب دوم</w:t>
            </w:r>
            <w:r>
              <w:rPr>
                <w:rStyle w:val="IndexLink"/>
                <w:rtl w:val="true"/>
              </w:rPr>
              <w:t>: [</w:t>
            </w:r>
            <w:r>
              <w:rPr>
                <w:rStyle w:val="IndexLink"/>
                <w:rtl w:val="true"/>
              </w:rPr>
              <w:t>شرط حضور قلب در عبادات</w:t>
            </w:r>
            <w:r>
              <w:rPr>
                <w:rStyle w:val="IndexLink"/>
                <w:rtl w:val="true"/>
              </w:rPr>
              <w:t>]</w:t>
              <w:tab/>
            </w:r>
            <w:r>
              <w:rPr>
                <w:rStyle w:val="IndexLink"/>
              </w:rPr>
              <w:t>89</w:t>
            </w:r>
          </w:hyperlink>
        </w:p>
        <w:p>
          <w:pPr>
            <w:pStyle w:val="Contents4"/>
            <w:tabs>
              <w:tab w:val="clear" w:pos="8176"/>
              <w:tab w:val="right" w:pos="9026" w:leader="dot"/>
            </w:tabs>
            <w:rPr/>
          </w:pPr>
          <w:hyperlink w:anchor="__RefHeading___Toc4413554_3224264995">
            <w:r>
              <w:rPr>
                <w:webHidden/>
                <w:rStyle w:val="IndexLink"/>
                <w:rtl w:val="true"/>
              </w:rPr>
              <w:t>[</w:t>
            </w:r>
            <w:r>
              <w:rPr>
                <w:rStyle w:val="IndexLink"/>
                <w:rtl w:val="true"/>
              </w:rPr>
              <w:t>معانی قلب</w:t>
            </w:r>
            <w:r>
              <w:rPr>
                <w:rStyle w:val="IndexLink"/>
                <w:rtl w:val="true"/>
              </w:rPr>
              <w:t>]</w:t>
              <w:tab/>
            </w:r>
            <w:r>
              <w:rPr>
                <w:rStyle w:val="IndexLink"/>
              </w:rPr>
              <w:t>89</w:t>
            </w:r>
          </w:hyperlink>
        </w:p>
        <w:p>
          <w:pPr>
            <w:pStyle w:val="Contents4"/>
            <w:tabs>
              <w:tab w:val="clear" w:pos="8176"/>
              <w:tab w:val="right" w:pos="9026" w:leader="dot"/>
            </w:tabs>
            <w:rPr/>
          </w:pPr>
          <w:hyperlink w:anchor="__RefHeading___Toc4413556_3224264995">
            <w:r>
              <w:rPr>
                <w:webHidden/>
                <w:rStyle w:val="IndexLink"/>
                <w:rtl w:val="true"/>
              </w:rPr>
              <w:t>مطلب سوم</w:t>
            </w:r>
            <w:r>
              <w:rPr>
                <w:rStyle w:val="IndexLink"/>
                <w:rtl w:val="true"/>
              </w:rPr>
              <w:t>: [</w:t>
            </w:r>
            <w:r>
              <w:rPr>
                <w:rStyle w:val="IndexLink"/>
                <w:rtl w:val="true"/>
              </w:rPr>
              <w:t>آیات و اخبار حضور قلب</w:t>
            </w:r>
            <w:r>
              <w:rPr>
                <w:rStyle w:val="IndexLink"/>
                <w:rtl w:val="true"/>
              </w:rPr>
              <w:t>]</w:t>
              <w:tab/>
            </w:r>
            <w:r>
              <w:rPr>
                <w:rStyle w:val="IndexLink"/>
              </w:rPr>
              <w:t>97</w:t>
            </w:r>
          </w:hyperlink>
        </w:p>
        <w:p>
          <w:pPr>
            <w:pStyle w:val="Contents4"/>
            <w:tabs>
              <w:tab w:val="clear" w:pos="8176"/>
              <w:tab w:val="right" w:pos="9026" w:leader="dot"/>
            </w:tabs>
            <w:rPr/>
          </w:pPr>
          <w:hyperlink w:anchor="__RefHeading___Toc4413558_3224264995">
            <w:r>
              <w:rPr>
                <w:webHidden/>
                <w:rStyle w:val="IndexLink"/>
                <w:rtl w:val="true"/>
              </w:rPr>
              <w:t>[</w:t>
            </w:r>
            <w:r>
              <w:rPr>
                <w:rStyle w:val="IndexLink"/>
                <w:rtl w:val="true"/>
              </w:rPr>
              <w:t>جمع‌بندی نتیجه روایات</w:t>
            </w:r>
            <w:r>
              <w:rPr>
                <w:rStyle w:val="IndexLink"/>
                <w:rtl w:val="true"/>
              </w:rPr>
              <w:t>]</w:t>
              <w:tab/>
            </w:r>
            <w:r>
              <w:rPr>
                <w:rStyle w:val="IndexLink"/>
              </w:rPr>
              <w:t>105</w:t>
            </w:r>
          </w:hyperlink>
        </w:p>
        <w:p>
          <w:pPr>
            <w:pStyle w:val="Contents4"/>
            <w:tabs>
              <w:tab w:val="clear" w:pos="8176"/>
              <w:tab w:val="right" w:pos="9026" w:leader="dot"/>
            </w:tabs>
            <w:rPr/>
          </w:pPr>
          <w:hyperlink w:anchor="__RefHeading___Toc4413560_3224264995">
            <w:r>
              <w:rPr>
                <w:webHidden/>
                <w:rStyle w:val="IndexLink"/>
                <w:rtl w:val="true"/>
              </w:rPr>
              <w:t>[</w:t>
            </w:r>
            <w:r>
              <w:rPr>
                <w:rStyle w:val="IndexLink"/>
                <w:rtl w:val="true"/>
              </w:rPr>
              <w:t>حکایاتی از حضور قلب اولیای الهی در نماز</w:t>
            </w:r>
            <w:r>
              <w:rPr>
                <w:rStyle w:val="IndexLink"/>
                <w:rtl w:val="true"/>
              </w:rPr>
              <w:t>]</w:t>
              <w:tab/>
            </w:r>
            <w:r>
              <w:rPr>
                <w:rStyle w:val="IndexLink"/>
              </w:rPr>
              <w:t>106</w:t>
            </w:r>
          </w:hyperlink>
        </w:p>
        <w:p>
          <w:pPr>
            <w:pStyle w:val="Contents4"/>
            <w:tabs>
              <w:tab w:val="clear" w:pos="8176"/>
              <w:tab w:val="right" w:pos="9026" w:leader="dot"/>
            </w:tabs>
            <w:rPr/>
          </w:pPr>
          <w:hyperlink w:anchor="__RefHeading___Toc4413562_3224264995">
            <w:r>
              <w:rPr>
                <w:webHidden/>
                <w:rStyle w:val="IndexLink"/>
                <w:rtl w:val="true"/>
              </w:rPr>
              <w:t>مطلب چهارم</w:t>
            </w:r>
            <w:r>
              <w:rPr>
                <w:rStyle w:val="IndexLink"/>
                <w:rtl w:val="true"/>
              </w:rPr>
              <w:t>: [</w:t>
            </w:r>
            <w:r>
              <w:rPr>
                <w:rStyle w:val="IndexLink"/>
                <w:rtl w:val="true"/>
              </w:rPr>
              <w:t>ذکر دوائی نافع در ازاله غفلت و توجه قلب</w:t>
            </w:r>
            <w:r>
              <w:rPr>
                <w:rStyle w:val="IndexLink"/>
                <w:rtl w:val="true"/>
              </w:rPr>
              <w:t>]</w:t>
              <w:tab/>
            </w:r>
            <w:r>
              <w:rPr>
                <w:rStyle w:val="IndexLink"/>
              </w:rPr>
              <w:t>110</w:t>
            </w:r>
          </w:hyperlink>
        </w:p>
        <w:p>
          <w:pPr>
            <w:pStyle w:val="Contents4"/>
            <w:tabs>
              <w:tab w:val="clear" w:pos="8176"/>
              <w:tab w:val="right" w:pos="9026" w:leader="dot"/>
            </w:tabs>
            <w:rPr/>
          </w:pPr>
          <w:hyperlink w:anchor="__RefHeading___Toc4413564_3224264995">
            <w:r>
              <w:rPr>
                <w:webHidden/>
                <w:rStyle w:val="IndexLink"/>
                <w:rtl w:val="true"/>
              </w:rPr>
              <w:t>[</w:t>
            </w:r>
            <w:r>
              <w:rPr>
                <w:rStyle w:val="IndexLink"/>
                <w:rtl w:val="true"/>
              </w:rPr>
              <w:t>اسباب خواطر قلبی</w:t>
            </w:r>
            <w:r>
              <w:rPr>
                <w:rStyle w:val="IndexLink"/>
                <w:rtl w:val="true"/>
              </w:rPr>
              <w:t>]</w:t>
              <w:tab/>
            </w:r>
            <w:r>
              <w:rPr>
                <w:rStyle w:val="IndexLink"/>
              </w:rPr>
              <w:t>110</w:t>
            </w:r>
          </w:hyperlink>
        </w:p>
        <w:p>
          <w:pPr>
            <w:pStyle w:val="Contents4"/>
            <w:tabs>
              <w:tab w:val="clear" w:pos="8176"/>
              <w:tab w:val="right" w:pos="9026" w:leader="dot"/>
            </w:tabs>
            <w:rPr/>
          </w:pPr>
          <w:hyperlink w:anchor="__RefHeading___Toc4413566_3224264995">
            <w:r>
              <w:rPr>
                <w:webHidden/>
                <w:rStyle w:val="IndexLink"/>
                <w:rtl w:val="true"/>
              </w:rPr>
              <w:t>[</w:t>
            </w:r>
            <w:r>
              <w:rPr>
                <w:rStyle w:val="IndexLink"/>
                <w:rtl w:val="true"/>
              </w:rPr>
              <w:t>اسباب ظاهری</w:t>
            </w:r>
            <w:r>
              <w:rPr>
                <w:rStyle w:val="IndexLink"/>
                <w:rtl w:val="true"/>
              </w:rPr>
              <w:t>]</w:t>
              <w:tab/>
            </w:r>
            <w:r>
              <w:rPr>
                <w:rStyle w:val="IndexLink"/>
              </w:rPr>
              <w:t>111</w:t>
            </w:r>
          </w:hyperlink>
        </w:p>
        <w:p>
          <w:pPr>
            <w:pStyle w:val="Contents4"/>
            <w:tabs>
              <w:tab w:val="clear" w:pos="8176"/>
              <w:tab w:val="right" w:pos="9026" w:leader="dot"/>
            </w:tabs>
            <w:rPr/>
          </w:pPr>
          <w:hyperlink w:anchor="__RefHeading___Toc4413568_3224264995">
            <w:r>
              <w:rPr>
                <w:webHidden/>
                <w:rStyle w:val="IndexLink"/>
                <w:rtl w:val="true"/>
              </w:rPr>
              <w:t>[</w:t>
            </w:r>
            <w:r>
              <w:rPr>
                <w:rStyle w:val="IndexLink"/>
                <w:rtl w:val="true"/>
              </w:rPr>
              <w:t>درمان افکار و خواطر قوی</w:t>
            </w:r>
            <w:r>
              <w:rPr>
                <w:rStyle w:val="IndexLink"/>
                <w:rtl w:val="true"/>
              </w:rPr>
              <w:t>]</w:t>
              <w:tab/>
            </w:r>
            <w:r>
              <w:rPr>
                <w:rStyle w:val="IndexLink"/>
              </w:rPr>
              <w:t>115</w:t>
            </w:r>
          </w:hyperlink>
        </w:p>
        <w:p>
          <w:pPr>
            <w:pStyle w:val="Contents4"/>
            <w:tabs>
              <w:tab w:val="clear" w:pos="8176"/>
              <w:tab w:val="right" w:pos="9026" w:leader="dot"/>
            </w:tabs>
            <w:rPr/>
          </w:pPr>
          <w:hyperlink w:anchor="__RefHeading___Toc4413570_3224264995">
            <w:r>
              <w:rPr>
                <w:webHidden/>
                <w:rStyle w:val="IndexLink"/>
                <w:rtl w:val="true"/>
              </w:rPr>
              <w:t>[</w:t>
            </w:r>
            <w:r>
              <w:rPr>
                <w:rStyle w:val="IndexLink"/>
                <w:rtl w:val="true"/>
              </w:rPr>
              <w:t>بازگشت همه خواطر به حب دنیا</w:t>
            </w:r>
            <w:r>
              <w:rPr>
                <w:rStyle w:val="IndexLink"/>
                <w:rtl w:val="true"/>
              </w:rPr>
              <w:t>]</w:t>
              <w:tab/>
            </w:r>
            <w:r>
              <w:rPr>
                <w:rStyle w:val="IndexLink"/>
              </w:rPr>
              <w:t>115</w:t>
            </w:r>
          </w:hyperlink>
        </w:p>
        <w:p>
          <w:pPr>
            <w:pStyle w:val="Contents3"/>
            <w:tabs>
              <w:tab w:val="clear" w:pos="8459"/>
              <w:tab w:val="right" w:pos="9026" w:leader="dot"/>
            </w:tabs>
            <w:rPr/>
          </w:pPr>
          <w:hyperlink w:anchor="__RefHeading___Toc4413572_3224264995">
            <w:r>
              <w:rPr>
                <w:webHidden/>
                <w:rStyle w:val="IndexLink"/>
                <w:rtl w:val="true"/>
              </w:rPr>
              <w:t>[</w:t>
            </w:r>
            <w:r>
              <w:rPr>
                <w:rStyle w:val="IndexLink"/>
                <w:rtl w:val="true"/>
              </w:rPr>
              <w:t>ابواب مباحث نماز</w:t>
            </w:r>
            <w:r>
              <w:rPr>
                <w:rStyle w:val="IndexLink"/>
                <w:rtl w:val="true"/>
              </w:rPr>
              <w:t>]</w:t>
              <w:tab/>
            </w:r>
            <w:r>
              <w:rPr>
                <w:rStyle w:val="IndexLink"/>
              </w:rPr>
              <w:t>121</w:t>
            </w:r>
          </w:hyperlink>
        </w:p>
        <w:p>
          <w:pPr>
            <w:pStyle w:val="Contents4"/>
            <w:tabs>
              <w:tab w:val="clear" w:pos="8176"/>
              <w:tab w:val="right" w:pos="9026" w:leader="dot"/>
            </w:tabs>
            <w:rPr/>
          </w:pPr>
          <w:hyperlink w:anchor="__RefHeading___Toc4413574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413576_3224264995">
            <w:r>
              <w:rPr>
                <w:webHidden/>
                <w:rStyle w:val="IndexLink"/>
                <w:rtl w:val="true"/>
              </w:rPr>
              <w:t>باب اول</w:t>
            </w:r>
            <w:r>
              <w:rPr>
                <w:rStyle w:val="IndexLink"/>
                <w:rtl w:val="true"/>
              </w:rPr>
              <w:t>: [</w:t>
            </w:r>
            <w:r>
              <w:rPr>
                <w:rStyle w:val="IndexLink"/>
                <w:rtl w:val="true"/>
              </w:rPr>
              <w:t>مقدمات نماز</w:t>
            </w:r>
            <w:r>
              <w:rPr>
                <w:rStyle w:val="IndexLink"/>
                <w:rtl w:val="true"/>
              </w:rPr>
              <w:t>]</w:t>
              <w:tab/>
            </w:r>
            <w:r>
              <w:rPr>
                <w:rStyle w:val="IndexLink"/>
              </w:rPr>
              <w:t>121</w:t>
            </w:r>
          </w:hyperlink>
        </w:p>
        <w:p>
          <w:pPr>
            <w:pStyle w:val="Contents5"/>
            <w:tabs>
              <w:tab w:val="clear" w:pos="7892"/>
              <w:tab w:val="right" w:pos="9026" w:leader="dot"/>
            </w:tabs>
            <w:rPr/>
          </w:pPr>
          <w:hyperlink w:anchor="__RefHeading___Toc4413578_322426499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413580_3224264995">
            <w:r>
              <w:rPr>
                <w:webHidden/>
                <w:rStyle w:val="IndexLink"/>
                <w:rtl w:val="true"/>
              </w:rPr>
              <w:t>مطلب اول</w:t>
            </w:r>
            <w:r>
              <w:rPr>
                <w:rStyle w:val="IndexLink"/>
                <w:rtl w:val="true"/>
              </w:rPr>
              <w:t>: [</w:t>
            </w:r>
            <w:r>
              <w:rPr>
                <w:rStyle w:val="IndexLink"/>
                <w:rtl w:val="true"/>
              </w:rPr>
              <w:t>طهارت از حدث</w:t>
            </w:r>
            <w:r>
              <w:rPr>
                <w:rStyle w:val="IndexLink"/>
                <w:rtl w:val="true"/>
              </w:rPr>
              <w:t>]</w:t>
              <w:tab/>
            </w:r>
            <w:r>
              <w:rPr>
                <w:rStyle w:val="IndexLink"/>
              </w:rPr>
              <w:t>121</w:t>
            </w:r>
          </w:hyperlink>
        </w:p>
        <w:p>
          <w:pPr>
            <w:pStyle w:val="Contents6"/>
            <w:tabs>
              <w:tab w:val="clear" w:pos="7609"/>
              <w:tab w:val="right" w:pos="9026" w:leader="dot"/>
            </w:tabs>
            <w:rPr/>
          </w:pPr>
          <w:hyperlink w:anchor="__RefHeading___Toc4413582_3224264995">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413584_3224264995">
            <w:r>
              <w:rPr>
                <w:webHidden/>
                <w:rStyle w:val="IndexLink"/>
                <w:rtl w:val="true"/>
              </w:rPr>
              <w:t>مبحث اول</w:t>
            </w:r>
            <w:r>
              <w:rPr>
                <w:rStyle w:val="IndexLink"/>
                <w:rtl w:val="true"/>
              </w:rPr>
              <w:t>: [</w:t>
            </w:r>
            <w:r>
              <w:rPr>
                <w:rStyle w:val="IndexLink"/>
                <w:rtl w:val="true"/>
              </w:rPr>
              <w:t>در اسرار وضو</w:t>
            </w:r>
            <w:r>
              <w:rPr>
                <w:rStyle w:val="IndexLink"/>
                <w:rtl w:val="true"/>
              </w:rPr>
              <w:t>]</w:t>
              <w:tab/>
            </w:r>
            <w:r>
              <w:rPr>
                <w:rStyle w:val="IndexLink"/>
              </w:rPr>
              <w:t>122</w:t>
            </w:r>
          </w:hyperlink>
        </w:p>
        <w:p>
          <w:pPr>
            <w:pStyle w:val="Contents6"/>
            <w:tabs>
              <w:tab w:val="clear" w:pos="7609"/>
              <w:tab w:val="right" w:pos="9026" w:leader="dot"/>
            </w:tabs>
            <w:rPr/>
          </w:pPr>
          <w:hyperlink w:anchor="__RefHeading___Toc4413586_3224264995">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413588_3224264995">
            <w:r>
              <w:rPr>
                <w:webHidden/>
                <w:rStyle w:val="IndexLink"/>
                <w:rtl w:val="true"/>
              </w:rPr>
              <w:t>[</w:t>
            </w:r>
            <w:r>
              <w:rPr>
                <w:rStyle w:val="IndexLink"/>
                <w:rtl w:val="true"/>
              </w:rPr>
              <w:t>تفصیل اسرار هریک از اجزاء وضو</w:t>
            </w:r>
            <w:r>
              <w:rPr>
                <w:rStyle w:val="IndexLink"/>
                <w:rtl w:val="true"/>
              </w:rPr>
              <w:t>]</w:t>
              <w:tab/>
            </w:r>
            <w:r>
              <w:rPr>
                <w:rStyle w:val="IndexLink"/>
              </w:rPr>
              <w:t>122</w:t>
            </w:r>
          </w:hyperlink>
        </w:p>
        <w:p>
          <w:pPr>
            <w:pStyle w:val="Contents6"/>
            <w:tabs>
              <w:tab w:val="clear" w:pos="7609"/>
              <w:tab w:val="right" w:pos="9026" w:leader="dot"/>
            </w:tabs>
            <w:rPr/>
          </w:pPr>
          <w:hyperlink w:anchor="__RefHeading___Toc4413590_3224264995">
            <w:r>
              <w:rPr>
                <w:webHidden/>
                <w:rStyle w:val="IndexLink"/>
                <w:rtl w:val="true"/>
              </w:rPr>
              <w:t>مبحث دوم</w:t>
            </w:r>
            <w:r>
              <w:rPr>
                <w:rStyle w:val="IndexLink"/>
                <w:rtl w:val="true"/>
              </w:rPr>
              <w:t xml:space="preserve">: </w:t>
            </w:r>
            <w:r>
              <w:rPr>
                <w:rStyle w:val="IndexLink"/>
                <w:rtl w:val="true"/>
              </w:rPr>
              <w:t>در اسرار مخفیّه غسل است</w:t>
            </w:r>
            <w:r>
              <w:rPr>
                <w:rStyle w:val="IndexLink"/>
                <w:rtl w:val="true"/>
              </w:rPr>
              <w:tab/>
            </w:r>
            <w:r>
              <w:rPr>
                <w:rStyle w:val="IndexLink"/>
              </w:rPr>
              <w:t>126</w:t>
            </w:r>
          </w:hyperlink>
        </w:p>
        <w:p>
          <w:pPr>
            <w:pStyle w:val="Contents6"/>
            <w:tabs>
              <w:tab w:val="clear" w:pos="7609"/>
              <w:tab w:val="right" w:pos="9026" w:leader="dot"/>
            </w:tabs>
            <w:rPr/>
          </w:pPr>
          <w:hyperlink w:anchor="__RefHeading___Toc4413592_3224264995">
            <w:r>
              <w:rPr>
                <w:webHidden/>
                <w:rStyle w:val="IndexLink"/>
                <w:rtl w:val="true"/>
              </w:rPr>
              <w:t>مبحث سوم</w:t>
            </w:r>
            <w:r>
              <w:rPr>
                <w:rStyle w:val="IndexLink"/>
                <w:rtl w:val="true"/>
              </w:rPr>
              <w:t>: [</w:t>
            </w:r>
            <w:r>
              <w:rPr>
                <w:rStyle w:val="IndexLink"/>
                <w:rtl w:val="true"/>
              </w:rPr>
              <w:t>در اسرار پنهان تیمم</w:t>
            </w:r>
            <w:r>
              <w:rPr>
                <w:rStyle w:val="IndexLink"/>
                <w:rtl w:val="true"/>
              </w:rPr>
              <w:t>]</w:t>
              <w:tab/>
            </w:r>
            <w:r>
              <w:rPr>
                <w:rStyle w:val="IndexLink"/>
              </w:rPr>
              <w:t>128</w:t>
            </w:r>
          </w:hyperlink>
        </w:p>
        <w:p>
          <w:pPr>
            <w:pStyle w:val="Contents5"/>
            <w:tabs>
              <w:tab w:val="clear" w:pos="7892"/>
              <w:tab w:val="right" w:pos="9026" w:leader="dot"/>
            </w:tabs>
            <w:rPr/>
          </w:pPr>
          <w:hyperlink w:anchor="__RefHeading___Toc4413594_3224264995">
            <w:r>
              <w:rPr>
                <w:webHidden/>
                <w:rStyle w:val="IndexLink"/>
                <w:rtl w:val="true"/>
              </w:rPr>
              <w:t>مطلب دوم</w:t>
            </w:r>
            <w:r>
              <w:rPr>
                <w:rStyle w:val="IndexLink"/>
                <w:rtl w:val="true"/>
              </w:rPr>
              <w:t xml:space="preserve">: </w:t>
            </w:r>
            <w:r>
              <w:rPr>
                <w:rStyle w:val="IndexLink"/>
                <w:rtl w:val="true"/>
              </w:rPr>
              <w:t>در طهارت از خبث و تخلّی است</w:t>
            </w:r>
            <w:r>
              <w:rPr>
                <w:rStyle w:val="IndexLink"/>
                <w:rtl w:val="true"/>
              </w:rPr>
              <w:tab/>
            </w:r>
            <w:r>
              <w:rPr>
                <w:rStyle w:val="IndexLink"/>
              </w:rPr>
              <w:t>129</w:t>
            </w:r>
          </w:hyperlink>
        </w:p>
        <w:p>
          <w:pPr>
            <w:pStyle w:val="Contents6"/>
            <w:tabs>
              <w:tab w:val="clear" w:pos="7609"/>
              <w:tab w:val="right" w:pos="9026" w:leader="dot"/>
            </w:tabs>
            <w:rPr/>
          </w:pPr>
          <w:hyperlink w:anchor="__RefHeading___Toc4413596_322426499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4413598_3224264995">
            <w:r>
              <w:rPr>
                <w:webHidden/>
                <w:rStyle w:val="IndexLink"/>
                <w:rtl w:val="true"/>
              </w:rPr>
              <w:t>[</w:t>
            </w:r>
            <w:r>
              <w:rPr>
                <w:rStyle w:val="IndexLink"/>
                <w:rtl w:val="true"/>
              </w:rPr>
              <w:t>در اسرار تخلّی</w:t>
            </w:r>
            <w:r>
              <w:rPr>
                <w:rStyle w:val="IndexLink"/>
                <w:rtl w:val="true"/>
              </w:rPr>
              <w:t>]</w:t>
              <w:tab/>
            </w:r>
            <w:r>
              <w:rPr>
                <w:rStyle w:val="IndexLink"/>
              </w:rPr>
              <w:t>130</w:t>
            </w:r>
          </w:hyperlink>
        </w:p>
        <w:p>
          <w:pPr>
            <w:pStyle w:val="Contents5"/>
            <w:tabs>
              <w:tab w:val="clear" w:pos="7892"/>
              <w:tab w:val="right" w:pos="9026" w:leader="dot"/>
            </w:tabs>
            <w:rPr/>
          </w:pPr>
          <w:hyperlink w:anchor="__RefHeading___Toc4413600_3224264995">
            <w:r>
              <w:rPr>
                <w:webHidden/>
                <w:rStyle w:val="IndexLink"/>
                <w:rtl w:val="true"/>
              </w:rPr>
              <w:t>مطلب سوم</w:t>
            </w:r>
            <w:r>
              <w:rPr>
                <w:rStyle w:val="IndexLink"/>
                <w:rtl w:val="true"/>
              </w:rPr>
              <w:t xml:space="preserve">: </w:t>
            </w:r>
            <w:r>
              <w:rPr>
                <w:rStyle w:val="IndexLink"/>
                <w:rtl w:val="true"/>
              </w:rPr>
              <w:t>در ستر عورت است</w:t>
            </w:r>
            <w:r>
              <w:rPr>
                <w:rStyle w:val="IndexLink"/>
                <w:rtl w:val="true"/>
              </w:rPr>
              <w:tab/>
            </w:r>
            <w:r>
              <w:rPr>
                <w:rStyle w:val="IndexLink"/>
              </w:rPr>
              <w:t>131</w:t>
            </w:r>
          </w:hyperlink>
        </w:p>
        <w:p>
          <w:pPr>
            <w:pStyle w:val="Contents5"/>
            <w:tabs>
              <w:tab w:val="clear" w:pos="7892"/>
              <w:tab w:val="right" w:pos="9026" w:leader="dot"/>
            </w:tabs>
            <w:rPr/>
          </w:pPr>
          <w:hyperlink w:anchor="__RefHeading___Toc4413602_3224264995">
            <w:r>
              <w:rPr>
                <w:webHidden/>
                <w:rStyle w:val="IndexLink"/>
                <w:rtl w:val="true"/>
              </w:rPr>
              <w:t>مطلب چهارم</w:t>
            </w:r>
            <w:r>
              <w:rPr>
                <w:rStyle w:val="IndexLink"/>
                <w:rtl w:val="true"/>
              </w:rPr>
              <w:t xml:space="preserve">: </w:t>
            </w:r>
            <w:r>
              <w:rPr>
                <w:rStyle w:val="IndexLink"/>
                <w:rtl w:val="true"/>
              </w:rPr>
              <w:t>در اسرار مخفیه مکان مصلی است</w:t>
            </w:r>
            <w:r>
              <w:rPr>
                <w:rStyle w:val="IndexLink"/>
                <w:rtl w:val="true"/>
              </w:rPr>
              <w:tab/>
            </w:r>
            <w:r>
              <w:rPr>
                <w:rStyle w:val="IndexLink"/>
              </w:rPr>
              <w:t>134</w:t>
            </w:r>
          </w:hyperlink>
        </w:p>
        <w:p>
          <w:pPr>
            <w:pStyle w:val="Contents5"/>
            <w:tabs>
              <w:tab w:val="clear" w:pos="7892"/>
              <w:tab w:val="right" w:pos="9026" w:leader="dot"/>
            </w:tabs>
            <w:rPr/>
          </w:pPr>
          <w:hyperlink w:anchor="__RefHeading___Toc4413604_3224264995">
            <w:r>
              <w:rPr>
                <w:webHidden/>
                <w:rStyle w:val="IndexLink"/>
                <w:rtl w:val="true"/>
              </w:rPr>
              <w:t>مطلب پنجم</w:t>
            </w:r>
            <w:r>
              <w:rPr>
                <w:rStyle w:val="IndexLink"/>
                <w:rtl w:val="true"/>
              </w:rPr>
              <w:t xml:space="preserve">: </w:t>
            </w:r>
            <w:r>
              <w:rPr>
                <w:rStyle w:val="IndexLink"/>
                <w:rtl w:val="true"/>
              </w:rPr>
              <w:t>در اسرار خفیه وقت نماز است</w:t>
            </w:r>
            <w:r>
              <w:rPr>
                <w:rStyle w:val="IndexLink"/>
                <w:rtl w:val="true"/>
              </w:rPr>
              <w:tab/>
            </w:r>
            <w:r>
              <w:rPr>
                <w:rStyle w:val="IndexLink"/>
              </w:rPr>
              <w:t>134</w:t>
            </w:r>
          </w:hyperlink>
        </w:p>
        <w:p>
          <w:pPr>
            <w:pStyle w:val="Contents5"/>
            <w:tabs>
              <w:tab w:val="clear" w:pos="7892"/>
              <w:tab w:val="right" w:pos="9026" w:leader="dot"/>
            </w:tabs>
            <w:rPr/>
          </w:pPr>
          <w:hyperlink w:anchor="__RefHeading___Toc4413606_3224264995">
            <w:r>
              <w:rPr>
                <w:webHidden/>
                <w:rStyle w:val="IndexLink"/>
                <w:rtl w:val="true"/>
              </w:rPr>
              <w:t>مطلب ششم</w:t>
            </w:r>
            <w:r>
              <w:rPr>
                <w:rStyle w:val="IndexLink"/>
                <w:rtl w:val="true"/>
              </w:rPr>
              <w:t xml:space="preserve">: </w:t>
            </w:r>
            <w:r>
              <w:rPr>
                <w:rStyle w:val="IndexLink"/>
                <w:rtl w:val="true"/>
              </w:rPr>
              <w:t>در مخفیّات رموز استقبال قبله است</w:t>
            </w:r>
            <w:r>
              <w:rPr>
                <w:rStyle w:val="IndexLink"/>
                <w:rtl w:val="true"/>
              </w:rPr>
              <w:tab/>
            </w:r>
            <w:r>
              <w:rPr>
                <w:rStyle w:val="IndexLink"/>
              </w:rPr>
              <w:t>138</w:t>
            </w:r>
          </w:hyperlink>
        </w:p>
        <w:p>
          <w:pPr>
            <w:pStyle w:val="Contents5"/>
            <w:tabs>
              <w:tab w:val="clear" w:pos="7892"/>
              <w:tab w:val="right" w:pos="9026" w:leader="dot"/>
            </w:tabs>
            <w:rPr/>
          </w:pPr>
          <w:hyperlink w:anchor="__RefHeading___Toc4413608_3224264995">
            <w:r>
              <w:rPr>
                <w:webHidden/>
                <w:rStyle w:val="IndexLink"/>
                <w:rtl w:val="true"/>
              </w:rPr>
              <w:t>مطلب هفتم</w:t>
            </w:r>
            <w:r>
              <w:rPr>
                <w:rStyle w:val="IndexLink"/>
                <w:rtl w:val="true"/>
              </w:rPr>
              <w:t xml:space="preserve">: </w:t>
            </w:r>
            <w:r>
              <w:rPr>
                <w:rStyle w:val="IndexLink"/>
                <w:rtl w:val="true"/>
              </w:rPr>
              <w:t>در اسرار مخفیّه مقدمات مستحبّه نماز است</w:t>
            </w:r>
            <w:r>
              <w:rPr>
                <w:rStyle w:val="IndexLink"/>
                <w:rtl w:val="true"/>
              </w:rPr>
              <w:tab/>
            </w:r>
            <w:r>
              <w:rPr>
                <w:rStyle w:val="IndexLink"/>
              </w:rPr>
              <w:t>140</w:t>
            </w:r>
          </w:hyperlink>
        </w:p>
        <w:p>
          <w:pPr>
            <w:pStyle w:val="Contents5"/>
            <w:tabs>
              <w:tab w:val="clear" w:pos="7892"/>
              <w:tab w:val="right" w:pos="9026" w:leader="dot"/>
            </w:tabs>
            <w:rPr/>
          </w:pPr>
          <w:hyperlink w:anchor="__RefHeading___Toc4413610_3224264995">
            <w:r>
              <w:rPr>
                <w:webHidden/>
                <w:rStyle w:val="IndexLink"/>
                <w:rtl w:val="true"/>
              </w:rPr>
              <w:t>[</w:t>
            </w:r>
            <w:r>
              <w:rPr>
                <w:rStyle w:val="IndexLink"/>
                <w:rtl w:val="true"/>
              </w:rPr>
              <w:t>امر</w:t>
            </w:r>
            <w:r>
              <w:rPr>
                <w:rStyle w:val="IndexLink"/>
                <w:rtl w:val="true"/>
              </w:rPr>
              <w:t xml:space="preserve">] </w:t>
            </w:r>
            <w:r>
              <w:rPr>
                <w:rStyle w:val="IndexLink"/>
                <w:rtl w:val="true"/>
              </w:rPr>
              <w:t>اوّل</w:t>
            </w:r>
            <w:r>
              <w:rPr>
                <w:rStyle w:val="IndexLink"/>
                <w:rtl w:val="true"/>
              </w:rPr>
              <w:t>: [</w:t>
            </w:r>
            <w:r>
              <w:rPr>
                <w:rStyle w:val="IndexLink"/>
                <w:rtl w:val="true"/>
              </w:rPr>
              <w:t>اختیار مکان مناسب برای مناجات</w:t>
            </w:r>
            <w:r>
              <w:rPr>
                <w:rStyle w:val="IndexLink"/>
                <w:rtl w:val="true"/>
              </w:rPr>
              <w:t>]</w:t>
              <w:tab/>
            </w:r>
            <w:r>
              <w:rPr>
                <w:rStyle w:val="IndexLink"/>
              </w:rPr>
              <w:t>140</w:t>
            </w:r>
          </w:hyperlink>
        </w:p>
        <w:p>
          <w:pPr>
            <w:pStyle w:val="Contents5"/>
            <w:tabs>
              <w:tab w:val="clear" w:pos="7892"/>
              <w:tab w:val="right" w:pos="9026" w:leader="dot"/>
            </w:tabs>
            <w:rPr/>
          </w:pPr>
          <w:hyperlink w:anchor="__RefHeading___Toc4413612_3224264995">
            <w:r>
              <w:rPr>
                <w:webHidden/>
                <w:rStyle w:val="IndexLink"/>
                <w:rtl w:val="true"/>
              </w:rPr>
              <w:t>[</w:t>
            </w:r>
            <w:r>
              <w:rPr>
                <w:rStyle w:val="IndexLink"/>
                <w:rtl w:val="true"/>
              </w:rPr>
              <w:t>امر</w:t>
            </w:r>
            <w:r>
              <w:rPr>
                <w:rStyle w:val="IndexLink"/>
                <w:rtl w:val="true"/>
              </w:rPr>
              <w:t xml:space="preserve">] </w:t>
            </w:r>
            <w:r>
              <w:rPr>
                <w:rStyle w:val="IndexLink"/>
                <w:rtl w:val="true"/>
              </w:rPr>
              <w:t>دوم</w:t>
            </w:r>
            <w:r>
              <w:rPr>
                <w:rStyle w:val="IndexLink"/>
                <w:rtl w:val="true"/>
              </w:rPr>
              <w:t xml:space="preserve">: </w:t>
            </w:r>
            <w:r>
              <w:rPr>
                <w:rStyle w:val="IndexLink"/>
                <w:rtl w:val="true"/>
              </w:rPr>
              <w:t>از مقدمات مستحبه، اذان و اقامه است</w:t>
            </w:r>
            <w:r>
              <w:rPr>
                <w:rStyle w:val="IndexLink"/>
                <w:rtl w:val="true"/>
              </w:rPr>
              <w:tab/>
            </w:r>
            <w:r>
              <w:rPr>
                <w:rStyle w:val="IndexLink"/>
              </w:rPr>
              <w:t>142</w:t>
            </w:r>
          </w:hyperlink>
        </w:p>
        <w:p>
          <w:pPr>
            <w:pStyle w:val="Contents5"/>
            <w:tabs>
              <w:tab w:val="clear" w:pos="7892"/>
              <w:tab w:val="right" w:pos="9026" w:leader="dot"/>
            </w:tabs>
            <w:rPr/>
          </w:pPr>
          <w:hyperlink w:anchor="__RefHeading___Toc4413614_3224264995">
            <w:r>
              <w:rPr>
                <w:webHidden/>
                <w:rStyle w:val="IndexLink"/>
                <w:rtl w:val="true"/>
              </w:rPr>
              <w:t>[</w:t>
            </w:r>
            <w:r>
              <w:rPr>
                <w:rStyle w:val="IndexLink"/>
                <w:rtl w:val="true"/>
              </w:rPr>
              <w:t>امر</w:t>
            </w:r>
            <w:r>
              <w:rPr>
                <w:rStyle w:val="IndexLink"/>
                <w:rtl w:val="true"/>
              </w:rPr>
              <w:t xml:space="preserve">] </w:t>
            </w:r>
            <w:r>
              <w:rPr>
                <w:rStyle w:val="IndexLink"/>
                <w:rtl w:val="true"/>
              </w:rPr>
              <w:t>سوم</w:t>
            </w:r>
            <w:r>
              <w:rPr>
                <w:rStyle w:val="IndexLink"/>
                <w:rtl w:val="true"/>
              </w:rPr>
              <w:t>: [</w:t>
            </w:r>
            <w:r>
              <w:rPr>
                <w:rStyle w:val="IndexLink"/>
                <w:rtl w:val="true"/>
              </w:rPr>
              <w:t>در اسرار افتتاح نماز به تکبیرات هفتگانه</w:t>
            </w:r>
            <w:r>
              <w:rPr>
                <w:rStyle w:val="IndexLink"/>
                <w:rtl w:val="true"/>
              </w:rPr>
              <w:t>]</w:t>
              <w:tab/>
            </w:r>
            <w:r>
              <w:rPr>
                <w:rStyle w:val="IndexLink"/>
              </w:rPr>
              <w:t>144</w:t>
            </w:r>
          </w:hyperlink>
        </w:p>
        <w:p>
          <w:pPr>
            <w:pStyle w:val="Contents4"/>
            <w:tabs>
              <w:tab w:val="clear" w:pos="8176"/>
              <w:tab w:val="right" w:pos="9026" w:leader="dot"/>
            </w:tabs>
            <w:rPr/>
          </w:pPr>
          <w:hyperlink w:anchor="__RefHeading___Toc4413616_3224264995">
            <w:r>
              <w:rPr>
                <w:webHidden/>
                <w:rStyle w:val="IndexLink"/>
                <w:rtl w:val="true"/>
              </w:rPr>
              <w:t>باب دوم در مقارنات نماز است</w:t>
            </w:r>
            <w:r>
              <w:rPr>
                <w:rStyle w:val="IndexLink"/>
                <w:rtl w:val="true"/>
              </w:rPr>
              <w:tab/>
            </w:r>
            <w:r>
              <w:rPr>
                <w:rStyle w:val="IndexLink"/>
              </w:rPr>
              <w:t>147</w:t>
            </w:r>
          </w:hyperlink>
        </w:p>
        <w:p>
          <w:pPr>
            <w:pStyle w:val="Contents4"/>
            <w:tabs>
              <w:tab w:val="clear" w:pos="8176"/>
              <w:tab w:val="right" w:pos="9026" w:leader="dot"/>
            </w:tabs>
            <w:rPr/>
          </w:pPr>
          <w:hyperlink w:anchor="__RefHeading___Toc4413618_3224264995">
            <w:r>
              <w:rPr>
                <w:webHidden/>
                <w:rStyle w:val="IndexLink"/>
                <w:rtl w:val="true"/>
              </w:rPr>
              <w:t>فصل اول</w:t>
            </w:r>
            <w:r>
              <w:rPr>
                <w:rStyle w:val="IndexLink"/>
                <w:rtl w:val="true"/>
              </w:rPr>
              <w:t xml:space="preserve">: </w:t>
            </w:r>
            <w:r>
              <w:rPr>
                <w:rStyle w:val="IndexLink"/>
                <w:rtl w:val="true"/>
              </w:rPr>
              <w:t>در مقارنات رکنیه است</w:t>
            </w:r>
            <w:r>
              <w:rPr>
                <w:rStyle w:val="IndexLink"/>
                <w:rtl w:val="true"/>
              </w:rPr>
              <w:tab/>
            </w:r>
            <w:r>
              <w:rPr>
                <w:rStyle w:val="IndexLink"/>
              </w:rPr>
              <w:t>147</w:t>
            </w:r>
          </w:hyperlink>
        </w:p>
        <w:p>
          <w:pPr>
            <w:pStyle w:val="Contents5"/>
            <w:tabs>
              <w:tab w:val="clear" w:pos="7892"/>
              <w:tab w:val="right" w:pos="9026" w:leader="dot"/>
            </w:tabs>
            <w:rPr/>
          </w:pPr>
          <w:hyperlink w:anchor="__RefHeading___Toc4413620_3224264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413622_3224264995">
            <w:r>
              <w:rPr>
                <w:webHidden/>
                <w:rStyle w:val="IndexLink"/>
                <w:rtl w:val="true"/>
              </w:rPr>
              <w:t>مقصد اول</w:t>
            </w:r>
            <w:r>
              <w:rPr>
                <w:rStyle w:val="IndexLink"/>
                <w:rtl w:val="true"/>
              </w:rPr>
              <w:t xml:space="preserve">: </w:t>
            </w:r>
            <w:r>
              <w:rPr>
                <w:rStyle w:val="IndexLink"/>
                <w:rtl w:val="true"/>
              </w:rPr>
              <w:t>در بیان اسرار قلبیّه قیام است</w:t>
            </w:r>
            <w:r>
              <w:rPr>
                <w:rStyle w:val="IndexLink"/>
                <w:rtl w:val="true"/>
              </w:rPr>
              <w:tab/>
            </w:r>
            <w:r>
              <w:rPr>
                <w:rStyle w:val="IndexLink"/>
              </w:rPr>
              <w:t>147</w:t>
            </w:r>
          </w:hyperlink>
        </w:p>
        <w:p>
          <w:pPr>
            <w:pStyle w:val="Contents5"/>
            <w:tabs>
              <w:tab w:val="clear" w:pos="7892"/>
              <w:tab w:val="right" w:pos="9026" w:leader="dot"/>
            </w:tabs>
            <w:rPr/>
          </w:pPr>
          <w:hyperlink w:anchor="__RefHeading___Toc4413624_3224264995">
            <w:r>
              <w:rPr>
                <w:webHidden/>
                <w:rStyle w:val="IndexLink"/>
                <w:rtl w:val="true"/>
              </w:rPr>
              <w:t>مقصد دوم</w:t>
            </w:r>
            <w:r>
              <w:rPr>
                <w:rStyle w:val="IndexLink"/>
                <w:rtl w:val="true"/>
              </w:rPr>
              <w:t xml:space="preserve">: </w:t>
            </w:r>
            <w:r>
              <w:rPr>
                <w:rStyle w:val="IndexLink"/>
                <w:rtl w:val="true"/>
              </w:rPr>
              <w:t>در وظائف قلبیه نیت است</w:t>
            </w:r>
            <w:r>
              <w:rPr>
                <w:rStyle w:val="IndexLink"/>
                <w:rtl w:val="true"/>
              </w:rPr>
              <w:tab/>
            </w:r>
            <w:r>
              <w:rPr>
                <w:rStyle w:val="IndexLink"/>
              </w:rPr>
              <w:t>151</w:t>
            </w:r>
          </w:hyperlink>
        </w:p>
        <w:p>
          <w:pPr>
            <w:pStyle w:val="Contents5"/>
            <w:tabs>
              <w:tab w:val="clear" w:pos="7892"/>
              <w:tab w:val="right" w:pos="9026" w:leader="dot"/>
            </w:tabs>
            <w:rPr/>
          </w:pPr>
          <w:hyperlink w:anchor="__RefHeading___Toc4413626_3224264995">
            <w:r>
              <w:rPr>
                <w:webHidden/>
                <w:rStyle w:val="IndexLink"/>
                <w:rtl w:val="true"/>
              </w:rPr>
              <w:t>مقصد سوم</w:t>
            </w:r>
            <w:r>
              <w:rPr>
                <w:rStyle w:val="IndexLink"/>
                <w:rtl w:val="true"/>
              </w:rPr>
              <w:t xml:space="preserve">: </w:t>
            </w:r>
            <w:r>
              <w:rPr>
                <w:rStyle w:val="IndexLink"/>
                <w:rtl w:val="true"/>
              </w:rPr>
              <w:t>در تکبیرة الاحرام است</w:t>
            </w:r>
            <w:r>
              <w:rPr>
                <w:rStyle w:val="IndexLink"/>
                <w:rtl w:val="true"/>
              </w:rPr>
              <w:tab/>
            </w:r>
            <w:r>
              <w:rPr>
                <w:rStyle w:val="IndexLink"/>
              </w:rPr>
              <w:t>155</w:t>
            </w:r>
          </w:hyperlink>
        </w:p>
        <w:p>
          <w:pPr>
            <w:pStyle w:val="Contents5"/>
            <w:tabs>
              <w:tab w:val="clear" w:pos="7892"/>
              <w:tab w:val="right" w:pos="9026" w:leader="dot"/>
            </w:tabs>
            <w:rPr/>
          </w:pPr>
          <w:hyperlink w:anchor="__RefHeading___Toc4413628_3224264995">
            <w:r>
              <w:rPr>
                <w:webHidden/>
                <w:rStyle w:val="IndexLink"/>
                <w:rtl w:val="true"/>
              </w:rPr>
              <w:t>منابع و مصادر تحقیق</w:t>
            </w:r>
            <w:r>
              <w:rPr>
                <w:rStyle w:val="IndexLink"/>
                <w:rtl w:val="true"/>
              </w:rPr>
              <w:tab/>
            </w:r>
            <w:r>
              <w:rPr>
                <w:rStyle w:val="IndexLink"/>
              </w:rPr>
              <w:t>156</w:t>
            </w:r>
          </w:hyperlink>
        </w:p>
        <w:p>
          <w:pPr>
            <w:pStyle w:val="Contents2"/>
            <w:tabs>
              <w:tab w:val="clear" w:pos="8743"/>
              <w:tab w:val="right" w:pos="9026" w:leader="dot"/>
            </w:tabs>
            <w:rPr/>
          </w:pPr>
          <w:hyperlink w:anchor="__RefHeading___Toc4413630_3224264995">
            <w:r>
              <w:rPr>
                <w:webHidden/>
                <w:rStyle w:val="IndexLink"/>
                <w:rtl w:val="true"/>
              </w:rPr>
              <w:t>حجلة العرایس</w:t>
            </w:r>
            <w:r>
              <w:rPr>
                <w:rStyle w:val="IndexLink"/>
                <w:rtl w:val="true"/>
              </w:rPr>
              <w:tab/>
            </w:r>
            <w:r>
              <w:rPr>
                <w:rStyle w:val="IndexLink"/>
              </w:rPr>
              <w:t>160</w:t>
            </w:r>
          </w:hyperlink>
        </w:p>
        <w:p>
          <w:pPr>
            <w:pStyle w:val="Contents3"/>
            <w:tabs>
              <w:tab w:val="clear" w:pos="8459"/>
              <w:tab w:val="right" w:pos="9026" w:leader="dot"/>
            </w:tabs>
            <w:rPr/>
          </w:pPr>
          <w:hyperlink w:anchor="__RefHeading___Toc4413632_3224264995">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4413634_3224264995">
            <w:r>
              <w:rPr>
                <w:webHidden/>
                <w:rStyle w:val="IndexLink"/>
                <w:rtl w:val="true"/>
              </w:rPr>
              <w:t>مقدمه تحقیق</w:t>
            </w:r>
            <w:r>
              <w:rPr>
                <w:rStyle w:val="IndexLink"/>
                <w:rtl w:val="true"/>
              </w:rPr>
              <w:tab/>
            </w:r>
            <w:r>
              <w:rPr>
                <w:rStyle w:val="IndexLink"/>
              </w:rPr>
              <w:t>160</w:t>
            </w:r>
          </w:hyperlink>
        </w:p>
        <w:p>
          <w:pPr>
            <w:pStyle w:val="Contents3"/>
            <w:tabs>
              <w:tab w:val="clear" w:pos="8459"/>
              <w:tab w:val="right" w:pos="9026" w:leader="dot"/>
            </w:tabs>
            <w:rPr/>
          </w:pPr>
          <w:hyperlink w:anchor="__RefHeading___Toc4413636_3224264995">
            <w:r>
              <w:rPr>
                <w:webHidden/>
                <w:rStyle w:val="IndexLink"/>
                <w:rtl w:val="true"/>
              </w:rPr>
              <w:t>نگاهی به زندگی مؤلّف</w:t>
            </w:r>
            <w:r>
              <w:rPr>
                <w:rStyle w:val="IndexLink"/>
                <w:rtl w:val="true"/>
              </w:rPr>
              <w:tab/>
            </w:r>
            <w:r>
              <w:rPr>
                <w:rStyle w:val="IndexLink"/>
              </w:rPr>
              <w:t>160</w:t>
            </w:r>
          </w:hyperlink>
        </w:p>
        <w:p>
          <w:pPr>
            <w:pStyle w:val="Contents3"/>
            <w:tabs>
              <w:tab w:val="clear" w:pos="8459"/>
              <w:tab w:val="right" w:pos="9026" w:leader="dot"/>
            </w:tabs>
            <w:rPr/>
          </w:pPr>
          <w:hyperlink w:anchor="__RefHeading___Toc4413638_3224264995">
            <w:r>
              <w:rPr>
                <w:webHidden/>
                <w:rStyle w:val="IndexLink"/>
                <w:rtl w:val="true"/>
              </w:rPr>
              <w:t>شاگردان</w:t>
            </w:r>
            <w:r>
              <w:rPr>
                <w:rStyle w:val="IndexLink"/>
                <w:rtl w:val="true"/>
              </w:rPr>
              <w:tab/>
            </w:r>
            <w:r>
              <w:rPr>
                <w:rStyle w:val="IndexLink"/>
              </w:rPr>
              <w:t>161</w:t>
            </w:r>
          </w:hyperlink>
        </w:p>
        <w:p>
          <w:pPr>
            <w:pStyle w:val="Contents3"/>
            <w:tabs>
              <w:tab w:val="clear" w:pos="8459"/>
              <w:tab w:val="right" w:pos="9026" w:leader="dot"/>
            </w:tabs>
            <w:rPr/>
          </w:pPr>
          <w:hyperlink w:anchor="__RefHeading___Toc4413640_3224264995">
            <w:r>
              <w:rPr>
                <w:webHidden/>
                <w:rStyle w:val="IndexLink"/>
                <w:rtl w:val="true"/>
              </w:rPr>
              <w:t>موقعیت سیاسی اجتماعی</w:t>
            </w:r>
            <w:r>
              <w:rPr>
                <w:rStyle w:val="IndexLink"/>
                <w:rtl w:val="true"/>
              </w:rPr>
              <w:tab/>
            </w:r>
            <w:r>
              <w:rPr>
                <w:rStyle w:val="IndexLink"/>
              </w:rPr>
              <w:t>161</w:t>
            </w:r>
          </w:hyperlink>
        </w:p>
        <w:p>
          <w:pPr>
            <w:pStyle w:val="Contents3"/>
            <w:tabs>
              <w:tab w:val="clear" w:pos="8459"/>
              <w:tab w:val="right" w:pos="9026" w:leader="dot"/>
            </w:tabs>
            <w:rPr/>
          </w:pPr>
          <w:hyperlink w:anchor="__RefHeading___Toc4413642_3224264995">
            <w:r>
              <w:rPr>
                <w:webHidden/>
                <w:rStyle w:val="IndexLink"/>
                <w:rtl w:val="true"/>
              </w:rPr>
              <w:t>زهد و تقوای ملا محمدباقر خاتون‌آبادی</w:t>
            </w:r>
            <w:r>
              <w:rPr>
                <w:rStyle w:val="IndexLink"/>
                <w:rtl w:val="true"/>
              </w:rPr>
              <w:tab/>
            </w:r>
            <w:r>
              <w:rPr>
                <w:rStyle w:val="IndexLink"/>
              </w:rPr>
              <w:t>161</w:t>
            </w:r>
          </w:hyperlink>
        </w:p>
        <w:p>
          <w:pPr>
            <w:pStyle w:val="Contents3"/>
            <w:tabs>
              <w:tab w:val="clear" w:pos="8459"/>
              <w:tab w:val="right" w:pos="9026" w:leader="dot"/>
            </w:tabs>
            <w:rPr/>
          </w:pPr>
          <w:hyperlink w:anchor="__RefHeading___Toc4413644_3224264995">
            <w:r>
              <w:rPr>
                <w:webHidden/>
                <w:rStyle w:val="IndexLink"/>
                <w:rtl w:val="true"/>
              </w:rPr>
              <w:t>وفات</w:t>
            </w:r>
            <w:r>
              <w:rPr>
                <w:rStyle w:val="IndexLink"/>
                <w:rtl w:val="true"/>
              </w:rPr>
              <w:tab/>
            </w:r>
            <w:r>
              <w:rPr>
                <w:rStyle w:val="IndexLink"/>
              </w:rPr>
              <w:t>162</w:t>
            </w:r>
          </w:hyperlink>
        </w:p>
        <w:p>
          <w:pPr>
            <w:pStyle w:val="Contents3"/>
            <w:tabs>
              <w:tab w:val="clear" w:pos="8459"/>
              <w:tab w:val="right" w:pos="9026" w:leader="dot"/>
            </w:tabs>
            <w:rPr/>
          </w:pPr>
          <w:hyperlink w:anchor="__RefHeading___Toc4413646_3224264995">
            <w:r>
              <w:rPr>
                <w:webHidden/>
                <w:rStyle w:val="IndexLink"/>
                <w:rtl w:val="true"/>
              </w:rPr>
              <w:t>روش تحقیق</w:t>
            </w:r>
            <w:r>
              <w:rPr>
                <w:rStyle w:val="IndexLink"/>
                <w:rtl w:val="true"/>
              </w:rPr>
              <w:tab/>
            </w:r>
            <w:r>
              <w:rPr>
                <w:rStyle w:val="IndexLink"/>
              </w:rPr>
              <w:t>162</w:t>
            </w:r>
          </w:hyperlink>
        </w:p>
        <w:p>
          <w:pPr>
            <w:pStyle w:val="Contents3"/>
            <w:tabs>
              <w:tab w:val="clear" w:pos="8459"/>
              <w:tab w:val="right" w:pos="9026" w:leader="dot"/>
            </w:tabs>
            <w:rPr/>
          </w:pPr>
          <w:hyperlink w:anchor="__RefHeading___Toc4413648_3224264995">
            <w:r>
              <w:rPr>
                <w:webHidden/>
                <w:rStyle w:val="IndexLink"/>
                <w:rtl w:val="true"/>
              </w:rPr>
              <w:t>[</w:t>
            </w:r>
            <w:r>
              <w:rPr>
                <w:rStyle w:val="IndexLink"/>
                <w:rtl w:val="true"/>
              </w:rPr>
              <w:t>مقدمه مؤلّف</w:t>
            </w:r>
            <w:r>
              <w:rPr>
                <w:rStyle w:val="IndexLink"/>
                <w:rtl w:val="true"/>
              </w:rPr>
              <w:t>]</w:t>
              <w:tab/>
            </w:r>
            <w:r>
              <w:rPr>
                <w:rStyle w:val="IndexLink"/>
              </w:rPr>
              <w:t>168</w:t>
            </w:r>
          </w:hyperlink>
        </w:p>
        <w:p>
          <w:pPr>
            <w:pStyle w:val="Contents3"/>
            <w:tabs>
              <w:tab w:val="clear" w:pos="8459"/>
              <w:tab w:val="right" w:pos="9026" w:leader="dot"/>
            </w:tabs>
            <w:rPr/>
          </w:pPr>
          <w:hyperlink w:anchor="__RefHeading___Toc4413650_3224264995">
            <w:r>
              <w:rPr>
                <w:webHidden/>
                <w:rStyle w:val="IndexLink"/>
                <w:rtl w:val="true"/>
              </w:rPr>
              <w:t>[</w:t>
            </w:r>
            <w:r>
              <w:rPr>
                <w:rStyle w:val="IndexLink"/>
                <w:rtl w:val="true"/>
              </w:rPr>
              <w:t>در بیان عقد نکاح</w:t>
            </w:r>
            <w:r>
              <w:rPr>
                <w:rStyle w:val="IndexLink"/>
                <w:rtl w:val="true"/>
              </w:rPr>
              <w:t>]</w:t>
              <w:tab/>
            </w:r>
            <w:r>
              <w:rPr>
                <w:rStyle w:val="IndexLink"/>
              </w:rPr>
              <w:t>172</w:t>
            </w:r>
          </w:hyperlink>
        </w:p>
        <w:p>
          <w:pPr>
            <w:pStyle w:val="Contents4"/>
            <w:tabs>
              <w:tab w:val="clear" w:pos="8176"/>
              <w:tab w:val="right" w:pos="9026" w:leader="dot"/>
            </w:tabs>
            <w:rPr/>
          </w:pPr>
          <w:hyperlink w:anchor="__RefHeading___Toc4413652_3224264995">
            <w:r>
              <w:rPr>
                <w:webHidden/>
                <w:rStyle w:val="IndexLink"/>
                <w:rtl w:val="true"/>
              </w:rPr>
              <w:t>مطلب اول</w:t>
            </w:r>
            <w:r>
              <w:rPr>
                <w:rStyle w:val="IndexLink"/>
                <w:rtl w:val="true"/>
              </w:rPr>
              <w:tab/>
            </w:r>
            <w:r>
              <w:rPr>
                <w:rStyle w:val="IndexLink"/>
              </w:rPr>
              <w:t>172</w:t>
            </w:r>
          </w:hyperlink>
        </w:p>
        <w:p>
          <w:pPr>
            <w:pStyle w:val="Contents4"/>
            <w:tabs>
              <w:tab w:val="clear" w:pos="8176"/>
              <w:tab w:val="right" w:pos="9026" w:leader="dot"/>
            </w:tabs>
            <w:rPr/>
          </w:pPr>
          <w:hyperlink w:anchor="__RefHeading___Toc4413654_3224264995">
            <w:r>
              <w:rPr>
                <w:webHidden/>
                <w:rStyle w:val="IndexLink"/>
                <w:rtl w:val="true"/>
              </w:rPr>
              <w:t>مطلب دُوم</w:t>
            </w:r>
            <w:r>
              <w:rPr>
                <w:rStyle w:val="IndexLink"/>
                <w:rtl w:val="true"/>
              </w:rPr>
              <w:t xml:space="preserve">: </w:t>
            </w:r>
            <w:r>
              <w:rPr>
                <w:rStyle w:val="IndexLink"/>
                <w:rtl w:val="true"/>
              </w:rPr>
              <w:t>در بیان عقد متعه و بعضی از احکام آن</w:t>
            </w:r>
            <w:r>
              <w:rPr>
                <w:rStyle w:val="IndexLink"/>
                <w:rtl w:val="true"/>
              </w:rPr>
              <w:tab/>
            </w:r>
            <w:r>
              <w:rPr>
                <w:rStyle w:val="IndexLink"/>
              </w:rPr>
              <w:t>190</w:t>
            </w:r>
          </w:hyperlink>
        </w:p>
        <w:p>
          <w:pPr>
            <w:pStyle w:val="Contents5"/>
            <w:tabs>
              <w:tab w:val="clear" w:pos="7892"/>
              <w:tab w:val="right" w:pos="9026" w:leader="dot"/>
            </w:tabs>
            <w:rPr/>
          </w:pPr>
          <w:hyperlink w:anchor="__RefHeading___Toc4413656_322426499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4413658_3224264995">
            <w:r>
              <w:rPr>
                <w:webHidden/>
                <w:rStyle w:val="IndexLink"/>
                <w:rtl w:val="true"/>
              </w:rPr>
              <w:t>[</w:t>
            </w:r>
            <w:r>
              <w:rPr>
                <w:rStyle w:val="IndexLink"/>
                <w:rtl w:val="true"/>
              </w:rPr>
              <w:t>تفاوت عقد نکاح و عقد متعه</w:t>
            </w:r>
            <w:r>
              <w:rPr>
                <w:rStyle w:val="IndexLink"/>
                <w:rtl w:val="true"/>
              </w:rPr>
              <w:t>]</w:t>
              <w:tab/>
            </w:r>
            <w:r>
              <w:rPr>
                <w:rStyle w:val="IndexLink"/>
              </w:rPr>
              <w:t>190</w:t>
            </w:r>
          </w:hyperlink>
        </w:p>
        <w:p>
          <w:pPr>
            <w:pStyle w:val="Contents4"/>
            <w:tabs>
              <w:tab w:val="clear" w:pos="8176"/>
              <w:tab w:val="right" w:pos="9026" w:leader="dot"/>
            </w:tabs>
            <w:rPr/>
          </w:pPr>
          <w:hyperlink w:anchor="__RefHeading___Toc4413660_3224264995">
            <w:r>
              <w:rPr>
                <w:webHidden/>
                <w:rStyle w:val="IndexLink"/>
                <w:rtl w:val="true"/>
              </w:rPr>
              <w:t>فصل اوّل</w:t>
            </w:r>
            <w:r>
              <w:rPr>
                <w:rStyle w:val="IndexLink"/>
                <w:rtl w:val="true"/>
              </w:rPr>
              <w:t xml:space="preserve">: </w:t>
            </w:r>
            <w:r>
              <w:rPr>
                <w:rStyle w:val="IndexLink"/>
                <w:rtl w:val="true"/>
              </w:rPr>
              <w:t>در آداب زفاف کردن</w:t>
            </w:r>
            <w:r>
              <w:rPr>
                <w:rStyle w:val="IndexLink"/>
                <w:rtl w:val="true"/>
              </w:rPr>
              <w:tab/>
            </w:r>
            <w:r>
              <w:rPr>
                <w:rStyle w:val="IndexLink"/>
              </w:rPr>
              <w:t>205</w:t>
            </w:r>
          </w:hyperlink>
        </w:p>
        <w:p>
          <w:pPr>
            <w:pStyle w:val="Contents5"/>
            <w:tabs>
              <w:tab w:val="clear" w:pos="7892"/>
              <w:tab w:val="right" w:pos="9026" w:leader="dot"/>
            </w:tabs>
            <w:rPr/>
          </w:pPr>
          <w:hyperlink w:anchor="__RefHeading___Toc4413662_3224264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413664_3224264995">
            <w:r>
              <w:rPr>
                <w:webHidden/>
                <w:rStyle w:val="IndexLink"/>
                <w:rtl w:val="true"/>
              </w:rPr>
              <w:t>مطلب سوم</w:t>
            </w:r>
            <w:r>
              <w:rPr>
                <w:rStyle w:val="IndexLink"/>
                <w:rtl w:val="true"/>
              </w:rPr>
              <w:t xml:space="preserve">: </w:t>
            </w:r>
            <w:r>
              <w:rPr>
                <w:rStyle w:val="IndexLink"/>
                <w:rtl w:val="true"/>
              </w:rPr>
              <w:t>در بیان مجملی از احکام افطار روزه ماه مبارک رمضان</w:t>
            </w:r>
            <w:r>
              <w:rPr>
                <w:rStyle w:val="IndexLink"/>
                <w:rtl w:val="true"/>
              </w:rPr>
              <w:tab/>
            </w:r>
            <w:r>
              <w:rPr>
                <w:rStyle w:val="IndexLink"/>
              </w:rPr>
              <w:t>222</w:t>
            </w:r>
          </w:hyperlink>
        </w:p>
        <w:p>
          <w:pPr>
            <w:pStyle w:val="Contents5"/>
            <w:tabs>
              <w:tab w:val="clear" w:pos="7892"/>
              <w:tab w:val="right" w:pos="9026" w:leader="dot"/>
            </w:tabs>
            <w:rPr/>
          </w:pPr>
          <w:hyperlink w:anchor="__RefHeading___Toc4413666_3224264995">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4413668_3224264995">
            <w:r>
              <w:rPr>
                <w:webHidden/>
                <w:rStyle w:val="IndexLink"/>
                <w:rtl w:val="true"/>
              </w:rPr>
              <w:t>[</w:t>
            </w:r>
            <w:r>
              <w:rPr>
                <w:rStyle w:val="IndexLink"/>
                <w:rtl w:val="true"/>
              </w:rPr>
              <w:t>احتمالات روزه</w:t>
            </w:r>
            <w:r>
              <w:rPr>
                <w:rStyle w:val="IndexLink"/>
                <w:rtl w:val="true"/>
              </w:rPr>
              <w:t>]</w:t>
              <w:tab/>
            </w:r>
            <w:r>
              <w:rPr>
                <w:rStyle w:val="IndexLink"/>
              </w:rPr>
              <w:t>223</w:t>
            </w:r>
          </w:hyperlink>
        </w:p>
        <w:p>
          <w:pPr>
            <w:pStyle w:val="Contents4"/>
            <w:tabs>
              <w:tab w:val="clear" w:pos="8176"/>
              <w:tab w:val="right" w:pos="9026" w:leader="dot"/>
            </w:tabs>
            <w:rPr/>
          </w:pPr>
          <w:hyperlink w:anchor="__RefHeading___Toc4413670_3224264995">
            <w:r>
              <w:rPr>
                <w:webHidden/>
                <w:rStyle w:val="IndexLink"/>
                <w:rtl w:val="true"/>
              </w:rPr>
              <w:t>منابع تحقیق</w:t>
            </w:r>
            <w:r>
              <w:rPr>
                <w:rStyle w:val="IndexLink"/>
                <w:rtl w:val="true"/>
              </w:rPr>
              <w:tab/>
            </w:r>
            <w:r>
              <w:rPr>
                <w:rStyle w:val="IndexLink"/>
              </w:rPr>
              <w:t>229</w:t>
            </w:r>
          </w:hyperlink>
        </w:p>
        <w:p>
          <w:pPr>
            <w:pStyle w:val="Contents2"/>
            <w:tabs>
              <w:tab w:val="clear" w:pos="8743"/>
              <w:tab w:val="right" w:pos="9026" w:leader="dot"/>
            </w:tabs>
            <w:rPr/>
          </w:pPr>
          <w:hyperlink w:anchor="__RefHeading___Toc4413672_3224264995">
            <w:r>
              <w:rPr>
                <w:webHidden/>
                <w:rStyle w:val="IndexLink"/>
                <w:rtl w:val="true"/>
              </w:rPr>
              <w:t>مباحث اعتقادیه</w:t>
            </w:r>
            <w:r>
              <w:rPr>
                <w:rStyle w:val="IndexLink"/>
                <w:rtl w:val="true"/>
              </w:rPr>
              <w:tab/>
            </w:r>
            <w:r>
              <w:rPr>
                <w:rStyle w:val="IndexLink"/>
              </w:rPr>
              <w:t>235</w:t>
            </w:r>
          </w:hyperlink>
        </w:p>
        <w:p>
          <w:pPr>
            <w:pStyle w:val="Contents3"/>
            <w:tabs>
              <w:tab w:val="clear" w:pos="8459"/>
              <w:tab w:val="right" w:pos="9026" w:leader="dot"/>
            </w:tabs>
            <w:rPr/>
          </w:pPr>
          <w:hyperlink w:anchor="__RefHeading___Toc4413674_3224264995">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413676_3224264995">
            <w:r>
              <w:rPr>
                <w:webHidden/>
                <w:rStyle w:val="IndexLink"/>
                <w:rtl w:val="true"/>
              </w:rPr>
              <w:t>مقدّمه محقق</w:t>
            </w:r>
            <w:r>
              <w:rPr>
                <w:rStyle w:val="IndexLink"/>
                <w:rtl w:val="true"/>
              </w:rPr>
              <w:tab/>
            </w:r>
            <w:r>
              <w:rPr>
                <w:rStyle w:val="IndexLink"/>
              </w:rPr>
              <w:t>235</w:t>
            </w:r>
          </w:hyperlink>
        </w:p>
        <w:p>
          <w:pPr>
            <w:pStyle w:val="Contents3"/>
            <w:tabs>
              <w:tab w:val="clear" w:pos="8459"/>
              <w:tab w:val="right" w:pos="9026" w:leader="dot"/>
            </w:tabs>
            <w:rPr/>
          </w:pPr>
          <w:hyperlink w:anchor="__RefHeading___Toc4413678_3224264995">
            <w:r>
              <w:rPr>
                <w:webHidden/>
                <w:rStyle w:val="IndexLink"/>
                <w:rtl w:val="true"/>
              </w:rPr>
              <w:t>معرفی نسخه و روش تصحیح و تحقیق</w:t>
            </w:r>
            <w:r>
              <w:rPr>
                <w:rStyle w:val="IndexLink"/>
                <w:rtl w:val="true"/>
              </w:rPr>
              <w:tab/>
            </w:r>
            <w:r>
              <w:rPr>
                <w:rStyle w:val="IndexLink"/>
              </w:rPr>
              <w:t>236</w:t>
            </w:r>
          </w:hyperlink>
        </w:p>
        <w:p>
          <w:pPr>
            <w:pStyle w:val="Contents3"/>
            <w:tabs>
              <w:tab w:val="clear" w:pos="8459"/>
              <w:tab w:val="right" w:pos="9026" w:leader="dot"/>
            </w:tabs>
            <w:rPr/>
          </w:pPr>
          <w:hyperlink w:anchor="__RefHeading___Toc4413680_3224264995">
            <w:r>
              <w:rPr>
                <w:webHidden/>
                <w:rStyle w:val="IndexLink"/>
                <w:rtl w:val="true"/>
              </w:rPr>
              <w:t>امّا جواب از اشکال حدیث</w:t>
            </w:r>
            <w:r>
              <w:rPr>
                <w:rStyle w:val="IndexLink"/>
                <w:rtl w:val="true"/>
              </w:rPr>
              <w:t>: «</w:t>
            </w:r>
            <w:r>
              <w:rPr>
                <w:rStyle w:val="IndexLink"/>
                <w:rtl w:val="true"/>
              </w:rPr>
              <w:t>خلق الموءمن من طینة الجنّة، و</w:t>
            </w:r>
            <w:r>
              <w:rPr>
                <w:rStyle w:val="IndexLink"/>
                <w:rtl w:val="true"/>
              </w:rPr>
              <w:t>...</w:t>
              <w:tab/>
            </w:r>
            <w:r>
              <w:rPr>
                <w:rStyle w:val="IndexLink"/>
              </w:rPr>
              <w:t>239</w:t>
            </w:r>
          </w:hyperlink>
        </w:p>
        <w:p>
          <w:pPr>
            <w:pStyle w:val="Contents3"/>
            <w:tabs>
              <w:tab w:val="clear" w:pos="8459"/>
              <w:tab w:val="right" w:pos="9026" w:leader="dot"/>
            </w:tabs>
            <w:rPr/>
          </w:pPr>
          <w:hyperlink w:anchor="__RefHeading___Toc4413682_3224264995">
            <w:r>
              <w:rPr>
                <w:webHidden/>
                <w:rStyle w:val="IndexLink"/>
                <w:rtl w:val="true"/>
              </w:rPr>
              <w:t>سرّ لزوم عصمة الأنبیاء و أوصیائهم</w:t>
            </w:r>
            <w:r>
              <w:rPr>
                <w:rStyle w:val="IndexLink"/>
                <w:rtl w:val="true"/>
              </w:rPr>
              <w:t>...</w:t>
              <w:tab/>
            </w:r>
            <w:r>
              <w:rPr>
                <w:rStyle w:val="IndexLink"/>
              </w:rPr>
              <w:t>239</w:t>
            </w:r>
          </w:hyperlink>
        </w:p>
        <w:p>
          <w:pPr>
            <w:pStyle w:val="Contents3"/>
            <w:tabs>
              <w:tab w:val="clear" w:pos="8459"/>
              <w:tab w:val="right" w:pos="9026" w:leader="dot"/>
            </w:tabs>
            <w:rPr/>
          </w:pPr>
          <w:hyperlink w:anchor="__RefHeading___Toc4413684_3224264995">
            <w:r>
              <w:rPr>
                <w:webHidden/>
                <w:rStyle w:val="IndexLink"/>
                <w:rtl w:val="true"/>
              </w:rPr>
              <w:t xml:space="preserve">جواب از منافات حدیث </w:t>
            </w:r>
            <w:r>
              <w:rPr>
                <w:rStyle w:val="IndexLink"/>
                <w:rtl w:val="true"/>
              </w:rPr>
              <w:t>«</w:t>
            </w:r>
            <w:r>
              <w:rPr>
                <w:rStyle w:val="IndexLink"/>
                <w:rtl w:val="true"/>
              </w:rPr>
              <w:t>الولد سرّ أبیه</w:t>
            </w:r>
            <w:r>
              <w:rPr>
                <w:rStyle w:val="IndexLink"/>
                <w:rtl w:val="true"/>
              </w:rPr>
              <w:t xml:space="preserve">» </w:t>
            </w:r>
            <w:r>
              <w:rPr>
                <w:rStyle w:val="IndexLink"/>
                <w:rtl w:val="true"/>
              </w:rPr>
              <w:t>با تولّد شقی از سعید، و تولد</w:t>
            </w:r>
            <w:r>
              <w:rPr>
                <w:rStyle w:val="IndexLink"/>
                <w:rtl w:val="true"/>
              </w:rPr>
              <w:tab/>
            </w:r>
            <w:r>
              <w:rPr>
                <w:rStyle w:val="IndexLink"/>
              </w:rPr>
              <w:t>243</w:t>
            </w:r>
          </w:hyperlink>
        </w:p>
        <w:p>
          <w:pPr>
            <w:pStyle w:val="Contents3"/>
            <w:tabs>
              <w:tab w:val="clear" w:pos="8459"/>
              <w:tab w:val="right" w:pos="9026" w:leader="dot"/>
            </w:tabs>
            <w:rPr/>
          </w:pPr>
          <w:hyperlink w:anchor="__RefHeading___Toc4413686_3224264995">
            <w:r>
              <w:rPr>
                <w:webHidden/>
                <w:rStyle w:val="IndexLink"/>
                <w:rtl w:val="true"/>
              </w:rPr>
              <w:t>تتّمة فیها تکملة و تبصرة</w:t>
            </w:r>
            <w:r>
              <w:rPr>
                <w:rStyle w:val="IndexLink"/>
                <w:rtl w:val="true"/>
              </w:rPr>
              <w:tab/>
            </w:r>
            <w:r>
              <w:rPr>
                <w:rStyle w:val="IndexLink"/>
              </w:rPr>
              <w:t>247</w:t>
            </w:r>
          </w:hyperlink>
        </w:p>
        <w:p>
          <w:pPr>
            <w:pStyle w:val="Contents3"/>
            <w:tabs>
              <w:tab w:val="clear" w:pos="8459"/>
              <w:tab w:val="right" w:pos="9026" w:leader="dot"/>
            </w:tabs>
            <w:rPr/>
          </w:pPr>
          <w:hyperlink w:anchor="__RefHeading___Toc4413688_3224264995">
            <w:r>
              <w:rPr>
                <w:webHidden/>
                <w:rStyle w:val="IndexLink"/>
                <w:rtl w:val="true"/>
              </w:rPr>
              <w:t>جواب از این که الظاهر عنوان الباطن و گاهی خلاف این است</w:t>
            </w:r>
            <w:r>
              <w:rPr>
                <w:rStyle w:val="IndexLink"/>
                <w:rtl w:val="true"/>
              </w:rPr>
              <w:tab/>
            </w:r>
            <w:r>
              <w:rPr>
                <w:rStyle w:val="IndexLink"/>
              </w:rPr>
              <w:t>248</w:t>
            </w:r>
          </w:hyperlink>
        </w:p>
        <w:p>
          <w:pPr>
            <w:pStyle w:val="Contents2"/>
            <w:tabs>
              <w:tab w:val="clear" w:pos="8743"/>
              <w:tab w:val="right" w:pos="9026" w:leader="dot"/>
            </w:tabs>
            <w:rPr/>
          </w:pPr>
          <w:hyperlink w:anchor="__RefHeading___Toc4413690_3224264995">
            <w:r>
              <w:rPr>
                <w:webHidden/>
                <w:rStyle w:val="IndexLink"/>
                <w:rtl w:val="true"/>
              </w:rPr>
              <w:t>حلو التناول و سهل‌التداول فی مسئلة التداخل</w:t>
            </w:r>
            <w:r>
              <w:rPr>
                <w:rStyle w:val="IndexLink"/>
                <w:rtl w:val="true"/>
              </w:rPr>
              <w:tab/>
            </w:r>
            <w:r>
              <w:rPr>
                <w:rStyle w:val="IndexLink"/>
              </w:rPr>
              <w:t>259</w:t>
            </w:r>
          </w:hyperlink>
        </w:p>
        <w:p>
          <w:pPr>
            <w:pStyle w:val="Contents3"/>
            <w:tabs>
              <w:tab w:val="clear" w:pos="8459"/>
              <w:tab w:val="right" w:pos="9026" w:leader="dot"/>
            </w:tabs>
            <w:rPr/>
          </w:pPr>
          <w:hyperlink w:anchor="__RefHeading___Toc4413692_322426499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413694_3224264995">
            <w:r>
              <w:rPr>
                <w:webHidden/>
                <w:rStyle w:val="IndexLink"/>
                <w:rtl w:val="true"/>
              </w:rPr>
              <w:t>مقدمه</w:t>
            </w:r>
            <w:r>
              <w:rPr>
                <w:rStyle w:val="IndexLink"/>
                <w:rtl w:val="true"/>
              </w:rPr>
              <w:tab/>
            </w:r>
            <w:r>
              <w:rPr>
                <w:rStyle w:val="IndexLink"/>
              </w:rPr>
              <w:t>259</w:t>
            </w:r>
          </w:hyperlink>
        </w:p>
        <w:p>
          <w:pPr>
            <w:pStyle w:val="Contents3"/>
            <w:tabs>
              <w:tab w:val="clear" w:pos="8459"/>
              <w:tab w:val="right" w:pos="9026" w:leader="dot"/>
            </w:tabs>
            <w:rPr/>
          </w:pPr>
          <w:hyperlink w:anchor="__RefHeading___Toc4413696_3224264995">
            <w:r>
              <w:rPr>
                <w:webHidden/>
                <w:rStyle w:val="IndexLink"/>
                <w:rtl w:val="true"/>
              </w:rPr>
              <w:t>الف</w:t>
            </w:r>
            <w:r>
              <w:rPr>
                <w:rStyle w:val="IndexLink"/>
                <w:rtl w:val="true"/>
              </w:rPr>
              <w:t xml:space="preserve">: </w:t>
            </w:r>
            <w:r>
              <w:rPr>
                <w:rStyle w:val="IndexLink"/>
                <w:rtl w:val="true"/>
              </w:rPr>
              <w:t xml:space="preserve">آشنایی اجمالی با </w:t>
            </w:r>
            <w:r>
              <w:rPr>
                <w:rStyle w:val="IndexLink"/>
                <w:rtl w:val="true"/>
              </w:rPr>
              <w:t>«</w:t>
            </w:r>
            <w:r>
              <w:rPr>
                <w:rStyle w:val="IndexLink"/>
                <w:rtl w:val="true"/>
              </w:rPr>
              <w:t>تداخل اسباب</w:t>
            </w:r>
            <w:r>
              <w:rPr>
                <w:rStyle w:val="IndexLink"/>
                <w:rtl w:val="true"/>
              </w:rPr>
              <w:t>»</w:t>
              <w:tab/>
            </w:r>
            <w:r>
              <w:rPr>
                <w:rStyle w:val="IndexLink"/>
              </w:rPr>
              <w:t>259</w:t>
            </w:r>
          </w:hyperlink>
        </w:p>
        <w:p>
          <w:pPr>
            <w:pStyle w:val="Contents3"/>
            <w:tabs>
              <w:tab w:val="clear" w:pos="8459"/>
              <w:tab w:val="right" w:pos="9026" w:leader="dot"/>
            </w:tabs>
            <w:rPr/>
          </w:pPr>
          <w:hyperlink w:anchor="__RefHeading___Toc4413698_3224264995">
            <w:r>
              <w:rPr>
                <w:webHidden/>
                <w:rStyle w:val="IndexLink"/>
                <w:rtl w:val="true"/>
              </w:rPr>
              <w:t>ب</w:t>
            </w:r>
            <w:r>
              <w:rPr>
                <w:rStyle w:val="IndexLink"/>
                <w:rtl w:val="true"/>
              </w:rPr>
              <w:t xml:space="preserve">: </w:t>
            </w:r>
            <w:r>
              <w:rPr>
                <w:rStyle w:val="IndexLink"/>
                <w:rtl w:val="true"/>
              </w:rPr>
              <w:t>آشنایی با مؤلّف رساله حلو التناول</w:t>
            </w:r>
            <w:r>
              <w:rPr>
                <w:rStyle w:val="IndexLink"/>
                <w:rtl w:val="true"/>
              </w:rPr>
              <w:tab/>
            </w:r>
            <w:r>
              <w:rPr>
                <w:rStyle w:val="IndexLink"/>
              </w:rPr>
              <w:t>261</w:t>
            </w:r>
          </w:hyperlink>
        </w:p>
        <w:p>
          <w:pPr>
            <w:pStyle w:val="Contents4"/>
            <w:tabs>
              <w:tab w:val="clear" w:pos="8176"/>
              <w:tab w:val="right" w:pos="9026" w:leader="dot"/>
            </w:tabs>
            <w:rPr/>
          </w:pPr>
          <w:hyperlink w:anchor="__RefHeading___Toc4413700_3224264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413702_3224264995">
            <w:r>
              <w:rPr>
                <w:webHidden/>
                <w:rStyle w:val="IndexLink"/>
                <w:rtl w:val="true"/>
              </w:rPr>
              <w:t>اول</w:t>
            </w:r>
            <w:r>
              <w:rPr>
                <w:rStyle w:val="IndexLink"/>
                <w:rtl w:val="true"/>
              </w:rPr>
              <w:t xml:space="preserve">: </w:t>
            </w:r>
            <w:r>
              <w:rPr>
                <w:rStyle w:val="IndexLink"/>
                <w:rtl w:val="true"/>
              </w:rPr>
              <w:t>ولادت و زادگاه</w:t>
            </w:r>
            <w:r>
              <w:rPr>
                <w:rStyle w:val="IndexLink"/>
                <w:rtl w:val="true"/>
              </w:rPr>
              <w:tab/>
            </w:r>
            <w:r>
              <w:rPr>
                <w:rStyle w:val="IndexLink"/>
              </w:rPr>
              <w:t>261</w:t>
            </w:r>
          </w:hyperlink>
        </w:p>
        <w:p>
          <w:pPr>
            <w:pStyle w:val="Contents4"/>
            <w:tabs>
              <w:tab w:val="clear" w:pos="8176"/>
              <w:tab w:val="right" w:pos="9026" w:leader="dot"/>
            </w:tabs>
            <w:rPr/>
          </w:pPr>
          <w:hyperlink w:anchor="__RefHeading___Toc4413704_3224264995">
            <w:r>
              <w:rPr>
                <w:webHidden/>
                <w:rStyle w:val="IndexLink"/>
                <w:rtl w:val="true"/>
              </w:rPr>
              <w:t>دوم</w:t>
            </w:r>
            <w:r>
              <w:rPr>
                <w:rStyle w:val="IndexLink"/>
                <w:rtl w:val="true"/>
              </w:rPr>
              <w:t xml:space="preserve">: </w:t>
            </w:r>
            <w:r>
              <w:rPr>
                <w:rStyle w:val="IndexLink"/>
                <w:rtl w:val="true"/>
              </w:rPr>
              <w:t>اساتید</w:t>
            </w:r>
            <w:r>
              <w:rPr>
                <w:rStyle w:val="IndexLink"/>
                <w:rtl w:val="true"/>
              </w:rPr>
              <w:tab/>
            </w:r>
            <w:r>
              <w:rPr>
                <w:rStyle w:val="IndexLink"/>
              </w:rPr>
              <w:t>261</w:t>
            </w:r>
          </w:hyperlink>
        </w:p>
        <w:p>
          <w:pPr>
            <w:pStyle w:val="Contents4"/>
            <w:tabs>
              <w:tab w:val="clear" w:pos="8176"/>
              <w:tab w:val="right" w:pos="9026" w:leader="dot"/>
            </w:tabs>
            <w:rPr/>
          </w:pPr>
          <w:hyperlink w:anchor="__RefHeading___Toc4413706_3224264995">
            <w:r>
              <w:rPr>
                <w:webHidden/>
                <w:rStyle w:val="IndexLink"/>
                <w:rtl w:val="true"/>
              </w:rPr>
              <w:t>سوم</w:t>
            </w:r>
            <w:r>
              <w:rPr>
                <w:rStyle w:val="IndexLink"/>
                <w:rtl w:val="true"/>
              </w:rPr>
              <w:t xml:space="preserve">: </w:t>
            </w:r>
            <w:r>
              <w:rPr>
                <w:rStyle w:val="IndexLink"/>
                <w:rtl w:val="true"/>
              </w:rPr>
              <w:t>مشایخ اجازه</w:t>
            </w:r>
            <w:r>
              <w:rPr>
                <w:rStyle w:val="IndexLink"/>
                <w:rtl w:val="true"/>
              </w:rPr>
              <w:tab/>
            </w:r>
            <w:r>
              <w:rPr>
                <w:rStyle w:val="IndexLink"/>
              </w:rPr>
              <w:t>262</w:t>
            </w:r>
          </w:hyperlink>
        </w:p>
        <w:p>
          <w:pPr>
            <w:pStyle w:val="Contents4"/>
            <w:tabs>
              <w:tab w:val="clear" w:pos="8176"/>
              <w:tab w:val="right" w:pos="9026" w:leader="dot"/>
            </w:tabs>
            <w:rPr/>
          </w:pPr>
          <w:hyperlink w:anchor="__RefHeading___Toc4413708_3224264995">
            <w:r>
              <w:rPr>
                <w:webHidden/>
                <w:rStyle w:val="IndexLink"/>
                <w:rtl w:val="true"/>
              </w:rPr>
              <w:t>چهارم</w:t>
            </w:r>
            <w:r>
              <w:rPr>
                <w:rStyle w:val="IndexLink"/>
                <w:rtl w:val="true"/>
              </w:rPr>
              <w:t xml:space="preserve">: </w:t>
            </w:r>
            <w:r>
              <w:rPr>
                <w:rStyle w:val="IndexLink"/>
                <w:rtl w:val="true"/>
              </w:rPr>
              <w:t>فرزندان</w:t>
            </w:r>
            <w:r>
              <w:rPr>
                <w:rStyle w:val="IndexLink"/>
                <w:rtl w:val="true"/>
              </w:rPr>
              <w:tab/>
            </w:r>
            <w:r>
              <w:rPr>
                <w:rStyle w:val="IndexLink"/>
              </w:rPr>
              <w:t>262</w:t>
            </w:r>
          </w:hyperlink>
        </w:p>
        <w:p>
          <w:pPr>
            <w:pStyle w:val="Contents4"/>
            <w:tabs>
              <w:tab w:val="clear" w:pos="8176"/>
              <w:tab w:val="right" w:pos="9026" w:leader="dot"/>
            </w:tabs>
            <w:rPr/>
          </w:pPr>
          <w:hyperlink w:anchor="__RefHeading___Toc4413710_3224264995">
            <w:r>
              <w:rPr>
                <w:webHidden/>
                <w:rStyle w:val="IndexLink"/>
                <w:rtl w:val="true"/>
              </w:rPr>
              <w:t>پنجم</w:t>
            </w:r>
            <w:r>
              <w:rPr>
                <w:rStyle w:val="IndexLink"/>
                <w:rtl w:val="true"/>
              </w:rPr>
              <w:t xml:space="preserve">: </w:t>
            </w:r>
            <w:r>
              <w:rPr>
                <w:rStyle w:val="IndexLink"/>
                <w:rtl w:val="true"/>
              </w:rPr>
              <w:t>آثار و تألیفات</w:t>
            </w:r>
            <w:r>
              <w:rPr>
                <w:rStyle w:val="IndexLink"/>
                <w:rtl w:val="true"/>
              </w:rPr>
              <w:tab/>
            </w:r>
            <w:r>
              <w:rPr>
                <w:rStyle w:val="IndexLink"/>
              </w:rPr>
              <w:t>263</w:t>
            </w:r>
          </w:hyperlink>
        </w:p>
        <w:p>
          <w:pPr>
            <w:pStyle w:val="Contents4"/>
            <w:tabs>
              <w:tab w:val="clear" w:pos="8176"/>
              <w:tab w:val="right" w:pos="9026" w:leader="dot"/>
            </w:tabs>
            <w:rPr/>
          </w:pPr>
          <w:hyperlink w:anchor="__RefHeading___Toc4413712_3224264995">
            <w:r>
              <w:rPr>
                <w:webHidden/>
                <w:rStyle w:val="IndexLink"/>
                <w:rtl w:val="true"/>
              </w:rPr>
              <w:t>ششم</w:t>
            </w:r>
            <w:r>
              <w:rPr>
                <w:rStyle w:val="IndexLink"/>
                <w:rtl w:val="true"/>
              </w:rPr>
              <w:t xml:space="preserve">: </w:t>
            </w:r>
            <w:r>
              <w:rPr>
                <w:rStyle w:val="IndexLink"/>
                <w:rtl w:val="true"/>
              </w:rPr>
              <w:t>وفات و مدفن</w:t>
            </w:r>
            <w:r>
              <w:rPr>
                <w:rStyle w:val="IndexLink"/>
                <w:rtl w:val="true"/>
              </w:rPr>
              <w:tab/>
            </w:r>
            <w:r>
              <w:rPr>
                <w:rStyle w:val="IndexLink"/>
              </w:rPr>
              <w:t>264</w:t>
            </w:r>
          </w:hyperlink>
        </w:p>
        <w:p>
          <w:pPr>
            <w:pStyle w:val="Contents3"/>
            <w:tabs>
              <w:tab w:val="clear" w:pos="8459"/>
              <w:tab w:val="right" w:pos="9026" w:leader="dot"/>
            </w:tabs>
            <w:rPr/>
          </w:pPr>
          <w:hyperlink w:anchor="__RefHeading___Toc4413714_3224264995">
            <w:r>
              <w:rPr>
                <w:webHidden/>
                <w:rStyle w:val="IndexLink"/>
                <w:rtl w:val="true"/>
              </w:rPr>
              <w:t>ج</w:t>
            </w:r>
            <w:r>
              <w:rPr>
                <w:rStyle w:val="IndexLink"/>
                <w:rtl w:val="true"/>
              </w:rPr>
              <w:t xml:space="preserve">: </w:t>
            </w:r>
            <w:r>
              <w:rPr>
                <w:rStyle w:val="IndexLink"/>
                <w:rtl w:val="true"/>
              </w:rPr>
              <w:t>آشنایی با رساله حلوالتناول</w:t>
            </w:r>
            <w:r>
              <w:rPr>
                <w:rStyle w:val="IndexLink"/>
                <w:rtl w:val="true"/>
              </w:rPr>
              <w:tab/>
            </w:r>
            <w:r>
              <w:rPr>
                <w:rStyle w:val="IndexLink"/>
              </w:rPr>
              <w:t>264</w:t>
            </w:r>
          </w:hyperlink>
        </w:p>
        <w:p>
          <w:pPr>
            <w:pStyle w:val="Contents3"/>
            <w:tabs>
              <w:tab w:val="clear" w:pos="8459"/>
              <w:tab w:val="right" w:pos="9026" w:leader="dot"/>
            </w:tabs>
            <w:rPr/>
          </w:pPr>
          <w:hyperlink w:anchor="__RefHeading___Toc4413716_3224264995">
            <w:r>
              <w:rPr>
                <w:webHidden/>
                <w:rStyle w:val="IndexLink"/>
                <w:rtl w:val="true"/>
              </w:rPr>
              <w:t>د</w:t>
            </w:r>
            <w:r>
              <w:rPr>
                <w:rStyle w:val="IndexLink"/>
                <w:rtl w:val="true"/>
              </w:rPr>
              <w:t xml:space="preserve">: </w:t>
            </w:r>
            <w:r>
              <w:rPr>
                <w:rStyle w:val="IndexLink"/>
                <w:rtl w:val="true"/>
              </w:rPr>
              <w:t>شیوه تحقیق</w:t>
            </w:r>
            <w:r>
              <w:rPr>
                <w:rStyle w:val="IndexLink"/>
                <w:rtl w:val="true"/>
              </w:rPr>
              <w:tab/>
            </w:r>
            <w:r>
              <w:rPr>
                <w:rStyle w:val="IndexLink"/>
              </w:rPr>
              <w:t>266</w:t>
            </w:r>
          </w:hyperlink>
        </w:p>
        <w:p>
          <w:pPr>
            <w:pStyle w:val="Contents3"/>
            <w:tabs>
              <w:tab w:val="clear" w:pos="8459"/>
              <w:tab w:val="right" w:pos="9026" w:leader="dot"/>
            </w:tabs>
            <w:rPr/>
          </w:pPr>
          <w:hyperlink w:anchor="__RefHeading___Toc4413718_3224264995">
            <w:r>
              <w:rPr>
                <w:webHidden/>
                <w:rStyle w:val="IndexLink"/>
                <w:rtl w:val="true"/>
              </w:rPr>
              <w:t>هـ</w:t>
            </w:r>
            <w:r>
              <w:rPr>
                <w:rStyle w:val="IndexLink"/>
                <w:rtl w:val="true"/>
              </w:rPr>
              <w:t xml:space="preserve">: </w:t>
            </w:r>
            <w:r>
              <w:rPr>
                <w:rStyle w:val="IndexLink"/>
                <w:rtl w:val="true"/>
              </w:rPr>
              <w:t>تذکر چند نکته</w:t>
            </w:r>
            <w:r>
              <w:rPr>
                <w:rStyle w:val="IndexLink"/>
                <w:rtl w:val="true"/>
              </w:rPr>
              <w:tab/>
            </w:r>
            <w:r>
              <w:rPr>
                <w:rStyle w:val="IndexLink"/>
              </w:rPr>
              <w:t>266</w:t>
            </w:r>
          </w:hyperlink>
        </w:p>
        <w:p>
          <w:pPr>
            <w:pStyle w:val="Contents3"/>
            <w:tabs>
              <w:tab w:val="clear" w:pos="8459"/>
              <w:tab w:val="right" w:pos="9026" w:leader="dot"/>
            </w:tabs>
            <w:rPr/>
          </w:pPr>
          <w:hyperlink w:anchor="__RefHeading___Toc4413720_3224264995">
            <w:r>
              <w:rPr>
                <w:webHidden/>
                <w:rStyle w:val="IndexLink"/>
                <w:rtl w:val="true"/>
              </w:rPr>
              <w:t>حلو التناول</w:t>
            </w:r>
            <w:r>
              <w:rPr>
                <w:rStyle w:val="IndexLink"/>
                <w:rtl w:val="true"/>
              </w:rPr>
              <w:tab/>
            </w:r>
            <w:r>
              <w:rPr>
                <w:rStyle w:val="IndexLink"/>
              </w:rPr>
              <w:t>266</w:t>
            </w:r>
          </w:hyperlink>
        </w:p>
        <w:p>
          <w:pPr>
            <w:pStyle w:val="Contents4"/>
            <w:tabs>
              <w:tab w:val="clear" w:pos="8176"/>
              <w:tab w:val="right" w:pos="9026" w:leader="dot"/>
            </w:tabs>
            <w:rPr/>
          </w:pPr>
          <w:hyperlink w:anchor="__RefHeading___Toc4413722_3224264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413724_3224264995">
            <w:r>
              <w:rPr>
                <w:webHidden/>
                <w:rStyle w:val="IndexLink"/>
                <w:rtl w:val="true"/>
              </w:rPr>
              <w:t>[</w:t>
            </w:r>
            <w:r>
              <w:rPr>
                <w:rStyle w:val="IndexLink"/>
                <w:rtl w:val="true"/>
              </w:rPr>
              <w:t>المقدمة</w:t>
            </w:r>
            <w:r>
              <w:rPr>
                <w:rStyle w:val="IndexLink"/>
                <w:rtl w:val="true"/>
              </w:rPr>
              <w:t>]</w:t>
              <w:tab/>
            </w:r>
            <w:r>
              <w:rPr>
                <w:rStyle w:val="IndexLink"/>
              </w:rPr>
              <w:t>273</w:t>
            </w:r>
          </w:hyperlink>
        </w:p>
        <w:p>
          <w:pPr>
            <w:pStyle w:val="Contents4"/>
            <w:tabs>
              <w:tab w:val="clear" w:pos="8176"/>
              <w:tab w:val="right" w:pos="9026" w:leader="dot"/>
            </w:tabs>
            <w:rPr/>
          </w:pPr>
          <w:hyperlink w:anchor="__RefHeading___Toc4413726_3224264995">
            <w:r>
              <w:rPr>
                <w:webHidden/>
                <w:rStyle w:val="IndexLink"/>
                <w:rtl w:val="true"/>
              </w:rPr>
              <w:t>[</w:t>
            </w:r>
            <w:r>
              <w:rPr>
                <w:rStyle w:val="IndexLink"/>
                <w:rtl w:val="true"/>
              </w:rPr>
              <w:t>الأقوال حول مسئلة التداخل</w:t>
            </w:r>
            <w:r>
              <w:rPr>
                <w:rStyle w:val="IndexLink"/>
                <w:rtl w:val="true"/>
              </w:rPr>
              <w:t>]</w:t>
              <w:tab/>
            </w:r>
            <w:r>
              <w:rPr>
                <w:rStyle w:val="IndexLink"/>
              </w:rPr>
              <w:t>273</w:t>
            </w:r>
          </w:hyperlink>
        </w:p>
        <w:p>
          <w:pPr>
            <w:pStyle w:val="Contents4"/>
            <w:tabs>
              <w:tab w:val="clear" w:pos="8176"/>
              <w:tab w:val="right" w:pos="9026" w:leader="dot"/>
            </w:tabs>
            <w:rPr/>
          </w:pPr>
          <w:hyperlink w:anchor="__RefHeading___Toc4413728_3224264995">
            <w:r>
              <w:rPr>
                <w:webHidden/>
                <w:rStyle w:val="IndexLink"/>
                <w:rtl w:val="true"/>
              </w:rPr>
              <w:t>[</w:t>
            </w:r>
            <w:r>
              <w:rPr>
                <w:rStyle w:val="IndexLink"/>
                <w:rtl w:val="true"/>
              </w:rPr>
              <w:t>المشهور عدم التداخل مطلقاً</w:t>
            </w:r>
            <w:r>
              <w:rPr>
                <w:rStyle w:val="IndexLink"/>
                <w:rtl w:val="true"/>
              </w:rPr>
              <w:t>]</w:t>
              <w:tab/>
            </w:r>
            <w:r>
              <w:rPr>
                <w:rStyle w:val="IndexLink"/>
              </w:rPr>
              <w:t>274</w:t>
            </w:r>
          </w:hyperlink>
        </w:p>
        <w:p>
          <w:pPr>
            <w:pStyle w:val="Contents4"/>
            <w:tabs>
              <w:tab w:val="clear" w:pos="8176"/>
              <w:tab w:val="right" w:pos="9026" w:leader="dot"/>
            </w:tabs>
            <w:rPr/>
          </w:pPr>
          <w:hyperlink w:anchor="__RefHeading___Toc4413730_3224264995">
            <w:r>
              <w:rPr>
                <w:webHidden/>
                <w:rStyle w:val="IndexLink"/>
                <w:rtl w:val="true"/>
              </w:rPr>
              <w:t>[</w:t>
            </w:r>
            <w:r>
              <w:rPr>
                <w:rStyle w:val="IndexLink"/>
                <w:rtl w:val="true"/>
              </w:rPr>
              <w:t>القائلین بالتداخل مطلقا</w:t>
            </w:r>
            <w:r>
              <w:rPr>
                <w:rStyle w:val="IndexLink"/>
                <w:rtl w:val="true"/>
              </w:rPr>
              <w:t>]</w:t>
              <w:tab/>
            </w:r>
            <w:r>
              <w:rPr>
                <w:rStyle w:val="IndexLink"/>
              </w:rPr>
              <w:t>275</w:t>
            </w:r>
          </w:hyperlink>
        </w:p>
        <w:p>
          <w:pPr>
            <w:pStyle w:val="Contents4"/>
            <w:tabs>
              <w:tab w:val="clear" w:pos="8176"/>
              <w:tab w:val="right" w:pos="9026" w:leader="dot"/>
            </w:tabs>
            <w:rPr/>
          </w:pPr>
          <w:hyperlink w:anchor="__RefHeading___Toc4413732_3224264995">
            <w:r>
              <w:rPr>
                <w:webHidden/>
                <w:rStyle w:val="IndexLink"/>
                <w:rtl w:val="true"/>
              </w:rPr>
              <w:t>[</w:t>
            </w:r>
            <w:r>
              <w:rPr>
                <w:rStyle w:val="IndexLink"/>
                <w:rtl w:val="true"/>
              </w:rPr>
              <w:t>قول ابن ادریس فی المسألة</w:t>
            </w:r>
            <w:r>
              <w:rPr>
                <w:rStyle w:val="IndexLink"/>
                <w:rtl w:val="true"/>
              </w:rPr>
              <w:t>]</w:t>
              <w:tab/>
            </w:r>
            <w:r>
              <w:rPr>
                <w:rStyle w:val="IndexLink"/>
              </w:rPr>
              <w:t>275</w:t>
            </w:r>
          </w:hyperlink>
        </w:p>
        <w:p>
          <w:pPr>
            <w:pStyle w:val="Contents4"/>
            <w:tabs>
              <w:tab w:val="clear" w:pos="8176"/>
              <w:tab w:val="right" w:pos="9026" w:leader="dot"/>
            </w:tabs>
            <w:rPr/>
          </w:pPr>
          <w:hyperlink w:anchor="__RefHeading___Toc4413734_3224264995">
            <w:r>
              <w:rPr>
                <w:webHidden/>
                <w:rStyle w:val="IndexLink"/>
                <w:rtl w:val="true"/>
              </w:rPr>
              <w:t>[</w:t>
            </w:r>
            <w:r>
              <w:rPr>
                <w:rStyle w:val="IndexLink"/>
                <w:rtl w:val="true"/>
              </w:rPr>
              <w:t>نقل الأقوال حول المسألة</w:t>
            </w:r>
            <w:r>
              <w:rPr>
                <w:rStyle w:val="IndexLink"/>
                <w:rtl w:val="true"/>
              </w:rPr>
              <w:t>]</w:t>
              <w:tab/>
            </w:r>
            <w:r>
              <w:rPr>
                <w:rStyle w:val="IndexLink"/>
              </w:rPr>
              <w:t>276</w:t>
            </w:r>
          </w:hyperlink>
        </w:p>
        <w:p>
          <w:pPr>
            <w:pStyle w:val="Contents4"/>
            <w:tabs>
              <w:tab w:val="clear" w:pos="8176"/>
              <w:tab w:val="right" w:pos="9026" w:leader="dot"/>
            </w:tabs>
            <w:rPr/>
          </w:pPr>
          <w:hyperlink w:anchor="__RefHeading___Toc4413736_3224264995">
            <w:r>
              <w:rPr>
                <w:webHidden/>
                <w:rStyle w:val="IndexLink"/>
                <w:rtl w:val="true"/>
              </w:rPr>
              <w:t>[</w:t>
            </w:r>
            <w:r>
              <w:rPr>
                <w:rStyle w:val="IndexLink"/>
                <w:rtl w:val="true"/>
              </w:rPr>
              <w:t>کلام صاحب المدارک</w:t>
            </w:r>
            <w:r>
              <w:rPr>
                <w:rStyle w:val="IndexLink"/>
                <w:rtl w:val="true"/>
              </w:rPr>
              <w:t>]</w:t>
              <w:tab/>
            </w:r>
            <w:r>
              <w:rPr>
                <w:rStyle w:val="IndexLink"/>
              </w:rPr>
              <w:t>276</w:t>
            </w:r>
          </w:hyperlink>
        </w:p>
        <w:p>
          <w:pPr>
            <w:pStyle w:val="Contents4"/>
            <w:tabs>
              <w:tab w:val="clear" w:pos="8176"/>
              <w:tab w:val="right" w:pos="9026" w:leader="dot"/>
            </w:tabs>
            <w:rPr/>
          </w:pPr>
          <w:hyperlink w:anchor="__RefHeading___Toc4413738_3224264995">
            <w:r>
              <w:rPr>
                <w:webHidden/>
                <w:rStyle w:val="IndexLink"/>
                <w:rtl w:val="true"/>
              </w:rPr>
              <w:t>[</w:t>
            </w:r>
            <w:r>
              <w:rPr>
                <w:rStyle w:val="IndexLink"/>
                <w:rtl w:val="true"/>
              </w:rPr>
              <w:t>کلام المحقق السبزواری</w:t>
            </w:r>
            <w:r>
              <w:rPr>
                <w:rStyle w:val="IndexLink"/>
                <w:rtl w:val="true"/>
              </w:rPr>
              <w:t>]</w:t>
              <w:tab/>
            </w:r>
            <w:r>
              <w:rPr>
                <w:rStyle w:val="IndexLink"/>
              </w:rPr>
              <w:t>276</w:t>
            </w:r>
          </w:hyperlink>
        </w:p>
        <w:p>
          <w:pPr>
            <w:pStyle w:val="Contents4"/>
            <w:tabs>
              <w:tab w:val="clear" w:pos="8176"/>
              <w:tab w:val="right" w:pos="9026" w:leader="dot"/>
            </w:tabs>
            <w:rPr/>
          </w:pPr>
          <w:hyperlink w:anchor="__RefHeading___Toc4413740_3224264995">
            <w:r>
              <w:rPr>
                <w:webHidden/>
                <w:rStyle w:val="IndexLink"/>
                <w:rtl w:val="true"/>
              </w:rPr>
              <w:t>[</w:t>
            </w:r>
            <w:r>
              <w:rPr>
                <w:rStyle w:val="IndexLink"/>
                <w:rtl w:val="true"/>
              </w:rPr>
              <w:t>بیان العلامة المجلسی</w:t>
            </w:r>
            <w:r>
              <w:rPr>
                <w:rStyle w:val="IndexLink"/>
                <w:rtl w:val="true"/>
              </w:rPr>
              <w:t>]</w:t>
              <w:tab/>
            </w:r>
            <w:r>
              <w:rPr>
                <w:rStyle w:val="IndexLink"/>
              </w:rPr>
              <w:t>276</w:t>
            </w:r>
          </w:hyperlink>
        </w:p>
        <w:p>
          <w:pPr>
            <w:pStyle w:val="Contents4"/>
            <w:tabs>
              <w:tab w:val="clear" w:pos="8176"/>
              <w:tab w:val="right" w:pos="9026" w:leader="dot"/>
            </w:tabs>
            <w:rPr/>
          </w:pPr>
          <w:hyperlink w:anchor="__RefHeading___Toc4413742_3224264995">
            <w:r>
              <w:rPr>
                <w:webHidden/>
                <w:rStyle w:val="IndexLink"/>
                <w:rtl w:val="true"/>
              </w:rPr>
              <w:t>[</w:t>
            </w:r>
            <w:r>
              <w:rPr>
                <w:rStyle w:val="IndexLink"/>
                <w:rtl w:val="true"/>
              </w:rPr>
              <w:t>بیان المحقق الخوانساری</w:t>
            </w:r>
            <w:r>
              <w:rPr>
                <w:rStyle w:val="IndexLink"/>
                <w:rtl w:val="true"/>
              </w:rPr>
              <w:t>]</w:t>
              <w:tab/>
            </w:r>
            <w:r>
              <w:rPr>
                <w:rStyle w:val="IndexLink"/>
              </w:rPr>
              <w:t>277</w:t>
            </w:r>
          </w:hyperlink>
        </w:p>
        <w:p>
          <w:pPr>
            <w:pStyle w:val="Contents4"/>
            <w:tabs>
              <w:tab w:val="clear" w:pos="8176"/>
              <w:tab w:val="right" w:pos="9026" w:leader="dot"/>
            </w:tabs>
            <w:rPr/>
          </w:pPr>
          <w:hyperlink w:anchor="__RefHeading___Toc4413744_3224264995">
            <w:r>
              <w:rPr>
                <w:webHidden/>
                <w:rStyle w:val="IndexLink"/>
                <w:rtl w:val="true"/>
              </w:rPr>
              <w:t>[</w:t>
            </w:r>
            <w:r>
              <w:rPr>
                <w:rStyle w:val="IndexLink"/>
                <w:rtl w:val="true"/>
              </w:rPr>
              <w:t>قول المصنّف قدس‌سره قبل تألیف الرسالة</w:t>
            </w:r>
            <w:r>
              <w:rPr>
                <w:rStyle w:val="IndexLink"/>
                <w:rtl w:val="true"/>
              </w:rPr>
              <w:t>]</w:t>
              <w:tab/>
            </w:r>
            <w:r>
              <w:rPr>
                <w:rStyle w:val="IndexLink"/>
              </w:rPr>
              <w:t>277</w:t>
            </w:r>
          </w:hyperlink>
        </w:p>
        <w:p>
          <w:pPr>
            <w:pStyle w:val="Contents4"/>
            <w:tabs>
              <w:tab w:val="clear" w:pos="8176"/>
              <w:tab w:val="right" w:pos="9026" w:leader="dot"/>
            </w:tabs>
            <w:rPr/>
          </w:pPr>
          <w:hyperlink w:anchor="__RefHeading___Toc4413746_3224264995">
            <w:r>
              <w:rPr>
                <w:webHidden/>
                <w:rStyle w:val="IndexLink"/>
                <w:rtl w:val="true"/>
              </w:rPr>
              <w:t>[</w:t>
            </w:r>
            <w:r>
              <w:rPr>
                <w:rStyle w:val="IndexLink"/>
                <w:rtl w:val="true"/>
              </w:rPr>
              <w:t>قول المصنف حین تألیف الرسالة</w:t>
            </w:r>
            <w:r>
              <w:rPr>
                <w:rStyle w:val="IndexLink"/>
                <w:rtl w:val="true"/>
              </w:rPr>
              <w:t>]</w:t>
              <w:tab/>
            </w:r>
            <w:r>
              <w:rPr>
                <w:rStyle w:val="IndexLink"/>
              </w:rPr>
              <w:t>278</w:t>
            </w:r>
          </w:hyperlink>
        </w:p>
        <w:p>
          <w:pPr>
            <w:pStyle w:val="Contents3"/>
            <w:tabs>
              <w:tab w:val="clear" w:pos="8459"/>
              <w:tab w:val="right" w:pos="9026" w:leader="dot"/>
            </w:tabs>
            <w:rPr/>
          </w:pPr>
          <w:hyperlink w:anchor="__RefHeading___Toc4413748_3224264995">
            <w:r>
              <w:rPr>
                <w:webHidden/>
                <w:rStyle w:val="IndexLink"/>
                <w:rtl w:val="true"/>
              </w:rPr>
              <w:t>[</w:t>
            </w:r>
            <w:r>
              <w:rPr>
                <w:rStyle w:val="IndexLink"/>
                <w:rtl w:val="true"/>
              </w:rPr>
              <w:t>التقاریر الستة</w:t>
            </w:r>
            <w:r>
              <w:rPr>
                <w:rStyle w:val="IndexLink"/>
                <w:rtl w:val="true"/>
              </w:rPr>
              <w:t>]</w:t>
              <w:tab/>
            </w:r>
            <w:r>
              <w:rPr>
                <w:rStyle w:val="IndexLink"/>
              </w:rPr>
              <w:t>278</w:t>
            </w:r>
          </w:hyperlink>
        </w:p>
        <w:p>
          <w:pPr>
            <w:pStyle w:val="Contents4"/>
            <w:tabs>
              <w:tab w:val="clear" w:pos="8176"/>
              <w:tab w:val="right" w:pos="9026" w:leader="dot"/>
            </w:tabs>
            <w:rPr/>
          </w:pPr>
          <w:hyperlink w:anchor="__RefHeading___Toc4413750_3224264995">
            <w:r>
              <w:rPr>
                <w:webHidden/>
                <w:rStyle w:val="IndexLink"/>
                <w:rtl w:val="true"/>
              </w:rPr>
              <w:t>[</w:t>
            </w:r>
            <w:r>
              <w:rPr>
                <w:rStyle w:val="IndexLink"/>
                <w:rtl w:val="true"/>
              </w:rPr>
              <w:t>قول المصنف حین تألیف الرسالة</w:t>
            </w:r>
            <w:r>
              <w:rPr>
                <w:rStyle w:val="IndexLink"/>
                <w:rtl w:val="true"/>
              </w:rPr>
              <w:t>]</w:t>
              <w:tab/>
            </w:r>
            <w:r>
              <w:rPr>
                <w:rStyle w:val="IndexLink"/>
              </w:rPr>
              <w:t>278</w:t>
            </w:r>
          </w:hyperlink>
        </w:p>
        <w:p>
          <w:pPr>
            <w:pStyle w:val="Contents3"/>
            <w:tabs>
              <w:tab w:val="clear" w:pos="8459"/>
              <w:tab w:val="right" w:pos="9026" w:leader="dot"/>
            </w:tabs>
            <w:rPr/>
          </w:pPr>
          <w:hyperlink w:anchor="__RefHeading___Toc4413752_3224264995">
            <w:r>
              <w:rPr>
                <w:webHidden/>
                <w:rStyle w:val="IndexLink"/>
                <w:rtl w:val="true"/>
              </w:rPr>
              <w:t>[</w:t>
            </w:r>
            <w:r>
              <w:rPr>
                <w:rStyle w:val="IndexLink"/>
                <w:rtl w:val="true"/>
              </w:rPr>
              <w:t>التقاریر الستة</w:t>
            </w:r>
            <w:r>
              <w:rPr>
                <w:rStyle w:val="IndexLink"/>
                <w:rtl w:val="true"/>
              </w:rPr>
              <w:t>]</w:t>
              <w:tab/>
            </w:r>
            <w:r>
              <w:rPr>
                <w:rStyle w:val="IndexLink"/>
              </w:rPr>
              <w:t>278</w:t>
            </w:r>
          </w:hyperlink>
        </w:p>
        <w:p>
          <w:pPr>
            <w:pStyle w:val="Contents4"/>
            <w:tabs>
              <w:tab w:val="clear" w:pos="8176"/>
              <w:tab w:val="right" w:pos="9026" w:leader="dot"/>
            </w:tabs>
            <w:rPr/>
          </w:pPr>
          <w:hyperlink w:anchor="__RefHeading___Toc4413754_3224264995">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413756_3224264995">
            <w:r>
              <w:rPr>
                <w:webHidden/>
                <w:rStyle w:val="IndexLink"/>
                <w:rtl w:val="true"/>
              </w:rPr>
              <w:t>التقریر الثالث</w:t>
            </w:r>
            <w:r>
              <w:rPr>
                <w:rStyle w:val="IndexLink"/>
                <w:rtl w:val="true"/>
              </w:rPr>
              <w:tab/>
            </w:r>
            <w:r>
              <w:rPr>
                <w:rStyle w:val="IndexLink"/>
              </w:rPr>
              <w:t>281</w:t>
            </w:r>
          </w:hyperlink>
        </w:p>
        <w:p>
          <w:pPr>
            <w:pStyle w:val="Contents5"/>
            <w:tabs>
              <w:tab w:val="clear" w:pos="7892"/>
              <w:tab w:val="right" w:pos="9026" w:leader="dot"/>
            </w:tabs>
            <w:rPr/>
          </w:pPr>
          <w:hyperlink w:anchor="__RefHeading___Toc4413758_3224264995">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4413760_3224264995">
            <w:r>
              <w:rPr>
                <w:webHidden/>
                <w:rStyle w:val="IndexLink"/>
                <w:rtl w:val="true"/>
              </w:rPr>
              <w:t>[</w:t>
            </w:r>
            <w:r>
              <w:rPr>
                <w:rStyle w:val="IndexLink"/>
                <w:rtl w:val="true"/>
              </w:rPr>
              <w:t>توهم القائلون بالتداخل</w:t>
            </w:r>
            <w:r>
              <w:rPr>
                <w:rStyle w:val="IndexLink"/>
                <w:rtl w:val="true"/>
              </w:rPr>
              <w:t>]</w:t>
              <w:tab/>
            </w:r>
            <w:r>
              <w:rPr>
                <w:rStyle w:val="IndexLink"/>
              </w:rPr>
              <w:t>281</w:t>
            </w:r>
          </w:hyperlink>
        </w:p>
        <w:p>
          <w:pPr>
            <w:pStyle w:val="Contents5"/>
            <w:tabs>
              <w:tab w:val="clear" w:pos="7892"/>
              <w:tab w:val="right" w:pos="9026" w:leader="dot"/>
            </w:tabs>
            <w:rPr/>
          </w:pPr>
          <w:hyperlink w:anchor="__RefHeading___Toc4413762_3224264995">
            <w:r>
              <w:rPr>
                <w:webHidden/>
                <w:rStyle w:val="IndexLink"/>
                <w:rtl w:val="true"/>
              </w:rPr>
              <w:t>[</w:t>
            </w:r>
            <w:r>
              <w:rPr>
                <w:rStyle w:val="IndexLink"/>
                <w:rtl w:val="true"/>
              </w:rPr>
              <w:t>دفع التوهم</w:t>
            </w:r>
            <w:r>
              <w:rPr>
                <w:rStyle w:val="IndexLink"/>
                <w:rtl w:val="true"/>
              </w:rPr>
              <w:t>]</w:t>
              <w:tab/>
            </w:r>
            <w:r>
              <w:rPr>
                <w:rStyle w:val="IndexLink"/>
              </w:rPr>
              <w:t>281</w:t>
            </w:r>
          </w:hyperlink>
        </w:p>
        <w:p>
          <w:pPr>
            <w:pStyle w:val="Contents4"/>
            <w:tabs>
              <w:tab w:val="clear" w:pos="8176"/>
              <w:tab w:val="right" w:pos="9026" w:leader="dot"/>
            </w:tabs>
            <w:rPr/>
          </w:pPr>
          <w:hyperlink w:anchor="__RefHeading___Toc4413764_3224264995">
            <w:r>
              <w:rPr>
                <w:webHidden/>
                <w:rStyle w:val="IndexLink"/>
                <w:rtl w:val="true"/>
              </w:rPr>
              <w:t>التقریر الرابع</w:t>
            </w:r>
            <w:r>
              <w:rPr>
                <w:rStyle w:val="IndexLink"/>
                <w:rtl w:val="true"/>
              </w:rPr>
              <w:tab/>
            </w:r>
            <w:r>
              <w:rPr>
                <w:rStyle w:val="IndexLink"/>
              </w:rPr>
              <w:t>284</w:t>
            </w:r>
          </w:hyperlink>
        </w:p>
        <w:p>
          <w:pPr>
            <w:pStyle w:val="Contents4"/>
            <w:tabs>
              <w:tab w:val="clear" w:pos="8176"/>
              <w:tab w:val="right" w:pos="9026" w:leader="dot"/>
            </w:tabs>
            <w:rPr/>
          </w:pPr>
          <w:hyperlink w:anchor="__RefHeading___Toc4413766_3224264995">
            <w:r>
              <w:rPr>
                <w:webHidden/>
                <w:rStyle w:val="IndexLink"/>
                <w:rtl w:val="true"/>
              </w:rPr>
              <w:t>التقریر الخامس</w:t>
            </w:r>
            <w:r>
              <w:rPr>
                <w:rStyle w:val="IndexLink"/>
                <w:rtl w:val="true"/>
              </w:rPr>
              <w:tab/>
            </w:r>
            <w:r>
              <w:rPr>
                <w:rStyle w:val="IndexLink"/>
              </w:rPr>
              <w:t>284</w:t>
            </w:r>
          </w:hyperlink>
        </w:p>
        <w:p>
          <w:pPr>
            <w:pStyle w:val="Contents5"/>
            <w:tabs>
              <w:tab w:val="clear" w:pos="7892"/>
              <w:tab w:val="right" w:pos="9026" w:leader="dot"/>
            </w:tabs>
            <w:rPr/>
          </w:pPr>
          <w:hyperlink w:anchor="__RefHeading___Toc4413768_3224264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4413770_3224264995">
            <w:r>
              <w:rPr>
                <w:webHidden/>
                <w:rStyle w:val="IndexLink"/>
                <w:rtl w:val="true"/>
              </w:rPr>
              <w:t>[</w:t>
            </w:r>
            <w:r>
              <w:rPr>
                <w:rStyle w:val="IndexLink"/>
                <w:rtl w:val="true"/>
              </w:rPr>
              <w:t>بعض الأخبار الدالة علی عدم التداخل</w:t>
            </w:r>
            <w:r>
              <w:rPr>
                <w:rStyle w:val="IndexLink"/>
                <w:rtl w:val="true"/>
              </w:rPr>
              <w:t>]</w:t>
              <w:tab/>
            </w:r>
            <w:r>
              <w:rPr>
                <w:rStyle w:val="IndexLink"/>
              </w:rPr>
              <w:t>284</w:t>
            </w:r>
          </w:hyperlink>
        </w:p>
        <w:p>
          <w:pPr>
            <w:pStyle w:val="Contents4"/>
            <w:tabs>
              <w:tab w:val="clear" w:pos="8176"/>
              <w:tab w:val="right" w:pos="9026" w:leader="dot"/>
            </w:tabs>
            <w:rPr/>
          </w:pPr>
          <w:hyperlink w:anchor="__RefHeading___Toc4413772_3224264995">
            <w:r>
              <w:rPr>
                <w:webHidden/>
                <w:rStyle w:val="IndexLink"/>
                <w:rtl w:val="true"/>
              </w:rPr>
              <w:t>التقریر السادس</w:t>
            </w:r>
            <w:r>
              <w:rPr>
                <w:rStyle w:val="IndexLink"/>
                <w:rtl w:val="true"/>
              </w:rPr>
              <w:tab/>
            </w:r>
            <w:r>
              <w:rPr>
                <w:rStyle w:val="IndexLink"/>
              </w:rPr>
              <w:t>286</w:t>
            </w:r>
          </w:hyperlink>
        </w:p>
        <w:p>
          <w:pPr>
            <w:pStyle w:val="Contents3"/>
            <w:tabs>
              <w:tab w:val="clear" w:pos="8459"/>
              <w:tab w:val="right" w:pos="9026" w:leader="dot"/>
            </w:tabs>
            <w:rPr/>
          </w:pPr>
          <w:hyperlink w:anchor="__RefHeading___Toc4413774_3224264995">
            <w:r>
              <w:rPr>
                <w:webHidden/>
                <w:rStyle w:val="IndexLink"/>
                <w:rtl w:val="true"/>
              </w:rPr>
              <w:t>[</w:t>
            </w:r>
            <w:r>
              <w:rPr>
                <w:rStyle w:val="IndexLink"/>
                <w:rtl w:val="true"/>
              </w:rPr>
              <w:t>نقل کلام المحقق الشیروانی و نقده مجملاً</w:t>
            </w:r>
            <w:r>
              <w:rPr>
                <w:rStyle w:val="IndexLink"/>
                <w:rtl w:val="true"/>
              </w:rPr>
              <w:t>]</w:t>
              <w:tab/>
            </w:r>
            <w:r>
              <w:rPr>
                <w:rStyle w:val="IndexLink"/>
              </w:rPr>
              <w:t>286</w:t>
            </w:r>
          </w:hyperlink>
        </w:p>
        <w:p>
          <w:pPr>
            <w:pStyle w:val="Contents3"/>
            <w:tabs>
              <w:tab w:val="clear" w:pos="8459"/>
              <w:tab w:val="right" w:pos="9026" w:leader="dot"/>
            </w:tabs>
            <w:rPr/>
          </w:pPr>
          <w:hyperlink w:anchor="__RefHeading___Toc4413776_3224264995">
            <w:r>
              <w:rPr>
                <w:webHidden/>
                <w:rStyle w:val="IndexLink"/>
                <w:rtl w:val="true"/>
              </w:rPr>
              <w:t>[</w:t>
            </w:r>
            <w:r>
              <w:rPr>
                <w:rStyle w:val="IndexLink"/>
                <w:rtl w:val="true"/>
              </w:rPr>
              <w:t>نقل کلام المحقق الشیروانی و نقده مفصلا</w:t>
            </w:r>
            <w:r>
              <w:rPr>
                <w:rStyle w:val="IndexLink"/>
                <w:rtl w:val="true"/>
              </w:rPr>
              <w:t>]</w:t>
              <w:tab/>
            </w:r>
            <w:r>
              <w:rPr>
                <w:rStyle w:val="IndexLink"/>
              </w:rPr>
              <w:t>289</w:t>
            </w:r>
          </w:hyperlink>
        </w:p>
        <w:p>
          <w:pPr>
            <w:pStyle w:val="Contents3"/>
            <w:tabs>
              <w:tab w:val="clear" w:pos="8459"/>
              <w:tab w:val="right" w:pos="9026" w:leader="dot"/>
            </w:tabs>
            <w:rPr/>
          </w:pPr>
          <w:hyperlink w:anchor="__RefHeading___Toc4413778_3224264995">
            <w:r>
              <w:rPr>
                <w:webHidden/>
                <w:rStyle w:val="IndexLink"/>
                <w:rtl w:val="true"/>
              </w:rPr>
              <w:t>[</w:t>
            </w:r>
            <w:r>
              <w:rPr>
                <w:rStyle w:val="IndexLink"/>
                <w:rtl w:val="true"/>
              </w:rPr>
              <w:t>کلام العلامة فی مختلف الشیعة</w:t>
            </w:r>
            <w:r>
              <w:rPr>
                <w:rStyle w:val="IndexLink"/>
                <w:rtl w:val="true"/>
              </w:rPr>
              <w:t>]</w:t>
              <w:tab/>
            </w:r>
            <w:r>
              <w:rPr>
                <w:rStyle w:val="IndexLink"/>
              </w:rPr>
              <w:t>295</w:t>
            </w:r>
          </w:hyperlink>
        </w:p>
        <w:p>
          <w:pPr>
            <w:pStyle w:val="Contents3"/>
            <w:tabs>
              <w:tab w:val="clear" w:pos="8459"/>
              <w:tab w:val="right" w:pos="9026" w:leader="dot"/>
            </w:tabs>
            <w:rPr/>
          </w:pPr>
          <w:hyperlink w:anchor="__RefHeading___Toc4413780_3224264995">
            <w:r>
              <w:rPr>
                <w:webHidden/>
                <w:rStyle w:val="IndexLink"/>
                <w:rtl w:val="true"/>
              </w:rPr>
              <w:t>[</w:t>
            </w:r>
            <w:r>
              <w:rPr>
                <w:rStyle w:val="IndexLink"/>
                <w:rtl w:val="true"/>
              </w:rPr>
              <w:t>نقل کلام العلامة</w:t>
            </w:r>
            <w:r>
              <w:rPr>
                <w:rStyle w:val="IndexLink"/>
                <w:rtl w:val="true"/>
              </w:rPr>
              <w:t>]</w:t>
              <w:tab/>
            </w:r>
            <w:r>
              <w:rPr>
                <w:rStyle w:val="IndexLink"/>
              </w:rPr>
              <w:t>296</w:t>
            </w:r>
          </w:hyperlink>
        </w:p>
        <w:p>
          <w:pPr>
            <w:pStyle w:val="Contents3"/>
            <w:tabs>
              <w:tab w:val="clear" w:pos="8459"/>
              <w:tab w:val="right" w:pos="9026" w:leader="dot"/>
            </w:tabs>
            <w:rPr/>
          </w:pPr>
          <w:hyperlink w:anchor="__RefHeading___Toc4413782_3224264995">
            <w:r>
              <w:rPr>
                <w:webHidden/>
                <w:rStyle w:val="IndexLink"/>
                <w:rtl w:val="true"/>
              </w:rPr>
              <w:t>[</w:t>
            </w:r>
            <w:r>
              <w:rPr>
                <w:rStyle w:val="IndexLink"/>
                <w:rtl w:val="true"/>
              </w:rPr>
              <w:t>عود إلی کلام المحقق الشیروانی و نقده</w:t>
            </w:r>
            <w:r>
              <w:rPr>
                <w:rStyle w:val="IndexLink"/>
                <w:rtl w:val="true"/>
              </w:rPr>
              <w:t>]</w:t>
              <w:tab/>
            </w:r>
            <w:r>
              <w:rPr>
                <w:rStyle w:val="IndexLink"/>
              </w:rPr>
              <w:t>296</w:t>
            </w:r>
          </w:hyperlink>
        </w:p>
        <w:p>
          <w:pPr>
            <w:pStyle w:val="Contents3"/>
            <w:tabs>
              <w:tab w:val="clear" w:pos="8459"/>
              <w:tab w:val="right" w:pos="9026" w:leader="dot"/>
            </w:tabs>
            <w:rPr/>
          </w:pPr>
          <w:hyperlink w:anchor="__RefHeading___Toc4413784_3224264995">
            <w:r>
              <w:rPr>
                <w:webHidden/>
                <w:rStyle w:val="IndexLink"/>
                <w:rtl w:val="true"/>
              </w:rPr>
              <w:t>[</w:t>
            </w:r>
            <w:r>
              <w:rPr>
                <w:rStyle w:val="IndexLink"/>
                <w:rtl w:val="true"/>
              </w:rPr>
              <w:t>بیان سائر وجوه النظر فی کلام العلاّمة</w:t>
            </w:r>
            <w:r>
              <w:rPr>
                <w:rStyle w:val="IndexLink"/>
                <w:rtl w:val="true"/>
              </w:rPr>
              <w:t>]</w:t>
              <w:tab/>
            </w:r>
            <w:r>
              <w:rPr>
                <w:rStyle w:val="IndexLink"/>
              </w:rPr>
              <w:t>298</w:t>
            </w:r>
          </w:hyperlink>
        </w:p>
        <w:p>
          <w:pPr>
            <w:pStyle w:val="Contents3"/>
            <w:tabs>
              <w:tab w:val="clear" w:pos="8459"/>
              <w:tab w:val="right" w:pos="9026" w:leader="dot"/>
            </w:tabs>
            <w:rPr/>
          </w:pPr>
          <w:hyperlink w:anchor="__RefHeading___Toc4413786_3224264995">
            <w:r>
              <w:rPr>
                <w:webHidden/>
                <w:rStyle w:val="IndexLink"/>
                <w:rtl w:val="true"/>
              </w:rPr>
              <w:t>[</w:t>
            </w:r>
            <w:r>
              <w:rPr>
                <w:rStyle w:val="IndexLink"/>
                <w:rtl w:val="true"/>
              </w:rPr>
              <w:t>عود إلی کلام العلاّمة فی المختلف و نقده</w:t>
            </w:r>
            <w:r>
              <w:rPr>
                <w:rStyle w:val="IndexLink"/>
                <w:rtl w:val="true"/>
              </w:rPr>
              <w:t>]</w:t>
              <w:tab/>
            </w:r>
            <w:r>
              <w:rPr>
                <w:rStyle w:val="IndexLink"/>
              </w:rPr>
              <w:t>298</w:t>
            </w:r>
          </w:hyperlink>
        </w:p>
        <w:p>
          <w:pPr>
            <w:pStyle w:val="Contents3"/>
            <w:tabs>
              <w:tab w:val="clear" w:pos="8459"/>
              <w:tab w:val="right" w:pos="9026" w:leader="dot"/>
            </w:tabs>
            <w:rPr/>
          </w:pPr>
          <w:hyperlink w:anchor="__RefHeading___Toc4413788_3224264995">
            <w:r>
              <w:rPr>
                <w:webHidden/>
                <w:rStyle w:val="IndexLink"/>
                <w:rtl w:val="true"/>
              </w:rPr>
              <w:t>[</w:t>
            </w:r>
            <w:r>
              <w:rPr>
                <w:rStyle w:val="IndexLink"/>
                <w:rtl w:val="true"/>
              </w:rPr>
              <w:t>تتمیم فی نقل کلام صاحب السرائر</w:t>
            </w:r>
            <w:r>
              <w:rPr>
                <w:rStyle w:val="IndexLink"/>
                <w:rtl w:val="true"/>
              </w:rPr>
              <w:t>]</w:t>
              <w:tab/>
            </w:r>
            <w:r>
              <w:rPr>
                <w:rStyle w:val="IndexLink"/>
              </w:rPr>
              <w:t>308</w:t>
            </w:r>
          </w:hyperlink>
        </w:p>
        <w:p>
          <w:pPr>
            <w:pStyle w:val="Contents3"/>
            <w:tabs>
              <w:tab w:val="clear" w:pos="8459"/>
              <w:tab w:val="right" w:pos="9026" w:leader="dot"/>
            </w:tabs>
            <w:rPr/>
          </w:pPr>
          <w:hyperlink w:anchor="__RefHeading___Toc4413790_3224264995">
            <w:r>
              <w:rPr>
                <w:webHidden/>
                <w:rStyle w:val="IndexLink"/>
                <w:rtl w:val="true"/>
              </w:rPr>
              <w:t>[</w:t>
            </w:r>
            <w:r>
              <w:rPr>
                <w:rStyle w:val="IndexLink"/>
                <w:rtl w:val="true"/>
              </w:rPr>
              <w:t>المناقشة مع صاحب السرائر</w:t>
            </w:r>
            <w:r>
              <w:rPr>
                <w:rStyle w:val="IndexLink"/>
                <w:rtl w:val="true"/>
              </w:rPr>
              <w:t>]</w:t>
              <w:tab/>
            </w:r>
            <w:r>
              <w:rPr>
                <w:rStyle w:val="IndexLink"/>
              </w:rPr>
              <w:t>310</w:t>
            </w:r>
          </w:hyperlink>
        </w:p>
        <w:p>
          <w:pPr>
            <w:pStyle w:val="Contents3"/>
            <w:tabs>
              <w:tab w:val="clear" w:pos="8459"/>
              <w:tab w:val="right" w:pos="9026" w:leader="dot"/>
            </w:tabs>
            <w:rPr/>
          </w:pPr>
          <w:hyperlink w:anchor="__RefHeading___Toc4413792_3224264995">
            <w:r>
              <w:rPr>
                <w:webHidden/>
                <w:rStyle w:val="IndexLink"/>
                <w:rtl w:val="true"/>
              </w:rPr>
              <w:t>[</w:t>
            </w:r>
            <w:r>
              <w:rPr>
                <w:rStyle w:val="IndexLink"/>
                <w:rtl w:val="true"/>
              </w:rPr>
              <w:t>تقریر المعارضة فی المقام</w:t>
            </w:r>
            <w:r>
              <w:rPr>
                <w:rStyle w:val="IndexLink"/>
                <w:rtl w:val="true"/>
              </w:rPr>
              <w:t>]</w:t>
              <w:tab/>
            </w:r>
            <w:r>
              <w:rPr>
                <w:rStyle w:val="IndexLink"/>
              </w:rPr>
              <w:t>312</w:t>
            </w:r>
          </w:hyperlink>
        </w:p>
        <w:p>
          <w:pPr>
            <w:pStyle w:val="Contents3"/>
            <w:tabs>
              <w:tab w:val="clear" w:pos="8459"/>
              <w:tab w:val="right" w:pos="9026" w:leader="dot"/>
            </w:tabs>
            <w:rPr/>
          </w:pPr>
          <w:hyperlink w:anchor="__RefHeading___Toc4413794_3224264995">
            <w:r>
              <w:rPr>
                <w:webHidden/>
                <w:rStyle w:val="IndexLink"/>
                <w:rtl w:val="true"/>
              </w:rPr>
              <w:t>[</w:t>
            </w:r>
            <w:r>
              <w:rPr>
                <w:rStyle w:val="IndexLink"/>
                <w:rtl w:val="true"/>
              </w:rPr>
              <w:t>الوجه الأول من تقریر المعارضة</w:t>
            </w:r>
            <w:r>
              <w:rPr>
                <w:rStyle w:val="IndexLink"/>
                <w:rtl w:val="true"/>
              </w:rPr>
              <w:t>]</w:t>
              <w:tab/>
            </w:r>
            <w:r>
              <w:rPr>
                <w:rStyle w:val="IndexLink"/>
              </w:rPr>
              <w:t>313</w:t>
            </w:r>
          </w:hyperlink>
        </w:p>
        <w:p>
          <w:pPr>
            <w:pStyle w:val="Contents3"/>
            <w:tabs>
              <w:tab w:val="clear" w:pos="8459"/>
              <w:tab w:val="right" w:pos="9026" w:leader="dot"/>
            </w:tabs>
            <w:rPr/>
          </w:pPr>
          <w:hyperlink w:anchor="__RefHeading___Toc4413796_3224264995">
            <w:r>
              <w:rPr>
                <w:webHidden/>
                <w:rStyle w:val="IndexLink"/>
                <w:rtl w:val="true"/>
              </w:rPr>
              <w:t>[</w:t>
            </w:r>
            <w:r>
              <w:rPr>
                <w:rStyle w:val="IndexLink"/>
                <w:rtl w:val="true"/>
              </w:rPr>
              <w:t>حصیلة التحقیق</w:t>
            </w:r>
            <w:r>
              <w:rPr>
                <w:rStyle w:val="IndexLink"/>
                <w:rtl w:val="true"/>
              </w:rPr>
              <w:t>]</w:t>
              <w:tab/>
            </w:r>
            <w:r>
              <w:rPr>
                <w:rStyle w:val="IndexLink"/>
              </w:rPr>
              <w:t>315</w:t>
            </w:r>
          </w:hyperlink>
        </w:p>
        <w:p>
          <w:pPr>
            <w:pStyle w:val="Contents3"/>
            <w:tabs>
              <w:tab w:val="clear" w:pos="8459"/>
              <w:tab w:val="right" w:pos="9026" w:leader="dot"/>
            </w:tabs>
            <w:rPr/>
          </w:pPr>
          <w:hyperlink w:anchor="__RefHeading___Toc4413798_3224264995">
            <w:r>
              <w:rPr>
                <w:webHidden/>
                <w:rStyle w:val="IndexLink"/>
                <w:rtl w:val="true"/>
              </w:rPr>
              <w:t>[</w:t>
            </w:r>
            <w:r>
              <w:rPr>
                <w:rStyle w:val="IndexLink"/>
                <w:rtl w:val="true"/>
              </w:rPr>
              <w:t>کلام المحقق الخوانساری فی المشارق</w:t>
            </w:r>
            <w:r>
              <w:rPr>
                <w:rStyle w:val="IndexLink"/>
                <w:rtl w:val="true"/>
              </w:rPr>
              <w:t>]</w:t>
              <w:tab/>
            </w:r>
            <w:r>
              <w:rPr>
                <w:rStyle w:val="IndexLink"/>
              </w:rPr>
              <w:t>316</w:t>
            </w:r>
          </w:hyperlink>
        </w:p>
        <w:p>
          <w:pPr>
            <w:pStyle w:val="Contents3"/>
            <w:tabs>
              <w:tab w:val="clear" w:pos="8459"/>
              <w:tab w:val="right" w:pos="9026" w:leader="dot"/>
            </w:tabs>
            <w:rPr/>
          </w:pPr>
          <w:hyperlink w:anchor="__RefHeading___Toc4413800_3224264995">
            <w:r>
              <w:rPr>
                <w:webHidden/>
                <w:rStyle w:val="IndexLink"/>
                <w:rtl w:val="true"/>
              </w:rPr>
              <w:t>مصادر التحقیق</w:t>
            </w:r>
            <w:r>
              <w:rPr>
                <w:rStyle w:val="IndexLink"/>
                <w:rtl w:val="true"/>
              </w:rPr>
              <w:tab/>
            </w:r>
            <w:r>
              <w:rPr>
                <w:rStyle w:val="IndexLink"/>
              </w:rPr>
              <w:t>319</w:t>
            </w:r>
          </w:hyperlink>
        </w:p>
        <w:p>
          <w:pPr>
            <w:pStyle w:val="Contents2"/>
            <w:tabs>
              <w:tab w:val="clear" w:pos="8743"/>
              <w:tab w:val="right" w:pos="9026" w:leader="dot"/>
            </w:tabs>
            <w:rPr/>
          </w:pPr>
          <w:hyperlink w:anchor="__RefHeading___Toc4413802_3224264995">
            <w:r>
              <w:rPr>
                <w:webHidden/>
                <w:rStyle w:val="IndexLink"/>
                <w:rtl w:val="true"/>
              </w:rPr>
              <w:t>حقیقت منی، مذی، وذی و ودی</w:t>
            </w:r>
            <w:r>
              <w:rPr>
                <w:rStyle w:val="IndexLink"/>
                <w:rtl w:val="true"/>
              </w:rPr>
              <w:tab/>
            </w:r>
            <w:r>
              <w:rPr>
                <w:rStyle w:val="IndexLink"/>
              </w:rPr>
              <w:t>323</w:t>
            </w:r>
          </w:hyperlink>
        </w:p>
        <w:p>
          <w:pPr>
            <w:pStyle w:val="Contents3"/>
            <w:tabs>
              <w:tab w:val="clear" w:pos="8459"/>
              <w:tab w:val="right" w:pos="9026" w:leader="dot"/>
            </w:tabs>
            <w:rPr/>
          </w:pPr>
          <w:hyperlink w:anchor="__RefHeading___Toc4413804_3224264995">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4413806_3224264995">
            <w:r>
              <w:rPr>
                <w:webHidden/>
                <w:rStyle w:val="IndexLink"/>
                <w:rtl w:val="true"/>
              </w:rPr>
              <w:t>مقدمه محقق</w:t>
            </w:r>
            <w:r>
              <w:rPr>
                <w:rStyle w:val="IndexLink"/>
                <w:rtl w:val="true"/>
              </w:rPr>
              <w:tab/>
            </w:r>
            <w:r>
              <w:rPr>
                <w:rStyle w:val="IndexLink"/>
              </w:rPr>
              <w:t>323</w:t>
            </w:r>
          </w:hyperlink>
        </w:p>
        <w:p>
          <w:pPr>
            <w:pStyle w:val="Contents3"/>
            <w:tabs>
              <w:tab w:val="clear" w:pos="8459"/>
              <w:tab w:val="right" w:pos="9026" w:leader="dot"/>
            </w:tabs>
            <w:rPr/>
          </w:pPr>
          <w:hyperlink w:anchor="__RefHeading___Toc4413808_3224264995">
            <w:r>
              <w:rPr>
                <w:webHidden/>
                <w:rStyle w:val="IndexLink"/>
                <w:rtl w:val="true"/>
              </w:rPr>
              <w:t>نگاهی کوتاه به زندگی مؤلّف</w:t>
            </w:r>
            <w:r>
              <w:rPr>
                <w:rStyle w:val="IndexLink"/>
                <w:rtl w:val="true"/>
              </w:rPr>
              <w:tab/>
            </w:r>
            <w:r>
              <w:rPr>
                <w:rStyle w:val="IndexLink"/>
              </w:rPr>
              <w:t>323</w:t>
            </w:r>
          </w:hyperlink>
        </w:p>
        <w:p>
          <w:pPr>
            <w:pStyle w:val="Contents3"/>
            <w:tabs>
              <w:tab w:val="clear" w:pos="8459"/>
              <w:tab w:val="right" w:pos="9026" w:leader="dot"/>
            </w:tabs>
            <w:rPr/>
          </w:pPr>
          <w:hyperlink w:anchor="__RefHeading___Toc4413810_3224264995">
            <w:r>
              <w:rPr>
                <w:webHidden/>
                <w:rStyle w:val="IndexLink"/>
                <w:rtl w:val="true"/>
              </w:rPr>
              <w:t>مولی محمدجعفر کرباسی از نگاه بزرگان</w:t>
            </w:r>
            <w:r>
              <w:rPr>
                <w:rStyle w:val="IndexLink"/>
                <w:rtl w:val="true"/>
              </w:rPr>
              <w:tab/>
            </w:r>
            <w:r>
              <w:rPr>
                <w:rStyle w:val="IndexLink"/>
              </w:rPr>
              <w:t>325</w:t>
            </w:r>
          </w:hyperlink>
        </w:p>
        <w:p>
          <w:pPr>
            <w:pStyle w:val="Contents3"/>
            <w:tabs>
              <w:tab w:val="clear" w:pos="8459"/>
              <w:tab w:val="right" w:pos="9026" w:leader="dot"/>
            </w:tabs>
            <w:rPr/>
          </w:pPr>
          <w:hyperlink w:anchor="__RefHeading___Toc4413812_3224264995">
            <w:r>
              <w:rPr>
                <w:webHidden/>
                <w:rStyle w:val="IndexLink"/>
                <w:rtl w:val="true"/>
              </w:rPr>
              <w:t>شاگردان</w:t>
            </w:r>
            <w:r>
              <w:rPr>
                <w:rStyle w:val="IndexLink"/>
                <w:rtl w:val="true"/>
              </w:rPr>
              <w:tab/>
            </w:r>
            <w:r>
              <w:rPr>
                <w:rStyle w:val="IndexLink"/>
              </w:rPr>
              <w:t>326</w:t>
            </w:r>
          </w:hyperlink>
        </w:p>
        <w:p>
          <w:pPr>
            <w:pStyle w:val="Contents3"/>
            <w:tabs>
              <w:tab w:val="clear" w:pos="8459"/>
              <w:tab w:val="right" w:pos="9026" w:leader="dot"/>
            </w:tabs>
            <w:rPr/>
          </w:pPr>
          <w:hyperlink w:anchor="__RefHeading___Toc4413814_3224264995">
            <w:r>
              <w:rPr>
                <w:webHidden/>
                <w:rStyle w:val="IndexLink"/>
                <w:rtl w:val="true"/>
              </w:rPr>
              <w:t>آثار و تألیفات</w:t>
            </w:r>
            <w:r>
              <w:rPr>
                <w:rStyle w:val="IndexLink"/>
                <w:rtl w:val="true"/>
              </w:rPr>
              <w:tab/>
            </w:r>
            <w:r>
              <w:rPr>
                <w:rStyle w:val="IndexLink"/>
              </w:rPr>
              <w:t>327</w:t>
            </w:r>
          </w:hyperlink>
        </w:p>
        <w:p>
          <w:pPr>
            <w:pStyle w:val="Contents3"/>
            <w:tabs>
              <w:tab w:val="clear" w:pos="8459"/>
              <w:tab w:val="right" w:pos="9026" w:leader="dot"/>
            </w:tabs>
            <w:rPr/>
          </w:pPr>
          <w:hyperlink w:anchor="__RefHeading___Toc4413816_3224264995">
            <w:r>
              <w:rPr>
                <w:webHidden/>
                <w:rStyle w:val="IndexLink"/>
                <w:rtl w:val="true"/>
              </w:rPr>
              <w:t>فرزندان</w:t>
            </w:r>
            <w:r>
              <w:rPr>
                <w:rStyle w:val="IndexLink"/>
                <w:rtl w:val="true"/>
              </w:rPr>
              <w:tab/>
            </w:r>
            <w:r>
              <w:rPr>
                <w:rStyle w:val="IndexLink"/>
              </w:rPr>
              <w:t>329</w:t>
            </w:r>
          </w:hyperlink>
        </w:p>
        <w:p>
          <w:pPr>
            <w:pStyle w:val="Contents3"/>
            <w:tabs>
              <w:tab w:val="clear" w:pos="8459"/>
              <w:tab w:val="right" w:pos="9026" w:leader="dot"/>
            </w:tabs>
            <w:rPr/>
          </w:pPr>
          <w:hyperlink w:anchor="__RefHeading___Toc4413818_3224264995">
            <w:r>
              <w:rPr>
                <w:webHidden/>
                <w:rStyle w:val="IndexLink"/>
                <w:rtl w:val="true"/>
              </w:rPr>
              <w:t>وفات</w:t>
            </w:r>
            <w:r>
              <w:rPr>
                <w:rStyle w:val="IndexLink"/>
                <w:rtl w:val="true"/>
              </w:rPr>
              <w:tab/>
            </w:r>
            <w:r>
              <w:rPr>
                <w:rStyle w:val="IndexLink"/>
              </w:rPr>
              <w:t>329</w:t>
            </w:r>
          </w:hyperlink>
        </w:p>
        <w:p>
          <w:pPr>
            <w:pStyle w:val="Contents3"/>
            <w:tabs>
              <w:tab w:val="clear" w:pos="8459"/>
              <w:tab w:val="right" w:pos="9026" w:leader="dot"/>
            </w:tabs>
            <w:rPr/>
          </w:pPr>
          <w:hyperlink w:anchor="__RefHeading___Toc4413820_3224264995">
            <w:r>
              <w:rPr>
                <w:webHidden/>
                <w:rStyle w:val="IndexLink"/>
                <w:rtl w:val="true"/>
              </w:rPr>
              <w:t>حقیقت منی، مذی، وذی و ودی</w:t>
            </w:r>
            <w:r>
              <w:rPr>
                <w:rStyle w:val="IndexLink"/>
                <w:rtl w:val="true"/>
              </w:rPr>
              <w:tab/>
            </w:r>
            <w:r>
              <w:rPr>
                <w:rStyle w:val="IndexLink"/>
              </w:rPr>
              <w:t>333</w:t>
            </w:r>
          </w:hyperlink>
        </w:p>
        <w:p>
          <w:pPr>
            <w:pStyle w:val="Contents4"/>
            <w:tabs>
              <w:tab w:val="clear" w:pos="8176"/>
              <w:tab w:val="right" w:pos="9026" w:leader="dot"/>
            </w:tabs>
            <w:rPr/>
          </w:pPr>
          <w:hyperlink w:anchor="__RefHeading___Toc4413822_3224264995">
            <w:r>
              <w:rPr>
                <w:webHidden/>
                <w:rStyle w:val="IndexLink"/>
                <w:rtl w:val="true"/>
              </w:rPr>
              <w:t>[</w:t>
            </w:r>
            <w:r>
              <w:rPr>
                <w:rStyle w:val="IndexLink"/>
                <w:rtl w:val="true"/>
              </w:rPr>
              <w:t>منی چیست؟</w:t>
            </w:r>
            <w:r>
              <w:rPr>
                <w:rStyle w:val="IndexLink"/>
                <w:rtl w:val="true"/>
              </w:rPr>
              <w:t>]</w:t>
              <w:tab/>
            </w:r>
            <w:r>
              <w:rPr>
                <w:rStyle w:val="IndexLink"/>
              </w:rPr>
              <w:t>333</w:t>
            </w:r>
          </w:hyperlink>
        </w:p>
        <w:p>
          <w:pPr>
            <w:pStyle w:val="Contents4"/>
            <w:tabs>
              <w:tab w:val="clear" w:pos="8176"/>
              <w:tab w:val="right" w:pos="9026" w:leader="dot"/>
            </w:tabs>
            <w:rPr/>
          </w:pPr>
          <w:hyperlink w:anchor="__RefHeading___Toc4413824_3224264995">
            <w:r>
              <w:rPr>
                <w:webHidden/>
                <w:rStyle w:val="IndexLink"/>
                <w:rtl w:val="true"/>
              </w:rPr>
              <w:t>[</w:t>
            </w:r>
            <w:r>
              <w:rPr>
                <w:rStyle w:val="IndexLink"/>
                <w:rtl w:val="true"/>
              </w:rPr>
              <w:t>مذی چیست؟</w:t>
            </w:r>
            <w:r>
              <w:rPr>
                <w:rStyle w:val="IndexLink"/>
                <w:rtl w:val="true"/>
              </w:rPr>
              <w:t>]</w:t>
              <w:tab/>
            </w:r>
            <w:r>
              <w:rPr>
                <w:rStyle w:val="IndexLink"/>
              </w:rPr>
              <w:t>334</w:t>
            </w:r>
          </w:hyperlink>
        </w:p>
        <w:p>
          <w:pPr>
            <w:pStyle w:val="Contents4"/>
            <w:tabs>
              <w:tab w:val="clear" w:pos="8176"/>
              <w:tab w:val="right" w:pos="9026" w:leader="dot"/>
            </w:tabs>
            <w:rPr/>
          </w:pPr>
          <w:hyperlink w:anchor="__RefHeading___Toc4413826_3224264995">
            <w:r>
              <w:rPr>
                <w:webHidden/>
                <w:rStyle w:val="IndexLink"/>
                <w:rtl w:val="true"/>
              </w:rPr>
              <w:t>[</w:t>
            </w:r>
            <w:r>
              <w:rPr>
                <w:rStyle w:val="IndexLink"/>
                <w:rtl w:val="true"/>
              </w:rPr>
              <w:t>وذی چیست؟</w:t>
            </w:r>
            <w:r>
              <w:rPr>
                <w:rStyle w:val="IndexLink"/>
                <w:rtl w:val="true"/>
              </w:rPr>
              <w:t>]</w:t>
              <w:tab/>
            </w:r>
            <w:r>
              <w:rPr>
                <w:rStyle w:val="IndexLink"/>
              </w:rPr>
              <w:t>338</w:t>
            </w:r>
          </w:hyperlink>
        </w:p>
        <w:p>
          <w:pPr>
            <w:pStyle w:val="Contents4"/>
            <w:tabs>
              <w:tab w:val="clear" w:pos="8176"/>
              <w:tab w:val="right" w:pos="9026" w:leader="dot"/>
            </w:tabs>
            <w:rPr/>
          </w:pPr>
          <w:hyperlink w:anchor="__RefHeading___Toc4413828_3224264995">
            <w:r>
              <w:rPr>
                <w:webHidden/>
                <w:rStyle w:val="IndexLink"/>
                <w:rtl w:val="true"/>
              </w:rPr>
              <w:t>[</w:t>
            </w:r>
            <w:r>
              <w:rPr>
                <w:rStyle w:val="IndexLink"/>
                <w:rtl w:val="true"/>
              </w:rPr>
              <w:t>ودی چیست؟</w:t>
            </w:r>
            <w:r>
              <w:rPr>
                <w:rStyle w:val="IndexLink"/>
                <w:rtl w:val="true"/>
              </w:rPr>
              <w:t>]</w:t>
              <w:tab/>
            </w:r>
            <w:r>
              <w:rPr>
                <w:rStyle w:val="IndexLink"/>
              </w:rPr>
              <w:t>339</w:t>
            </w:r>
          </w:hyperlink>
        </w:p>
        <w:p>
          <w:pPr>
            <w:pStyle w:val="Contents3"/>
            <w:tabs>
              <w:tab w:val="clear" w:pos="8459"/>
              <w:tab w:val="right" w:pos="9026" w:leader="dot"/>
            </w:tabs>
            <w:rPr/>
          </w:pPr>
          <w:hyperlink w:anchor="__RefHeading___Toc4413830_3224264995">
            <w:r>
              <w:rPr>
                <w:webHidden/>
                <w:rStyle w:val="IndexLink"/>
                <w:rtl w:val="true"/>
              </w:rPr>
              <w:t>منابع تحقق</w:t>
            </w:r>
            <w:r>
              <w:rPr>
                <w:rStyle w:val="IndexLink"/>
                <w:rtl w:val="true"/>
              </w:rPr>
              <w:tab/>
            </w:r>
            <w:r>
              <w:rPr>
                <w:rStyle w:val="IndexLink"/>
              </w:rPr>
              <w:t>341</w:t>
            </w:r>
          </w:hyperlink>
        </w:p>
        <w:p>
          <w:pPr>
            <w:pStyle w:val="Contents2"/>
            <w:tabs>
              <w:tab w:val="clear" w:pos="8743"/>
              <w:tab w:val="right" w:pos="9026" w:leader="dot"/>
            </w:tabs>
            <w:rPr/>
          </w:pPr>
          <w:hyperlink w:anchor="__RefHeading___Toc4413832_3224264995">
            <w:r>
              <w:rPr>
                <w:webHidden/>
                <w:rStyle w:val="IndexLink"/>
                <w:rtl w:val="true"/>
              </w:rPr>
              <w:t>لب النظر فی علم المنطق</w:t>
            </w:r>
            <w:r>
              <w:rPr>
                <w:rStyle w:val="IndexLink"/>
                <w:rtl w:val="true"/>
              </w:rPr>
              <w:tab/>
            </w:r>
            <w:r>
              <w:rPr>
                <w:rStyle w:val="IndexLink"/>
              </w:rPr>
              <w:t>351</w:t>
            </w:r>
          </w:hyperlink>
        </w:p>
        <w:p>
          <w:pPr>
            <w:pStyle w:val="Contents3"/>
            <w:tabs>
              <w:tab w:val="clear" w:pos="8459"/>
              <w:tab w:val="right" w:pos="9026" w:leader="dot"/>
            </w:tabs>
            <w:rPr/>
          </w:pPr>
          <w:hyperlink w:anchor="__RefHeading___Toc4413834_3224264995">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4413836_3224264995">
            <w:r>
              <w:rPr>
                <w:webHidden/>
                <w:rStyle w:val="IndexLink"/>
                <w:rtl w:val="true"/>
              </w:rPr>
              <w:t>مقدمه محقق</w:t>
            </w:r>
            <w:r>
              <w:rPr>
                <w:rStyle w:val="IndexLink"/>
                <w:rtl w:val="true"/>
              </w:rPr>
              <w:tab/>
            </w:r>
            <w:r>
              <w:rPr>
                <w:rStyle w:val="IndexLink"/>
              </w:rPr>
              <w:t>351</w:t>
            </w:r>
          </w:hyperlink>
        </w:p>
        <w:p>
          <w:pPr>
            <w:pStyle w:val="Contents4"/>
            <w:tabs>
              <w:tab w:val="clear" w:pos="8176"/>
              <w:tab w:val="right" w:pos="9026" w:leader="dot"/>
            </w:tabs>
            <w:rPr/>
          </w:pPr>
          <w:hyperlink w:anchor="__RefHeading___Toc4413838_3224264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413840_3224264995">
            <w:r>
              <w:rPr>
                <w:webHidden/>
                <w:rStyle w:val="IndexLink"/>
                <w:rtl w:val="true"/>
              </w:rPr>
              <w:t>نگاهی به زندگی ملاّ حبیب‌اللّه کاشانی</w:t>
            </w:r>
            <w:r>
              <w:rPr>
                <w:rStyle w:val="IndexLink"/>
                <w:rtl w:val="true"/>
              </w:rPr>
              <w:tab/>
            </w:r>
            <w:r>
              <w:rPr>
                <w:rStyle w:val="IndexLink"/>
              </w:rPr>
              <w:t>353</w:t>
            </w:r>
          </w:hyperlink>
        </w:p>
        <w:p>
          <w:pPr>
            <w:pStyle w:val="Contents3"/>
            <w:tabs>
              <w:tab w:val="clear" w:pos="8459"/>
              <w:tab w:val="right" w:pos="9026" w:leader="dot"/>
            </w:tabs>
            <w:rPr/>
          </w:pPr>
          <w:hyperlink w:anchor="__RefHeading___Toc4413842_3224264995">
            <w:r>
              <w:rPr>
                <w:webHidden/>
                <w:rStyle w:val="IndexLink"/>
                <w:rtl w:val="true"/>
              </w:rPr>
              <w:t>«</w:t>
            </w:r>
            <w:r>
              <w:rPr>
                <w:rStyle w:val="IndexLink"/>
                <w:rtl w:val="true"/>
              </w:rPr>
              <w:t>لبّ النظر</w:t>
            </w:r>
            <w:r>
              <w:rPr>
                <w:rStyle w:val="IndexLink"/>
                <w:rtl w:val="true"/>
              </w:rPr>
              <w:t>»</w:t>
              <w:tab/>
            </w:r>
            <w:r>
              <w:rPr>
                <w:rStyle w:val="IndexLink"/>
              </w:rPr>
              <w:t>356</w:t>
            </w:r>
          </w:hyperlink>
        </w:p>
        <w:p>
          <w:pPr>
            <w:pStyle w:val="Contents3"/>
            <w:tabs>
              <w:tab w:val="clear" w:pos="8459"/>
              <w:tab w:val="right" w:pos="9026" w:leader="dot"/>
            </w:tabs>
            <w:rPr/>
          </w:pPr>
          <w:hyperlink w:anchor="__RefHeading___Toc4413844_3224264995">
            <w:r>
              <w:rPr>
                <w:webHidden/>
                <w:rStyle w:val="IndexLink"/>
                <w:rtl w:val="true"/>
              </w:rPr>
              <w:t>[</w:t>
            </w:r>
            <w:r>
              <w:rPr>
                <w:rStyle w:val="IndexLink"/>
                <w:rtl w:val="true"/>
              </w:rPr>
              <w:t>الباب</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الألفاظ</w:t>
            </w:r>
            <w:r>
              <w:rPr>
                <w:rStyle w:val="IndexLink"/>
                <w:rtl w:val="true"/>
              </w:rPr>
              <w:tab/>
            </w:r>
            <w:r>
              <w:rPr>
                <w:rStyle w:val="IndexLink"/>
              </w:rPr>
              <w:t>357</w:t>
            </w:r>
          </w:hyperlink>
        </w:p>
        <w:p>
          <w:pPr>
            <w:pStyle w:val="Contents3"/>
            <w:tabs>
              <w:tab w:val="clear" w:pos="8459"/>
              <w:tab w:val="right" w:pos="9026" w:leader="dot"/>
            </w:tabs>
            <w:rPr/>
          </w:pPr>
          <w:hyperlink w:anchor="__RefHeading___Toc4413846_3224264995">
            <w:r>
              <w:rPr>
                <w:webHidden/>
                <w:rStyle w:val="IndexLink"/>
                <w:rtl w:val="true"/>
              </w:rPr>
              <w:t>[</w:t>
            </w:r>
            <w:r>
              <w:rPr>
                <w:rStyle w:val="IndexLink"/>
                <w:rtl w:val="true"/>
              </w:rPr>
              <w:t>الباب</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الألفاظ</w:t>
            </w:r>
            <w:r>
              <w:rPr>
                <w:rStyle w:val="IndexLink"/>
                <w:rtl w:val="true"/>
              </w:rPr>
              <w:tab/>
            </w:r>
            <w:r>
              <w:rPr>
                <w:rStyle w:val="IndexLink"/>
              </w:rPr>
              <w:t>357</w:t>
            </w:r>
          </w:hyperlink>
        </w:p>
        <w:p>
          <w:pPr>
            <w:pStyle w:val="Contents3"/>
            <w:tabs>
              <w:tab w:val="clear" w:pos="8459"/>
              <w:tab w:val="right" w:pos="9026" w:leader="dot"/>
            </w:tabs>
            <w:rPr/>
          </w:pPr>
          <w:hyperlink w:anchor="__RefHeading___Toc4413848_3224264995">
            <w:r>
              <w:rPr>
                <w:webHidden/>
                <w:rStyle w:val="IndexLink"/>
                <w:rtl w:val="true"/>
              </w:rPr>
              <w:t>[</w:t>
            </w:r>
            <w:r>
              <w:rPr>
                <w:rStyle w:val="IndexLink"/>
                <w:rtl w:val="true"/>
              </w:rPr>
              <w:t>الباب</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الألفاظ</w:t>
            </w:r>
            <w:r>
              <w:rPr>
                <w:rStyle w:val="IndexLink"/>
                <w:rtl w:val="true"/>
              </w:rPr>
              <w:tab/>
            </w:r>
            <w:r>
              <w:rPr>
                <w:rStyle w:val="IndexLink"/>
              </w:rPr>
              <w:t>358</w:t>
            </w:r>
          </w:hyperlink>
        </w:p>
        <w:p>
          <w:pPr>
            <w:pStyle w:val="Contents3"/>
            <w:tabs>
              <w:tab w:val="clear" w:pos="8459"/>
              <w:tab w:val="right" w:pos="9026" w:leader="dot"/>
            </w:tabs>
            <w:rPr/>
          </w:pPr>
          <w:hyperlink w:anchor="__RefHeading___Toc4413850_3224264995">
            <w:r>
              <w:rPr>
                <w:webHidden/>
                <w:rStyle w:val="IndexLink"/>
                <w:rtl w:val="true"/>
              </w:rPr>
              <w:t>[</w:t>
            </w:r>
            <w:r>
              <w:rPr>
                <w:rStyle w:val="IndexLink"/>
                <w:rtl w:val="true"/>
              </w:rPr>
              <w:t>الباب</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الألفاظ</w:t>
            </w:r>
            <w:r>
              <w:rPr>
                <w:rStyle w:val="IndexLink"/>
                <w:rtl w:val="true"/>
              </w:rPr>
              <w:tab/>
            </w:r>
            <w:r>
              <w:rPr>
                <w:rStyle w:val="IndexLink"/>
              </w:rPr>
              <w:t>358</w:t>
            </w:r>
          </w:hyperlink>
        </w:p>
        <w:p>
          <w:pPr>
            <w:pStyle w:val="Contents3"/>
            <w:tabs>
              <w:tab w:val="clear" w:pos="8459"/>
              <w:tab w:val="right" w:pos="9026" w:leader="dot"/>
            </w:tabs>
            <w:rPr/>
          </w:pPr>
          <w:hyperlink w:anchor="__RefHeading___Toc4413852_3224264995">
            <w:r>
              <w:rPr>
                <w:webHidden/>
                <w:rStyle w:val="IndexLink"/>
                <w:rtl w:val="true"/>
              </w:rPr>
              <w:t>فصل</w:t>
            </w:r>
            <w:r>
              <w:rPr>
                <w:rStyle w:val="IndexLink"/>
                <w:rtl w:val="true"/>
              </w:rPr>
              <w:tab/>
            </w:r>
            <w:r>
              <w:rPr>
                <w:rStyle w:val="IndexLink"/>
              </w:rPr>
              <w:t>359</w:t>
            </w:r>
          </w:hyperlink>
        </w:p>
        <w:p>
          <w:pPr>
            <w:pStyle w:val="Contents3"/>
            <w:tabs>
              <w:tab w:val="clear" w:pos="8459"/>
              <w:tab w:val="right" w:pos="9026" w:leader="dot"/>
            </w:tabs>
            <w:rPr/>
          </w:pPr>
          <w:hyperlink w:anchor="__RefHeading___Toc4413854_3224264995">
            <w:r>
              <w:rPr>
                <w:webHidden/>
                <w:rStyle w:val="IndexLink"/>
                <w:rtl w:val="true"/>
              </w:rPr>
              <w:t xml:space="preserve">الباب الخامس </w:t>
            </w:r>
            <w:r>
              <w:rPr>
                <w:rStyle w:val="IndexLink"/>
                <w:rtl w:val="true"/>
              </w:rPr>
              <w:t xml:space="preserve">: </w:t>
            </w:r>
            <w:r>
              <w:rPr>
                <w:rStyle w:val="IndexLink"/>
                <w:rtl w:val="true"/>
              </w:rPr>
              <w:t>فی القیاس</w:t>
            </w:r>
            <w:r>
              <w:rPr>
                <w:rStyle w:val="IndexLink"/>
                <w:rtl w:val="true"/>
              </w:rPr>
              <w:tab/>
            </w:r>
            <w:r>
              <w:rPr>
                <w:rStyle w:val="IndexLink"/>
              </w:rPr>
              <w:t>360</w:t>
            </w:r>
          </w:hyperlink>
        </w:p>
        <w:p>
          <w:pPr>
            <w:pStyle w:val="Contents3"/>
            <w:tabs>
              <w:tab w:val="clear" w:pos="8459"/>
              <w:tab w:val="right" w:pos="9026" w:leader="dot"/>
            </w:tabs>
            <w:rPr/>
          </w:pPr>
          <w:hyperlink w:anchor="__RefHeading___Toc4413856_3224264995">
            <w:r>
              <w:rPr>
                <w:webHidden/>
                <w:rStyle w:val="IndexLink"/>
                <w:rtl w:val="true"/>
              </w:rPr>
              <w:t xml:space="preserve">الباب السادس </w:t>
            </w:r>
            <w:r>
              <w:rPr>
                <w:rStyle w:val="IndexLink"/>
                <w:rtl w:val="true"/>
              </w:rPr>
              <w:t xml:space="preserve">: </w:t>
            </w:r>
            <w:r>
              <w:rPr>
                <w:rStyle w:val="IndexLink"/>
                <w:rtl w:val="true"/>
              </w:rPr>
              <w:t>فی البرهان</w:t>
            </w:r>
            <w:r>
              <w:rPr>
                <w:rStyle w:val="IndexLink"/>
                <w:rtl w:val="true"/>
              </w:rPr>
              <w:tab/>
            </w:r>
            <w:r>
              <w:rPr>
                <w:rStyle w:val="IndexLink"/>
              </w:rPr>
              <w:t>361</w:t>
            </w:r>
          </w:hyperlink>
        </w:p>
        <w:p>
          <w:pPr>
            <w:pStyle w:val="Contents3"/>
            <w:tabs>
              <w:tab w:val="clear" w:pos="8459"/>
              <w:tab w:val="right" w:pos="9026" w:leader="dot"/>
            </w:tabs>
            <w:rPr/>
          </w:pPr>
          <w:hyperlink w:anchor="__RefHeading___Toc4413858_3224264995">
            <w:r>
              <w:rPr>
                <w:webHidden/>
                <w:rStyle w:val="IndexLink"/>
                <w:rtl w:val="true"/>
              </w:rPr>
              <w:t xml:space="preserve">الباب السابع </w:t>
            </w:r>
            <w:r>
              <w:rPr>
                <w:rStyle w:val="IndexLink"/>
                <w:rtl w:val="true"/>
              </w:rPr>
              <w:t xml:space="preserve">: </w:t>
            </w:r>
            <w:r>
              <w:rPr>
                <w:rStyle w:val="IndexLink"/>
                <w:rtl w:val="true"/>
              </w:rPr>
              <w:t>فی الجدل</w:t>
            </w:r>
            <w:r>
              <w:rPr>
                <w:rStyle w:val="IndexLink"/>
                <w:rtl w:val="true"/>
              </w:rPr>
              <w:tab/>
            </w:r>
            <w:r>
              <w:rPr>
                <w:rStyle w:val="IndexLink"/>
              </w:rPr>
              <w:t>361</w:t>
            </w:r>
          </w:hyperlink>
        </w:p>
        <w:p>
          <w:pPr>
            <w:pStyle w:val="Contents3"/>
            <w:tabs>
              <w:tab w:val="clear" w:pos="8459"/>
              <w:tab w:val="right" w:pos="9026" w:leader="dot"/>
            </w:tabs>
            <w:rPr/>
          </w:pPr>
          <w:hyperlink w:anchor="__RefHeading___Toc4413860_3224264995">
            <w:r>
              <w:rPr>
                <w:webHidden/>
                <w:rStyle w:val="IndexLink"/>
                <w:rtl w:val="true"/>
              </w:rPr>
              <w:t>الباب التاسع</w:t>
            </w:r>
            <w:r>
              <w:rPr>
                <w:rStyle w:val="IndexLink"/>
                <w:rtl w:val="true"/>
              </w:rPr>
              <w:t xml:space="preserve">: </w:t>
            </w:r>
            <w:r>
              <w:rPr>
                <w:rStyle w:val="IndexLink"/>
                <w:rtl w:val="true"/>
              </w:rPr>
              <w:t>فی السفسطة و المغالطة</w:t>
            </w:r>
            <w:r>
              <w:rPr>
                <w:rStyle w:val="IndexLink"/>
                <w:rtl w:val="true"/>
              </w:rPr>
              <w:tab/>
            </w:r>
            <w:r>
              <w:rPr>
                <w:rStyle w:val="IndexLink"/>
              </w:rPr>
              <w:t>361</w:t>
            </w:r>
          </w:hyperlink>
        </w:p>
        <w:p>
          <w:pPr>
            <w:pStyle w:val="Contents3"/>
            <w:tabs>
              <w:tab w:val="clear" w:pos="8459"/>
              <w:tab w:val="right" w:pos="9026" w:leader="dot"/>
            </w:tabs>
            <w:rPr/>
          </w:pPr>
          <w:hyperlink w:anchor="__RefHeading___Toc4413862_3224264995">
            <w:r>
              <w:rPr>
                <w:webHidden/>
                <w:rStyle w:val="IndexLink"/>
                <w:rtl w:val="true"/>
              </w:rPr>
              <w:t xml:space="preserve">الباب العاشر </w:t>
            </w:r>
            <w:r>
              <w:rPr>
                <w:rStyle w:val="IndexLink"/>
                <w:rtl w:val="true"/>
              </w:rPr>
              <w:t xml:space="preserve">: </w:t>
            </w:r>
            <w:r>
              <w:rPr>
                <w:rStyle w:val="IndexLink"/>
                <w:rtl w:val="true"/>
              </w:rPr>
              <w:t>فی الشعر</w:t>
            </w:r>
            <w:r>
              <w:rPr>
                <w:rStyle w:val="IndexLink"/>
                <w:rtl w:val="true"/>
              </w:rPr>
              <w:tab/>
            </w:r>
            <w:r>
              <w:rPr>
                <w:rStyle w:val="IndexLink"/>
              </w:rPr>
              <w:t>361</w:t>
            </w:r>
          </w:hyperlink>
        </w:p>
        <w:p>
          <w:pPr>
            <w:pStyle w:val="Contents3"/>
            <w:tabs>
              <w:tab w:val="clear" w:pos="8459"/>
              <w:tab w:val="right" w:pos="9026" w:leader="dot"/>
            </w:tabs>
            <w:rPr/>
          </w:pPr>
          <w:hyperlink w:anchor="__RefHeading___Toc4413864_3224264995">
            <w:r>
              <w:rPr>
                <w:webHidden/>
                <w:rStyle w:val="IndexLink"/>
                <w:rtl w:val="true"/>
              </w:rPr>
              <w:t>منابع تحقیق</w:t>
            </w:r>
            <w:r>
              <w:rPr>
                <w:rStyle w:val="IndexLink"/>
                <w:rtl w:val="true"/>
              </w:rPr>
              <w:tab/>
            </w:r>
            <w:r>
              <w:rPr>
                <w:rStyle w:val="IndexLink"/>
              </w:rPr>
              <w:t>364</w:t>
            </w:r>
          </w:hyperlink>
        </w:p>
        <w:p>
          <w:pPr>
            <w:pStyle w:val="Contents2"/>
            <w:tabs>
              <w:tab w:val="clear" w:pos="8743"/>
              <w:tab w:val="right" w:pos="9026" w:leader="dot"/>
            </w:tabs>
            <w:rPr/>
          </w:pPr>
          <w:hyperlink w:anchor="__RefHeading___Toc4413866_3224264995">
            <w:r>
              <w:rPr>
                <w:webHidden/>
                <w:rStyle w:val="IndexLink"/>
                <w:rtl w:val="true"/>
              </w:rPr>
              <w:t>کتابشناسی آثار محمد رفیع رشتی اصفهانی</w:t>
            </w:r>
            <w:r>
              <w:rPr>
                <w:rStyle w:val="IndexLink"/>
                <w:rtl w:val="true"/>
              </w:rPr>
              <w:tab/>
            </w:r>
            <w:r>
              <w:rPr>
                <w:rStyle w:val="IndexLink"/>
              </w:rPr>
              <w:t>366</w:t>
            </w:r>
          </w:hyperlink>
        </w:p>
        <w:p>
          <w:pPr>
            <w:pStyle w:val="Contents3"/>
            <w:tabs>
              <w:tab w:val="clear" w:pos="8459"/>
              <w:tab w:val="right" w:pos="9026" w:leader="dot"/>
            </w:tabs>
            <w:rPr/>
          </w:pPr>
          <w:hyperlink w:anchor="__RefHeading___Toc4413868_3224264995">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413870_3224264995">
            <w:r>
              <w:rPr>
                <w:webHidden/>
                <w:rStyle w:val="IndexLink"/>
                <w:rtl w:val="true"/>
              </w:rPr>
              <w:t>مقدمه محقق</w:t>
            </w:r>
            <w:r>
              <w:rPr>
                <w:rStyle w:val="IndexLink"/>
                <w:rtl w:val="true"/>
              </w:rPr>
              <w:tab/>
            </w:r>
            <w:r>
              <w:rPr>
                <w:rStyle w:val="IndexLink"/>
              </w:rPr>
              <w:t>366</w:t>
            </w:r>
          </w:hyperlink>
        </w:p>
        <w:p>
          <w:pPr>
            <w:pStyle w:val="Contents3"/>
            <w:tabs>
              <w:tab w:val="clear" w:pos="8459"/>
              <w:tab w:val="right" w:pos="9026" w:leader="dot"/>
            </w:tabs>
            <w:rPr/>
          </w:pPr>
          <w:hyperlink w:anchor="__RefHeading___Toc4413872_3224264995">
            <w:r>
              <w:rPr>
                <w:webHidden/>
                <w:rStyle w:val="IndexLink"/>
                <w:rtl w:val="true"/>
              </w:rPr>
              <w:t>زندگی ملاّ محمد محسن عاصی اصفهانی رشتی</w:t>
            </w:r>
            <w:r>
              <w:rPr>
                <w:rStyle w:val="IndexLink"/>
                <w:rtl w:val="true"/>
              </w:rPr>
              <w:tab/>
            </w:r>
            <w:r>
              <w:rPr>
                <w:rStyle w:val="IndexLink"/>
              </w:rPr>
              <w:t>367</w:t>
            </w:r>
          </w:hyperlink>
        </w:p>
        <w:p>
          <w:pPr>
            <w:pStyle w:val="Contents3"/>
            <w:tabs>
              <w:tab w:val="clear" w:pos="8459"/>
              <w:tab w:val="right" w:pos="9026" w:leader="dot"/>
            </w:tabs>
            <w:rPr/>
          </w:pPr>
          <w:hyperlink w:anchor="__RefHeading___Toc4413874_3224264995">
            <w:r>
              <w:rPr>
                <w:webHidden/>
                <w:rStyle w:val="IndexLink"/>
                <w:rtl w:val="true"/>
              </w:rPr>
              <w:t>اساتید</w:t>
            </w:r>
            <w:r>
              <w:rPr>
                <w:rStyle w:val="IndexLink"/>
                <w:rtl w:val="true"/>
              </w:rPr>
              <w:tab/>
            </w:r>
            <w:r>
              <w:rPr>
                <w:rStyle w:val="IndexLink"/>
              </w:rPr>
              <w:t>368</w:t>
            </w:r>
          </w:hyperlink>
        </w:p>
        <w:p>
          <w:pPr>
            <w:pStyle w:val="Contents3"/>
            <w:tabs>
              <w:tab w:val="clear" w:pos="8459"/>
              <w:tab w:val="right" w:pos="9026" w:leader="dot"/>
            </w:tabs>
            <w:rPr/>
          </w:pPr>
          <w:hyperlink w:anchor="__RefHeading___Toc4413876_3224264995">
            <w:r>
              <w:rPr>
                <w:webHidden/>
                <w:rStyle w:val="IndexLink"/>
                <w:rtl w:val="true"/>
              </w:rPr>
              <w:t>تألیفات</w:t>
            </w:r>
            <w:r>
              <w:rPr>
                <w:rStyle w:val="IndexLink"/>
                <w:rtl w:val="true"/>
              </w:rPr>
              <w:tab/>
            </w:r>
            <w:r>
              <w:rPr>
                <w:rStyle w:val="IndexLink"/>
              </w:rPr>
              <w:t>368</w:t>
            </w:r>
          </w:hyperlink>
        </w:p>
        <w:p>
          <w:pPr>
            <w:pStyle w:val="Contents3"/>
            <w:tabs>
              <w:tab w:val="clear" w:pos="8459"/>
              <w:tab w:val="right" w:pos="9026" w:leader="dot"/>
            </w:tabs>
            <w:rPr/>
          </w:pPr>
          <w:hyperlink w:anchor="__RefHeading___Toc4413878_3224264995">
            <w:r>
              <w:rPr>
                <w:webHidden/>
                <w:rStyle w:val="IndexLink"/>
                <w:rtl w:val="true"/>
              </w:rPr>
              <w:t>نسخه‌شناسی</w:t>
            </w:r>
            <w:r>
              <w:rPr>
                <w:rStyle w:val="IndexLink"/>
                <w:rtl w:val="true"/>
              </w:rPr>
              <w:tab/>
            </w:r>
            <w:r>
              <w:rPr>
                <w:rStyle w:val="IndexLink"/>
              </w:rPr>
              <w:t>369</w:t>
            </w:r>
          </w:hyperlink>
        </w:p>
        <w:p>
          <w:pPr>
            <w:pStyle w:val="Contents3"/>
            <w:tabs>
              <w:tab w:val="clear" w:pos="8459"/>
              <w:tab w:val="right" w:pos="9026" w:leader="dot"/>
            </w:tabs>
            <w:rPr/>
          </w:pPr>
          <w:hyperlink w:anchor="__RefHeading___Toc4413880_3224264995">
            <w:r>
              <w:rPr>
                <w:webHidden/>
                <w:rStyle w:val="IndexLink"/>
                <w:rtl w:val="true"/>
              </w:rPr>
              <w:t>کتابشناسی آثار عاصی اصفهانی</w:t>
            </w:r>
            <w:r>
              <w:rPr>
                <w:rStyle w:val="IndexLink"/>
                <w:rtl w:val="true"/>
              </w:rPr>
              <w:tab/>
            </w:r>
            <w:r>
              <w:rPr>
                <w:rStyle w:val="IndexLink"/>
              </w:rPr>
              <w:t>371</w:t>
            </w:r>
          </w:hyperlink>
        </w:p>
        <w:p>
          <w:pPr>
            <w:pStyle w:val="Contents3"/>
            <w:tabs>
              <w:tab w:val="clear" w:pos="8459"/>
              <w:tab w:val="right" w:pos="9026" w:leader="dot"/>
            </w:tabs>
            <w:rPr/>
          </w:pPr>
          <w:hyperlink w:anchor="__RefHeading___Toc4413882_3224264995">
            <w:r>
              <w:rPr>
                <w:webHidden/>
                <w:rStyle w:val="IndexLink"/>
                <w:rtl w:val="true"/>
              </w:rPr>
              <w:t>منابع تحقیق</w:t>
            </w:r>
            <w:r>
              <w:rPr>
                <w:rStyle w:val="IndexLink"/>
                <w:rtl w:val="true"/>
              </w:rPr>
              <w:tab/>
            </w:r>
            <w:r>
              <w:rPr>
                <w:rStyle w:val="IndexLink"/>
              </w:rPr>
              <w:t>463</w:t>
            </w:r>
          </w:hyperlink>
        </w:p>
        <w:p>
          <w:pPr>
            <w:pStyle w:val="Contents2"/>
            <w:tabs>
              <w:tab w:val="clear" w:pos="8743"/>
              <w:tab w:val="right" w:pos="9026" w:leader="dot"/>
            </w:tabs>
            <w:rPr/>
          </w:pPr>
          <w:hyperlink w:anchor="__RefHeading___Toc4413884_3224264995">
            <w:r>
              <w:rPr>
                <w:webHidden/>
                <w:rStyle w:val="IndexLink"/>
                <w:rtl w:val="true"/>
              </w:rPr>
              <w:t>فهرست نسخه‌های خطی حوزه علمیه نجف‌آباد</w:t>
            </w:r>
            <w:r>
              <w:rPr>
                <w:rStyle w:val="IndexLink"/>
                <w:rtl w:val="true"/>
              </w:rPr>
              <w:tab/>
            </w:r>
            <w:r>
              <w:rPr>
                <w:rStyle w:val="IndexLink"/>
              </w:rPr>
              <w:t>464</w:t>
            </w:r>
          </w:hyperlink>
        </w:p>
        <w:p>
          <w:pPr>
            <w:pStyle w:val="Contents3"/>
            <w:tabs>
              <w:tab w:val="clear" w:pos="8459"/>
              <w:tab w:val="right" w:pos="9026" w:leader="dot"/>
            </w:tabs>
            <w:rPr/>
          </w:pPr>
          <w:hyperlink w:anchor="__RefHeading___Toc4413886_3224264995">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4413888_3224264995">
            <w:r>
              <w:rPr>
                <w:webHidden/>
                <w:rStyle w:val="IndexLink"/>
                <w:rtl w:val="true"/>
              </w:rPr>
              <w:t>مقدمه</w:t>
            </w:r>
            <w:r>
              <w:rPr>
                <w:rStyle w:val="IndexLink"/>
                <w:rtl w:val="true"/>
              </w:rPr>
              <w:tab/>
            </w:r>
            <w:r>
              <w:rPr>
                <w:rStyle w:val="IndexLink"/>
              </w:rPr>
              <w:t>464</w:t>
            </w:r>
          </w:hyperlink>
        </w:p>
        <w:p>
          <w:pPr>
            <w:pStyle w:val="Contents3"/>
            <w:tabs>
              <w:tab w:val="clear" w:pos="8459"/>
              <w:tab w:val="right" w:pos="9026" w:leader="dot"/>
            </w:tabs>
            <w:rPr/>
          </w:pPr>
          <w:hyperlink w:anchor="__RefHeading___Toc4413890_3224264995">
            <w:r>
              <w:rPr>
                <w:webHidden/>
                <w:rStyle w:val="IndexLink"/>
                <w:rtl w:val="true"/>
              </w:rPr>
              <w:t>نگاهی به حوزه علمیه نجف‌آباد</w:t>
            </w:r>
            <w:r>
              <w:rPr>
                <w:rStyle w:val="IndexLink"/>
                <w:rtl w:val="true"/>
              </w:rPr>
              <w:tab/>
            </w:r>
            <w:r>
              <w:rPr>
                <w:rStyle w:val="IndexLink"/>
              </w:rPr>
              <w:t>465</w:t>
            </w:r>
          </w:hyperlink>
        </w:p>
        <w:p>
          <w:pPr>
            <w:pStyle w:val="Contents3"/>
            <w:tabs>
              <w:tab w:val="clear" w:pos="8459"/>
              <w:tab w:val="right" w:pos="9026" w:leader="dot"/>
            </w:tabs>
            <w:rPr/>
          </w:pPr>
          <w:hyperlink w:anchor="__RefHeading___Toc4413892_3224264995">
            <w:r>
              <w:rPr>
                <w:webHidden/>
                <w:rStyle w:val="IndexLink"/>
                <w:rtl w:val="true"/>
              </w:rPr>
              <w:t>معرفی نسخ خطی حوزه علمیه نجف آباد از نسخه یکم تا صدم</w:t>
            </w:r>
            <w:r>
              <w:rPr>
                <w:rStyle w:val="IndexLink"/>
                <w:rtl w:val="true"/>
              </w:rPr>
              <w:tab/>
            </w:r>
            <w:r>
              <w:rPr>
                <w:rStyle w:val="IndexLink"/>
              </w:rPr>
              <w:t>467</w:t>
            </w:r>
          </w:hyperlink>
        </w:p>
        <w:p>
          <w:pPr>
            <w:pStyle w:val="Contents3"/>
            <w:tabs>
              <w:tab w:val="clear" w:pos="8459"/>
              <w:tab w:val="right" w:pos="9026" w:leader="dot"/>
            </w:tabs>
            <w:rPr/>
          </w:pPr>
          <w:hyperlink w:anchor="__RefHeading___Toc4413894_3224264995">
            <w:r>
              <w:rPr>
                <w:webHidden/>
                <w:rStyle w:val="IndexLink"/>
                <w:rtl w:val="true"/>
              </w:rPr>
              <w:t>فهرست موضوعی رساله‌های میراث اول تا دهم</w:t>
            </w:r>
            <w:r>
              <w:rPr>
                <w:rStyle w:val="IndexLink"/>
                <w:rtl w:val="true"/>
              </w:rPr>
              <w:tab/>
            </w:r>
            <w:r>
              <w:rPr>
                <w:rStyle w:val="IndexLink"/>
              </w:rPr>
              <w:t>579</w:t>
            </w:r>
          </w:hyperlink>
        </w:p>
        <w:p>
          <w:pPr>
            <w:pStyle w:val="Contents3"/>
            <w:tabs>
              <w:tab w:val="clear" w:pos="8459"/>
              <w:tab w:val="right" w:pos="9026" w:leader="dot"/>
            </w:tabs>
            <w:rPr/>
          </w:pPr>
          <w:hyperlink w:anchor="__RefHeading___Toc4413896_3224264995">
            <w:r>
              <w:rPr>
                <w:webHidden/>
                <w:rStyle w:val="IndexLink"/>
                <w:rtl w:val="true"/>
              </w:rPr>
              <w:t>فهرست مؤلفین رساله‌های میراث اوّل تا دهم</w:t>
            </w:r>
            <w:r>
              <w:rPr>
                <w:rStyle w:val="IndexLink"/>
                <w:rtl w:val="true"/>
              </w:rPr>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8_199390"/>
      <w:bookmarkStart w:id="1" w:name="pg17288_199390"/>
      <w:bookmarkEnd w:id="1"/>
    </w:p>
    <w:p>
      <w:pPr>
        <w:pStyle w:val="Heading2"/>
        <w:numPr>
          <w:ilvl w:val="1"/>
          <w:numId w:val="1"/>
        </w:numPr>
        <w:rPr/>
      </w:pPr>
      <w:bookmarkStart w:id="2" w:name="pg17288_199390"/>
      <w:bookmarkStart w:id="3" w:name="__RefHeading___Toc4413480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3482_3224264995"/>
      <w:bookmarkStart w:id="6" w:name="_Toc2"/>
      <w:bookmarkEnd w:id="5"/>
      <w:r>
        <w:rPr>
          <w:rtl w:val="true"/>
        </w:rPr>
        <w:t>هوالشکور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میراث ماندگار که رساله‌هایی پربار از اسفار گرانبهای نام‌آوران مکتب اصفهان است، به ساحت نورانی فقیه بلند آوازه، سید جلیل القدر، علامه دوران و زعیم علمی، فرهنگی و اجتماعی اصفهان آیت اللّه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می‌داریم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8_199393"/>
      <w:bookmarkStart w:id="8" w:name="pg17288_199393"/>
      <w:bookmarkEnd w:id="8"/>
    </w:p>
    <w:p>
      <w:pPr>
        <w:pStyle w:val="Heading2"/>
        <w:numPr>
          <w:ilvl w:val="1"/>
          <w:numId w:val="1"/>
        </w:numPr>
        <w:rPr/>
      </w:pPr>
      <w:bookmarkStart w:id="9" w:name="pg17288_199393"/>
      <w:bookmarkStart w:id="10" w:name="__RefHeading___Toc4413484_3224264995"/>
      <w:bookmarkStart w:id="11" w:name="_Toc3"/>
      <w:bookmarkEnd w:id="9"/>
      <w:bookmarkEnd w:id="10"/>
      <w:r>
        <w:rPr>
          <w:rtl w:val="true"/>
        </w:rPr>
        <w:t>درباره این مجموعه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نوپا،باطرحواره‌ای به وسعت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مورداشاره بنا نهاده است و با چشمداشت به لطف حضرت حق در این مسیر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اقتضای متاخّران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 همان معنای اصیل عامش می‌باشد،بدین ترتیب تألیف،ترجمه،تحشیه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سابقه یکهزار ساله حوزه علمیّه اصفهان آگاهی داریم،رساله‌هایی که در این مجموعه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سراسر این پهنه وسیع را دربرگیرد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تلاش علمی مشغول بوده‌اند،شیخ بهایی‌ها،و میردامادها و حکیم صهباها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کنار تلاش علمی بس </w:t>
      </w:r>
    </w:p>
    <w:p>
      <w:pPr>
        <w:pStyle w:val="BookText"/>
        <w:rPr/>
      </w:pPr>
      <w:r>
        <w:rPr>
          <w:rFonts w:ascii="IRNazanin" w:hAnsi="IRNazanin" w:eastAsia="IRNazanin"/>
          <w:color w:val="111111"/>
          <w:sz w:val="28"/>
          <w:sz w:val="28"/>
          <w:szCs w:val="28"/>
          <w:rtl w:val="true"/>
          <w:lang w:bidi="fa-IR"/>
        </w:rPr>
        <w:t>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اقیانوس‌های ناپیدا کرانه‌ای همچون مجلسی شیخ بهایی،میرداماد،محقّق خوانساری،فاضل هندی صدر المتألّهین،حکیم نوری،حکیم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 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باشد، منتشر نموده و صفحات خود را بدان،زیور بخشید و در این راه،همدلی و همراهی همه محقّقان ارجمند را امید می‌برد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حوزه علمیه اصفهان </w:t>
      </w:r>
      <w:bookmarkStart w:id="12" w:name="pg17288_19939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4413486_3224264995"/>
      <w:bookmarkStart w:id="14" w:name="_Toc4"/>
      <w:bookmarkEnd w:id="12"/>
      <w:bookmarkEnd w:id="13"/>
      <w:r>
        <w:rPr>
          <w:rtl w:val="true"/>
        </w:rPr>
        <w:t>اشاره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میراث حوزه اصفهان</w:t>
      </w:r>
    </w:p>
    <w:p>
      <w:pPr>
        <w:pStyle w:val="BookText"/>
        <w:rPr/>
      </w:pPr>
      <w:r>
        <w:rPr>
          <w:rFonts w:ascii="IRNazanin" w:hAnsi="IRNazanin" w:eastAsia="IRNazanin"/>
          <w:color w:val="111111"/>
          <w:sz w:val="28"/>
          <w:sz w:val="28"/>
          <w:szCs w:val="28"/>
          <w:rtl w:val="true"/>
          <w:lang w:bidi="fa-IR"/>
        </w:rPr>
        <w:t>دفتر دهم</w:t>
      </w:r>
    </w:p>
    <w:p>
      <w:pPr>
        <w:pStyle w:val="BookText"/>
        <w:rPr/>
      </w:pPr>
      <w:r>
        <w:rPr>
          <w:rFonts w:ascii="IRNazanin" w:hAnsi="IRNazanin" w:eastAsia="IRNazanin"/>
          <w:color w:val="111111"/>
          <w:sz w:val="28"/>
          <w:sz w:val="28"/>
          <w:szCs w:val="28"/>
          <w:rtl w:val="true"/>
          <w:lang w:bidi="fa-IR"/>
        </w:rPr>
        <w:t>به اهتمام</w:t>
      </w:r>
    </w:p>
    <w:p>
      <w:pPr>
        <w:pStyle w:val="BookText"/>
        <w:rPr/>
      </w:pPr>
      <w:r>
        <w:rPr>
          <w:rFonts w:ascii="Amiri" w:hAnsi="Amiri" w:eastAsia="Amiri" w:cs="Amiri"/>
          <w:color w:val="111111"/>
          <w:sz w:val="28"/>
          <w:sz w:val="28"/>
          <w:szCs w:val="28"/>
          <w:rtl w:val="true"/>
          <w:lang w:bidi="ar-SA"/>
        </w:rPr>
        <w:t>محمّدجواد نورمحمّدی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bookmarkStart w:id="15" w:name="pg17288_199398"/>
    </w:p>
    <w:p>
      <w:pPr>
        <w:pStyle w:val="Heading2"/>
        <w:numPr>
          <w:ilvl w:val="1"/>
          <w:numId w:val="1"/>
        </w:numPr>
        <w:rPr/>
      </w:pPr>
      <w:bookmarkStart w:id="16" w:name="__RefHeading___Toc4413488_3224264995"/>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 مرکز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رسالة فی الحبوة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محقّق حاج سیّد أسداللّه بن محمّد باقر شفتی قدس‌سره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شفتی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زندگینامه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شهرت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والدِ ماجد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ـ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به عتبات و وفات در بین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الحبوة هل تعطی الولد الذکر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تخصیص الأشیاء المعروفة هل هو واجب أو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المحبوبة 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وتنبیهٌ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الخیرات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محمدحسن آرانی کاشانی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زندگی آقا محمدعلی آرانی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منبع الخیرات و شیوه تحقیق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منبع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اشرف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حضور قلب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حضور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نتیجه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حکایاتی از حضور قلب اولیای الهی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دوائی نافع در ازاله غفلت و توجّه قلب</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خواطر قلبی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اسباب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افکار و خواطر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همه خواطر به حب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مباحث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تفصیل اسرار هریک از اجزاء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مخفیّه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پنهان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از خبث و 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اسرار 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ستر عورت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مخفیّه مکان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خفیّه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مخفیّات رموز استقبال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مخفیّه مقدمات مستحبّه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مکان مناسب برای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مستحبّه، 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افتتاح نماز به تکبیرات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مقارنات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مقارنات رکنیّه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اسرار قلبیّه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قلبیّه نیّت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تکبیرة الاحرام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حجلة العرایس</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اسماعیل خاتون آبادی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نگاهی کوتاه به زندگی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سیاسی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تقوای ملا محمدباقر 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حجلة العرائیس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بیان عقد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عقد نکاح دائمی و مجملی از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عقد متعه و بعضی از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عقد نکاح و عقد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زفاف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جماع کردن و بعضی از احکام متعلّقه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مجملی از احکام افطار روزه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اعتقادیه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نوری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محمدمسعود خداوردی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معرفی نسخه و روش تصحیح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از حدیث خلق المؤمن من طینة الجنة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لزوم عصمة الأنبیاء و أوصیائهم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منافات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تولّد شقی از سعید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فیها تکملة و 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که الظاهر عنوان الباطن گاهی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الولایه من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المراد فمن الأمانة المعروضة تتمّة فیها 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 التناول و سهل‌التداول فی مسئلة التداخل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زین العابدین الموسوی الخوانساری</w:t>
      </w:r>
    </w:p>
    <w:p>
      <w:pPr>
        <w:pStyle w:val="BookText"/>
        <w:rPr/>
      </w:pPr>
      <w:r>
        <w:rPr>
          <w:rFonts w:ascii="IRNazanin" w:hAnsi="IRNazanin" w:eastAsia="IRNazanin"/>
          <w:color w:val="111111"/>
          <w:sz w:val="28"/>
          <w:sz w:val="28"/>
          <w:szCs w:val="28"/>
          <w:rtl w:val="true"/>
          <w:lang w:bidi="fa-IR"/>
        </w:rPr>
        <w:t xml:space="preserve">تصحیح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اجمالی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مؤلّف رساله حلوالتناول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زادگاه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اجازه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مدفن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رساله حلوالتناول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تحقیق و بیان چند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حیات علمی مرحوم استاد سید محمدعلی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حلوالتناول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حول مسئلة التداخل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عدم التداخل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القائلین بالتداخل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ابن ادریس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الأقوال حول المسأله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المحقق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المحقق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المصنّف قبل تألیف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المصنّف حین تألیف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التقایر 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القائلون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الرابع</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الأخبار الدالة علیعدم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المحقق الشیروانی و نقده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المحقق الشیروانی و نقده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العلامة فی مختلف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إلی کلام المحقق الشیروانی و 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سائر وجوده النظر فی کلام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إلی کلام العلامة فی المختلف و 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فی نقل کلام صاحب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المناقشه مع صاحب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المعارضة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من تقریر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المحقق الخوانساری فی المشارق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مذی، وذی و 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طاهر کلباسی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مطهری‌پور</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نگاهی کوتاه به زندگی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جعفر کرباسی از نگاه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النظر فی علم المنطق</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کاشانی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موسوی‌بخش</w:t>
      </w:r>
    </w:p>
    <w:p>
      <w:pPr>
        <w:pStyle w:val="BookText"/>
        <w:rPr/>
      </w:pPr>
      <w:r>
        <w:rPr>
          <w:rFonts w:ascii="IRNazanin" w:hAnsi="IRNazanin" w:eastAsia="IRNazanin"/>
          <w:color w:val="111111"/>
          <w:sz w:val="28"/>
          <w:sz w:val="28"/>
          <w:szCs w:val="28"/>
          <w:rtl w:val="true"/>
          <w:lang w:bidi="fa-IR"/>
        </w:rPr>
        <w:t>مقدمه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زندگی ملا حبیب اللّه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السفسطه و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کتابشناسی عاصی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ملا محمد محسن عاصی اصفهانی 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آثار عاصی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 خطی حوزه علمیه نجف‌آباد</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نورمحمدی، محمد داوری، سید محمود نریمانی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حوزه علمیه نجف‌آباد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نسخ خطی حوزه علمیه نجف‌آباد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فنی دفتر دهم</w:t>
      </w:r>
    </w:p>
    <w:p>
      <w:pPr>
        <w:pStyle w:val="BookText"/>
        <w:rPr/>
      </w:pPr>
      <w:r>
        <w:rPr>
          <w:rFonts w:ascii="IRNazanin" w:hAnsi="IRNazanin" w:eastAsia="IRNazanin"/>
          <w:color w:val="111111"/>
          <w:sz w:val="28"/>
          <w:sz w:val="28"/>
          <w:szCs w:val="28"/>
          <w:rtl w:val="true"/>
          <w:lang w:bidi="fa-IR"/>
        </w:rPr>
        <w:t>فهرست موضوعی رساله‌های میراث اول تا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مؤلّفین رساله‌های میراث اول تا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معصوم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bookmarkStart w:id="18" w:name="pg17288_199408"/>
    </w:p>
    <w:p>
      <w:pPr>
        <w:pStyle w:val="Heading2"/>
        <w:numPr>
          <w:ilvl w:val="1"/>
          <w:numId w:val="1"/>
        </w:numPr>
        <w:rPr/>
      </w:pPr>
      <w:bookmarkStart w:id="19" w:name="__RefHeading___Toc4413490_3224264995"/>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دفتر که دهمین دفتر میراث حوزه علمیّه اصفهان است، در حالی به محضر اصحاب اندیشه و معرفت، تقدیم می‌گردد که از شروع این مجموعه، حدوده ده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این مدت با فراز و نشیب‌های زیاد، راه خود را طی کرده و در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میراث گرانبار اندیشه‌وران مکتب اصفهان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احیاء تراث مرکز تحقیقات رایانه‌ای حوزه علمیه اصفهان، علاوه بر این مجموعه، چهارده اثر مستقل در بیست و سه جلد نیز به چاپ رسانده است که سپاس خویش به درگاه حضرت معبود می‌بریم که رهین لطف او ـ جلّ و علاـ این آثار صورت حیات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المنة علینا و لنا الشکر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احیاء تراث همچنان مصمم است این راه را ادامه دهد و اسفار گران‌مایه فرزانگان اصفهان را آماده و به جامعه علمی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اشراف و عنایت ویژه زعیم حوزه علمیه اصفهان حضرت آیت اللّه العظمی مظاهری، بسیار کارساز و امیدبخش بوده است و به برکت همت و لطف و محبّت حضرت ایشان و مسئول دفتر محترم ایشان، سرور گرامی و معزّز جناب آقای حاج حسن مظاهری این کار سترگ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سرور مکرم حجت‌الاسلام سید احمد سجادی مدیر محترم مرکز تحقیقات رایانه‌ای که لطف فرموده و مشفقانه و دلسوزانه با همتی مثال زدنی، این مجموعه‌های پژوهشی را مساعدت فرمودند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دفتر نیز چند رساله از عالمان اصفهان به چاپ رسیده است که در ذیل به معرفی آن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فی الحبوة</w:t>
      </w:r>
    </w:p>
    <w:p>
      <w:pPr>
        <w:pStyle w:val="BookText"/>
        <w:rPr/>
      </w:pPr>
      <w:r>
        <w:rPr>
          <w:rFonts w:ascii="IRNazanin" w:hAnsi="IRNazanin" w:eastAsia="IRNazanin"/>
          <w:color w:val="111111"/>
          <w:sz w:val="28"/>
          <w:sz w:val="28"/>
          <w:szCs w:val="28"/>
          <w:rtl w:val="true"/>
          <w:lang w:bidi="fa-IR"/>
        </w:rPr>
        <w:t xml:space="preserve">این رساله از آثار گرانمایه فقیه بزرگوار سید اسداللّه شفتی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حجت‌الاسلام ثانی، فرزند بزرگوار فقیه بزرگ سید محمدباقر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حجت‌الاسلام ثانی به مواردی از ترکه پدر که به فرزند پسر بزرگ می‌رسد، اشاره کرده و پیرامون آن به تفصیل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شرح کلام محقق حلی در شرایع الاسلام پیرامون حبوه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حبوه همان لوازم شخصی پدر است که به فرزند پسر بزرگ می‌رسد که در شمارش تعداد آن اختلاف است و قدر متیقن آن که سید مرتضی و شیخ طوسی بر آن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انگشتر، شمشیر و مصحف است و بیشتر از آن تا ده چیز از جمله زره و نوشته‌ها و راحله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اسلامی در طول دوران شکوهمند اسلامی در این موضوع ـ علاوه بر پرداختن به این موضوع در مبحث ارث آثار فراوان و فاخر فقهی ـ بالغ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مستقل نگاشته‌اند که از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حبوة الولد الذکر، شهید ثانی؛ الحبوة، ملا محمد اسماعیل خواجویی؛ الحبوة، میرزا ابوالقاسم قمی مشهور به میرزای قمی؛ الحبوة، محمد ابراهیم بن محمد کاشانی؛ الحبوة، شیخ هادی بن محمدامین تهرانی نجفی و حبوة فی الحبوة، منظومه‌ای با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اشاره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رساله به همت جناب حجت‌الاسلام سید مهدی شفتی و مساعدت بخش تحقیقات کتابخانه مسجد سید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الخیرات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که از آثار گرانبهای فقیه وارسته، ملا محمدعلی آرانی کاشانی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پیرامون اسرار نماز است و مؤلّف با قلمی روان و تأثیرگذار به بررسی اجزاء، ارکان و افعال نماز پرداخته و به بیان اسرار معرفتی آن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رساله بی‌پایان مانده و مؤلّف بزرگوار آن موفّق به اتمام آن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عالم پر اثر بیش از چند رساله که در میراث حدیث شیعه و رساله حاضر، چاپ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حجلة العرائس در صیغ عقود</w:t>
      </w:r>
    </w:p>
    <w:p>
      <w:pPr>
        <w:pStyle w:val="BookText"/>
        <w:rPr/>
      </w:pPr>
      <w:r>
        <w:rPr>
          <w:rFonts w:ascii="IRNazanin" w:hAnsi="IRNazanin" w:eastAsia="IRNazanin"/>
          <w:color w:val="111111"/>
          <w:sz w:val="28"/>
          <w:sz w:val="28"/>
          <w:szCs w:val="28"/>
          <w:rtl w:val="true"/>
          <w:lang w:bidi="fa-IR"/>
        </w:rPr>
        <w:t xml:space="preserve">بنابر فرمایش خود مؤلّف، جناب محمدباقر بن اسماعیل حسینی خاتون‌آبادی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بنابه درخواست سلطان حسین صفوی نگاشته شده است و پیرامون صیغه‌های عقد ازدواج دائم و موقّت و کفاره افطار روزه ماه مبارک رمضان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رساله با نثری بسیار زیبا آغاز شده است، پس از آن مؤلّف برخی از احکام نکاح را آورده و بعد از آن صیغه‌های عقد موقت را بنابر درخواست شاه سلطان حسین از یک سال تا چهل سال را آورده‌اند، سپس به آداب شب زفاف پرداخته و روایاتی در این باب ذکر کرده است و در پایان به بحث کفارات روزه ماه مبارک رمضان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را جناب حجت‌الاسلام سید محمود نریمانی بر اساس سه نسخه، تصحیح و تحقیق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اعتقادیه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مجموع شش نکته پیرامون شرح معضلات حدیثی و تبیین معارف قرآنی و نکات حکمی است که همه بر مبنا و ممشای اهل حکمت متعالیه بر قلم حکیم ملا علی نوری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محقق آن ستودنی است که این مطالب در ظاهر پراکنده و در باطن بر یک مسلک را در پایان رساله‌ای در یکی از کتابخانه‌های اصفهان یافته و با تحقیق دریافته است از حکیم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هرچند کوتاه است، امّا گرانمایه و ارجمند است و محقق آن جناب محمدمسعود خداوردی نیز در آماده‌سازی آن کوشیده است و در این مجموعه به اهل ادب و معرفت تقدیم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حلو التناول و سهل التداول فی مسئلة التداخل</w:t>
      </w:r>
    </w:p>
    <w:p>
      <w:pPr>
        <w:pStyle w:val="BookText"/>
        <w:rPr/>
      </w:pPr>
      <w:r>
        <w:rPr>
          <w:rFonts w:ascii="IRNazanin" w:hAnsi="IRNazanin" w:eastAsia="IRNazanin"/>
          <w:color w:val="111111"/>
          <w:sz w:val="28"/>
          <w:sz w:val="28"/>
          <w:szCs w:val="28"/>
          <w:rtl w:val="true"/>
          <w:lang w:bidi="fa-IR"/>
        </w:rPr>
        <w:t>تداخل اسباب و اجتماع علل در ایجاد مسبب واحد از مباحث علم اصول فقه است و در فقه کاربرد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آثار عالمان شیعه از قرن پنجم به بعد بیشتر و منسجم‌تر مطمح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اثر فقیه والا تبار حاج میرزا زین‌العابدین موسوی خوانساری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صاحب روضات است و به همت جناب حجت‌الاسلام شیخ مهدی باقری سیانی، تحقیق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اثری است که همت مبارک تراجم‌نگار، تبارشناس و عالم جلیل‌القدر آیت‌اللّه سید محمد علی روضاتی رحمه‌الله در آماده‌سازی آن پر رنگ بوده است و این مایه بسی مباهات است که در این مجموعه به زیور طبع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منی، مذی، وذی و ودی</w:t>
      </w:r>
    </w:p>
    <w:p>
      <w:pPr>
        <w:pStyle w:val="BookText"/>
        <w:rPr/>
      </w:pPr>
      <w:r>
        <w:rPr>
          <w:rFonts w:ascii="IRNazanin" w:hAnsi="IRNazanin" w:eastAsia="IRNazanin"/>
          <w:color w:val="111111"/>
          <w:sz w:val="28"/>
          <w:sz w:val="28"/>
          <w:szCs w:val="28"/>
          <w:rtl w:val="true"/>
          <w:lang w:bidi="fa-IR"/>
        </w:rPr>
        <w:t xml:space="preserve">محمد جعفر بن محمد طاهر خراسانی، اصفهانی، یزدی، کرباسی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شاگردان علامه مجلسی و دارای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گرانقدر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رساله‌ای کوتاه و کم‌برگ شامل مبحثی از مباحث کتاب طهارت است که در آن به تعریف هر یک از میاه چهارگانه پرداخته و احکام آن را به اجمال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این اثر توسط جناب حجت‌الاسلام مجتبی مطهری‌پور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النظر</w:t>
      </w:r>
    </w:p>
    <w:p>
      <w:pPr>
        <w:pStyle w:val="BookText"/>
        <w:rPr/>
      </w:pPr>
      <w:r>
        <w:rPr>
          <w:rFonts w:ascii="IRNazanin" w:hAnsi="IRNazanin" w:eastAsia="IRNazanin"/>
          <w:color w:val="111111"/>
          <w:sz w:val="28"/>
          <w:sz w:val="28"/>
          <w:szCs w:val="28"/>
          <w:rtl w:val="true"/>
          <w:lang w:bidi="fa-IR"/>
        </w:rPr>
        <w:t xml:space="preserve">رساله‌ای است کوتاه از فقیه بارع و ذوفنون ملا حبیب اللّه کاشانی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که مباحث منطقی را در ده باب و بسیار مختصر تحریر فرموده‌اند و در هر جمله‌ای از آن، جمله‌هایی نهفته است و نیاز به دقت و تأمل فراوان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را باید در شمار آثار سبک گزیده‌نویسی و مختصرنگاری و در برخی موارد باید گفت دشوارنویسی که در دوره‌هایی از دوران‌های علمی اسلامی رایج بوده و خود نماد تبحر و چیره‌دستی دانشمندان اسلامی به حساب می‌آمده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آثار می‌توان به صمدیه شیخ‌بهائی و منظومه منطق تفتازانی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این نوع نگارش در دوره اسلامی از افتخارات مسلمانان است، چرا که این کار با انگیزه‌های ارزنده و عمیقی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سهولت آموزش و حفظ و فراگیری تمدن کلیات و امّهات هر علم بوده است و نیز سنجش مهارت و توانمندی نگارش فرزانگان عالم علم به حساب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به همت جناب سید مصطفی موسوی بخش، تصحیح و تحقیق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حبیب اللّه کاشانی چند رساله دیگر در مجموعه میراث حوزه اصفهان به چاپ رسیده است و در دفتر پنجم کتابشناسی مفصل آثار ایشان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عاصی اصفهانی</w:t>
      </w:r>
    </w:p>
    <w:p>
      <w:pPr>
        <w:pStyle w:val="BookText"/>
        <w:rPr/>
      </w:pPr>
      <w:r>
        <w:rPr>
          <w:rFonts w:ascii="IRNazanin" w:hAnsi="IRNazanin" w:eastAsia="IRNazanin"/>
          <w:color w:val="111111"/>
          <w:sz w:val="28"/>
          <w:sz w:val="28"/>
          <w:szCs w:val="28"/>
          <w:rtl w:val="true"/>
          <w:lang w:bidi="fa-IR"/>
        </w:rPr>
        <w:t>کتابشناسی آثار دانشمندان از موضوعات وابسته به احیاء تراث و کتابشناسی‌ها از آثار وابسته به تصحیح و تحقیق نسخ خطی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کتابشناسی و نسخه‌پژوهی آثار دانشمندان اصفهان در دستور 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کتابشناسی‌ها، کتابشناسی آثار عالم پر تألیف و فراوان نگار جناب ملا محمدمحسن بن محمدرفیع رشتی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و مشهور به عاصی است که به همت جناب آقای مصطفی صادقی تحقیق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کتابشناسی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ملا محمدمحسن معرفی و تعداد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در کتابخانه‌های مختلف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حوزه علمیه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نسخ خطی دروازه ورود به گنجینه بی بدیل نسخه‌های خطی است، لذا در مجموعه میراث حوزه علمیه اصفهان، چاپ فهرست نسخ خطی در دستور 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بردارنده فهرست یکصد نسخه خطی حوزه علمیه نجف‌آباد است که به صورت مفصّل به نگارش درآمده است و بخش دوم و سوم آن در دفاتر دیگر میراث به خواست خدا پی در پی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ـ و الحمد للّه رب العالمین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احیاء تراث </w:t>
      </w:r>
      <w:bookmarkStart w:id="21" w:name="pg17288_199413"/>
    </w:p>
    <w:p>
      <w:pPr>
        <w:pStyle w:val="BookText"/>
        <w:rPr/>
      </w:pPr>
      <w:bookmarkEnd w:id="21"/>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ascii="Amiri" w:hAnsi="Amiri" w:eastAsia="Amiri" w:cs="Amiri"/>
          <w:color w:val="111111"/>
          <w:sz w:val="28"/>
          <w:sz w:val="28"/>
          <w:szCs w:val="28"/>
          <w:rtl w:val="true"/>
          <w:lang w:bidi="ar-SA"/>
        </w:rPr>
        <w:t>محمّدجواد نورمحمّدی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4413492_3224264995"/>
      <w:bookmarkStart w:id="23" w:name="_Toc7"/>
      <w:bookmarkEnd w:id="22"/>
      <w:r>
        <w:rPr>
          <w:rtl w:val="true"/>
        </w:rPr>
        <w:t>رسالة فی الحبوة</w:t>
      </w:r>
      <w:bookmarkEnd w:id="23"/>
    </w:p>
    <w:p>
      <w:pPr>
        <w:pStyle w:val="Heading3"/>
        <w:numPr>
          <w:ilvl w:val="2"/>
          <w:numId w:val="1"/>
        </w:numPr>
        <w:rPr/>
      </w:pPr>
      <w:bookmarkStart w:id="24" w:name="__RefHeading___Toc4413494_3224264995"/>
      <w:bookmarkStart w:id="25" w:name="_Toc8"/>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سیّد أسداللّه بن محمّد باقر شفتی قدس‌سره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شفتی</w:t>
      </w:r>
    </w:p>
    <w:p>
      <w:pPr>
        <w:pStyle w:val="Heading3"/>
        <w:numPr>
          <w:ilvl w:val="2"/>
          <w:numId w:val="1"/>
        </w:numPr>
        <w:rPr/>
      </w:pPr>
      <w:bookmarkStart w:id="26" w:name="__RefHeading___Toc4413496_3224264995"/>
      <w:bookmarkStart w:id="27" w:name="_Toc9"/>
      <w:bookmarkEnd w:id="26"/>
      <w:r>
        <w:rPr>
          <w:rtl w:val="true"/>
        </w:rPr>
        <w:t>مقدّمه تحقیق</w:t>
      </w:r>
      <w:bookmarkEnd w:id="27"/>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النبیّین نبیّنا محمّد، و علی سیّد الوصیّین علیّ أمیرالمؤمنین، و علی الأئمّة الطاهرین الأوصیاء من بعده، لاسیّما قائمهم خاتم الوصیّین بقیّة اللّه فی الأرضین الحجّة بن الحسن العسکریّ المهدیّ المنتظر عجّل اللّه تعالی له الفرج 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فقیهان نامدار ولی گمنامِ شهر عالم پرور اصفهان که زمانی ریاست عامّه آن بر دوش او قرار داشت، مرحوم علاّمه حاج سیّد اسداللّه موسوی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ششم از هشت فرزند فقیه و مجتهد صاحبدل، مرجع نامدار شیعه، مرحوم حاج سیّد محمّد باقر شفتی،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پدر مفتخر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علم و عمل و زهد و تقوا به درجه‌ای رسید که مردم در بسیاری از مکارم اخلاق و محامد اوصاف، او را بر پدرش مقدّم می‌داشتند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 عالم فرزانه آثار ارزشمند علمی فراوانی از خود بر جای نهاده، که از آن میان رساله فقهی کم حجمی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پیرامون آن رساله‌های بسیاری توسّط فقها و علما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کم حجم ولی پر محتوا، از آثار منتشر نشده مرحوم حاج سیّد اسداللّه قدس‌سره است که نسخه خطّی آن ضمن مجموعه‌ای از رسائل فقهی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تألیف دیگر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کتابخانه آستانه مقدّسه حضرت معصومه علیهاالسلام معرّفی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با امید به تهیّه تصویری از این مجموعه خطّی به کتابخانه آستانه مقدّسه حضرت معصومه علیهاالسلام مراجعه کرده و آن را درخواست نمودیم، ولی با درخواست ما موافقت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چند صباحی نسخه‌ای از شرح شرائع الإسلام مرحوم حاج سیّد اسداللّه؛ که شامل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کتابخانه مرحوم آیة اللّه گلپایگانی یافتیم</w:t>
      </w:r>
      <w:r>
        <w:rPr>
          <w:rStyle w:val="FootnoteAnchor"/>
          <w:rtl w:val="true"/>
        </w:rPr>
        <w:footnoteReference w:id="5"/>
      </w:r>
      <w:r>
        <w:rPr>
          <w:rFonts w:ascii="IRNazanin" w:hAnsi="IRNazanin" w:eastAsia="IRNazanin"/>
          <w:color w:val="111111"/>
          <w:sz w:val="28"/>
          <w:sz w:val="28"/>
          <w:szCs w:val="28"/>
          <w:rtl w:val="true"/>
          <w:lang w:bidi="fa-IR"/>
        </w:rPr>
        <w:t>که از اتّفاق مؤلّفِ گرانقدر، رساله حاضر را در بحثِ حبوه آن به طور کامل همراه با اضافاتی آورده است؛ و هذا من فضل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نسخه مورد نظر با مراجعه به کتابخانه آیة اللّه گلپایگانی رحمه‌الله ، با گشاده‌رویی و رغبتِ تمام، تصویر نسخه یاد شده در اختیار ما قرار گرفت</w:t>
      </w:r>
      <w:r>
        <w:rPr>
          <w:rStyle w:val="FootnoteAnchor"/>
          <w:rtl w:val="true"/>
        </w:rPr>
        <w:footnoteReference w:id="6"/>
      </w:r>
      <w:r>
        <w:rPr>
          <w:rFonts w:ascii="IRNazanin" w:hAnsi="IRNazanin" w:eastAsia="IRNazanin"/>
          <w:color w:val="111111"/>
          <w:sz w:val="28"/>
          <w:sz w:val="28"/>
          <w:szCs w:val="28"/>
          <w:rtl w:val="true"/>
          <w:lang w:bidi="fa-IR"/>
        </w:rPr>
        <w:t>، که قسمت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مربوط به مبحث حبوه آن اینک تقدیم محضر خوانندگان عزیز و دوست‌داران دانش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رساله شرح حال مختصری از زندگانی مرحوم حاج سیّد اسداللّه قدس‌سره آورده‌ایم به امید آنکه در نظرها 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کسانی که ما را در تهیّه این اثر یاری کردند، صمیمانه سپاسگزاری می‌کنیم؛ و آخر دعوانا أن الحمد للّه ربّ العالمین و صلّی اللّه علی محمّد و آله، و اللعن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سیّد مهدی شفتی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8" w:name="pg17288_199417"/>
    </w:p>
    <w:p>
      <w:pPr>
        <w:pStyle w:val="BookText"/>
        <w:rPr/>
      </w:pPr>
      <w:bookmarkEnd w:id="2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9" w:name="__RefHeading___Toc4413498_3224264995"/>
      <w:bookmarkStart w:id="30" w:name="_Toc10"/>
      <w:bookmarkEnd w:id="29"/>
      <w:r>
        <w:rPr>
          <w:rtl w:val="true"/>
        </w:rPr>
        <w:t>زندگینامه مؤلّف</w:t>
      </w:r>
      <w:bookmarkEnd w:id="30"/>
    </w:p>
    <w:p>
      <w:pPr>
        <w:pStyle w:val="Heading3"/>
        <w:numPr>
          <w:ilvl w:val="2"/>
          <w:numId w:val="1"/>
        </w:numPr>
        <w:rPr/>
      </w:pPr>
      <w:bookmarkStart w:id="31" w:name="__RefHeading___Toc4413500_3224264995"/>
      <w:bookmarkStart w:id="32" w:name="_Toc11"/>
      <w:bookmarkEnd w:id="31"/>
      <w:r>
        <w:rPr>
          <w:rtl w:val="true"/>
        </w:rPr>
        <w:t>نام و شهرت</w:t>
      </w:r>
      <w:bookmarkEnd w:id="32"/>
    </w:p>
    <w:p>
      <w:pPr>
        <w:pStyle w:val="BookText"/>
        <w:rPr/>
      </w:pPr>
      <w:r>
        <w:rPr>
          <w:rFonts w:ascii="IRNazanin" w:hAnsi="IRNazanin" w:eastAsia="IRNazanin"/>
          <w:color w:val="111111"/>
          <w:sz w:val="28"/>
          <w:sz w:val="28"/>
          <w:szCs w:val="28"/>
          <w:rtl w:val="true"/>
          <w:lang w:bidi="fa-IR"/>
        </w:rPr>
        <w:t xml:space="preserve">حاج سیّد اسداللّه موسوی اصفهانی، فرزند حاجی سیّد محمّدباقر حجّت‌الاسلام شفتی قدس‌سره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زاهد متّقی، و فقیه محقّق مدقّق؛ دانشمندی که در علم و عمل و زهد و تقوا و فطانت و کیاست و شهرت و ریاست به چنان درجه اعلایی رسید که بعضی او را در برخی مراتب و مقامات و ملکات روحانی، بر پدر بزرگوارش ترجیح داده‌اند</w:t>
      </w:r>
      <w:r>
        <w:rPr>
          <w:rFonts w:eastAsia="IRNazanin" w:cs="IRNazanin"/>
          <w:color w:val="111111"/>
          <w:sz w:val="28"/>
          <w:szCs w:val="28"/>
          <w:rtl w:val="true"/>
          <w:lang w:bidi="fa-IR"/>
        </w:rPr>
        <w:t>.</w:t>
      </w:r>
    </w:p>
    <w:p>
      <w:pPr>
        <w:pStyle w:val="Heading3"/>
        <w:numPr>
          <w:ilvl w:val="2"/>
          <w:numId w:val="1"/>
        </w:numPr>
        <w:rPr/>
      </w:pPr>
      <w:bookmarkStart w:id="33" w:name="__RefHeading___Toc4413502_3224264995"/>
      <w:bookmarkStart w:id="34" w:name="_Toc12"/>
      <w:bookmarkEnd w:id="33"/>
      <w:r>
        <w:rPr>
          <w:rtl w:val="true"/>
        </w:rPr>
        <w:t>شرح حالِ والدِ ماجد مؤلّف</w:t>
      </w:r>
      <w:bookmarkEnd w:id="34"/>
    </w:p>
    <w:p>
      <w:pPr>
        <w:pStyle w:val="BookText"/>
        <w:rPr/>
      </w:pPr>
      <w:r>
        <w:rPr>
          <w:rFonts w:ascii="IRNazanin" w:hAnsi="IRNazanin" w:eastAsia="IRNazanin"/>
          <w:color w:val="111111"/>
          <w:sz w:val="28"/>
          <w:sz w:val="28"/>
          <w:szCs w:val="28"/>
          <w:rtl w:val="true"/>
          <w:lang w:bidi="fa-IR"/>
        </w:rPr>
        <w:t xml:space="preserve">پدر بزرگوار حاج سید اسداللّه حاج سیّد محمّدباقر حجّت‌الاسلام شفتی، فرزند آقا سیّد محمّد نقی،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قریه‌ای از قرای طارم علیا که در فاصله شصت کیلومتری شهر شفت واقع است، متولّد می‌گردید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اتّفاق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غربی شهر رشت واقع است، مهاجرت کرده و در آنجا مقدّمات علوم را نزد پدر و دیگر اساتید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جهت تکمیل معلوماتِ خود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سنّ هفده سالگی به عتبات مشرّف گردید و چند سالی در کربلا به درس وحید بهبهانی و مرحوم آقا سیّد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در نجف اشرف به مدّت هفت سال از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کاشف الغطاء و سیّد بحرالعلوم، استفاده برد و سپس در کاظمین به مجلسِ درس آقا سیّد محسن اعرجی وارد شد و خوشه‌چین خرمن این بزرگان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به ایران بازگشته و شهر اصفهان را وطن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راهی شهر مقدّس قم شده ودر آنجا به مدّت شش ماه از محضر عالمِ محقّق مرحوم میرزای قمّی کسب فیض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کاشان مدّتی در مجلس درسِ مرحوم ملاّ مهدی نراقی حاضر شده و سرانجام دوباره به اصفهان بازگشته و تا پایان عمرِ پر برکتش در آنجا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حجّت‌الاسلام در اصفهان به جز امامت و ارشاد و تدریسِ دروس عالی و نوشتن کتاب‌های بسیار در فقه و اصول و رجال ـ که از امور متداول بین مراجع عصر بوده ـ دو کار را نیز فراتر از دیگران پی ریزی می‌کرد، یکی اجرای احکام و حدود شرعی، و دیگری ساختن مسجدی بزرگ و بی‌همتا در نوع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تألیفات ایشان می‌توان به مطالع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الزهرة البارقة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قضاء و شهادات؛ الرسائل الرجالیّة و سؤال و جواب، اشاره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5" w:name="pg17288_199419"/>
    </w:p>
    <w:p>
      <w:pPr>
        <w:pStyle w:val="BookText"/>
        <w:rPr/>
      </w:pPr>
      <w:bookmarkEnd w:id="35"/>
      <w:r>
        <w:rPr>
          <w:rFonts w:ascii="IRNazanin" w:hAnsi="IRNazanin" w:eastAsia="IRNazanin"/>
          <w:color w:val="111111"/>
          <w:sz w:val="28"/>
          <w:sz w:val="28"/>
          <w:szCs w:val="28"/>
          <w:rtl w:val="true"/>
          <w:lang w:bidi="fa-IR"/>
        </w:rPr>
        <w:t xml:space="preserve">سرانجام این عالمِ مجاهد در سنّ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دوّم ربیع الثانی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رحلت نموده، پیکر مطهّرش را در مقبره مسجدی که خود ساخته بود، به خاک می‌سپردند</w:t>
      </w:r>
      <w:r>
        <w:rPr>
          <w:rFonts w:eastAsia="IRNazanin" w:cs="IRNazanin"/>
          <w:color w:val="111111"/>
          <w:sz w:val="28"/>
          <w:szCs w:val="28"/>
          <w:rtl w:val="true"/>
          <w:lang w:bidi="fa-IR"/>
        </w:rPr>
        <w:t>.</w:t>
      </w:r>
    </w:p>
    <w:p>
      <w:pPr>
        <w:pStyle w:val="Heading3"/>
        <w:numPr>
          <w:ilvl w:val="2"/>
          <w:numId w:val="1"/>
        </w:numPr>
        <w:rPr/>
      </w:pPr>
      <w:bookmarkStart w:id="36" w:name="__RefHeading___Toc4413504_3224264995"/>
      <w:bookmarkStart w:id="37" w:name="_Toc13"/>
      <w:bookmarkEnd w:id="36"/>
      <w:r>
        <w:rPr>
          <w:rtl w:val="true"/>
        </w:rPr>
        <w:t>نسب شریف</w:t>
      </w:r>
      <w:bookmarkEnd w:id="37"/>
    </w:p>
    <w:p>
      <w:pPr>
        <w:pStyle w:val="BookText"/>
        <w:rPr/>
      </w:pPr>
      <w:r>
        <w:rPr>
          <w:rFonts w:ascii="IRNazanin" w:hAnsi="IRNazanin" w:eastAsia="IRNazanin"/>
          <w:color w:val="111111"/>
          <w:sz w:val="28"/>
          <w:sz w:val="28"/>
          <w:szCs w:val="28"/>
          <w:rtl w:val="true"/>
          <w:lang w:bidi="fa-IR"/>
        </w:rPr>
        <w:t xml:space="preserve">نسب وی، چنانچه پدر بزرگوارش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 بیست و سه واسطه به امام هفتم حضرت موسی بن جعفر علیهماالسلام می‌رسد، که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اسد اللّه، فرزند سیّد محمّدباقر، فرزند محمّدنقی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محمّدزکی، فرزند محمّدتقی، فرزند شاه قاسم، فرزند میر اشرف، فرزند شاه قاسم، فرزند شاه هدایت، فرزند امیر هاشم، فرزند سلطان سیّد علی قاضی، فرزند سیّد علی، فرزند محمّد، فرزند علی، فرزند محمّد، فرزند موسی، فرزند جعفر، فرزند اسماعیل، فرزند احمد، فرزند محمّدِ مجدور، فرزند احمد مجدور، فرزند محمّد أعرابی، فرزند أبوالقاسم أعرابی، فرزند حمزه، فرزند امامِ هفتم حضرت موسی بن جعفر علیهماالسلام </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8" w:name="__RefHeading___Toc4413506_3224264995"/>
      <w:bookmarkStart w:id="39" w:name="_Toc14"/>
      <w:bookmarkEnd w:id="38"/>
      <w:r>
        <w:rPr>
          <w:rtl w:val="true"/>
        </w:rPr>
        <w:t>تولّد ـ تحصیل</w:t>
      </w:r>
      <w:bookmarkEnd w:id="39"/>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متولّد شد</w:t>
      </w:r>
      <w:r>
        <w:rPr>
          <w:rStyle w:val="FootnoteAnchor"/>
          <w:rtl w:val="true"/>
        </w:rPr>
        <w:footnoteReference w:id="8"/>
      </w:r>
      <w:r>
        <w:rPr>
          <w:rFonts w:ascii="IRNazanin" w:hAnsi="IRNazanin" w:eastAsia="IRNazanin"/>
          <w:color w:val="111111"/>
          <w:sz w:val="28"/>
          <w:sz w:val="28"/>
          <w:szCs w:val="28"/>
          <w:rtl w:val="true"/>
          <w:lang w:bidi="fa-IR"/>
        </w:rPr>
        <w:t>و در دامن تربیت پدر بزرگوار خود نشو و نما نموده و بعضی از مقدّمات علوم را نزد وی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شاگردی در خدمت پدرش، از محضر جمعی از علمای دیگر مانند آقا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احمد تربتی، و شیخ نوح جعفری نجفی نیز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اتمام مقدّمات به نجف اشرف مهاجرت نمود و در آنجا خدمت جمعی از اساتید بزرگ مانند مرحوم آیة اللّه شیخ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 تا به مقامات عالیه علم واجتهاد نائل شده و مقامات علمی و زهد و تقوای او مورد گواهی و تصدیق علما و اساتید خود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قدس‌سره او را فقیه و مجتهد قلمداد کرد و به این دو مرتبه تصریح کرد و به قلم مبارک خود در اجازه نامه‌ای آن را نگاشت و در آن مردم را به فتواهای او ارجاع داد، به گونه‌ای که در کلّیه شهرهای ایران فتواهای وی مورد اطمینان قرار گرفت و به آن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اجازه‌نامه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ولدنا و قرّة أعیننا التقیّ النقیّ و المهذّب الصفیّ، العالم العامل و الفاضل الکامل الأدیب الأریب، ذو الفطنة الوقّادة، و القریحة النقّادة، والأخلاق الکریمة، و الفطرة المستقیمة، العظیم الحلیم الأوّاه، المیرزا أسداللّه، نجل حجّة الإسلام و ملجأ الأنام، ذی النور الظاهر و الفضل الباهر، السیّد محمّد باقر، سلّمهما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مردم را ترغیب به تبعیّت از وی کرده و قبول فتاوی و امتثال از فرامینش را بر آنها واجب می‌شمارد،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علی کافّة المتدیّنین إنفاذ حکمه، و امتثال أوامره و نواهیه، و قبول فتواه، و الإهتداء بنوره و هداه، فإنّه نعم الکفیل لأیتام الشیعة، و نعم الرکن للشریعة ـ مدّ اللّه تعالی شأنه فی أیّامه و زاد فی تأییده و تسدیده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0" w:name="pg17288_199421"/>
    </w:p>
    <w:p>
      <w:pPr>
        <w:pStyle w:val="BookText"/>
        <w:rPr/>
      </w:pPr>
      <w:bookmarkEnd w:id="40"/>
      <w:r>
        <w:rPr>
          <w:rFonts w:ascii="IRNazanin" w:hAnsi="IRNazanin" w:eastAsia="IRNazanin"/>
          <w:color w:val="111111"/>
          <w:sz w:val="28"/>
          <w:sz w:val="28"/>
          <w:szCs w:val="28"/>
          <w:rtl w:val="true"/>
          <w:lang w:bidi="fa-IR"/>
        </w:rPr>
        <w:t xml:space="preserve">مرحوم حاج سیّد اسداللّه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امر و اصرار پدر به اصفهان مراجعت نمود و از عجایب اینکه در همان سال، پدرش وفات یافت و وی مرجع امور شرعیّه و مورد وثوق و قبول قاطبه اهالی اصفهان، به خصوص علما و بزرگان واقع گردید، چندان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جماعتش کمتر از پنج هزار نفر هیچ گاه شماره نشدی</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1" w:name="__RefHeading___Toc4413508_3224264995"/>
      <w:bookmarkStart w:id="42" w:name="_Toc15"/>
      <w:bookmarkEnd w:id="41"/>
      <w:r>
        <w:rPr>
          <w:rtl w:val="true"/>
        </w:rPr>
        <w:t>در گفتار بزرگان</w:t>
      </w:r>
      <w:bookmarkEnd w:id="42"/>
    </w:p>
    <w:p>
      <w:pPr>
        <w:pStyle w:val="BookText"/>
        <w:rPr/>
      </w:pPr>
      <w:r>
        <w:rPr>
          <w:rFonts w:ascii="IRNazanin" w:hAnsi="IRNazanin" w:eastAsia="IRNazanin"/>
          <w:color w:val="111111"/>
          <w:sz w:val="28"/>
          <w:sz w:val="28"/>
          <w:szCs w:val="28"/>
          <w:rtl w:val="true"/>
          <w:lang w:bidi="fa-IR"/>
        </w:rPr>
        <w:t>همه شرح حال نویسان، از وی به بزرگی یاد نموده و مقامات علمی و ملکات نفسانی و زهد و تقوای او را ستوده‌اند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مرحوم آیة اللّه میرزا محمّد باقر چهارسوقی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پدر بزرگوارش از ایشان یاد کرده، که ترجمه قسمتی از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اسداللّه فرزند افضل و خلف اسعد ارشد و فقیه اوحد و حبر مؤیّد و نور مجرّد و عماد اعمد، صاحب نفس قدسی و فرشته انسی، جلیل اوّاه و محبوب دلها و ممدوح افواه مولانا و سیّدنا سیّد اسداللّه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این بزرگوار را بسیار دوست می‌داشت و مردم را به متابعت و تجلیل او امر می‌فرمود و او را از جهت قوّت نظر و قدرت استنباط بر فخرالمحقّقین فرزند علاّمه حلّی ترجیح می‌داد و این مطلب را در جواب کسی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3" w:name="pg17288_199422"/>
    </w:p>
    <w:p>
      <w:pPr>
        <w:pStyle w:val="BookText"/>
        <w:rPr/>
      </w:pPr>
      <w:bookmarkEnd w:id="43"/>
      <w:r>
        <w:rPr>
          <w:rFonts w:ascii="IRNazanin" w:hAnsi="IRNazanin" w:eastAsia="IRNazanin"/>
          <w:color w:val="111111"/>
          <w:sz w:val="28"/>
          <w:sz w:val="28"/>
          <w:szCs w:val="28"/>
          <w:rtl w:val="true"/>
          <w:lang w:bidi="fa-IR"/>
        </w:rPr>
        <w:t>که از احوال او از ایشان پرسید،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همگان او را به عدالت می‌ستودند و برای درک نماز جماعتش ازدحام می‌کردند وارادتمند او بوده و وی را ستایش می‌نمودند و او را در بسیاری از مکارم اخلاق و صفات حسنه بر پدر بزرگوارش برتر می‌شمردند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مرحوم ملاّ محمّد تنکابنی از معاصران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اسداللّه بن آقا سیّد محمّدباقر حجّت‌الاسلام، افتخار اماثل و اشباه عالم، اوّاه در اخلاق و تقاوت و نقاوت و زهادت و عبادت و فقاهت، اوحد اهل عصر است و از تلامذه آقا سیّد ابراهیم و شیخ محمّدحسن و شیخ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مؤلّف کتاب صداقت و موادت است</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محمّدحسن خان اعتماد السلطنه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اسداللّه مجتهد اصفهانی حجّت‌الاسلام بن الحاج سیّد محمّدباقر مجتهد شفتی رشتی حجّت‌الاسلام، در فقاهت و اجتهاد و ورع و زهد و تقوی مسلّم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شعر نیز قدرتی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را این بزرگوار در نجف اشرف جاری ساخت </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4" w:name="__RefHeading___Toc4413510_3224264995"/>
      <w:bookmarkStart w:id="45" w:name="_Toc16"/>
      <w:bookmarkEnd w:id="44"/>
      <w:r>
        <w:rPr>
          <w:rtl w:val="true"/>
        </w:rPr>
        <w:t>تألیفات</w:t>
      </w:r>
      <w:bookmarkEnd w:id="45"/>
    </w:p>
    <w:p>
      <w:pPr>
        <w:pStyle w:val="BookText"/>
        <w:rPr/>
      </w:pPr>
      <w:r>
        <w:rPr>
          <w:rFonts w:ascii="IRNazanin" w:hAnsi="IRNazanin" w:eastAsia="IRNazanin"/>
          <w:color w:val="111111"/>
          <w:sz w:val="28"/>
          <w:sz w:val="28"/>
          <w:szCs w:val="28"/>
          <w:rtl w:val="true"/>
          <w:lang w:bidi="fa-IR"/>
        </w:rPr>
        <w:t>از مرحوم حاج سیّد اسداللّه ـ أعلی اللّه مقامه ـ کتاب‌های علمی فراوانی به یادگار مانده، از جمله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امامت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تقلید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کتاب تحفة الأبرار پدر دانشمندش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نخبه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عملیه مرحوم حاجی کلباسی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کتاب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شناخت تکالیف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رجال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استدلالی در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احکام خمر و عصیر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زمان 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مناسک حجّ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الصحاح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استصحاب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حقیقت شرعیّه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اوامر و نواهی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تقلید از میّت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نماز شب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رساله در موضوعات مختلف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6" w:name="pg17288_199424"/>
    </w:p>
    <w:p>
      <w:pPr>
        <w:pStyle w:val="Heading3"/>
        <w:numPr>
          <w:ilvl w:val="2"/>
          <w:numId w:val="1"/>
        </w:numPr>
        <w:rPr/>
      </w:pPr>
      <w:bookmarkStart w:id="47" w:name="__RefHeading___Toc4413512_3224264995"/>
      <w:bookmarkStart w:id="48" w:name="_Toc17"/>
      <w:bookmarkEnd w:id="46"/>
      <w:bookmarkEnd w:id="47"/>
      <w:r>
        <w:rPr>
          <w:rtl w:val="true"/>
        </w:rPr>
        <w:t>آثار و خدمات</w:t>
      </w:r>
      <w:bookmarkEnd w:id="48"/>
    </w:p>
    <w:p>
      <w:pPr>
        <w:pStyle w:val="BookText"/>
        <w:rPr/>
      </w:pPr>
      <w:r>
        <w:rPr>
          <w:rFonts w:ascii="IRNazanin" w:hAnsi="IRNazanin" w:eastAsia="IRNazanin"/>
          <w:color w:val="111111"/>
          <w:sz w:val="28"/>
          <w:sz w:val="28"/>
          <w:szCs w:val="28"/>
          <w:rtl w:val="true"/>
          <w:lang w:bidi="fa-IR"/>
        </w:rPr>
        <w:t>از مرحوم حجّت‌الاسلام ثانی، آثار خیریّه و باقیات الصالحات چندی بجای مانده، که از مهمترین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آب فرات به نجف اشرف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مسجد سهله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بنای مسجد سیّد و نوشتن وقفنامه برای آن</w:t>
      </w:r>
    </w:p>
    <w:p>
      <w:pPr>
        <w:pStyle w:val="Heading3"/>
        <w:numPr>
          <w:ilvl w:val="2"/>
          <w:numId w:val="1"/>
        </w:numPr>
        <w:rPr/>
      </w:pPr>
      <w:bookmarkStart w:id="49" w:name="__RefHeading___Toc4413514_3224264995"/>
      <w:bookmarkStart w:id="50" w:name="_Toc18"/>
      <w:bookmarkEnd w:id="49"/>
      <w:r>
        <w:rPr>
          <w:rtl w:val="true"/>
        </w:rPr>
        <w:t>مسافرت به عتبات و وفات در بین راه</w:t>
      </w:r>
      <w:bookmarkEnd w:id="50"/>
    </w:p>
    <w:p>
      <w:pPr>
        <w:pStyle w:val="BookText"/>
        <w:rPr/>
      </w:pPr>
      <w:r>
        <w:rPr>
          <w:rFonts w:ascii="IRNazanin" w:hAnsi="IRNazanin" w:eastAsia="IRNazanin"/>
          <w:color w:val="111111"/>
          <w:sz w:val="28"/>
          <w:sz w:val="28"/>
          <w:szCs w:val="28"/>
          <w:rtl w:val="true"/>
          <w:lang w:bidi="fa-IR"/>
        </w:rPr>
        <w:t xml:space="preserve">سرانجام مرحوم حاج سیّد اسداللّه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قصد زیارت اعتاب مقدّسه ائمّه عراق علیهم‌السلام ، از اصفهان حرکت نموده و در بین راه بیمار گشته، در شب سلخ جمادای دوم همان سال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کرمانشاه وفات یافته، بدن او را از آنجا تا نجف اشرف با احترام شایسته، مردم بر سر دست و دوش حرکت داده و در آن زمین مقدّس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اسداللّه را در اطاق سمت راست وارد شونده به صحن مطهّر حضرت امیرالمؤمنین علی علیه‌السلام از درب قبله، مقابل قبر علاّمه فقیه مرحوم حاج شیخ مرتضی انصاری قدس‌سره دفن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رسالة فی الحبوة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1" w:name="pg17288_199428"/>
    </w:p>
    <w:p>
      <w:pPr>
        <w:pStyle w:val="Heading3"/>
        <w:numPr>
          <w:ilvl w:val="2"/>
          <w:numId w:val="1"/>
        </w:numPr>
        <w:rPr/>
      </w:pPr>
      <w:bookmarkStart w:id="52" w:name="__RefHeading___Toc4413516_3224264995"/>
      <w:bookmarkStart w:id="53" w:name="_Toc19"/>
      <w:bookmarkEnd w:id="51"/>
      <w:bookmarkEnd w:id="52"/>
      <w:r>
        <w:rPr>
          <w:rtl w:val="true"/>
        </w:rPr>
        <w:t>متن الرسالة</w:t>
      </w:r>
      <w:bookmarkEnd w:id="53"/>
    </w:p>
    <w:p>
      <w:pPr>
        <w:pStyle w:val="Heading4"/>
        <w:numPr>
          <w:ilvl w:val="3"/>
          <w:numId w:val="1"/>
        </w:numPr>
        <w:rPr/>
      </w:pPr>
      <w:bookmarkStart w:id="54" w:name="__RefHeading___Toc4413518_322426499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برگ پایانی نسخه خطی رسالة فی الحبوة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یحبی الولد الأکبر من ترکة أبیه بثیاب بدنه و خاتمه وسیفه ومصحفه، و علیه قضاء ما علیه من صلوة و صیام، و من شرط اختصاصه أن لایکون سفیهًا و لا فاسد الرأی علی قول مشهور، و أن یخلّف المیّت مالاً غیر ذلک، ولو لم یخلّف سواه لم یخصّ منه بشیء، ولو کان الأکبر أنثی لم تحب و أعطی الأکبر من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المحقّق قدس‌سره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کتبنا قبل ذلک رسالة فی الحبوة أحببنا إدراجها فی شرح العبارة و الإقتصار علیها،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والصلوة علی محمّد وآله الطاهرین،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کلمات رسمتها علی العجلة فی تحقیق الحال فی أمر الحبوة؛ إلی آخر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عزمنا علی إدراجها فی هذا الشرح نسخناه و بدّلنا ذلک بتنقیح بعض المسائل المهمّة أزید ممّا حرّرناه فی الرسالة نذکرها فی طیّ مقامات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56" w:name="pg17288_199429"/>
    </w:p>
    <w:p>
      <w:pPr>
        <w:pStyle w:val="Heading4"/>
        <w:numPr>
          <w:ilvl w:val="3"/>
          <w:numId w:val="1"/>
        </w:numPr>
        <w:rPr/>
      </w:pPr>
      <w:bookmarkStart w:id="57" w:name="__RefHeading___Toc4413520_3224264995"/>
      <w:bookmarkStart w:id="58" w:name="_Toc21"/>
      <w:bookmarkEnd w:id="56"/>
      <w:bookmarkEnd w:id="57"/>
      <w:r>
        <w:rPr>
          <w:rtl w:val="true"/>
        </w:rPr>
        <w:t xml:space="preserve">[ </w:t>
      </w:r>
      <w:r>
        <w:rPr>
          <w:rtl w:val="true"/>
        </w:rPr>
        <w:t xml:space="preserve">المقام الأوّل </w:t>
      </w:r>
      <w:r>
        <w:rPr>
          <w:rtl w:val="true"/>
        </w:rPr>
        <w:t>]</w:t>
      </w:r>
      <w:bookmarkEnd w:id="58"/>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الحکم،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 نّه قد أجمع أصحابنا علی أ نّه یخصّ الولد الذکر أو أکبر أولاد الذکور فی ترکة أبیه بثیاب بدنه و خاتمه و سیفه و مصحفه، و قد نقل الإجماع صریحًا فیه جماعة و ظاهرًا جماعة أخری، فمن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فی الإنتصار و الشیخ فی الخلاف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الإنتصار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انفردت به الإمامیّة أنّ الولد الذکر یفضل دون سائر الورثة بسیف أبیه و خاتمه و مصحفه، و باقی الفقهاء یخالفون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أجمعت الطائفة من التخصیص له بهذه الأشیاء</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 الابن الأکبر من الترکة بثیاب جلد المیّت و سیفه و مصحفه دون باقی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 إنتهی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الغنیة ما سیأتی منه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کتاب الإعلام للمفید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الإمامیّة علی أنّ الولد الذکر الأکبر یفضل فی المیراث علی من هو دونه فی السنّ من الذکور بسیف أبیه و خاتمه و مصحفه إن خلّف ذلک أو شیئًا منه مع ترکته ما سواه، و إن لم یخلّف شیئًا من ذلک، لم یفضل علی باقی الذکور من الأولاد، و أجمعت العامّة علی خلاف ذلک و انکاره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قال فی السرائر ما سیأتی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المبسوط، کما سیأتی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ـ مضافًا إلی الإجماع المذکور ـ جملة من الأخبار کالصحیح المرویّ فی الکافی و التهذیب عن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 الرجل فترک بنین، فللأکبر السیف و الدرع و الخاتم و المصحف، فإن حدث، به حدث فللأکبر منهم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الخبر المرویّ فیهما عن ابن أذینة عن بعض أصحابه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الرجل إذا ترک سیفًا و سلاحًا، فهو لابنه و إن کان له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فلأکبرهم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الصحیح المرویّ فی الکافی و التهذیب و الفقیه عن حمّاد بن عیسی عن ربعی بن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فسیفه و خاتمه و مصحفه و کتبه و رحله و راحلته و کسوته لأکبر ولده، فإن کان الأکبر ابنة فللأکبر من الذکور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لیس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المرویّ فی الکافی و التهذیب عن ابن أبی عمیر عن ربعی بن عبداللّه عن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فللأکبر من ولده سیفه و مصحفه و خاتمه و درعه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الموثّق المرویّ فی التهذیب عن زرارة و محمّد بن مسلم و بکیر و فضیل بن یسار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إذا ترک سیفًا أو سلاحًا، فهو لابنه و إن کانوا اثنین، فهو لأکبرهما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الموثّق المرویّ فی التهذیب عن شعیب</w:t>
      </w:r>
      <w:r>
        <w:rPr>
          <w:rStyle w:val="FootnoteAnchor"/>
          <w:rtl w:val="true"/>
        </w:rPr>
        <w:footnoteReference w:id="23"/>
      </w:r>
      <w:r>
        <w:rPr>
          <w:rFonts w:ascii="IRNazanin" w:hAnsi="IRNazanin" w:eastAsia="IRNazanin"/>
          <w:color w:val="111111"/>
          <w:sz w:val="28"/>
          <w:sz w:val="28"/>
          <w:szCs w:val="28"/>
          <w:rtl w:val="true"/>
          <w:lang w:bidi="fa-IR"/>
        </w:rPr>
        <w:t>بن یعقوب العقرقوفی،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یموت ما له من متاع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إذا مات فإنّ لابنه السیف و الرحل و الثیاب ثیاب جلده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الصحیح المرویّ فی الفقیه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إذا مات فإنّ لابنه الأکبر السیف و الرحل و ثیاب جلده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الموثّق کالصحیح المرویّ فی التهذیب عن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إنسان له حقّ لایعلم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ذاک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الجدار کان لهما کنز تحته لا یعلمان به، أما أ نّه لم یکن بذهب و 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 کذلک نقول نحن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الموثّق المرویّ فیه عن علیّ بن أسباط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سمعناه و ذکر کنز الیتیمین،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لوحًا من ذهب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إله إلاّ اللّه محمّد رسول اللّه، عجبت لمن أیقن بالموت کیف یفرح؟ و عجبت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أیقن بالقدر کیف یحزن؟ و عجبت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رأی الدنیا و تقلبها بأهلها کیف یرکن إلیها؟ و ینبغی لمن عقل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اللّه أن لا یستبطئ اللّه فی رزقه و لا یتّهمه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حسین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صار إلی أکبرهما؟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قد ذکر فی الوسائل ـ و تبعه الأستاد فی الجواهر</w:t>
      </w:r>
      <w:r>
        <w:rPr>
          <w:rStyle w:val="FootnoteAnchor"/>
          <w:rtl w:val="true"/>
        </w:rPr>
        <w:footnoteReference w:id="29"/>
      </w:r>
      <w:r>
        <w:rPr>
          <w:rFonts w:ascii="IRNazanin" w:hAnsi="IRNazanin" w:eastAsia="IRNazanin"/>
          <w:color w:val="111111"/>
          <w:sz w:val="28"/>
          <w:sz w:val="28"/>
          <w:szCs w:val="28"/>
          <w:rtl w:val="true"/>
          <w:lang w:bidi="fa-IR"/>
        </w:rPr>
        <w:t>ـ ما رواه الشیخ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یموت ما له من متاع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السلاح و الرحل و ثیاب جلده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فیه نظر ظاهر، لأنّ الظاهر أنّ المراد منه المتاع الّذی لا تشارکه الزوجة فیه، و علی کلّ حال فلا دلالة له علی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صاحب الوسائل أ نّه سیذکر هذا الخبر بعینه فی باب حکم اختلاف الزوجین فی متاع البیت</w:t>
      </w:r>
      <w:r>
        <w:rPr>
          <w:rStyle w:val="FootnoteAnchor"/>
          <w:rtl w:val="true"/>
        </w:rPr>
        <w:footnoteReference w:id="31"/>
      </w:r>
      <w:r>
        <w:rPr>
          <w:rFonts w:ascii="IRNazanin" w:hAnsi="IRNazanin" w:eastAsia="IRNazanin"/>
          <w:color w:val="111111"/>
          <w:sz w:val="28"/>
          <w:sz w:val="28"/>
          <w:szCs w:val="28"/>
          <w:rtl w:val="true"/>
          <w:lang w:bidi="fa-IR"/>
        </w:rPr>
        <w:t>، فکیف ذکره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إیراد جملة من عبارات الأصحاب لتبیین جملة من الفروع المتعلّقة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الإنسان ابنین أحدهما أکبر من صاحبه، أو أولادًا ذکورًا فیهم واحد هو أکبرهم سنًّا، حبی الأکبر من ترکته بثیاب بدنه، و بخاتمه الّذی کان یلبسه، و بسیفه و مصحفه، و علی هذا الأکبر أن یقضی من والده ما فاته من صیام و صلوة دون اخوته، فإن کان الذکر فاسد العقل أو سفیهًا فلا یحب بشیء من ذلک، فإن لم یخلّف المیّت من ثیاب بدنه إلاّ ما کان علیه میراثًا بین أهله و لم یحب بها الأکبر من ولده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الإنتصار ما سیأتی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خلّف المیّت ولدین ذکرین أحدهما أکبر من الآخر، أعطی الأکبر منهما ثیاب بدنه و خاتمه الّذی کان یلبسه و سیفه و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أن یقضی عنه ما فاته من صیام أو صلوة دون أخیه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کانوا جماعة، أعطی الأکبر منهم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الأولاد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 لم تعط شیئًا، و أعطی الأکبر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سواء فی السنّ، لم یخصّ واحد منهم بشیء من جملة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کان الأکبر سفیهًا أو فاسد الرأی لم یخصّ</w:t>
      </w:r>
      <w:r>
        <w:rPr>
          <w:rStyle w:val="FootnoteAnchor"/>
          <w:rtl w:val="true"/>
        </w:rPr>
        <w:footnoteReference w:id="34"/>
      </w:r>
      <w:r>
        <w:rPr>
          <w:rFonts w:ascii="IRNazanin" w:hAnsi="IRNazanin" w:eastAsia="IRNazanin"/>
          <w:color w:val="111111"/>
          <w:sz w:val="28"/>
          <w:sz w:val="28"/>
          <w:szCs w:val="28"/>
          <w:rtl w:val="true"/>
          <w:lang w:bidi="fa-IR"/>
        </w:rPr>
        <w:t>من الترکة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یخلّف المیّت غیر ما ذکرناه من ثیاب جلده و سیفه و خاتمه، کان من</w:t>
      </w:r>
      <w:r>
        <w:rPr>
          <w:rStyle w:val="FootnoteAnchor"/>
          <w:rtl w:val="true"/>
        </w:rPr>
        <w:footnoteReference w:id="35"/>
      </w:r>
      <w:r>
        <w:rPr>
          <w:rFonts w:ascii="IRNazanin" w:hAnsi="IRNazanin" w:eastAsia="IRNazanin"/>
          <w:color w:val="111111"/>
          <w:sz w:val="28"/>
          <w:sz w:val="28"/>
          <w:szCs w:val="28"/>
          <w:rtl w:val="true"/>
          <w:lang w:bidi="fa-IR"/>
        </w:rPr>
        <w:t>الورثة، و لم یخصّ واحد منهم بشیء علی حال</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قال فی المبسوط فی آخر باب میراث الحمل و الأسیر و المفقود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الابن الأکبر یخصّ بسیفه و مصحفه و خاتمه و ثیاب جلده، فإن کانوا جماعة فی سنّ واحد اشترکوا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یخلّف غیر ذلک یسقط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یقوّم علیهم دون أن یعطوا بلا تقویم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الصلاح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 أن یحبی الأکبر من ولد الموروث بسیفه و مصحفه و خاتمه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ثیاب مصلاّه دون سائر الورثة، و یقسّم الباقی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یخصّ الأکبر من الولد الذکور بسیف أبیه و مصحفه و خاتمه إذا کان هناک ترکة سوی ذلک بدلیل إجماع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یحتسب بقیمة ذلک علیه من سهمه، لیجمع بین ظاهر القرآن و ما أجمعت علیه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فیما رواه أصحابنا من أنّ الزوجة لا ترث من الرباع و الأرضین شیئًا، فحمله علی أ نّها لاترث من نفس ذلک، بل من قیمته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قال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الابن الکبیر ثیاب بدن الوالد و خاتمه الّذی یلبسه و سیفه و مصحفه بخمسة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العقل، و سداد الرأی، و فقد آخر فی سنّه، و حصول ترکة سوی ما ذکرناه، و قیامه بقضاء ما فاته من صلوة و صیام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قال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ـ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ـ أن یخصّ الولد الذکر غیر السفیه و لا الفاسد الرأی من الترکة بخاتم والده و ثیاب جلده و سیفه و مصحفه، و روی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و سلاحه و رحله و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اثنین فأکبرهما، فإن تساویا فی السنّ اشترکا فیه، فإن کان الأکبر بنتًا فللأکبر من الذکور و لا تخصیص 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بعض أصحابنا تخصیصه به بقیمته، فإن لم یخلّف ترکة سوی ذلک فلا حباء </w:t>
      </w:r>
      <w:r>
        <w:rPr>
          <w:rFonts w:eastAsia="IRNazanin" w:cs="IRNazanin"/>
          <w:color w:val="111111"/>
          <w:sz w:val="28"/>
          <w:szCs w:val="28"/>
          <w:rtl w:val="true"/>
          <w:lang w:bidi="fa-IR"/>
        </w:rPr>
        <w:t>.</w:t>
      </w:r>
      <w:r>
        <w:rPr>
          <w:rStyle w:val="FootnoteAnchor"/>
          <w:rtl w:val="true"/>
        </w:rPr>
        <w:footnoteReference w:id="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یخصّ ولد الأکبر من الذکور إذا لم یکن سفیهًا فاسد الرأی بسیف أبیه و مصحفه و خاتمه و ثیاب جلده، إذا کان هناک ترکة سوی ذلک، فإذا لم یخلّف المیّت غیره، یسقط</w:t>
      </w:r>
      <w:r>
        <w:rPr>
          <w:rStyle w:val="FootnoteAnchor"/>
          <w:rtl w:val="true"/>
        </w:rPr>
        <w:footnoteReference w:id="42"/>
      </w:r>
      <w:r>
        <w:rPr>
          <w:rFonts w:ascii="IRNazanin" w:hAnsi="IRNazanin" w:eastAsia="IRNazanin"/>
          <w:color w:val="111111"/>
          <w:sz w:val="28"/>
          <w:sz w:val="28"/>
          <w:szCs w:val="28"/>
          <w:rtl w:val="true"/>
          <w:lang w:bidi="fa-IR"/>
        </w:rPr>
        <w:t xml:space="preserve">هذا الحکم و قسّم بین الجمیع، فإن کان له جماعة من هذه الأجناس، خصّ بالّذی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یعتاد لبسه ویدیمه دون ما سواه من غیر احتساب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أصحابنا إلی أ نّه یحتسب علیه بقیمته من سهمه لیجمع بین ظواهر القرآن و ما أجمعت الطائفة علیه، و هو تخریج السیّد المرتضی ذکره فی 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بعض أصحابنا إلی أنّ ذلک مستحبّ تخصیصه به دون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 له علی جهة الوجوب، و هو اختیار أبی الصلاح الحلبی فی کتابه الکافی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الأوّل من الأقوال هو الظاهر المجمع علیه عند أصحابنا، المعمول به، وفتاویهم فی عصرنا هذا ـ و هو سنة ثمان و ثمانین و خمسمائة ـ علیه بلا خلاف بینهم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المتن ما تقدّم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یحبی الولد الأکبر بثیاب بدن المیّت و خاتمه و سیفه و مصحفه إذا خلّف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المیّت غیر ذلک، ولو کان الأکبر بنتًا أخذه الأکبر من الذکور و یقضی عنه ما ترک من صیام و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w:t>
      </w:r>
      <w:r>
        <w:rPr>
          <w:rStyle w:val="FootnoteAnchor"/>
          <w:rtl w:val="true"/>
        </w:rPr>
        <w:footnoteReference w:id="46"/>
      </w:r>
      <w:r>
        <w:rPr>
          <w:rFonts w:ascii="IRNazanin" w:hAnsi="IRNazanin" w:eastAsia="IRNazanin"/>
          <w:color w:val="111111"/>
          <w:sz w:val="28"/>
          <w:sz w:val="28"/>
          <w:szCs w:val="28"/>
          <w:rtl w:val="true"/>
          <w:lang w:bidi="fa-IR"/>
        </w:rPr>
        <w:t>بعض الأصحاب أن لا یکون سفیهًا و لا فاسد الرأی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59" w:name="pg17288_199437"/>
    </w:p>
    <w:p>
      <w:pPr>
        <w:pStyle w:val="Heading4"/>
        <w:numPr>
          <w:ilvl w:val="3"/>
          <w:numId w:val="1"/>
        </w:numPr>
        <w:rPr/>
      </w:pPr>
      <w:bookmarkStart w:id="60" w:name="__RefHeading___Toc4413522_3224264995"/>
      <w:bookmarkStart w:id="61" w:name="_Toc22"/>
      <w:bookmarkEnd w:id="59"/>
      <w:bookmarkEnd w:id="60"/>
      <w:r>
        <w:rPr>
          <w:rtl w:val="true"/>
        </w:rPr>
        <w:t>[</w:t>
      </w:r>
      <w:r>
        <w:rPr>
          <w:rtl w:val="true"/>
        </w:rPr>
        <w:t>المقام الثانی</w:t>
      </w:r>
      <w:r>
        <w:rPr>
          <w:rtl w:val="true"/>
        </w:rPr>
        <w:t>]</w:t>
      </w:r>
      <w:bookmarkEnd w:id="61"/>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الحبوة المذکورة، أی الأشیاء المذکورة، هل تعطی الولد الذکر مجّانًا بلا احتساب علیه بقیمته، أو یحتسب علیه من إرثه ؟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یحتسب علیه، بل تدفع إلیه مجّانًا، و هو المشهور بین الأصحاب، بل قد ادّعی علیه فی السرائر الإجماع، حیث قال فی عبارته السابقة مشیرًا إلی القول بعدم الإحتساب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الأقوال هو الظاهر المجمع علیه عند أصحابنا، المعمول به، و فتاویهم فی عصرنا هذا علیه، بلا خلاف بینهم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تحتسب علیه، و هو مذهب جماعة منهم السیّد المرتضی فی الإنتصار،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انفردت الإمامیّة به أنّ الولد الذکر الأکبر یفضل دون سائر الورثة بسیف أبیه و خاتمه و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الفقهاء یخالف</w:t>
      </w:r>
      <w:r>
        <w:rPr>
          <w:rStyle w:val="FootnoteAnchor"/>
          <w:rtl w:val="true"/>
        </w:rPr>
        <w:footnoteReference w:id="50"/>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یقوی فی نفسی أنّ التفضیل للأکبر من الذکور بما ذکرنا </w:t>
      </w:r>
      <w:r>
        <w:rPr>
          <w:rStyle w:val="FootnoteAnchor"/>
          <w:rtl w:val="true"/>
        </w:rPr>
        <w:footnoteReference w:id="51"/>
      </w:r>
      <w:r>
        <w:rPr>
          <w:rFonts w:ascii="IRNazanin" w:hAnsi="IRNazanin" w:eastAsia="IRNazanin"/>
          <w:color w:val="111111"/>
          <w:sz w:val="28"/>
          <w:sz w:val="28"/>
          <w:szCs w:val="28"/>
          <w:rtl w:val="true"/>
          <w:lang w:bidi="fa-IR"/>
        </w:rPr>
        <w:t>إنّما هو بأن یخصّ بتسلیمه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إلیه و تحصیله فی یدیه</w:t>
      </w:r>
      <w:r>
        <w:rPr>
          <w:rStyle w:val="FootnoteAnchor"/>
          <w:rtl w:val="true"/>
        </w:rPr>
        <w:footnoteReference w:id="52"/>
      </w:r>
      <w:r>
        <w:rPr>
          <w:rFonts w:ascii="IRNazanin" w:hAnsi="IRNazanin" w:eastAsia="IRNazanin"/>
          <w:color w:val="111111"/>
          <w:sz w:val="28"/>
          <w:sz w:val="28"/>
          <w:szCs w:val="28"/>
          <w:rtl w:val="true"/>
          <w:lang w:bidi="fa-IR"/>
        </w:rPr>
        <w:t>دون باقی الورثة و إن احتسب بقیمته علیه، و هذا علی کلّ حال انفراد من الفقهاء، لأ نّهم لا یوجبون ذلک و لا یستحبّونه و إن کانت القیمة محسوبة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قوّینا ما بیّناه و إن لم یصرّح به أصحابنا،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الاْءُنثَیَیْنِ</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الظاهر یقتضی مشارکة الأنثی للذّکر فی جمیع ما یخلّفه المیّت من سیف و مصحف و غیرهما،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آیات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الأبوین و الزوجین یقتضی أنّ لهم السهام المذکورة من جمیع ترکة المیّت، فإذا خصّصنا الذکر الأکبر بشیء من ذلک من غیر احتساب بقیمته علیه، ترکنا هذه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لم یجمعوا علی أنّ الذکر الأکبر، یفضل بهذه الأشیاء من غیر احتساب بالقیمة و إنّما عولوا علی أخبار رووها تتضمّن تخصیص الأکبر بما ذکرناه من غیر تصریح باحتساب علیه أو بقیمته؛ و إذا خصّصناه بذلک اتباعًا لهذه الأخبار و احتسبنا بالقیمة علیه، فقد سلمت ظواهر الکتاب مع العمل بما أجمعت علیه الطائفة من التخصیص له بهذه الأشیاء، فذلک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تخصیصه بذلک مع الإحتساب بقیمته علیه أ نّه القائم مقام أبیه و السادّ مسدّه، فهو أحقّ بهذه الأمور من النسوان و الأصاغر للمرتبة و الجاه، إنتهی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حکی هذا القول فی المختلف و المسالک و غیرهما</w:t>
      </w:r>
      <w:r>
        <w:rPr>
          <w:rStyle w:val="FootnoteAnchor"/>
          <w:rtl w:val="true"/>
        </w:rPr>
        <w:footnoteReference w:id="56"/>
      </w:r>
      <w:r>
        <w:rPr>
          <w:rFonts w:ascii="IRNazanin" w:hAnsi="IRNazanin" w:eastAsia="IRNazanin"/>
          <w:color w:val="111111"/>
          <w:sz w:val="28"/>
          <w:sz w:val="28"/>
          <w:szCs w:val="28"/>
          <w:rtl w:val="true"/>
          <w:lang w:bidi="fa-IR"/>
        </w:rPr>
        <w:t>عن ابن الجنید، و العلاّمة فی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المختلف نفی عنه البأس،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الروایات المتضمّنة لتخصیصه بسلاحه و رحله و راحلته، ولو لا الإحتساب بالقیمة لزم الإجحاف علی الورثة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قد مال إلیه الشهید الثانی فی الرسالة</w:t>
      </w:r>
      <w:r>
        <w:rPr>
          <w:rStyle w:val="FootnoteAnchor"/>
          <w:rtl w:val="true"/>
        </w:rPr>
        <w:footnoteReference w:id="58"/>
      </w:r>
      <w:r>
        <w:rPr>
          <w:rFonts w:ascii="IRNazanin" w:hAnsi="IRNazanin" w:eastAsia="IRNazanin"/>
          <w:color w:val="111111"/>
          <w:sz w:val="28"/>
          <w:sz w:val="28"/>
          <w:szCs w:val="28"/>
          <w:rtl w:val="true"/>
          <w:lang w:bidi="fa-IR"/>
        </w:rPr>
        <w:t>، و ذهب إلیه الفاضل فی کشف اللثام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الأقوی ما فی الإنتصار من الإحتساب علیه بالقیمة من الإرث، لعموم أدلّته من غیر معارض، فإنّ اختصاص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الأخبار و الفتاوی لا ینافی الإحتساب، إنتهی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ظاهر جماعة کثیرة التوقّف فی ذلک، کالشیخ فی المبسوط</w:t>
      </w:r>
      <w:r>
        <w:rPr>
          <w:rStyle w:val="FootnoteAnchor"/>
          <w:rtl w:val="true"/>
        </w:rPr>
        <w:footnoteReference w:id="61"/>
      </w:r>
      <w:r>
        <w:rPr>
          <w:rFonts w:ascii="IRNazanin" w:hAnsi="IRNazanin" w:eastAsia="IRNazanin"/>
          <w:color w:val="111111"/>
          <w:sz w:val="28"/>
          <w:sz w:val="28"/>
          <w:szCs w:val="28"/>
          <w:rtl w:val="true"/>
          <w:lang w:bidi="fa-IR"/>
        </w:rPr>
        <w:t>، و شیخنا الشهید فی المسالک</w:t>
      </w:r>
      <w:r>
        <w:rPr>
          <w:rStyle w:val="FootnoteAnchor"/>
          <w:rtl w:val="true"/>
        </w:rPr>
        <w:footnoteReference w:id="62"/>
      </w:r>
      <w:r>
        <w:rPr>
          <w:rFonts w:ascii="IRNazanin" w:hAnsi="IRNazanin" w:eastAsia="IRNazanin"/>
          <w:color w:val="111111"/>
          <w:sz w:val="28"/>
          <w:sz w:val="28"/>
          <w:szCs w:val="28"/>
          <w:rtl w:val="true"/>
          <w:lang w:bidi="fa-IR"/>
        </w:rPr>
        <w:t>، و ابن فهد فی المهذّب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المستند لهذا القول هو ما ذکره المحدث له و هو السیّد رحمه‌الله من الجمع بین الظواهر و الأخبار الواردة فی الباب؛ و ما أشار إلیه فی المسالک من أ نّه لو لا الإحتساب، لزم الإجحاف بالورثة</w:t>
      </w:r>
      <w:r>
        <w:rPr>
          <w:rStyle w:val="FootnoteAnchor"/>
          <w:rtl w:val="true"/>
        </w:rPr>
        <w:footnoteReference w:id="64"/>
      </w:r>
      <w:r>
        <w:rPr>
          <w:rFonts w:ascii="Amiri" w:hAnsi="Amiri" w:eastAsia="Amiri" w:cs="Amiri"/>
          <w:color w:val="111111"/>
          <w:sz w:val="28"/>
          <w:sz w:val="28"/>
          <w:szCs w:val="28"/>
          <w:rtl w:val="true"/>
          <w:lang w:bidi="ar-SA"/>
        </w:rPr>
        <w:t>، مع اعتبار ما عدا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جماعة عن الوجه الأوّل بتخصیص الظواهر بما مرّ من الإجماع و الأخبار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إنّما هو علی تقدیر تسلیم دلالة الأخبار و الإجماع علی أنّ دفع هذه الأجناس إلی الولد الأکبر مجّانًا، و أمّا مع عدم تسلیم ذلک فلا، فإنّ مراد السیّد رحمه‌الله منع دلالتهما علی ذلک، بل غایة ما دلاّ علیه هو الإختصاص، و هو أعمّ من المجّانیة؛ ألا تری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لم یجمعوا علی أنّ الذکر الأکبر، یفضل بهذه الأشیاء من غیر احتساب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66"/>
      </w:r>
      <w:r>
        <w:rPr>
          <w:rFonts w:ascii="IRNazanin" w:hAnsi="IRNazanin" w:eastAsia="IRNazanin"/>
          <w:color w:val="111111"/>
          <w:sz w:val="28"/>
          <w:sz w:val="28"/>
          <w:szCs w:val="28"/>
          <w:rtl w:val="true"/>
          <w:lang w:bidi="fa-IR"/>
        </w:rPr>
        <w:t>بالقیمة، و إنّما عولوا علی أخبار رووها تتضمّن تخصیص الأکبر بما ذکرناه من غیر تصریح باحتساب علیه، إلی آخره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السیّد رحمه‌الله أنّ الظواهر دلّت علی أنّ الترکة بین الورثة بالحصص مطلقًا، و هذه الأخبار و الاجماع المنطبق علیها، لا دلالة فیها إلاّ علی اختصاص الولد الأکبر بهذه الأعیان، و العمل بظاهر الظواهر و ظاهر هذه الأدلّة، یقتضی أن تکون هذه الأعیان بعینها للولد الأکبر بأن یفضل بها بعینها علی سائر الورثة، و أمّا أ نّها زائدة علی سهمه أم لا، فلا 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فی باب الإرث موجود، فإنّ ما دلّ علی أنّ الزوجة لا ترث من الأرض و العقار و انّما ترث من عداها من الورثة، لا یقتضی رفع استحقاقها عنها بالمرّة، بل إنّما لا ترث من أعیانها و إنّما ترث من قیمتها، و قد أشاره إلی ذلک، ابن زهرة فی الغنیة فی عبارته السابقة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فی تسمیتهم ذلک بالحبوة و إنّه یحبی الولد الأکبر بها أ نّها لا تحتسب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الحبوة و ما یشتقّ منها لیست فی الأخبار و لا فی کلمات أکثر القدماء، و إنّما اشتهرت هذه اللفظة من زمان المصنّف</w:t>
      </w:r>
      <w:r>
        <w:rPr>
          <w:rStyle w:val="FootnoteAnchor"/>
          <w:rtl w:val="true"/>
        </w:rPr>
        <w:footnoteReference w:id="69"/>
      </w:r>
      <w:r>
        <w:rPr>
          <w:rFonts w:ascii="IRNazanin" w:hAnsi="IRNazanin" w:eastAsia="IRNazanin"/>
          <w:color w:val="111111"/>
          <w:sz w:val="28"/>
          <w:sz w:val="28"/>
          <w:szCs w:val="28"/>
          <w:rtl w:val="true"/>
          <w:lang w:bidi="fa-IR"/>
        </w:rPr>
        <w:t>و ما بعده؛ أنّ الحباء حاصل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اللام الملکیّة لا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تسلیم ذلک بنفسه الملکیّة حاصلة علی التقدیرین کما لا یخفی، فلا وجه لما ذکره جماعة فی الإستدلال فی الأخبار علی المجّانیة دون الإحتساب بأنّ اللام ظاهرة فی الملکیّة، بل لا وجه لجعل المجّانیة فی مقابلة الإحتساب، لأ نّها مجّانیة علی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حال، إذ لا یؤخذ منه عوض فی ذلک إلاّ فی وجه و هو أنّ ذلک عوض ما یلزم علیه من قضاء الصوم و الصلوة، و هو خارج عن المقام، و سیأتی الکلام فیه، لأنّ ذلک علی تقدیره یمکن أن یکون عوضًا عن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ذکرناه و قوّیناه إنّه لا ینبغی الریب علی القول بالمجّانیة کون ذلک إرثًا، فینبغی حینئذ أن یذکر ذلک فی طیّ ذکر المواریث فی الآیات و الأخبار خصوصًا الأخبار الواردة فی المواریث، و کذا فی کتب الأصحاب، فإنّ الأصحاب لم یذکروا ذلک فی طیّ تسهیم المواریث، و إنّما ذکروا ذلک بعنوان الحبوة و العطیّة، و هذا یؤیّد الإحتساب، فتدبّر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62" w:name="pg17288_199442"/>
    </w:p>
    <w:p>
      <w:pPr>
        <w:pStyle w:val="Heading4"/>
        <w:numPr>
          <w:ilvl w:val="3"/>
          <w:numId w:val="1"/>
        </w:numPr>
        <w:rPr/>
      </w:pPr>
      <w:bookmarkStart w:id="63" w:name="__RefHeading___Toc4413524_3224264995"/>
      <w:bookmarkStart w:id="64" w:name="_Toc23"/>
      <w:bookmarkEnd w:id="62"/>
      <w:bookmarkEnd w:id="63"/>
      <w:r>
        <w:rPr>
          <w:rtl w:val="true"/>
        </w:rPr>
        <w:t xml:space="preserve">[ </w:t>
      </w:r>
      <w:r>
        <w:rPr>
          <w:rtl w:val="true"/>
        </w:rPr>
        <w:t xml:space="preserve">المقام الثالث </w:t>
      </w:r>
      <w:r>
        <w:rPr>
          <w:rtl w:val="true"/>
        </w:rPr>
        <w:t>]</w:t>
      </w:r>
      <w:bookmarkEnd w:id="64"/>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تخصیص الولد الأکبر الذکر بالأشیاء المعروفة، هل هو واجب أو مستحبّ؟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بل ظاهر معاقد جملة من الإجماعات الوجوب، کما تقدّمت من کتاب الإعلام و الإنتصار 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ابن زهرة فی الغنیة</w:t>
      </w:r>
      <w:r>
        <w:rPr>
          <w:rStyle w:val="FootnoteAnchor"/>
          <w:rtl w:val="true"/>
        </w:rPr>
        <w:footnoteReference w:id="70"/>
      </w:r>
      <w:r>
        <w:rPr>
          <w:rFonts w:ascii="IRNazanin" w:hAnsi="IRNazanin" w:eastAsia="IRNazanin"/>
          <w:color w:val="111111"/>
          <w:sz w:val="28"/>
          <w:sz w:val="28"/>
          <w:szCs w:val="28"/>
          <w:rtl w:val="true"/>
          <w:lang w:bidi="fa-IR"/>
        </w:rPr>
        <w:t>، و أبی الصلاح فی الکافی</w:t>
      </w:r>
      <w:r>
        <w:rPr>
          <w:rStyle w:val="FootnoteAnchor"/>
          <w:rtl w:val="true"/>
        </w:rPr>
        <w:footnoteReference w:id="71"/>
      </w:r>
      <w:r>
        <w:rPr>
          <w:rFonts w:ascii="IRNazanin" w:hAnsi="IRNazanin" w:eastAsia="IRNazanin"/>
          <w:color w:val="111111"/>
          <w:sz w:val="28"/>
          <w:sz w:val="28"/>
          <w:szCs w:val="28"/>
          <w:rtl w:val="true"/>
          <w:lang w:bidi="fa-IR"/>
        </w:rPr>
        <w:t>، و العلاّمة فی المختلف،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الإستحباب</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السبزواری فی الکفایة</w:t>
      </w:r>
      <w:r>
        <w:rPr>
          <w:rStyle w:val="FootnoteAnchor"/>
          <w:rtl w:val="true"/>
        </w:rPr>
        <w:footnoteReference w:id="73"/>
      </w:r>
      <w:r>
        <w:rPr>
          <w:rFonts w:ascii="IRNazanin" w:hAnsi="IRNazanin" w:eastAsia="IRNazanin"/>
          <w:color w:val="111111"/>
          <w:sz w:val="28"/>
          <w:sz w:val="28"/>
          <w:szCs w:val="28"/>
          <w:rtl w:val="true"/>
          <w:lang w:bidi="fa-IR"/>
        </w:rPr>
        <w:t>، و الفاضل الهندی فی کشف اللثام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نسب جماعة کالشهید فی المسالک و غیره</w:t>
      </w:r>
      <w:r>
        <w:rPr>
          <w:rStyle w:val="FootnoteAnchor"/>
          <w:rtl w:val="true"/>
        </w:rPr>
        <w:footnoteReference w:id="75"/>
      </w:r>
      <w:r>
        <w:rPr>
          <w:rFonts w:ascii="IRNazanin" w:hAnsi="IRNazanin" w:eastAsia="IRNazanin"/>
          <w:color w:val="111111"/>
          <w:sz w:val="28"/>
          <w:sz w:val="28"/>
          <w:szCs w:val="28"/>
          <w:rtl w:val="true"/>
          <w:lang w:bidi="fa-IR"/>
        </w:rPr>
        <w:t>هذا القول إلی السیّد المرتضی، و هو لایسلم عن النظر، لأنّ غایة الأمر أ نّه قائل بالإحتساب و لا یلزم منه الإستحباب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أیضًا جماعة إلی ابن الجنید فی المختصر الأحمدی، و الکیدری فی الإصباح</w:t>
      </w:r>
      <w:r>
        <w:rPr>
          <w:rStyle w:val="FootnoteAnchor"/>
          <w:rtl w:val="true"/>
        </w:rPr>
        <w:footnoteReference w:id="76"/>
      </w:r>
      <w:r>
        <w:rPr>
          <w:rFonts w:ascii="IRNazanin" w:hAnsi="IRNazanin" w:eastAsia="IRNazanin"/>
          <w:color w:val="111111"/>
          <w:sz w:val="28"/>
          <w:sz w:val="28"/>
          <w:szCs w:val="28"/>
          <w:rtl w:val="true"/>
          <w:lang w:bidi="fa-IR"/>
        </w:rPr>
        <w:t>، و نصیر الدین الطوسی فی الرسالة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عبارة ابن الجنید علی ما حکی عنه فی المختلف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یؤثر الولد الأکبر إذا کان ذکرًا بالسیف و آلة السلاح و المصحف و الخاتم و ثیابه الّتی کانت لجسده بقیمته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قد مال أو ذهب إلیه الشهید الثانی فی المسالک، بل الفخر فی الإیضاح، و المقدّس الأردبیلی فی مجمع الفائدة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قد استدلّ المشهور علی القول الأوّل بظاهر الأخبار، فإنّ اللام إن کانت للملکیّة ـ کما هو الظاهر ـ فدلالتها واضحة، و إن کانت للإختصاص فلأ نّه لایحصل الإختصاص بدون الوجوب، لأنّ الإستحباب لا یتعیّن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اختصاص الإستحباب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دفع الشهید الثانی هذا الإحتمال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ـ أی ظاهر الأخبار ـ أ نّه مختصّ بنفس المذکورات، فلایفید</w:t>
      </w:r>
      <w:r>
        <w:rPr>
          <w:rStyle w:val="FootnoteAnchor"/>
          <w:rtl w:val="true"/>
        </w:rPr>
        <w:footnoteReference w:id="79"/>
      </w:r>
      <w:r>
        <w:rPr>
          <w:rFonts w:ascii="IRNazanin" w:hAnsi="IRNazanin" w:eastAsia="IRNazanin"/>
          <w:color w:val="111111"/>
          <w:sz w:val="28"/>
          <w:sz w:val="28"/>
          <w:szCs w:val="28"/>
          <w:rtl w:val="true"/>
          <w:lang w:bidi="fa-IR"/>
        </w:rPr>
        <w:t xml:space="preserve">الإختصاص بالإستحباب تخصیصه بها، لأنّ 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بحکمها لا بها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دلالة اللام علی الوجوب نظر، بناء علی ما تقدّم من القول بالإحتساب فی المسألة السابقة، سواء قلنا بکونها للملک أو الإختصاص، خصوصًا علی الأخیر، لإمکان أن یکون المراد رجحان جعل سهمه من تلک الأعیان؛ فالعمدة الإجماع إن ثبت نقلاً أو تحصیلاً، و فی کشف اللثام إنّه بمعزل عن الثبوت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استدلّ فی المسالک و الکشف و غیرهما</w:t>
      </w:r>
      <w:r>
        <w:rPr>
          <w:rStyle w:val="FootnoteAnchor"/>
          <w:rtl w:val="true"/>
        </w:rPr>
        <w:footnoteReference w:id="83"/>
      </w:r>
      <w:r>
        <w:rPr>
          <w:rFonts w:ascii="IRNazanin" w:hAnsi="IRNazanin" w:eastAsia="IRNazanin"/>
          <w:color w:val="111111"/>
          <w:sz w:val="28"/>
          <w:sz w:val="28"/>
          <w:szCs w:val="28"/>
          <w:rtl w:val="true"/>
          <w:lang w:bidi="fa-IR"/>
        </w:rPr>
        <w:t>علی القول الثانی بالأصل و عمومات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الإرث و أخباره و اجمال نصوص الحبوة لعدم نصوصیّة اللام فی الوجوب، فإنّ الأصل و العمومات تقتضیان اشتراک الورثة فی جمیع ما یخلّفه المیّت، فیقتصر فیما خالفه علی موضع الیقین، و هو ما إذا دفع باقی الورثة إلیه علی وجه التراضی، فإنّه لا صراحة فی الأخبار فی الوجوب، فلا یخصّص عمومات الإرث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المختلف ما یظهر منه نفی الشهرة عن القول الأوّل، حیث إنّه بعد نقل عبارة الشیخین و أنّه تبعهما ابن البرّاج و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لا إشعار فیه بالوجوب تصریحًا، 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یؤثر، إلی آخره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الشیخین یوهم الوجوب من غیر أن یدلّ علیه دلالة ظاهرة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أنّ عبارات جملة ممّن ادّعی الإجماع، ظاهرة فی الوجوب، لدلالة الجملة الخبریّة علی الوجوب، و الأخبار ظاهرة فیه لدلالة اللام، فإنّه لیس المراد بالوجوب هنا الحکم التکلیفی، بل الحکم الوضعی من الملکیّة أو الإختصاص، فیخصّص الأصل و العمومات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یمنع الإجماع نظرًا إلی تصریح المصرّحین بالإستحباب وهم جماعة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المسالک المنع من الإجماع حتّی فی الأربعة المعروفة من حیث أنّ الإجماع لابدّ له من مستند و المستند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أی المستند الأخبار و مدلول کلّ واحد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الأخبار لم یعمل به الأصحاب، و الإقتصار علی الأربعة لا یخلو عن تحکّم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فی ذلک، و تحقیق الحال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بالإستحباب لا یتصوّر إلاّ بجعل الإستحباب حکمًا لسائر الورثة، أی یستحبّ لهم أن یجعلوا الأجناس الأربعة للولد الأکبر، و إلاّ فلا وجه له، کما یظهر لک بعد التأمّل، و هذا خلاف ظواهر الأدلّة، فالمستحبّ أن یجعلوا له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بالجعل له ما هو ؟ فإن کان المراد جعلها إرثًا له أو من إرثه، کان ذلک فی معنی الإحتساب، بل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جعلها له مجّانًا، فما المملک له ؟ فإن کان ذلک عطیّة منهم، فلیس ذلک التملّک من اللّه تعالی، کما هو ظاهر الأدلّة و إن اقتضاه لفظ الحباء و الحبوة فی کلماتهم، إلاّ أنّ مرادهم أنّ ذلک حبوة من اللّه تعالی، و هذا یؤیّد ما قوّیناه سابقًا من کون ذلک من باب الإحتساب لا المجّانیة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65" w:name="pg17288_199446"/>
    </w:p>
    <w:p>
      <w:pPr>
        <w:pStyle w:val="Heading4"/>
        <w:numPr>
          <w:ilvl w:val="3"/>
          <w:numId w:val="1"/>
        </w:numPr>
        <w:rPr/>
      </w:pPr>
      <w:bookmarkStart w:id="66" w:name="__RefHeading___Toc4413526_3224264995"/>
      <w:bookmarkStart w:id="67" w:name="_Toc24"/>
      <w:bookmarkEnd w:id="65"/>
      <w:bookmarkEnd w:id="66"/>
      <w:r>
        <w:rPr>
          <w:rtl w:val="true"/>
        </w:rPr>
        <w:t xml:space="preserve">[ </w:t>
      </w:r>
      <w:r>
        <w:rPr>
          <w:rtl w:val="true"/>
        </w:rPr>
        <w:t xml:space="preserve">المقام الرابع </w:t>
      </w:r>
      <w:r>
        <w:rPr>
          <w:rtl w:val="true"/>
        </w:rPr>
        <w:t>]</w:t>
      </w:r>
      <w:bookmarkEnd w:id="67"/>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المحبوبة ما هو؟ فالمشهور انّه الأربعة المعروفة من الثیاب و المصحف و الخاتم و السیف، کما فی المقنعة، و المبسوط، و النهایة، و الوسیلة، و الجامع، و السرائر، و المتن، و النافع، و کشف الرموز علی تأمّل فی دلالة عبارته، و جملة من کتب العلاّمة، و الدروس، و اللمعة، و المهذّب، و التنقیح، و غایة المرام، و نحوها</w:t>
      </w:r>
      <w:r>
        <w:rPr>
          <w:rStyle w:val="FootnoteAnchor"/>
          <w:rtl w:val="true"/>
        </w:rPr>
        <w:footnoteReference w:id="87"/>
      </w:r>
      <w:r>
        <w:rPr>
          <w:rFonts w:ascii="IRNazanin" w:hAnsi="IRNazanin" w:eastAsia="IRNazanin"/>
          <w:color w:val="111111"/>
          <w:sz w:val="28"/>
          <w:sz w:val="28"/>
          <w:szCs w:val="28"/>
          <w:rtl w:val="true"/>
          <w:lang w:bidi="fa-IR"/>
        </w:rPr>
        <w:t>، کما مرّت أکثر عبائرهم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اقتصر علی الثلاثة کما فی الإعلام و الإنتصار و الغنیة، کما مرّت عباراتها، فإنّها خالیة عن الثیاب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منهم من لم یذکر الخاتم منها کالشیخ فی الخلاف کما هو المحکیّ عن تلخیصه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عن الصدوق فی حکایة الأکثر عنه زیادة الکتب و الرحل و الراحلة، و لعلّ هذه النسبة ناشیة من ایراده فی الفقیه خبر ربعی المشتمل علیها</w:t>
      </w:r>
      <w:r>
        <w:rPr>
          <w:rStyle w:val="FootnoteAnchor"/>
          <w:rtl w:val="true"/>
        </w:rPr>
        <w:footnoteReference w:id="90"/>
      </w:r>
      <w:r>
        <w:rPr>
          <w:rFonts w:ascii="IRNazanin" w:hAnsi="IRNazanin" w:eastAsia="IRNazanin"/>
          <w:color w:val="111111"/>
          <w:sz w:val="28"/>
          <w:sz w:val="28"/>
          <w:szCs w:val="28"/>
          <w:rtl w:val="true"/>
          <w:lang w:bidi="fa-IR"/>
        </w:rPr>
        <w:t>، بناء علی ما تقدّم فی صدره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نظر و لاسیّما بعد أن أورد الخبر فی باب نوادر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التقی زیادة آلة السلاح</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فی بعض الکتب کالمسالک و مجمع الفائدة، المیل علی عدم الإقتصار بالأربعة، بل علی کلّ ما اشتمل علیه الأخبار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أمّا أخبار الباب فمشتملة علی عشرة أشیاء أو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هو فی سبع روایات یعنی خبر حریز و خبری ربعی و خبر ابن أذینة و خبر الفضلاء و خبر شعیب و صحیح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و المصحف، و هی فی ثلاث روایات، یعنی خبر حریز و خبری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أو الکسوة، و هی فی ثلاث روایات، فی أحد خبری ربعی و خبر شعیب و صحیح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و هو فی روایتین، فی أحد خبری ربعی و خبر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و هی فی أحد خبری ربعی و خبر أبی بصیر المشتمل علی کنز الیتیمین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 و هو فی ثلاث روایات، یعنی فی أحد خبری ربعی و خبر شعیب و خبر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الراحلة، و هی فی أحد خبری ربعی، علی ما فی الکافی و التهذیب لا الفقیه،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68" w:name="pg17288_199448"/>
    </w:p>
    <w:p>
      <w:pPr>
        <w:pStyle w:val="BookText"/>
        <w:rPr/>
      </w:pPr>
      <w:bookmarkEnd w:id="68"/>
      <w:r>
        <w:rPr>
          <w:rFonts w:ascii="IRNazanin" w:hAnsi="IRNazanin" w:eastAsia="IRNazanin"/>
          <w:color w:val="111111"/>
          <w:sz w:val="28"/>
          <w:sz w:val="28"/>
          <w:szCs w:val="28"/>
          <w:rtl w:val="true"/>
          <w:lang w:bidi="fa-IR"/>
        </w:rPr>
        <w:t>إذ لیس فیه علی ما فیه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راحلته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و هو فی خبر الفضلاء و خبر ابن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 فرقًا بین الثیاب و الکسوة فیصیر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الکسوة فی أحد خبری ربعی</w:t>
      </w:r>
      <w:r>
        <w:rPr>
          <w:rFonts w:eastAsia="IRNazanin" w:cs="IRNazanin"/>
          <w:color w:val="111111"/>
          <w:sz w:val="28"/>
          <w:szCs w:val="28"/>
          <w:rtl w:val="true"/>
          <w:lang w:bidi="fa-IR"/>
        </w:rPr>
        <w:t>.</w:t>
      </w:r>
    </w:p>
    <w:p>
      <w:pPr>
        <w:pStyle w:val="Heading4"/>
        <w:numPr>
          <w:ilvl w:val="3"/>
          <w:numId w:val="1"/>
        </w:numPr>
        <w:rPr/>
      </w:pPr>
      <w:bookmarkStart w:id="69" w:name="__RefHeading___Toc4413528_3224264995"/>
      <w:bookmarkStart w:id="70" w:name="_Toc25"/>
      <w:bookmarkEnd w:id="69"/>
      <w:r>
        <w:rPr>
          <w:rtl w:val="true"/>
        </w:rPr>
        <w:t>بیان و تنبیه</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الدرع المطلق کما فی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یلبس لدفع أثر الحدید فی الحرب، المعبّر فی لسان العجم بزره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الحدید مؤنّثة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 المرأة قمیصها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الحدید قد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المرأة قمیصها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مدرعة کمکنسة، ثوب کالدراعة و لا یکون إلاّ من 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درّعه تدریعًا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الدرع و الرجل لبس درع الحدید کتدرع</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الدرع إذا قیّد بالحدید، فهی ما مرّ من لباس الحرب، و أمّا المطلق فلا؛ ففی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دراع علیه درع أی قمیص</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قد یؤمی إلیه المدرعة المشتقّة منه، فتأمّل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المهذّب البارع بعد ذکر خبر ربعی و خبر ابن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فیهما من الثیاب إلاّ الدرع</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کون المراد منهما درع الحدید لا الثوب و القمیص فی حیّز المنع، لظهور اشتراکهما بینهما لغة و وروده بالمعنی الأخیر فی الأخبار کثیرًا، فإرادته محتمل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إنکار کون اللفظ ظاهرًا فی درع الحدید، و تقیید أهل اللغة بدرع الحدید لبیان ذکر تأنیث هذا اللفظ إذا کان بهذا المعنی، دون درع المرئة فإنّه 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المهذّب منظور فیه، و ما فی الریاض لا یفید شیئًا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استعمال الدرع فی حقّ الرجل فی القمیص أو فی الثیاب مطلقًا، نعم وجدناه فی حقّ المرأة فی تکفین المرأة فی الدرع</w:t>
      </w:r>
      <w:r>
        <w:rPr>
          <w:rStyle w:val="FootnoteAnchor"/>
          <w:rtl w:val="true"/>
        </w:rPr>
        <w:footnoteReference w:id="99"/>
      </w:r>
      <w:r>
        <w:rPr>
          <w:rFonts w:ascii="Amiri" w:hAnsi="Amiri" w:eastAsia="Amiri" w:cs="Amiri"/>
          <w:color w:val="111111"/>
          <w:sz w:val="28"/>
          <w:sz w:val="28"/>
          <w:szCs w:val="28"/>
          <w:rtl w:val="true"/>
          <w:lang w:bidi="ar-SA"/>
        </w:rPr>
        <w:t>مع أنّ الإستعمال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الإشتراک الّذی ادّعاه فی حقّ الرجل ممنوع، نعم لا یبعد اشتراکها بالنسبة إلی المرأة فی درع الحدید و القمیص و إن کان الأظهر کونه مجازًا فی القمیص فیها، و لمّا کان المستعمل فیه هنا درع الرجل، کان لفظ الدرع ظاهرًا فی درع الحدید، کما هو المعروف فی العرف، هذا مضافًا إلی أنّ خصوص القمیص ممّا لا قائل به فی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الإختلاف فی الأخبار، بل فی کلمات الأصحاب فی الجملة، و ما هو المعلوم من عدم امکان حمل هذه الأخبار المشتملة علی ما زاد علی الأربعة المعروفة علی التقیّة، لأنّ هذا المذهب من متفرّدات الشیعة کما عرفت؛ و ما عرفت أیضًا من عدم وفاء خبر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بتمام الأربعة، و أخذ بعض من بعض الأخبار و بعض من بعض آخر، و ترک الباقی مع اشتمال الأکثر، بل الکلّ علی بعض الباقی تحکّم صرف، کما أشار إلیه فی المسالک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ما عرفت أیضًا من أنّ آیات الإرث و أخباره فی إرث الأولاد مع اجتماعهم ذکورًا و أناثًا و إرث الزوجین من الربع و الثمن و إرث الأبوین من السدسین، و نحو ذلک، و خلوّ تلک العمومات عن هذا التخصیص فیها، و عدم ذکره الأصحاب فی طیّ بیان تلک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عرفت من اختلاف الأقوال فی الحبوة وجوبًا و استحبابًا، مجّانًا و احتسابًا، و عدم اطباقهم علی الوجوب مجّانًا، علمت أ نّه لابدّ من اختیار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استحباب هذا الحکم علی وجه یعمّ جمیع هذه العشرة علی نسق واحد، کما ذهب إلیه جماعة؛ و إمّا القول بالإحتساب وجوبًا، کما ذهب إلیه جملة، لیسلم عن بعض ما مرّ؛ و إمّا بأن یکون الولد الأکبر هو الأولی بتمام ذلک إن أرادها من إرثه، فله الإختیار، و الأخبار فی بیان الإستحقاق و أنّ هذا الإختیار حقّ له، فإن لم یختر أخذها له ذلک، و لو اختار لم یکن للورثة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هذا الوجه أو أشار إلیه المولی الأردبیلی، حیث قال بعد أن أشار إلی مذهب الإستحباب و مذهب الإحتساب و ارتکاب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الإستحباب بأخذ الأعیان مجّانًا بغیر قیمة، فللورثة یستحبّ أن یخلو له المعدودات مجّانًا و یشار کونه فی باقی الترکة بحظّه الّذی فرضه اللّه له، أو الوجوب بالقیمة أولی بأن یکون هو مخیّرًا و یفوّض الأمر إلیه و رخّص فی أن یأخذ تلک الأعیان بقیمتها عن إرثه، و إن نقص یعطیهم ثمنها، و کذا لو لم یکن غیرها، فلایجوز لأحد منعه عن ذلک، و ذلک الجمع بین الأدلّة أولی ممّا ذکراه، و تبقی الأدلّة علی ظاهرها أکثر ممّا یقول بالجمع بین الإستحباب و القیمة، و هو ظاهر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یؤیّده عدم حمل الأخبار علی اختصاصه بالعین مجّانًا و الوجوب عدم التصریح فیها و صراحة الآیات فی قسمة المواریث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الأخبار و اختلافها، فإنّ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السلاح، 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الرحل و الثیاب، و فی بعضها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المصحف و الثیاب و الخاتم، و فی بعضها زیادة الدرع، و فی بعضها معها الرحل و الراحلة و الکتب، کما رأیتها، و کذا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الموجود فی أصحّ الأخبار ما لایوجد القائل به، و غیرها لایخلو عن قصور ما</w:t>
      </w:r>
      <w:r>
        <w:rPr>
          <w:rStyle w:val="FootnoteAnchor"/>
          <w:rtl w:val="true"/>
        </w:rPr>
        <w:footnoteReference w:id="10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العقل و النقل یدلاّن علی وجوب اتّباع الدلیل الیقینیّ و هو القرآن، إلاّ أن یثبت ما یوجب النقل عنه، و هو أی النقل</w:t>
      </w:r>
      <w:r>
        <w:rPr>
          <w:rStyle w:val="FootnoteAnchor"/>
          <w:rtl w:val="true"/>
        </w:rPr>
        <w:footnoteReference w:id="103"/>
      </w:r>
      <w:r>
        <w:rPr>
          <w:rFonts w:ascii="IRNazanin" w:hAnsi="IRNazanin" w:eastAsia="IRNazanin"/>
          <w:color w:val="111111"/>
          <w:sz w:val="28"/>
          <w:sz w:val="28"/>
          <w:szCs w:val="28"/>
          <w:rtl w:val="true"/>
          <w:lang w:bidi="fa-IR"/>
        </w:rPr>
        <w:t>ما هو ثابت لما عرفت ما فی الدلالة و سند البعض و عدم القول ببعضها،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ما 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وصل إلیکم منّا فاعرضوه علی کتاب اللّه، فاعملوا بما یوافقه و اترکوا ما یخالفه، إنتهی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کلماته لا یسلم عن النظر، خصوصًا ما نسب إلی بعض الأخبار من اشتماله علی الأربعة المعروفة، إلاّ أنّا نقول فی توضیح هذا المقال و تبیین هذا الإحتمال أنّ غایة ما ثبت من الإجماع و الأخبار المذکورة أنّ للولد الأکبر مزیّة فی هذه الأعیان علی سائر الورثة، و أمّا الملکیّة القهریّة فغیر ثابتة من الإجماع، إذ لیس اجماعًا علیها، و عبارة السرائر إنّما هو مشتملة علی اتّفاق أهل عصره کما عرفت، مع أ نّه مسبوق بالخلاف و ملحوق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71" w:name="pg17288_199452"/>
    </w:p>
    <w:p>
      <w:pPr>
        <w:pStyle w:val="Heading4"/>
        <w:numPr>
          <w:ilvl w:val="3"/>
          <w:numId w:val="1"/>
        </w:numPr>
        <w:rPr/>
      </w:pPr>
      <w:bookmarkStart w:id="72" w:name="__RefHeading___Toc4413530_3224264995"/>
      <w:bookmarkStart w:id="73" w:name="_Toc26"/>
      <w:bookmarkEnd w:id="71"/>
      <w:bookmarkEnd w:id="72"/>
      <w:r>
        <w:rPr>
          <w:rtl w:val="true"/>
        </w:rPr>
        <w:t>فهرست مصادر التحقیق</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إصباح الشیعة بمصباح الشریعة، قطب الدین البیهقی الکیدری،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علیه‌السلام ،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الإعلام، 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للطباعة،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الإنتصار،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الفوائد، محمد بن الحسن بن یوسف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 والإشتهاردی والبروجردی، المطبعة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 میرزا حسن خان جابری،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الخلاف، الصیمری، السید مهدی الرجائی،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المرام فی معرفة الأحکام،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مکتب الإعلام الإسلامی،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الرائع لمختصر الشرائع، المقداد السیوری،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الکوه کمری،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رحمه‌الله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للشرائع، یحیی بن أحمد بن سعید الحلّی، لجنة التحقیق بإشراف الشیخ السبحانی، المطبعة العلمیة،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شرائع الإسلام، الشیخ محمدحسن بن باقر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فی معرفة الرجال،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الخراسانی و السید جواد الشهرستانی و الشیخ مهدی طه نجف،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الشرعیّة فی الفقه الإمامیّة، الشهید الأوّل،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ذکری الشیعة فی أحکام الشریعة، الشهید الأوّل،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و مشاهیر اصفهان، سید علی جناب،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عصار، رضوان،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الشهید الثانی، الشهید الثانی،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رضا المختاری،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أحوال العلماء و السادات، السید محمدباقر الموسوی الچهارسوقی،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المسائل فی تحقیق الأحکام بالدلائل، السید علی الطباطبائی،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ابن إدریس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المحقّق الحلّی،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الإستقلال،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عبدالغفور عطار،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فی شرح شرائع الإسلام، الشیخ المفلح الصیمری البحرانی،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غنیة النزوع، إبن زهرة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آستان مقدس حضرت معصومه، علی صدرائی خوئی،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عمومی آیة‌اللّه گلپایگانی، سید احمد حسینی، چاپ خیام،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 بن یعقوب الفیروزآبادی،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میرزا محمد بن سلیمان تنکابنی، انتشارات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الأحکام فی معرفة الحلال و الحرام،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الفقه، أبی 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رضا الأستادی، مکتبة أمیر المؤمنین علیه‌السلام ، إصفهان،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الکرام البررة، الشیخ آقا بزرگ الطهرانی،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الرموز، الفاضل الآبی،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پناه الإشتهاردی، الحاج آقا حسین الیزدی،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 عن قواعد الأحکام، الفاضل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الأحکام، المحقق السبزواری، الطبعة الحجریة،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صدر المهدوی، إصفهان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الکشفی،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و مطلع النیّرین، فخر الدین محمد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 المحقّق الأردبیلی،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إشتهاردی و عراقی و 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النافع، المحقّق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الشیخ القمی،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فی أحکام الشریعة، العلاّمة الحلّی، لجنة التحقیق،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الإسلامی التابعة لجماعة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الأفهام إلی تنقیح شرائع الإسلام، الشهید الثانی،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الأنوار، حجة‌الإسلام الشفتی، طبع الأفست، مکتبة مسجد السید،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اصفهان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الشیخ المفید،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المعلّم حبیب آبادی، انجمن کتابخانه‌های عمومی 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 فی شرح المختصر النافع، ابن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الشیخ الطوسی، طبعة دار الأندلس،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الشیخ محمد بن الحسن الحرّ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الوسیلة، ابن حمزة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74" w:name="pg17288_199458"/>
    </w:p>
    <w:p>
      <w:pPr>
        <w:pStyle w:val="Heading2"/>
        <w:numPr>
          <w:ilvl w:val="1"/>
          <w:numId w:val="1"/>
        </w:numPr>
        <w:rPr/>
      </w:pPr>
      <w:bookmarkStart w:id="75" w:name="__RefHeading___Toc4413532_3224264995"/>
      <w:bookmarkStart w:id="76" w:name="_Toc27"/>
      <w:bookmarkEnd w:id="74"/>
      <w:bookmarkEnd w:id="75"/>
      <w:r>
        <w:rPr>
          <w:rtl w:val="true"/>
        </w:rPr>
        <w:t>منبع الخیرات</w:t>
      </w:r>
      <w:bookmarkEnd w:id="76"/>
    </w:p>
    <w:p>
      <w:pPr>
        <w:pStyle w:val="Heading3"/>
        <w:numPr>
          <w:ilvl w:val="2"/>
          <w:numId w:val="1"/>
        </w:numPr>
        <w:rPr/>
      </w:pPr>
      <w:bookmarkStart w:id="77" w:name="__RefHeading___Toc4413534_3224264995"/>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آرانی کاشانی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نورمحمّدی</w:t>
      </w:r>
    </w:p>
    <w:p>
      <w:pPr>
        <w:pStyle w:val="Heading3"/>
        <w:numPr>
          <w:ilvl w:val="2"/>
          <w:numId w:val="1"/>
        </w:numPr>
        <w:rPr/>
      </w:pPr>
      <w:bookmarkStart w:id="79" w:name="__RefHeading___Toc4413536_3224264995"/>
      <w:bookmarkStart w:id="80" w:name="_Toc29"/>
      <w:bookmarkEnd w:id="79"/>
      <w:r>
        <w:rPr>
          <w:rtl w:val="true"/>
        </w:rPr>
        <w:t>مقدمه تحقیق</w:t>
      </w:r>
      <w:bookmarkEnd w:id="80"/>
    </w:p>
    <w:p>
      <w:pPr>
        <w:pStyle w:val="BookText"/>
        <w:rPr/>
      </w:pPr>
      <w:r>
        <w:rPr>
          <w:rFonts w:ascii="IRNazanin" w:hAnsi="IRNazanin" w:eastAsia="IRNazanin"/>
          <w:color w:val="111111"/>
          <w:sz w:val="28"/>
          <w:sz w:val="28"/>
          <w:szCs w:val="28"/>
          <w:rtl w:val="true"/>
          <w:lang w:bidi="fa-IR"/>
        </w:rPr>
        <w:t>رساله حاضر که به محضر علاقمندان آثار اخلاقی، معرفتی و تربیتی پیشکش می‌گردد، منبع الخیرات در ترجمه و تفسیر اسرار قلبیه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نگاشته‌های عالم فرزانه و دانشمند متتبّع قرن دوازدهم و سیزدهم هجری، ملا محمدعلی آرانی کاشانی است که دارای آثار متنوع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در چند بخش پیرامون زندگی مؤلّف، بررسی آثار، معرفی و ارائه شیوه تحقیق، نکته‌هایی را تقدیم ادب دوستان و پژوهشگران می‌نماییم</w:t>
      </w:r>
      <w:r>
        <w:rPr>
          <w:rFonts w:eastAsia="IRNazanin" w:cs="IRNazanin"/>
          <w:color w:val="111111"/>
          <w:sz w:val="28"/>
          <w:szCs w:val="28"/>
          <w:rtl w:val="true"/>
          <w:lang w:bidi="fa-IR"/>
        </w:rPr>
        <w:t>.</w:t>
      </w:r>
    </w:p>
    <w:p>
      <w:pPr>
        <w:pStyle w:val="Heading3"/>
        <w:numPr>
          <w:ilvl w:val="2"/>
          <w:numId w:val="1"/>
        </w:numPr>
        <w:rPr/>
      </w:pPr>
      <w:bookmarkStart w:id="81" w:name="__RefHeading___Toc4413538_3224264995"/>
      <w:bookmarkStart w:id="82" w:name="_Toc30"/>
      <w:bookmarkEnd w:id="81"/>
      <w:r>
        <w:rPr>
          <w:rtl w:val="true"/>
        </w:rPr>
        <w:t>نگاهی کوتاه به زندگی آقا ملا علی آرانی کاشانی</w:t>
      </w:r>
      <w:bookmarkEnd w:id="82"/>
    </w:p>
    <w:p>
      <w:pPr>
        <w:pStyle w:val="BookText"/>
        <w:rPr/>
      </w:pPr>
      <w:r>
        <w:rPr>
          <w:rFonts w:ascii="IRNazanin" w:hAnsi="IRNazanin" w:eastAsia="IRNazanin"/>
          <w:color w:val="111111"/>
          <w:sz w:val="28"/>
          <w:sz w:val="28"/>
          <w:szCs w:val="28"/>
          <w:rtl w:val="true"/>
          <w:lang w:bidi="fa-IR"/>
        </w:rPr>
        <w:t>از شهر آران که در دوازده کیلومتری کاشان است، مردان بزرگ و عالمان با کمالی برخاسته‌اند که از جمله این دانشمندان، عالم سخت کوش قرن دوازدهم و سیزدهم و با آثار متنوع و ارزنده، آخوند ملا محمدعلی آرانی را می‌توان نام 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ذوفنون ملا محمدعلی آرانی کاشانی،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روستای آران ـ که هم اکنون شهری آباد و معمور است ـ از توابع کاشان در عهد حکومت کریم خان زند به دنیا آمد و در همان جا به تعلیم قرآن و کتب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کاشان زلزله سختی اتفاق افتاد و بعد از آن کریم خان زند نیز درگذشت و زندگی ملا محمدعلی </w:t>
      </w:r>
      <w:bookmarkStart w:id="83" w:name="pg17288_199459"/>
    </w:p>
    <w:p>
      <w:pPr>
        <w:pStyle w:val="BookText"/>
        <w:rPr/>
      </w:pPr>
      <w:bookmarkEnd w:id="83"/>
      <w:r>
        <w:rPr>
          <w:rFonts w:ascii="IRNazanin" w:hAnsi="IRNazanin" w:eastAsia="IRNazanin"/>
          <w:color w:val="111111"/>
          <w:sz w:val="28"/>
          <w:sz w:val="28"/>
          <w:szCs w:val="28"/>
          <w:rtl w:val="true"/>
          <w:lang w:bidi="fa-IR"/>
        </w:rPr>
        <w:t>آرانی که در سن پانزده سالگی بود، همچون بسیاری از افراد در پی حوادث روزگار دچار حوادث و مشکلات شد، امّا پدر هوشمند و فهیم وی او را دلداری داد و پشتیبانی تمام کرد و به تحصیل و بی‌توجهی به مشکلات زمان ترغیب و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اعتماد کامل و امید وافر به جهت خوابی بود که از امام الموحدین دیده بود و حضرت مشتی جواهر در دامن او ریخته بود و پس از آن ملا محمدعلی به دنیا آمده بود و پدر این فرزند را موهبت امام می‌دانست و آینده او را شکوهمند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به تحصیل علوم اسلامی پرداخت و از فقهای بزرگ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رفته و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بزرگان بهره جسته و پس از آن به فرموده ملا محمدعلی در زندگی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دانستم که فارغ‌التحصیل شده‌ام و خود را بر فضلای عصر عرض کردم، همه حقیر را بر این اعتقاد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بود که وهابیان خبیث در روز عید غدیر به کربلا لشکر کشیدند و بسیاری از سادات و طلاب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به کاشان بازگشت و بنای تدریس و تربیت طالبان علوم اسلامی را نهاد و بنابر آنچه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اوقات را ـ بعد از عبادت مجیب الدعوات ـ صرف مباحثه و تصنیف کتب اصولیه می‌کردم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نراق به محضر ملا احمد نراقی رسید و از صحبت آن بزرگوار فتوحات بسیار و فیوضات بی‌شمار برای وی حاصل و از ایشان به دریافت اجازه نائل گردید</w:t>
      </w:r>
      <w:r>
        <w:rPr>
          <w:rFonts w:eastAsia="IRNazanin" w:cs="IRNazanin"/>
          <w:color w:val="111111"/>
          <w:sz w:val="28"/>
          <w:szCs w:val="28"/>
          <w:rtl w:val="true"/>
          <w:lang w:bidi="fa-IR"/>
        </w:rPr>
        <w:t>.</w:t>
      </w:r>
    </w:p>
    <w:p>
      <w:pPr>
        <w:pStyle w:val="Heading3"/>
        <w:numPr>
          <w:ilvl w:val="2"/>
          <w:numId w:val="1"/>
        </w:numPr>
        <w:rPr/>
      </w:pPr>
      <w:bookmarkStart w:id="84" w:name="__RefHeading___Toc4413540_3224264995"/>
      <w:bookmarkStart w:id="85" w:name="_Toc31"/>
      <w:bookmarkEnd w:id="84"/>
      <w:r>
        <w:rPr>
          <w:rtl w:val="true"/>
        </w:rPr>
        <w:t>استادان</w:t>
      </w:r>
      <w:bookmarkEnd w:id="85"/>
    </w:p>
    <w:p>
      <w:pPr>
        <w:pStyle w:val="BookText"/>
        <w:rPr/>
      </w:pPr>
      <w:r>
        <w:rPr>
          <w:rFonts w:ascii="IRNazanin" w:hAnsi="IRNazanin" w:eastAsia="IRNazanin"/>
          <w:color w:val="111111"/>
          <w:sz w:val="28"/>
          <w:sz w:val="28"/>
          <w:szCs w:val="28"/>
          <w:rtl w:val="true"/>
          <w:lang w:bidi="fa-IR"/>
        </w:rPr>
        <w:t>از استادان ملا محمدعلی آرانی می‌توان به بزرگان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بارع آقا سید علی طباطبایی، صاحب ریاض المسائل،</w:t>
      </w:r>
      <w:bookmarkStart w:id="86" w:name="pg17288_199460"/>
    </w:p>
    <w:p>
      <w:pPr>
        <w:pStyle w:val="BookText"/>
        <w:rPr/>
      </w:pPr>
      <w:bookmarkEnd w:id="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بزرگوار سید محمد مجاهد، صاحب مفتاح الکرامه،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فرزانه ملا احمد بن مهدی نراقی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آرانی، بخش عمده تحصیلاتش را در محضر علاّمه دوران، حکیم و فقیه و اخلاقی مشهور، ملا احمد نراقی بوده و از او اجازه روایت دریافت کرده است و نراقی، مراجعات فقهی خود را به آرانی ارجاع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محقق آرانی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آران رحلت کرد و سر به خاک تیره نهاد</w:t>
      </w:r>
      <w:r>
        <w:rPr>
          <w:rFonts w:eastAsia="IRNazanin" w:cs="IRNazanin"/>
          <w:color w:val="111111"/>
          <w:sz w:val="28"/>
          <w:szCs w:val="28"/>
          <w:rtl w:val="true"/>
          <w:lang w:bidi="fa-IR"/>
        </w:rPr>
        <w:t>.</w:t>
      </w:r>
    </w:p>
    <w:p>
      <w:pPr>
        <w:pStyle w:val="Heading3"/>
        <w:numPr>
          <w:ilvl w:val="2"/>
          <w:numId w:val="1"/>
        </w:numPr>
        <w:rPr/>
      </w:pPr>
      <w:bookmarkStart w:id="87" w:name="__RefHeading___Toc4413542_3224264995"/>
      <w:bookmarkStart w:id="88" w:name="_Toc32"/>
      <w:bookmarkEnd w:id="87"/>
      <w:r>
        <w:rPr>
          <w:rtl w:val="true"/>
        </w:rPr>
        <w:t>تألیفات آرانی</w:t>
      </w:r>
      <w:bookmarkEnd w:id="88"/>
    </w:p>
    <w:p>
      <w:p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آرانی آثار گرانبهایی به یادگار مانده است که در زیر به یادکرد نام آنان این بخش را به پایان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السنیه فی شرح العوامل المحسنیة؛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المبتدی؛ به فارسی در نحو که به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الأصول؛ شرحی است بر کتاب عین الأصول ملا احمد نراقی</w:t>
      </w:r>
      <w:r>
        <w:rPr>
          <w:rStyle w:val="FootnoteAnchor"/>
          <w:rtl w:val="true"/>
        </w:rPr>
        <w:footnoteReference w:id="107"/>
      </w:r>
      <w:r>
        <w:rPr>
          <w:rFonts w:ascii="IRNazanin" w:hAnsi="IRNazanin" w:eastAsia="IRNazanin"/>
          <w:color w:val="111111"/>
          <w:sz w:val="28"/>
          <w:sz w:val="28"/>
          <w:szCs w:val="28"/>
          <w:rtl w:val="true"/>
          <w:lang w:bidi="fa-IR"/>
        </w:rPr>
        <w:t>و در نجف اشرف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العجالة الحائریة؛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قالعة الشبهة؛ تألیف شده در نجف اشرف و درباره نجاست ملاقی متنجّس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الصادقیة فی أمّهات المسائل المنطقیة؛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المقاصد در شرح معالم؛ تألیف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فی تحقیق السؤال و تزییف الجواب؛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مخزن الأسرار فی جواب المسائل؛ سؤالات فقهی‌ای است که از مؤلّف شده و او </w:t>
      </w:r>
    </w:p>
    <w:p>
      <w:pPr>
        <w:pStyle w:val="BookText"/>
        <w:rPr/>
      </w:pPr>
      <w:r>
        <w:rPr>
          <w:rFonts w:ascii="IRNazanin" w:hAnsi="IRNazanin" w:eastAsia="IRNazanin"/>
          <w:color w:val="111111"/>
          <w:sz w:val="28"/>
          <w:sz w:val="28"/>
          <w:szCs w:val="28"/>
          <w:rtl w:val="true"/>
          <w:lang w:bidi="fa-IR"/>
        </w:rPr>
        <w:t>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جواب‌ها در کتاب حاضر، به ترتیب کتاب مختصرالنافع محقّق حلّی جمع‌آوری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العاقد؛ که درباره انواع صِیَغ عقد نکاح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المهمة فی اصول احکام اللّه والرسول والأئمة؛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الشوارد فی تلخیص المقاصد؛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فی اصول الفقه؛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عویصات المهام فی شرح الفقه والاحکام؛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الخلاصة الحسنیة؛ به عربی در نحو، تألیف شده در ذی حجه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المسائل الشرعیة فی استنباط الأحکام الالهیة من الأدلّة التفصیلیة؛ که کتاب مفصّل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الأحکام الشرعیة فی فقه الامامیة؛ که کتاب فقهی عربی استدلالی است و کوتاه‌تر از کتاب سابق مؤلّف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الأنام؛ که کتابی فارسی در فقه و شبیه رساله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الانوار؛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 فی الفوائد المتفرقه؛ که مؤلّف در آغاز آن، شرح حال خود را در ایّام تحصیل و کیفیت تألیفاتش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الأعمال؛ رساله‌ای فارسی در مسائل فقه می‌باشد، که تألیف آن در روز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الالهیة علی الزبدة البهائیة؛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العمدة فی شرح الزبدة؛ تألیف این رساله که شرح صغیر بر زبده می‌باشد، در عصر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الاخیار فی الرد علی القائلین بعدم العمل بالظن و قطعیة الاخبار؛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الداعی و نجاح الساعی؛ در دعا که تألیف آن در روز جمعه دوم ذی الحجه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کیفیت نماز شب؛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کیفیت زیارت عاشورا؛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مسئلة مصالحة حق الرجوع فی العدّة الرجعیة؛ تألیف این رساله در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مناهل الشوارد؛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الناسکین؛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تخصیص العام بالصفة و الشرط و الغایة؛ تألیف شده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الأحوال من البدایة الی المآل؛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فی شرح اسرار الصلوات؛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الرسائل؛ که مؤلّف، بنا داشته تمامی رساله‌های خود را در آن جمع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اجازة الحدیث؛</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اصالة اللزوم فی العقود و عموم أوفوا بالعقود؛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الغاز و معمیات؛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اشخاصهم؛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التناقض بین مسألتین اصولیتین؛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الرجعی بمصالحة عدم الرجوع؛</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الایام فی عویصات المهام؛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الغرة الجلیة فی شرح الدرة البهیة؛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عویصات الاحکام؛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مخزن الاسرار فی احکام الائمة الاطهار؛ </w:t>
      </w:r>
      <w:bookmarkStart w:id="89" w:name="pg17288_199463"/>
    </w:p>
    <w:p>
      <w:pPr>
        <w:pStyle w:val="BookText"/>
        <w:rPr/>
      </w:pPr>
      <w:bookmarkEnd w:id="89"/>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المرشد؛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عوائد الایام فی عویصات المهام؛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0" w:name="__RefHeading___Toc4413544_3224264995"/>
      <w:bookmarkStart w:id="91" w:name="_Toc33"/>
      <w:bookmarkEnd w:id="90"/>
      <w:r>
        <w:rPr>
          <w:rtl w:val="true"/>
        </w:rPr>
        <w:t>معرفی منبع الخیرات و شیوه تحقیق آن</w:t>
      </w:r>
      <w:bookmarkEnd w:id="91"/>
    </w:p>
    <w:p>
      <w:pPr>
        <w:pStyle w:val="BookText"/>
        <w:rPr/>
      </w:pPr>
      <w:r>
        <w:rPr>
          <w:rFonts w:ascii="IRNazanin" w:hAnsi="IRNazanin" w:eastAsia="IRNazanin"/>
          <w:color w:val="111111"/>
          <w:sz w:val="28"/>
          <w:sz w:val="28"/>
          <w:szCs w:val="28"/>
          <w:rtl w:val="true"/>
          <w:lang w:bidi="fa-IR"/>
        </w:rPr>
        <w:t>اثر حاضر که به تصریح مؤلّف در ابتدای رساله، منبع الخیرات در ترجمه و تفسیر اسرار قلبیه صلوات است و در زندگی خودنوشت مؤلّف از آن به جامع الخیرات، تعبیر کرده از آثار گرانبهای اخلاقی و معرفتی آقا محمدعلی آرانی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باید در عداد مجموعه آثار پیرامونی اسرار الصلاة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الصلاة شهید ثانی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العلیّه علی وظائف الصلاة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آقا ملکی تبریزی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قدس‌سره همه از آثاری است که به بررسی مقامات و منازل نمار، این بُراق سیر در عالم ملکوت پرداخته‌اند و هر کدام از صاحبان آثار برحسب اندوخته خویش و دارایی معرفتی خود، دریافت‌های عارفانه و محققانه خود را عرضه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محمدعلی آرانی در این اثر بنابر آن داشته که در یک مقدمه و سه باب و یک خاتمه، مباحث مورد نظر خود را ارائه کند که با تأسف نیمه 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دوم که مقارنات نماز است و به مقارنات رکنیه و غیر رکنیه می‌پردازد و قصد دارد در مقارنات رکنیه مباحث را در پنج مقصد تقدیم کند که به سه مقصد از آن توفیق می‌یابد و بقیه باب دوم و همه باب سوم و خاتمه رساله باقی مانده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آرانی در تدوین و نگارشی زیبا و استادانه، امّا در عین حال ساده و بی‌آلایش و با صداقت و اخلاص، مباحث این رساله را آورده است و آنچه موجود است، دست‌نویسی اخلاقی و معرفتی است که گوهرهای گرانبهایی تقدیم خواننده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رساله در عین </w:t>
      </w:r>
    </w:p>
    <w:p>
      <w:pPr>
        <w:pStyle w:val="BookText"/>
        <w:rPr/>
      </w:pPr>
      <w:r>
        <w:rPr>
          <w:rFonts w:ascii="IRNazanin" w:hAnsi="IRNazanin" w:eastAsia="IRNazanin"/>
          <w:color w:val="111111"/>
          <w:sz w:val="28"/>
          <w:sz w:val="28"/>
          <w:szCs w:val="28"/>
          <w:rtl w:val="true"/>
          <w:lang w:bidi="fa-IR"/>
        </w:rPr>
        <w:t>سادگی از ظرافت‌های ادبی و نثرهای آهنگین خالی نیست که از جمله می‌توان به این عبارت مصنف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هر عبادتی خصوصاً نماز و مُهجه هر طاعتی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التعظیم و التکریم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تصحیح این رساله چند نکته قابل ذکر است که در اینجا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حاضر بر اساس نسخه مؤلّف که به شماره </w:t>
      </w:r>
      <w:r>
        <w:rPr>
          <w:rFonts w:eastAsia="IRNazanin" w:cs="IRNazanin"/>
          <w:color w:val="111111"/>
          <w:sz w:val="28"/>
          <w:szCs w:val="28"/>
          <w:lang w:bidi="fa-IR"/>
        </w:rPr>
        <w:t>2/4420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احیاء میراث اسلامی محفوظ می‌باشد، تصحیح و تحقیق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نگارش رساله، حک و اصلاح‌هایی در رساله اعمال فرموده و اغلب، کلمات و جملاتی را بر متن افزوده تا فهم مطلب آسان‌تر و نوشته روان‌تر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کلمه‌ای را خط زده که همه موارد را اعمال کرده‌ایم و در صورتی که مواردی نیاز به تذکّر یا سودمند بوده در پاورقی تذکّر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اثر مؤلّف را اهتمامی فراوان به دو کتاب ارجمند است و در جای جای رساله از آن بهره جسته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امام صادق است و ایشان از روایات و نکات آن استفاده فراوانی می‌کند و دیگری توجه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 علی وظائف الصلاة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است که در موارد متعدّد متن‌ها ترجمه‌ای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آرانی ـ که از بزرگان شیعه و عالمان پر تألیف اسلامی در شمار است ـ قلمی روان و به دور از گرفتگی‌های نوشتاری دارد و آنچه بیشتر مطمح نظر او بوده است، طرح مباحث علمی و اخلاقی و ارائه دیدگاههای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کمتر به آرایه‌های ادبی و ظرافت‌های نگارشی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رساله مؤلّف بزرگوار در فرازهایی با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نصایحی تأثیرگذار و دل نوشته‌هایی اخلاقی و اندرزهایی آسمانی آورده است که روح خواننده را تحت تأثیر قرار می‌دهد و چون طبیبی روحانی روح‌های بیمار را درمان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محترم همه جا در پایان کلمات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در برخی موارد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بر اساس رسم الخط جدید همه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رسم الخط رساله نوع پیوستگی‌ها و فاصله‌ها اندکی اصلاح گردیده است و البته با این توضیح، این اصلاح‌ها به طور کامل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اصلاح‌ها نمونه‌های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کوچه‌ها، شعبها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شعبه‌ها، به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به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مزه‌ها، چشمهای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اثر مورد رضایت حضرت سبحان واقع گردد و خداجویان و عارفان از آن بهره برند و بهره‌ای از آن نصیب این کمترین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محمدجواد نورمحمدی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4/1/1392</w:t>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منبع الخیرات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منبع الخیرات </w:t>
      </w:r>
      <w:bookmarkStart w:id="92" w:name="pg17288_199468"/>
    </w:p>
    <w:p>
      <w:pPr>
        <w:pStyle w:val="Heading3"/>
        <w:numPr>
          <w:ilvl w:val="2"/>
          <w:numId w:val="1"/>
        </w:numPr>
        <w:rPr/>
      </w:pPr>
      <w:bookmarkStart w:id="93" w:name="__RefHeading___Toc4413546_3224264995"/>
      <w:bookmarkStart w:id="94" w:name="_Toc34"/>
      <w:bookmarkEnd w:id="92"/>
      <w:bookmarkEnd w:id="93"/>
      <w:r>
        <w:rPr>
          <w:rtl w:val="true"/>
        </w:rPr>
        <w:t>[</w:t>
      </w:r>
      <w:r>
        <w:rPr>
          <w:rtl w:val="true"/>
        </w:rPr>
        <w:t>خطبه رساله</w:t>
      </w:r>
      <w:r>
        <w:rPr>
          <w:rtl w:val="true"/>
        </w:rPr>
        <w:t>]</w:t>
      </w:r>
      <w:bookmarkEnd w:id="94"/>
    </w:p>
    <w:p>
      <w:pPr>
        <w:pStyle w:val="Heading4"/>
        <w:numPr>
          <w:ilvl w:val="3"/>
          <w:numId w:val="1"/>
        </w:numPr>
        <w:rPr/>
      </w:pPr>
      <w:bookmarkStart w:id="95" w:name="__RefHeading___Toc4413548_3224264995"/>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بسم اللّه الرّحمن الرّحیم و به استعین</w:t>
      </w:r>
    </w:p>
    <w:p>
      <w:pPr>
        <w:pStyle w:val="BookText"/>
        <w:rPr/>
      </w:pPr>
      <w:r>
        <w:rPr>
          <w:rFonts w:ascii="IRNazanin" w:hAnsi="IRNazanin" w:eastAsia="IRNazanin"/>
          <w:color w:val="111111"/>
          <w:sz w:val="28"/>
          <w:sz w:val="28"/>
          <w:szCs w:val="28"/>
          <w:rtl w:val="true"/>
          <w:lang w:bidi="fa-IR"/>
        </w:rPr>
        <w:t>الحمد للّه رب العالمین علی آلائه و نعمائه، و الصلوة و السلام علی سید رسله و أشرف أنبیائه و علی آله و أولاده، الأدلاّءِ الهادین أمنائه و أصفیائه، صلوة متتالیة متتابعة دائمة إلی یوم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چنین گوید مترصد فیوضات ربّانی و متقلد واردات آسمانی، محمد علی بن محمد حسن الآرانی الکاشانی بصره اللّه لعیوب نفسه و جعل غده خیرا من امسه،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است مسمی به منبع الخیرات در ترجمه و تفسیر اسرار قلبیه صلوات که حسب الخواهش جمعی از برادران ایمانی رقمی و کلک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مشتمل است بر یک مقدمه و سه باب و خاتمه؛ امید از کرم عمیم و فضل جسیم حضرت خداوند عظیم آن است که آن را خالص گرداند از شوب شرکت ماسوای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ارجو منه جدیر؛ و هو بکل شی‌ء قدیر؛ و حسبنا اللّه و نعم الوکیل؛ نعم المولی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مشتمل است بر چهار مطلب</w:t>
      </w:r>
    </w:p>
    <w:p>
      <w:pPr>
        <w:pStyle w:val="Heading4"/>
        <w:numPr>
          <w:ilvl w:val="3"/>
          <w:numId w:val="1"/>
        </w:numPr>
        <w:rPr/>
      </w:pPr>
      <w:bookmarkStart w:id="97" w:name="__RefHeading___Toc4413550_3224264995"/>
      <w:bookmarkStart w:id="98" w:name="_Toc36"/>
      <w:bookmarkEnd w:id="97"/>
      <w:r>
        <w:rPr>
          <w:rtl w:val="true"/>
        </w:rPr>
        <w:t>مطلب اول</w:t>
      </w:r>
      <w:r>
        <w:rPr>
          <w:rtl w:val="true"/>
        </w:rPr>
        <w:t>: [</w:t>
      </w:r>
      <w:r>
        <w:rPr>
          <w:rtl w:val="true"/>
        </w:rPr>
        <w:t>نماز اشرف عبادات</w:t>
      </w:r>
      <w:r>
        <w:rPr>
          <w:rtl w:val="true"/>
        </w:rPr>
        <w:t>]</w:t>
      </w:r>
      <w:bookmarkEnd w:id="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نماز اشرف عبادات بدنیّه و اعظم طاعات جسدانیّه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قبول آن شرط قبول سایر عبادات و طاعات است، چنانکه در اخبار و آثار اهل بیت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در طی مطلب سیم از مطالب این مقدمه شرح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روح هر عبادتی خصوصاً نماز و مُهجه هر طاعتی سیّما مناجات با معبود بی نیاز و قبول آن در محاسبه یگانه سبحان و زیاد شدن مزد آن در دار جنان و رسیدن به سبب آن به درجات مقربان و بهره‌مند شدن به چیزی که چشمی ندیده و گوشی نشنیده و به خاطر احدی نخلیده، از ثوابهای حضرت واهب منان، و مأجور شدن به عمل قلیل مر مزد بی‌شمار را از مبدأ فیض و احسان، حاصل نمی‌شود، مگر به حصول آن با شرایط و آداب که عمده آنها حضور قلب و توجه و اقبال به جانب معبود بحق و فیّاض مطلق و حضرت رب الارباب در حرکات و سکنات و افعال و اقوال آن و تفکر کردن در رموز و مخفیّات اسرار آن و رو کردن به قلب به جانب پروردگار عظیم و برگردانیدن روی قلب از غیر جناب اقدس واجب التعظیم و التکریم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ترکیبی است که طبیب مطب ایجاد و اختراع، از جهت قطع امراض مزمنه امزجه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پرداخته است؛ و تریاق فاروقی است که حکیم کارخانه ابداع به جهت ضعف قلوب نحیفه ساخته، در دفع سموم افاعی شیاطین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تأثیر زهرهای ابالیس لعین مانع مخلِص اکبری</w:t>
      </w:r>
      <w:r>
        <w:rPr>
          <w:rStyle w:val="FootnoteAnchor"/>
          <w:rtl w:val="true"/>
        </w:rPr>
        <w:footnoteReference w:id="109"/>
      </w:r>
      <w:r>
        <w:rPr>
          <w:rFonts w:ascii="IRNazanin" w:hAnsi="IRNazanin" w:eastAsia="IRNazanin"/>
          <w:color w:val="111111"/>
          <w:sz w:val="28"/>
          <w:sz w:val="28"/>
          <w:szCs w:val="28"/>
          <w:rtl w:val="true"/>
          <w:lang w:bidi="fa-IR"/>
        </w:rPr>
        <w:t>است که در دفع وساوس سودازدگان عالم امکان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الحیوتی</w:t>
      </w:r>
      <w:r>
        <w:rPr>
          <w:rStyle w:val="FootnoteAnchor"/>
          <w:rtl w:val="true"/>
        </w:rPr>
        <w:footnoteReference w:id="110"/>
      </w:r>
      <w:r>
        <w:rPr>
          <w:rFonts w:ascii="IRNazanin" w:hAnsi="IRNazanin" w:eastAsia="IRNazanin"/>
          <w:color w:val="111111"/>
          <w:sz w:val="28"/>
          <w:sz w:val="28"/>
          <w:szCs w:val="28"/>
          <w:rtl w:val="true"/>
          <w:lang w:bidi="fa-IR"/>
        </w:rPr>
        <w:t>است در تقویت اشتها و میل به یاد حضرت خداوند منان، صاحب مرتبه بلند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ماهیت آن مرکب است از اجزاء لطیفه دافعه و ادویه شریفه نافعه که اول آنها قصد و اخلاص است و انقطاع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w:t>
      </w:r>
      <w:r>
        <w:rPr>
          <w:rStyle w:val="FootnoteAnchor"/>
          <w:rtl w:val="true"/>
        </w:rPr>
        <w:footnoteReference w:id="111"/>
      </w:r>
      <w:r>
        <w:rPr>
          <w:rFonts w:ascii="IRNazanin" w:hAnsi="IRNazanin" w:eastAsia="IRNazanin"/>
          <w:color w:val="111111"/>
          <w:sz w:val="28"/>
          <w:sz w:val="28"/>
          <w:szCs w:val="28"/>
          <w:rtl w:val="true"/>
          <w:lang w:bidi="fa-IR"/>
        </w:rPr>
        <w:t>دیگر آن تکبیر و تمجید است و استعانت به خداوند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دیگر تحمید است و ثنا و اعتراف به عظمت معبود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p>
    <w:p>
      <w:pPr>
        <w:pStyle w:val="BookText"/>
        <w:rPr/>
      </w:pPr>
      <w:r>
        <w:rPr>
          <w:rFonts w:ascii="IRNazanin" w:hAnsi="IRNazanin" w:eastAsia="IRNazanin"/>
          <w:color w:val="111111"/>
          <w:sz w:val="28"/>
          <w:sz w:val="28"/>
          <w:szCs w:val="28"/>
          <w:rtl w:val="true"/>
          <w:lang w:bidi="fa-IR"/>
        </w:rPr>
        <w:t>دیگر خضوع و فروتنی و ابتهال است و اظهار تسافل و بی‌قدری مر حضرت 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دیگر خشوع و رو نهادن بر خاک است و کمال ذلت و انکسار در نزد خداوند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دیگر تجدید عهد است به کلمه توحید و شهادت دادن است به وحدانیت پروردگار مجید و به یاد آوردن مر عهد قدیم است و سلام کردن بر مقربان درگاه خداوند عظیم و غیر اینها از اجزاء مندرجه در تحت آن که شرط است در هر یک از آنها حضور قلب بالخصوص و پاکیزگی و خلوص آن از کدورات و شوایب و پاک بودن آنها از مناقص و معایب تا آنکه چون دواء چنین فراهم آید و بیمار نافرمانی و عصیان، استعمال نماید، ناخوشیهای معصیت زائل گردد و باعث عدم ارتکاب معاصی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اینجا است که حق سبحانه و تعالی 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باز می‌دارد مصلّی را از بدیها و امور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خدا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 که به واسطه آن می‌رسد به درگاه قرب حضرت خداوند مهربان و داننده هر آشکار و نهان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ناچار است که مکلفِ هشیار و بنده از خوابِ گرانِ غفلت بیدار، غایت سعی و نهایت اهتمام نماید در حضور قلب در نزد هر یک از اجزاء آن که اعظم شروط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تحصیل شرایط و آداب دیگر که در شریعت مطهره از برای آنها مقرر است و فکر کند در اسرار نهان و امور پنهان آنها، تا آنچه مقصود حکیم علی الاطلاق است از ترکیب آن به حصول پیوندد؛ زیرا که اگر چنین نشود و شرایط آن به عمل نیاید، خواهد </w:t>
      </w:r>
      <w:bookmarkStart w:id="99" w:name="pg17288_199471"/>
    </w:p>
    <w:p>
      <w:pPr>
        <w:pStyle w:val="BookText"/>
        <w:rPr/>
      </w:pPr>
      <w:bookmarkEnd w:id="99"/>
      <w:r>
        <w:rPr>
          <w:rFonts w:ascii="IRNazanin" w:hAnsi="IRNazanin" w:eastAsia="IRNazanin"/>
          <w:color w:val="111111"/>
          <w:sz w:val="28"/>
          <w:sz w:val="28"/>
          <w:szCs w:val="28"/>
          <w:rtl w:val="true"/>
          <w:lang w:bidi="fa-IR"/>
        </w:rPr>
        <w:t>بود به منزله جسد بی روح و درخت بی ثمر و نخل بی سر و عمل بی اصل و اثر، و فائده به هیچ وجه بر آن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شرایط و آداب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شرائط ظاهریه تکلیفیه است؛ و دیگری شرایط باطنیه قلبیه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نیز بر دو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است 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آن موجب بطلان عمل و باعث قضا و اعاده است؛ دیگری آنکه نبودن آن موجب نقص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اول از این دو قسم را واجبات نماز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ثانی را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تفصیل این دو قسم را در کتاب میزان الاعمال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این رساله به جهت بیان شروط باطنیه است که آنها را اسرار قلبیه گویند که به مراعات آنها می‌رسد قابلِ مراتب کمال، به منتهای معارج ترقّیات؛ و ظاهر می‌شود بر وی انواع انوار 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این امور هر چند در نصوص وارده از اهل خصوص مذکور است و در کتب علماء راسخین و امناء کاملین مسطور؛ و لیکن مجموع آنها در یک مقام کم کسی ایراد نموده است، بلکه پرده خفا از روی همه آنها احدی نگشوده است و این فقیر خاسر و حقیر بی مقدار با اعتراف به عجز و انکسار، متصدی جمع و ترتیب و تألیف و تهذیب آنها گردید ـ تقرّبا الی اللّه و طلبا لمرضاته ـ امید از کرم عمیم خداوند کریم آن است که آن را از شراکت غیر خود خالص گرداند و اجر آن را در روز فقر و احتیاج کرامت فرماید</w:t>
      </w:r>
      <w:r>
        <w:rPr>
          <w:rFonts w:eastAsia="IRNazanin" w:cs="IRNazanin"/>
          <w:color w:val="111111"/>
          <w:sz w:val="28"/>
          <w:szCs w:val="28"/>
          <w:rtl w:val="true"/>
          <w:lang w:bidi="fa-IR"/>
        </w:rPr>
        <w:t>.</w:t>
      </w:r>
    </w:p>
    <w:p>
      <w:pPr>
        <w:pStyle w:val="Heading4"/>
        <w:numPr>
          <w:ilvl w:val="3"/>
          <w:numId w:val="1"/>
        </w:numPr>
        <w:rPr/>
      </w:pPr>
      <w:bookmarkStart w:id="100" w:name="__RefHeading___Toc4413552_3224264995"/>
      <w:bookmarkStart w:id="101" w:name="_Toc37"/>
      <w:bookmarkEnd w:id="100"/>
      <w:r>
        <w:rPr>
          <w:rtl w:val="true"/>
        </w:rPr>
        <w:t>مطلب دوم</w:t>
      </w:r>
      <w:r>
        <w:rPr>
          <w:rtl w:val="true"/>
        </w:rPr>
        <w:t>: [</w:t>
      </w:r>
      <w:r>
        <w:rPr>
          <w:rtl w:val="true"/>
        </w:rPr>
        <w:t>شرط حضور قلب در عبادات</w:t>
      </w:r>
      <w:r>
        <w:rPr>
          <w:rtl w:val="true"/>
        </w:rPr>
        <w:t>]</w:t>
      </w:r>
      <w:bookmarkEnd w:id="101"/>
    </w:p>
    <w:p>
      <w:pPr>
        <w:pStyle w:val="BookText"/>
        <w:rPr/>
      </w:pPr>
      <w:r>
        <w:rPr>
          <w:rFonts w:ascii="IRNazanin" w:hAnsi="IRNazanin" w:eastAsia="IRNazanin"/>
          <w:color w:val="111111"/>
          <w:sz w:val="28"/>
          <w:sz w:val="28"/>
          <w:szCs w:val="28"/>
          <w:rtl w:val="true"/>
          <w:lang w:bidi="fa-IR"/>
        </w:rPr>
        <w:t>در بیان، مراد به قلبی است که حضور آن در عبادت شرط است و به سبب حضور آن، مرتبه عبادت، رفیع و بلند می‌شود</w:t>
      </w:r>
      <w:r>
        <w:rPr>
          <w:rFonts w:eastAsia="IRNazanin" w:cs="IRNazanin"/>
          <w:color w:val="111111"/>
          <w:sz w:val="28"/>
          <w:szCs w:val="28"/>
          <w:rtl w:val="true"/>
          <w:lang w:bidi="fa-IR"/>
        </w:rPr>
        <w:t>.</w:t>
      </w:r>
    </w:p>
    <w:p>
      <w:pPr>
        <w:pStyle w:val="Heading4"/>
        <w:numPr>
          <w:ilvl w:val="3"/>
          <w:numId w:val="1"/>
        </w:numPr>
        <w:rPr/>
      </w:pPr>
      <w:bookmarkStart w:id="102" w:name="__RefHeading___Toc4413554_3224264995"/>
      <w:bookmarkStart w:id="103" w:name="_Toc38"/>
      <w:bookmarkEnd w:id="102"/>
      <w:r>
        <w:rPr>
          <w:rtl w:val="true"/>
        </w:rPr>
        <w:t>[</w:t>
      </w:r>
      <w:r>
        <w:rPr>
          <w:rtl w:val="true"/>
        </w:rPr>
        <w:t>معانی قلب</w:t>
      </w:r>
      <w:r>
        <w:rPr>
          <w:rtl w:val="true"/>
        </w:rPr>
        <w:t>]</w:t>
      </w:r>
      <w:bookmarkEnd w:id="103"/>
    </w:p>
    <w:p>
      <w:pPr>
        <w:pStyle w:val="BookText"/>
        <w:rPr/>
      </w:pPr>
      <w:r>
        <w:rPr>
          <w:rFonts w:ascii="IRNazanin" w:hAnsi="IRNazanin" w:eastAsia="IRNazanin"/>
          <w:color w:val="111111"/>
          <w:sz w:val="28"/>
          <w:sz w:val="28"/>
          <w:szCs w:val="28"/>
          <w:rtl w:val="true"/>
          <w:lang w:bidi="fa-IR"/>
        </w:rPr>
        <w:t>بدانکه قلب بر دو معنی اطلاق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گوشت پاره است که به شکل بار صنوبر است و در جانب چپ سینه </w:t>
      </w:r>
    </w:p>
    <w:p>
      <w:pPr>
        <w:pStyle w:val="BookText"/>
        <w:rPr/>
      </w:pPr>
      <w:r>
        <w:rPr>
          <w:rFonts w:ascii="IRNazanin" w:hAnsi="IRNazanin" w:eastAsia="IRNazanin"/>
          <w:color w:val="111111"/>
          <w:sz w:val="28"/>
          <w:sz w:val="28"/>
          <w:szCs w:val="28"/>
          <w:rtl w:val="true"/>
          <w:lang w:bidi="fa-IR"/>
        </w:rPr>
        <w:t>هر حیوانی مکان دارد و میان آن تهی است و در میان آن پاره خون سیاه بسته است و آن خون منبع روح حیوانی است و آن را شغاف قلب</w:t>
      </w:r>
      <w:r>
        <w:rPr>
          <w:rStyle w:val="FootnoteAnchor"/>
          <w:rtl w:val="true"/>
        </w:rPr>
        <w:footnoteReference w:id="114"/>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است روحانی که آن را تعلق است به قلب به 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قلب گویند و باری روح و باری انسانش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به این معنی دریابنده است چیزها را و ادراک کننده است امور را و آن عالم است و عارف و مخاطب به خطابات و مثاب به مثوبات و مر او را علاقه است به قلب به معنی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وجه علاقه وی با آن قلب در میان حکما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تعلّقش به قلب مثل عرض است به اجسام</w:t>
      </w:r>
      <w:r>
        <w:rPr>
          <w:rStyle w:val="FootnoteAnchor"/>
          <w:rtl w:val="true"/>
        </w:rPr>
        <w:footnoteReference w:id="115"/>
      </w:r>
      <w:r>
        <w:rPr>
          <w:rFonts w:ascii="IRNazanin" w:hAnsi="IRNazanin" w:eastAsia="IRNazanin"/>
          <w:color w:val="111111"/>
          <w:sz w:val="28"/>
          <w:sz w:val="28"/>
          <w:szCs w:val="28"/>
          <w:rtl w:val="true"/>
          <w:lang w:bidi="fa-IR"/>
        </w:rPr>
        <w:t>و بعضی بر این رفته‌اند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تعلّقش به وی مثل تعلّق اوصاف است به موصوفات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تعلّقش مثل تعلق ذی آلت است به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تعلّق متمکّن است به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چیز دیگر گفته‌اند و ذکر هر یک و تحقیق مقام خارج است از وضع این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مقام از کتاب خدا و اخبار رسول خدا 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قلب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مراد از آن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تعبیر می‌شود از آن به قلب در صدر، همچنانکه باری تعالی در قرآن مجید خود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الاْءَبْصَارُ وَ لَکِن تَعْمَی الْقُلُوبُ الَّتِی فِی الصُّدُورِ</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پس به درستی که کور نیست چشمها و لکن کور است دلها که در سینه‌ها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قید آن است که به آن اشاره کردیم و گفتیم که قلبِ روحانی را علاقه است با قلب جسدانی، پس گویا که آن قلب نیز در سینه مأوا دارد هر چند متعلق باشد به جمیع بدن و مستعمل 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تعلّق اولش به قلب جسدانی است و به واسطه آن تصرّف در سایر بدن می‌نماید، پس قلب جسدانی مأوی و مملکت و مطیّه</w:t>
      </w:r>
      <w:r>
        <w:rPr>
          <w:rStyle w:val="FootnoteAnchor"/>
          <w:rtl w:val="true"/>
        </w:rPr>
        <w:footnoteReference w:id="117"/>
      </w:r>
      <w:r>
        <w:rPr>
          <w:rFonts w:ascii="IRNazanin" w:hAnsi="IRNazanin" w:eastAsia="IRNazanin"/>
          <w:color w:val="111111"/>
          <w:sz w:val="28"/>
          <w:sz w:val="28"/>
          <w:szCs w:val="28"/>
          <w:rtl w:val="true"/>
          <w:lang w:bidi="fa-IR"/>
        </w:rPr>
        <w:t>و بارکش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است که بعض علما از قلب جسدانی تعبیر به عرش می‌کنند و از سینه تعبیر </w:t>
      </w:r>
    </w:p>
    <w:p>
      <w:pPr>
        <w:pStyle w:val="BookText"/>
        <w:rPr/>
      </w:pPr>
      <w:r>
        <w:rPr>
          <w:rFonts w:ascii="IRNazanin" w:hAnsi="IRNazanin" w:eastAsia="IRNazanin"/>
          <w:color w:val="111111"/>
          <w:sz w:val="28"/>
          <w:sz w:val="28"/>
          <w:szCs w:val="28"/>
          <w:rtl w:val="true"/>
          <w:lang w:bidi="fa-IR"/>
        </w:rPr>
        <w:t>به کرسی</w:t>
      </w:r>
      <w:r>
        <w:rPr>
          <w:rStyle w:val="FootnoteAnchor"/>
          <w:rtl w:val="true"/>
        </w:rPr>
        <w:footnoteReference w:id="118"/>
      </w:r>
      <w:r>
        <w:rPr>
          <w:rFonts w:ascii="IRNazanin" w:hAnsi="IRNazanin" w:eastAsia="IRNazanin"/>
          <w:color w:val="111111"/>
          <w:sz w:val="28"/>
          <w:sz w:val="28"/>
          <w:szCs w:val="28"/>
          <w:rtl w:val="true"/>
          <w:lang w:bidi="fa-IR"/>
        </w:rPr>
        <w:t>و مرادش آن است که قلب جسدانی و سینه مجری اول و مملکت قلب روحانی است که اول تصرف در آنها می‌کند و به واسطه آنها تصرف در سایر بدن پس قلب جسدانی و سینه به منزله عرش و کرسی است به نسبت به باری تعالی جلت عظمته هر چند این تشبیه نوع اغتشاشی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مَثَل این قلب در بدن مَثَل پادشاه است در مملکت محروسه خود که آن را لشکری و اعوانی و اضداد و احوالی است و قبول می‌کند نورانیّت و اشراق و ظلمت و انفلاق را؛ و گاهی خوش وقت و منشرح است و گاهی مکدّر و منقبض است و گاهی بر تخت سلطنت خود مستقر است و زمانی در گشت و سیر است و از امور مملکت بی خبر است و گاهی روشن و صافی است و زمانی مظلم و تیره است، مثل آیینه صاف که آنچه در مقابل وی دارند صورتش در آن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صفا و نورانیّت به مرتبه‌ای می‌رسد که حقیقت اشیاء در آن نقش می‌بندد و به چنین قلبی اشاره کرده است پیغمبر خدا صلی الله علیه و آله به قولش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جعل له واعظا من قلبه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پروردگار عالم خوبی بنده‌ای را خواهد، می‌گرداند برای او موعظه کننده‌ای را از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ناصح او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من قلبه واعظ کان علیه من اللّه حافظ</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باشد از برای او قلبش ناصح و واعظی، خواهد بود از برای او از جانب رب الارباب نگهبان و 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ظلمت و تیرگی به مرتبه‌ای می‌رسد که نفع را از ضرر و خیر را از شر امتیاز نمی‌کند و این نه به واسطه جوهر و اصل آن است زیرا که جوهر و اصل آن روحانی است و جلاء محض و نور صرف است بلکه قلب به سبب </w:t>
      </w:r>
    </w:p>
    <w:p>
      <w:pPr>
        <w:pStyle w:val="BookText"/>
        <w:rPr/>
      </w:pPr>
      <w:r>
        <w:rPr>
          <w:rFonts w:ascii="IRNazanin" w:hAnsi="IRNazanin" w:eastAsia="IRNazanin"/>
          <w:color w:val="111111"/>
          <w:sz w:val="28"/>
          <w:sz w:val="28"/>
          <w:szCs w:val="28"/>
          <w:rtl w:val="true"/>
          <w:lang w:bidi="fa-IR"/>
        </w:rPr>
        <w:t xml:space="preserve">عوارض و اموری است که از خارج بر آن وارد می‌شود؛ یا به یک دفعه آن را تیره و تار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گرفته و بی اعتبار می‌گرداند و یا به 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در این عالم عیان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آیینه روشن و صافی داشته باشد و احدی مشت گلی یا غیر آن را بر آن افکند که به یک دفعه جلا و روشنی آن را بپوشاند و از حیّز انتفاع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صافی را در مطبخی بگذارند و اندک اندک، مرة بعد اخری و کرة بعد اولی، دود به آن برسد و آن را تیره و تار گرداند و از درجه نفع و اعتبارش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نیز گاهی به واسطه گناهی عظیم به یک دفعه چنان مکدّر و تیره شود که بالمرّه محجوب از ادراک حق شود؛ بلکه به جائی رسد که باطل در نظرش حق نماید و حق در نظرش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تدریج به واسطه ارتکاب معاصی به این مرتبه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مرتبه در آیات و اخبار تعبیر به رَین</w:t>
      </w:r>
      <w:r>
        <w:rPr>
          <w:rStyle w:val="FootnoteAnchor"/>
          <w:rtl w:val="true"/>
        </w:rPr>
        <w:footnoteReference w:id="121"/>
      </w:r>
      <w:r>
        <w:rPr>
          <w:rFonts w:ascii="IRNazanin" w:hAnsi="IRNazanin" w:eastAsia="IRNazanin"/>
          <w:color w:val="111111"/>
          <w:sz w:val="28"/>
          <w:sz w:val="28"/>
          <w:szCs w:val="28"/>
          <w:rtl w:val="true"/>
          <w:lang w:bidi="fa-IR"/>
        </w:rPr>
        <w:t>و طبع</w:t>
      </w:r>
      <w:r>
        <w:rPr>
          <w:rStyle w:val="FootnoteAnchor"/>
          <w:rtl w:val="true"/>
        </w:rPr>
        <w:footnoteReference w:id="122"/>
      </w:r>
      <w:r>
        <w:rPr>
          <w:rFonts w:ascii="IRNazanin" w:hAnsi="IRNazanin" w:eastAsia="IRNazanin"/>
          <w:color w:val="111111"/>
          <w:sz w:val="28"/>
          <w:sz w:val="28"/>
          <w:szCs w:val="28"/>
          <w:rtl w:val="true"/>
          <w:lang w:bidi="fa-IR"/>
        </w:rPr>
        <w:t>شده است همچنان که از ضیا و روشنی قلب گاهی به سراج</w:t>
      </w:r>
      <w:r>
        <w:rPr>
          <w:rStyle w:val="FootnoteAnchor"/>
          <w:rtl w:val="true"/>
        </w:rPr>
        <w:footnoteReference w:id="123"/>
      </w:r>
      <w:r>
        <w:rPr>
          <w:rFonts w:ascii="IRNazanin" w:hAnsi="IRNazanin" w:eastAsia="IRNazanin"/>
          <w:color w:val="111111"/>
          <w:sz w:val="28"/>
          <w:sz w:val="28"/>
          <w:szCs w:val="28"/>
          <w:rtl w:val="true"/>
          <w:lang w:bidi="fa-IR"/>
        </w:rPr>
        <w:t>و گاهی به مصباح</w:t>
      </w:r>
      <w:r>
        <w:rPr>
          <w:rStyle w:val="FootnoteAnchor"/>
          <w:rtl w:val="true"/>
        </w:rPr>
        <w:footnoteReference w:id="124"/>
      </w:r>
      <w:r>
        <w:rPr>
          <w:rFonts w:ascii="IRNazanin" w:hAnsi="IRNazanin" w:eastAsia="IRNazanin"/>
          <w:color w:val="111111"/>
          <w:sz w:val="28"/>
          <w:sz w:val="28"/>
          <w:szCs w:val="28"/>
          <w:rtl w:val="true"/>
          <w:lang w:bidi="fa-IR"/>
        </w:rPr>
        <w:t>و گاهی به نقطه سفید</w:t>
      </w:r>
      <w:r>
        <w:rPr>
          <w:rStyle w:val="FootnoteAnchor"/>
          <w:rtl w:val="true"/>
        </w:rPr>
        <w:footnoteReference w:id="125"/>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روایت شده است از زرارة بن اعین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والاجنابِ حضرت امام محمد باقر و امام جعفر صادق علیهماالسلام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همام امام محمدباقر علیه‌السلام شنیدم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هیچ بنده‌ای مگر آنکه در قلبش نقطه سفیدی است، پس هرگاه گناهی از او صادر شود در آن نقطه سفید نقطه سیاهی پیدا شود، پس اگر توبه کند </w:t>
      </w:r>
    </w:p>
    <w:p>
      <w:pPr>
        <w:pStyle w:val="BookText"/>
        <w:rPr/>
      </w:pPr>
      <w:r>
        <w:rPr>
          <w:rFonts w:ascii="IRNazanin" w:hAnsi="IRNazanin" w:eastAsia="IRNazanin"/>
          <w:color w:val="111111"/>
          <w:sz w:val="28"/>
          <w:sz w:val="28"/>
          <w:szCs w:val="28"/>
          <w:rtl w:val="true"/>
          <w:lang w:bidi="fa-IR"/>
        </w:rPr>
        <w:t>آن نقطه سیاه زائل و برطرف شود و اگر گناهی از او سر زند آن نقطه سیاه بیشتر شود تا آنکه اندک اندک تمام سفیدی دل را پنهان کند و بپوشاند، پس چون آن نقطه سیاه تمام دل را فرو گیرد صاحب آن دل هرگز به خوبی میل نکند و این است قول خدای تعالی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بلکه غالب شده است بر دلهای ایشان گناهانی که بودند ایشان می‌کردند آن گناهان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رَین از روی لغت به معنی غلبه کردن گناه است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Style w:val="FootnoteAnchor"/>
          <w:rtl w:val="true"/>
        </w:rPr>
        <w:footnoteReference w:id="128"/>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ذنبه علی قلبه، رینا و ریونا،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حق تعالی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لَوْ نَشَآءُ أَصَبْنَاهُم بِذُنُوبِهِمْ وَ نَطْبَعُ عَلَی قُلُوبِهِمْ فَهُمْ لاَ یَسْمَعُونَ</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از روی لغت به معنی مهر زدن است بر چیزی، پس ترجمه آیه واللّه یعلم؛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خواهیم می‌گیریم ایشان را به گناهان ایشان و مهر می‌زنیم بر دلهای ایشان، پس ایشان نمی‌شنوند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حق تعالی در این آیه کریمه، ربط داده است نشنیدن چیزی را به مهر زدن بر دل به واسطه گناه، چنانکه ربط داده است شنیدن را در جای دیگر به تقوی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ربط داده است تقوی را به تعلیم خود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اسْمَعُوا</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خدا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خدا و تعلیم کند خدا شما 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ظاهر می‌شود که چون گناهان بر دل متراکم شوند و بر روی هم بنشینند بر </w:t>
      </w:r>
    </w:p>
    <w:p>
      <w:pPr>
        <w:pStyle w:val="BookText"/>
        <w:rPr/>
      </w:pPr>
      <w:r>
        <w:rPr>
          <w:rFonts w:ascii="IRNazanin" w:hAnsi="IRNazanin" w:eastAsia="IRNazanin"/>
          <w:color w:val="111111"/>
          <w:sz w:val="28"/>
          <w:sz w:val="28"/>
          <w:szCs w:val="28"/>
          <w:rtl w:val="true"/>
          <w:lang w:bidi="fa-IR"/>
        </w:rPr>
        <w:t>دل قفل می‌زنند و دل سنگین می‌شود و از دریافتن حق کور و بی‌شعور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می‌کند صاحب آن دل در امر آخرت و صلاح دین خود؛ و بزرگ می‌شود در نظرش امر دنیا به حدّی که همّت خود را مقصور می‌گرداند در امر دنیا و فکر و ذکر خود را صرف آن می‌کند؛ و چون امر آخرت در نزد وی مذکور می‌شود، داخل به گوشش نمی‌شود؛ و اگر بالفرض داخل گوشش هم شود از گوش دیگرش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بسا هست که قلب به حدّی تیره و تار می‌شود که از ذکر آخرت منقبض می‌شود و به غضب می‌آید این است معنی سیاهی دل در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پیغمبر خدا صلی الله علیه و آله منقول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مؤمن صاف است و در آن چراغی است که روشنی می‌دهد و دل کافر سیاه و منکوس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از حضرت امام محمدباقر علیه‌السلام منقول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است منکوس که قصد نمی‌کند چیزی از خوبی را و آن دل کافر است؛ و دلی است که در آن نقطه سیاهی هست، پس خیر و شر در آن خلجان دارند، پس به هر کدام میل کند آن؛ یک غالب می‌شود بر آن؛ و دلی است که مفتوح است در آن چراغها که روشنی می‌دهد و نور آن فرو نمی‌نشیند تا روز قیامت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از اجزای حدیث معلوم می‌شود که مراد به قلب در اینجا، قلب جسدانی نیست، بلکه قلب روحانی است، زیرا که قلب جسدانی تا روز قیامت باقی نمی‌ماند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مَثَل قلب، مثل قلعه است و مثل شیطان، مثل دشمن یاغی است که بر سر آن قلعه آمده باشد و خواهد آن قلعه را مفتوح نماید و داخل قلعه شود و به ملکیّت در آن تصرّف نماید؛ و صاحب قلعه اگر خواهد قلعه را نگاه دارد و نگذارد که دشمن داخل در </w:t>
      </w:r>
    </w:p>
    <w:p>
      <w:pPr>
        <w:pStyle w:val="BookText"/>
        <w:rPr/>
      </w:pPr>
      <w:r>
        <w:rPr>
          <w:rFonts w:ascii="IRNazanin" w:hAnsi="IRNazanin" w:eastAsia="IRNazanin"/>
          <w:color w:val="111111"/>
          <w:sz w:val="28"/>
          <w:sz w:val="28"/>
          <w:szCs w:val="28"/>
          <w:rtl w:val="true"/>
          <w:lang w:bidi="fa-IR"/>
        </w:rPr>
        <w:t>آن شود، لازم است که درهای قلعه را محکم فرو بندد و شکستگیهای دیوار آن را بسازد و مواقع خلل آن را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است از اینکه صاحب قلب طریق استحکام قلعه دل را بداند تا در استحکام آن تواند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 مطلب محتاج است به طول کلام و آن خارج است از مقصود از این رساله، و لیکن امری که جامع این معنی است این است که در وقت نماز رو کند به جانب جناب اقدس الهی و بداند که در برابر وی ایستاده است و اگر مصلّی او را نمی‌بیند، خدا وی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حدیث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کن خدا را چنانکه گویا او را می‌بینی که اگر تو او را نمی‌بینی او تو را می‌بیند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هرگاه چنین کنی و این معنی را به خاطر بگذرانی، راههای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دل را از داخل شدن شیطان مسدود کرده خواهی بود، و رو خواهد کرد قلب تو به سوی جناب اقدس معبود و فارغ خواهی شد برای عبادت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به نماز می‌ایستد، حاضر می‌شود شیطان در نزد وی و می‌گوید بیاد بیاور فلان امر و فلان عمل را و آن بنده رو می‌کند به جانب آن امر تا آنکه نماز می‌کند و نمی‌داند که چه قدر نماز کرده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از اینجا ظاهر می‌شود که مجرد حرکت دادن زبان منع نمی‌کند شیطان را از تسلط بر قلب، بلکه ناچار است از عمارت کردن دل به تقوی و پاک گردانیدن آن از صفات ذمیمه که آنها یاوران شیطان و جنود 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آن کسانی که </w:t>
      </w:r>
    </w:p>
    <w:p>
      <w:pPr>
        <w:pStyle w:val="BookText"/>
        <w:rPr/>
      </w:pPr>
      <w:r>
        <w:rPr>
          <w:rFonts w:ascii="IRNazanin" w:hAnsi="IRNazanin" w:eastAsia="IRNazanin"/>
          <w:color w:val="111111"/>
          <w:sz w:val="28"/>
          <w:sz w:val="28"/>
          <w:szCs w:val="28"/>
          <w:rtl w:val="true"/>
          <w:lang w:bidi="fa-IR"/>
        </w:rPr>
        <w:t>پرهیزگارند هرگاه برخورد ایشان را طائفه‌ای از شیاطین متذکر می‌شوند و به یاد خدا می‌افتند، پس ایشان بینایانند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و ببین که چگونه تخصیص داده است بینائی را به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ظاهر می‌شود که پرهیزگاران نیز از مکر شیاطین فارغ نیستند و لیکن ایشان متذکر می‌شوند و می‌فهمند که اینها از وساوس شیاطین است، از آنها رو بر می‌گردانند و صاحبان رَین و طبع، از کثرت ذنوب متنبه نمی‌شوند، پس تو نیز تأمل کن در منتهای ذکر و عبادت خود و بهترین عملهای خود 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شو و ببین که چون به نماز می‌ایستی چگونه می‌کشد تو را شیطان به بازارها و می‌گرداند تو را در کوچه‌ها و سیر می‌دهد تو را در باغستان‌ها و سیرگاه‌ها؛ و مشغول می‌کند تو را به محاسبه معامله کنان و جواب معاندان؛ و به یاد می‌آورد تو را آنچه فراموش کرده‌ای در محاسبات و معاملات خود و چگونه تو را می‌کشد به وادی دنیا و مهالک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نمی‌آورند بر قلب تو عساکر شیاطین مگر در حال نماز و دور نمی‌شوند از تو به مجرد بجا آوردن صورت نماز، بلکه در آن حال بیشتر بر تو هجوم می‌آورند، هر چند به آن نماز تکلیف از تو ساقط می‌شود و از عهده تکلیف بر می‌آئی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در قبول آن محتاج است به استعمال و قواعد دیگر و اصلاح باطن از صفات خبیثه که آنها یاوران شیطانند، و اگر چنین نکنی نماز به تو نفع نمی‌بخشد، بلکه موجب ضرر است، نمی‌بینی که دوا خوردن بیش از پرهیز به بدن ضرر می‌رساند، بلکه همین هم بس نیست و ناچار است از اینکه باطن را به صفات حسنه نیز آراسته گردانی تا آنکه قابل رو کردن به جانب معبود مطلق شوی و بترسی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و اهمال در عبادت حضرت ذی الجلال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آگاه باشید که به ذکر خدا مطمئن می‌شوند دلها، پس تو این معنی را علامتی قرار ده میان خود </w:t>
      </w:r>
      <w:bookmarkStart w:id="104" w:name="pg17288_199479"/>
    </w:p>
    <w:p>
      <w:pPr>
        <w:pStyle w:val="BookText"/>
        <w:rPr/>
      </w:pPr>
      <w:bookmarkEnd w:id="104"/>
      <w:r>
        <w:rPr>
          <w:rFonts w:ascii="IRNazanin" w:hAnsi="IRNazanin" w:eastAsia="IRNazanin"/>
          <w:color w:val="111111"/>
          <w:sz w:val="28"/>
          <w:sz w:val="28"/>
          <w:szCs w:val="28"/>
          <w:rtl w:val="true"/>
          <w:lang w:bidi="fa-IR"/>
        </w:rPr>
        <w:t>و رها شدن قلب از وساوس شیطان؛ و هر زمان که دلت مطمئن شود و از وساوس شیطان فارغ باشد، دانسته باش که ذکر حقیقی از تو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دهد خداوند کریم ما و تو را از شر شیطان رجیم و دیو لئیم</w:t>
      </w:r>
      <w:r>
        <w:rPr>
          <w:rFonts w:eastAsia="IRNazanin" w:cs="IRNazanin"/>
          <w:color w:val="111111"/>
          <w:sz w:val="28"/>
          <w:szCs w:val="28"/>
          <w:rtl w:val="true"/>
          <w:lang w:bidi="fa-IR"/>
        </w:rPr>
        <w:t>.</w:t>
      </w:r>
    </w:p>
    <w:p>
      <w:pPr>
        <w:pStyle w:val="Heading4"/>
        <w:numPr>
          <w:ilvl w:val="3"/>
          <w:numId w:val="1"/>
        </w:numPr>
        <w:rPr/>
      </w:pPr>
      <w:bookmarkStart w:id="105" w:name="__RefHeading___Toc4413556_3224264995"/>
      <w:bookmarkStart w:id="106" w:name="_Toc39"/>
      <w:bookmarkEnd w:id="105"/>
      <w:r>
        <w:rPr>
          <w:rtl w:val="true"/>
        </w:rPr>
        <w:t>مطلب سوم</w:t>
      </w:r>
      <w:r>
        <w:rPr>
          <w:rtl w:val="true"/>
        </w:rPr>
        <w:t>: [</w:t>
      </w:r>
      <w:r>
        <w:rPr>
          <w:rtl w:val="true"/>
        </w:rPr>
        <w:t>آیات و اخبار حضور قلب</w:t>
      </w:r>
      <w:r>
        <w:rPr>
          <w:rtl w:val="true"/>
        </w:rPr>
        <w:t>]</w:t>
      </w:r>
      <w:bookmarkEnd w:id="106"/>
    </w:p>
    <w:p>
      <w:pPr>
        <w:pStyle w:val="BookText"/>
        <w:rPr/>
      </w:pPr>
      <w:r>
        <w:rPr>
          <w:rFonts w:ascii="Amiri" w:hAnsi="Amiri" w:eastAsia="Amiri" w:cs="Amiri"/>
          <w:color w:val="111111"/>
          <w:sz w:val="28"/>
          <w:sz w:val="28"/>
          <w:szCs w:val="28"/>
          <w:rtl w:val="true"/>
          <w:lang w:bidi="ar-SA"/>
        </w:rPr>
        <w:t>در ذکر آیات و اخباری است که دلالت دارند بر آنکه حضور قلب در عبادات خصوصاً نماز که اعظم آنها است مطلوب و در نزد معبود بحق، محبوب و مرغوب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سبحانه و تعالی فرموده است در وصف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لغت به معنی تذلّل و ذلّت بر خود قرار دادن است</w:t>
      </w:r>
      <w:r>
        <w:rPr>
          <w:rStyle w:val="FootnoteAnchor"/>
          <w:rtl w:val="true"/>
        </w:rPr>
        <w:footnoteReference w:id="13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به تحقیق رستگار شدند مؤمنانی که در نمازشان تذلّل دارند در نزد پروردگار و معبود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 آن کسانی که داده می‌شوند اجر و مزد اعمالی که بجا می‌آورند، در حالی که دلهای ایشان ترسنده و خائف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که متصف بودن قلب به ترس، مستلزم حضور قلب است بر اتم وجهی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مقام مذمت غافلان فرموده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را بعض علما در این مقام به غفلت تفسیر کرده است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کرده است خدا ایشان را به غفلت، با وجود اینکه ایشان را نماز گذارندگان تعبیر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غفلت از نماز، ترک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غفلت قلب است در حال نماز که عبارت از عدم حضور قلب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 مِنْ ذِکْرِ اللَّهِ أُولئِکَ فِی ضَلاَلٍ مُبِینٍ</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سیاه‌دلان در نزد ذکر خدا، ایشان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دل در این مقام کنایه از عدم حضور آن است، زیرا که آن مستلزم عدم حضور قلب باشد و پیغمبر خدا صلی الله علیه و آله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منزله ترازو است هرکس تمام داد تمام می‌گیرد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نشئه</w:t>
      </w:r>
      <w:r>
        <w:rPr>
          <w:rStyle w:val="FootnoteAnchor"/>
          <w:rtl w:val="true"/>
        </w:rPr>
        <w:footnoteReference w:id="145"/>
      </w:r>
      <w:r>
        <w:rPr>
          <w:rFonts w:ascii="IRNazanin" w:hAnsi="IRNazanin" w:eastAsia="IRNazanin"/>
          <w:color w:val="111111"/>
          <w:sz w:val="28"/>
          <w:sz w:val="28"/>
          <w:szCs w:val="28"/>
          <w:rtl w:val="true"/>
          <w:lang w:bidi="fa-IR"/>
        </w:rPr>
        <w:t>فانیه نماز را با شرایط و ارکان و مکمّلات نیکو به عمل آورد، در نشئه باقیه اجر و مزد آن را تمام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حضرت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مرد از امت من ایستند به نماز و رکوع و سجود هر دو یکی است، و لیکن تفاوت میان دو نماز ایشان به قدر تفاوت میان زمین و آسمان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پر ظاهر است که نسبت این تفاوت نخواهد بود مگر به واسطه تفاوت وجود حضور قلب و عدم 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نمی‌ترسد آن کسی که روی دل خود را در نماز از معبود حقیقی بر می‌گرداند، اینکه خدا روی او را به روی حمار برگرداند و او را مسخ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در حدیث دیگر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 رکعت نماز کند و در آن دو رکعت امری از امور دنیا به خاطرش نخلد، می‌آمرزد خداوند عالم جمیع گناهان او را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حدیث دیگر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نگاه دارد نفس خود را در نماز فریضه و تمام کند رکوع و سجود آن را و خضوع و خشوع در آن به عمل آورد، پس تمجید و تعظیم و حمد و ثنای حقتعالی را به جای آورد تا وقت نماز دیگر داخل شود و در میان دو نماز گناهی از او صادر نشود، می‌نویسد خداوند عالم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یک عمره؛ و خواهد بود آن نمازگزار از اهل علیّین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حدیث دیگر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و تحقیق نمازی هست که قبول می‌شود نصف آن یا ثلث آن یا ربع آن یا خمس آن تا عشر آن که ده یک آن است و نمازی هست که پیچیده می‌شود مانند جامه کهنه و آن را بر روی صاحبش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از برای تو است از نماز تو همان قدر که اقبال و رو کنی به نماز و خالق بی نیاز به قلب خود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محمدباقر علیه‌السلام منقول است که 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بایستد بنده مؤمن در نمازش، نظر می‌کند حضرت آفریدگار یگانه به جانب وی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 به قلب خود و سایه می‌افکند رحمت بر سر وی تا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آسمان و ملائکه فرو می‌گیرند او را از اطراف وی تا کناره آسمان، و موکل می‌گرداند حضرت </w:t>
      </w:r>
    </w:p>
    <w:p>
      <w:pPr>
        <w:pStyle w:val="BookText"/>
        <w:rPr/>
      </w:pPr>
      <w:r>
        <w:rPr>
          <w:rFonts w:ascii="IRNazanin" w:hAnsi="IRNazanin" w:eastAsia="IRNazanin"/>
          <w:color w:val="111111"/>
          <w:sz w:val="28"/>
          <w:sz w:val="28"/>
          <w:szCs w:val="28"/>
          <w:rtl w:val="true"/>
          <w:lang w:bidi="fa-IR"/>
        </w:rPr>
        <w:t>خداوند بر وی ملکی را که بر سر وی ایستاده است و با 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کی به سوی تو نظر دارد و با کی مناجات می‌کنی، هر آینه به هیچ کس التفات نخواهی کرد و از جای خود حرکت نخواهی نمود هرگز</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از حضرت صادق علیه‌السلام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نمی‌شود رغبت به سوی خدا و رهبت و خوف از او در دلی، مگر آنکه واجب می‌شود از برای او بهشت؛ پس هرگاه به نماز بایستی، رو کن به قلب خود به سوی خداوند عزوجل، زیرا که نیست هیچ بنده مؤمنی که رو کند به قلب، به جانب پروردگار عزوجل در نماز و دعای خود، مگر اینکه می‌گرداند و مایل می‌کند دلهای مؤمنان را به جانب وی، و امداد می‌کند او را به دوستی مؤمنان و بهشت را به وی کرامت می‌فرماید</w:t>
      </w:r>
      <w:r>
        <w:rPr>
          <w:rFonts w:eastAsia="IRNazanin" w:cs="IRNazanin"/>
          <w:color w:val="111111"/>
          <w:sz w:val="28"/>
          <w:szCs w:val="28"/>
          <w:rtl w:val="true"/>
          <w:lang w:bidi="fa-IR"/>
        </w:rPr>
        <w:t>».</w:t>
      </w:r>
      <w:r>
        <w:rPr>
          <w:rStyle w:val="FootnoteAnchor"/>
          <w:rtl w:val="true"/>
        </w:rPr>
        <w:footnoteReference w:id="1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ابوحمزه ثمالی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الحسین علیهماالسلام را که نماز می‌کرد و ردای مبارکش از دوشش افتاد و آن را به دوش نگرفت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ردای مبارک که از دوشت افتاد به دوش نگرفتی؟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در برابر کی ایستاده بودم؟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نمی‌شود از نماز بنده، مگر آن قدری که حضور قلب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فدای تو شوم پس ما هلاک می‌شویم،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تمام می‌کند نقص‌های نماز فریضه را به نافله‌ها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از فضیل بن یسار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محمدباقر و امام جعفر صادق علیهماالسلام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نیست از نمازت برای تو مگر آن قدری که اقبال کنی در آن، پس اگر در نماز اقبال نداشته باشی یا غافل شوی از اداء آن، پیچیده می‌شود و زده می‌شود بر روی صاحبش</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زراره به سند معتبر از حضرت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نماز بایستی پس بر تو باد به اقبال و رو کردن به نماز، زیرا که به تحقیق از برای تو خواهد بود از نمازت آن قدری که اقبال کنی به سوی آن و بازی مکن در نماز با دست خود و سر خود و ریش خود؛ و خیالهای دنیا را به دل در میاور و دهن‌دره مکن و خمیازه مکش</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 به سند معتبر از حضرت صادق علیه‌السلام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کند، پس متوجه نماز شود و امری از امور دنیا را به خاطر در نیاورد و غفلت نورزد از نماز، رو می‌کند خدا به سوی او مادامی که روی دل او با نماز باشد؛ پس بسا هست که نصف نمازش قبول می‌شود و یا ثلث آن یا ربع آن یا خمس آن؛ و جز این نیست که مأمور شده‌ایم ما به نمازهای نافله تا آنکه تمام شود به آنها نمازهای فریضه</w:t>
      </w:r>
      <w:r>
        <w:rPr>
          <w:rFonts w:eastAsia="IRNazanin" w:cs="IRNazanin"/>
          <w:color w:val="111111"/>
          <w:sz w:val="28"/>
          <w:szCs w:val="28"/>
          <w:rtl w:val="true"/>
          <w:lang w:bidi="fa-IR"/>
        </w:rPr>
        <w:t>».</w:t>
      </w:r>
      <w:r>
        <w:rPr>
          <w:rStyle w:val="FootnoteAnchor"/>
          <w:rtl w:val="true"/>
        </w:rPr>
        <w:footnoteReference w:id="15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ابو بصیر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خدمت حضرت صادق علیه‌السلام عرض کرد ـ و من می‌شنیدم 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من بسیار در نماز سهو می‌کنم، حضرت </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سالم باشد از سهو و نسیان؟ آن مرد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کسی را کثیر السهوتر از خودم، آن حضرت به وی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بنده هست که ثلث نمازش بالا می‌رود و یا نصف آن یا سه ربع آن و یا کمتر از این و یا بیشتر از این بر قدر سهو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گویا مراد به این سهو غفلت است از حضور قلب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معتبر از حضرت صادق علیه‌السلام روایت کرده است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هرگاه به نماز می‌ایستاد، گویا شاخ درختی بود که حرکت نکند، مگر آنچه باد آن را حرکت دهد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ایضا به سند صحیح از حضرت صادق علیه‌السلام روایت کرده است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علیهماالسلام هرگاه به نماز می‌ایستاد، رنگ مبارکش متغیّر می‌شد و هرگاه به سجود می‌رفت، سر از سجود بر نمی‌داشت تا عرق از روی مبارکش جاری می‌شد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قوی از ابوبصیر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محمدباقر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اول چیزی که در روز بازپسین محاسبه خواهند کرد به آن با بنده، نماز است، پس اگر قبول شود نماز، قبول خواهد شد ماسوای آن، و اگر رد شود، رد خواهد شد ماسوای آن، به درستی که نماز هرگاه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در اول وقتش، بر می‌گردد به سوی صاحبش در حالی که سفید و نورانی باشد، در آن حال می‌گوید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کردی مرا، خدا تو را محافظت کند؛ و هرگاه بلند شود در غیر وقتش </w:t>
      </w:r>
    </w:p>
    <w:p>
      <w:pPr>
        <w:pStyle w:val="BookText"/>
        <w:rPr/>
      </w:pPr>
      <w:r>
        <w:rPr>
          <w:rFonts w:ascii="IRNazanin" w:hAnsi="IRNazanin" w:eastAsia="IRNazanin"/>
          <w:color w:val="111111"/>
          <w:sz w:val="28"/>
          <w:sz w:val="28"/>
          <w:szCs w:val="28"/>
          <w:rtl w:val="true"/>
          <w:lang w:bidi="fa-IR"/>
        </w:rPr>
        <w:t>به غیر حدود و آداب آن، بر می‌گردد به سوی صاحبش و حال آنکه سیاه و تاریک، است؛ به صاحبش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ساختی مرا، خدا تو را ضایع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ایضا کلینی به سند صحیح از عیص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می‌گذرد بر بنده‌ای پنجاه سال و حال آنکه قبول نمی‌شود از او یک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مصیبت از این سخت‌تر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شما می‌شناسید از همسایگان و رفیقان خود کسی را که اگر نماز کند برای شما، قبول نخواهید کرد از او به جهت پستی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قبول نمی‌کند، مگر چیز پاکیزه را، پس چگونه قبول خواهد کرد نمازی را که به آن استخفاف رسیده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ایضا به سند صحیح از هشام بن سالم روایت کرده است که حضرت امام جعفر صادق علیه‌السلام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بایستد بنده‌ای به نماز و سبک کند نمازش را می‌فرماید حق تعالی به ملائکه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بنده مرا، گویا چنان می‌پندارد که حوائج او به دست غیر من است، آیا نمی‌دانید که برآمدن حوائجش به دست من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امام صادق علیه‌السلام منقول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تفسیر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خدا آزمایش می‌کند شما را که عمل کدام بیشتر است، بلکه مراد این است که آزمایش می‌کند شما را که عمل کدام صواب‌تر </w:t>
      </w:r>
    </w:p>
    <w:p>
      <w:pPr>
        <w:pStyle w:val="BookText"/>
        <w:rPr/>
      </w:pPr>
      <w:r>
        <w:rPr>
          <w:rFonts w:ascii="IRNazanin" w:hAnsi="IRNazanin" w:eastAsia="IRNazanin"/>
          <w:color w:val="111111"/>
          <w:sz w:val="28"/>
          <w:sz w:val="28"/>
          <w:szCs w:val="28"/>
          <w:rtl w:val="true"/>
          <w:lang w:bidi="fa-IR"/>
        </w:rPr>
        <w:t>و محکم‌تر است و جز این نیست که محکمی عمل، خوف از خدا است و نیّت صادقه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عمل تا آنکه خالص شود از برای خدا، سخت‌تر و دشوارتر است از عمل کردن و عمل خالصی که نخواهی اینکه احدی تو را بر آن عمل مدح کند، مگر حق تعالی، و نیت افضل است از عمل، آگاه باش که نیت خود عمل است، پس تلاوت فرمود قول خدای تعالی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می‌کند بر نیت خود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به سند معتبر از حضرت امام رضا علیه التحیة و الثنا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حضرت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خالص گرداند از برای خدا عمل و عبادت و دعا را، و مشغول نشود دلش به آنچه می‌بیند چشمهای او، و فراموش نکند یاد خدا را به سبب آنچه می‌شنود گوشهای او، و محزون نگردد به سبب آنچه به دیگران عطا شده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سند معتبر از حضرت صادق علیه‌السلام منقول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فرمود در تفسیر قول حق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آن است که ملاقات کند پروردگار خود را در حالی که در آن دل نباشد احدی سوای او سبحانه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شکی یا شرکی باشد، آن دل ساقط است از درجه اعتبار حضرت آفریدگار و جز این نیست که زهد در دنیا مطلوب است به جهت آنکه دل بندگان خالی و فارغ شود از یاد دنیا و متوجه شود به ذکر آخرت</w:t>
      </w:r>
      <w:r>
        <w:rPr>
          <w:rFonts w:eastAsia="IRNazanin" w:cs="IRNazanin"/>
          <w:color w:val="111111"/>
          <w:sz w:val="28"/>
          <w:szCs w:val="28"/>
          <w:rtl w:val="true"/>
          <w:lang w:bidi="fa-IR"/>
        </w:rPr>
        <w:t>».</w:t>
      </w:r>
      <w:r>
        <w:rPr>
          <w:rStyle w:val="FootnoteAnchor"/>
          <w:rtl w:val="true"/>
        </w:rPr>
        <w:footnoteReference w:id="168"/>
      </w:r>
      <w:bookmarkStart w:id="107" w:name="pg17288_199487"/>
    </w:p>
    <w:p>
      <w:pPr>
        <w:pStyle w:val="BookText"/>
        <w:rPr/>
      </w:pPr>
      <w:bookmarkEnd w:id="107"/>
      <w:r>
        <w:rPr>
          <w:rFonts w:ascii="IRNazanin" w:hAnsi="IRNazanin" w:eastAsia="IRNazanin"/>
          <w:color w:val="111111"/>
          <w:sz w:val="28"/>
          <w:sz w:val="28"/>
          <w:szCs w:val="28"/>
          <w:rtl w:val="true"/>
          <w:lang w:bidi="fa-IR"/>
        </w:rPr>
        <w:t>و در کافی به سند معتبر از ابوحمزه ثمالی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مزدلفه، ـ یعنی مشعرالحرام ـ در عقب سر حضرت امام جعفر صادق علیه‌السلام نماز کردم، پس چون آن حضرت از نماز فارغ گردید، متوجه من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 پنجگانه واجبه، هر کس بجا آورد حدود آنها را و محافظت کند وقتهای آنها را، در روز قیامت برای او نزد خدا عهدی خواهد بود که به واسطه آن داخل بهشت شود؛ و کسی که بر پا ندارد حدود آنها را و محافظت ننماید اوقات آنها را، ملاقات خواهد کرد در آخرت خدا را در حالی که برای وی عهدی نباشد که به آن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او را عذاب خواهد کرد و اگر خواهد او را خواهد آمرزید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08" w:name="__RefHeading___Toc4413558_3224264995"/>
      <w:bookmarkStart w:id="109" w:name="_Toc40"/>
      <w:bookmarkEnd w:id="108"/>
      <w:r>
        <w:rPr>
          <w:rtl w:val="true"/>
        </w:rPr>
        <w:t>[</w:t>
      </w:r>
      <w:r>
        <w:rPr>
          <w:rtl w:val="true"/>
        </w:rPr>
        <w:t>جمع‌بندی نتیجه روایات</w:t>
      </w:r>
      <w:r>
        <w:rPr>
          <w:rtl w:val="true"/>
        </w:rPr>
        <w:t>]</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پیغمبر مختار و ائمه اطهار بر این مضمون بسیار است و همین قدر از برای طالب حق و صاحب عقل کافی است و محصّل مضمون آنچه از این اخبار به انضمام بعضی از آنها با بعضی مفهوم می‌شود، آن است که نماز اشرف عبادات و اقرب قربات است و حضور قلب در جمیع عبادات، خصوص نماز مطلوب و مقصود حضرت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نماز بدون آن قابل درجه قبول نمی‌شود و هر قدر از آن که با حضور قلب واقع شود، مقبول خواهد بود و شیطان رجیم و دیو لئیم غایت جد و نهایت سعی و جهد دارد که آدمی را از این منفعت عظمی و موهبت کبری محروم سازد و عبادتش را به این وسیله از درجه اعتبار و قبول بیندازد و به هر نوع که ممکن شود آدمی را به وادی شک و شبهه افکند و آتش حسرت و ندامت بر خرمن اعمال بندگان اندازد و همه را به </w:t>
      </w:r>
      <w:bookmarkStart w:id="110" w:name="pg17288_199488"/>
    </w:p>
    <w:p>
      <w:pPr>
        <w:pStyle w:val="BookText"/>
        <w:rPr/>
      </w:pPr>
      <w:bookmarkEnd w:id="110"/>
      <w:r>
        <w:rPr>
          <w:rFonts w:ascii="IRNazanin" w:hAnsi="IRNazanin" w:eastAsia="IRNazanin"/>
          <w:color w:val="111111"/>
          <w:sz w:val="28"/>
          <w:sz w:val="28"/>
          <w:szCs w:val="28"/>
          <w:rtl w:val="true"/>
          <w:lang w:bidi="fa-IR"/>
        </w:rPr>
        <w:t>یک دفعه بسوزاند و تباه گرداند، و لیکن طالبان قرب درگاه حضرت اله و بندگان آگاه را لازم است که پیروی بزرگان دین مبین و مخلصان حقیقت‌بین نموده، خود را از این ورطه رهانند و اعمال و عبادات خود را به درجه قرب و قبول رسانند</w:t>
      </w:r>
      <w:r>
        <w:rPr>
          <w:rFonts w:eastAsia="IRNazanin" w:cs="IRNazanin"/>
          <w:color w:val="111111"/>
          <w:sz w:val="28"/>
          <w:szCs w:val="28"/>
          <w:rtl w:val="true"/>
          <w:lang w:bidi="fa-IR"/>
        </w:rPr>
        <w:t>.</w:t>
      </w:r>
    </w:p>
    <w:p>
      <w:pPr>
        <w:pStyle w:val="Heading4"/>
        <w:numPr>
          <w:ilvl w:val="3"/>
          <w:numId w:val="1"/>
        </w:numPr>
        <w:rPr/>
      </w:pPr>
      <w:bookmarkStart w:id="111" w:name="__RefHeading___Toc4413560_3224264995"/>
      <w:bookmarkStart w:id="112" w:name="_Toc41"/>
      <w:bookmarkEnd w:id="111"/>
      <w:r>
        <w:rPr>
          <w:rtl w:val="true"/>
        </w:rPr>
        <w:t>[</w:t>
      </w:r>
      <w:r>
        <w:rPr>
          <w:rtl w:val="true"/>
        </w:rPr>
        <w:t>حکایاتی از حضور قلب اولیای الهی در نماز</w:t>
      </w:r>
      <w:r>
        <w:rPr>
          <w:rtl w:val="true"/>
        </w:rPr>
        <w:t>]</w:t>
      </w:r>
      <w:bookmarkEnd w:id="11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رحمه‌الله در کتاب امالی به سند معتبر، حدیثی روایت کرده است که ماحصل مضمونش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 حضرت سید الساجدین امام زین العابدین علیه‌السلام شیطان لعین به درگاه حضرت رب العالمین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اول دنیا تا به این زمان مهلت دادی و بر قلوب بنی آدم مسلّط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و من از آن زمان تا به حال بندگان مخلص تو را بسیار دیدم، اخلاص و ارادت احدی را در درگاه تو مثل اخلاص و ارادت این مرد ـ یعنی حضرت سید الساجدین ـ ندیدم و عبادت احدی به عبادت وی نمی‌رسد، ولیکن در خدمت تو عرض حاجتی دارم که مرا اذن دهی تا او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عزّت در رسید که ای ملعون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معترفی که از اول عالم تا به این زمان اخلاص و ارادت احدی را مثل اخلاص و ارادت وی ندیده‌ای، چگونه میل امتحان و آزمایش او را داری؟ آن ملعون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متوقعم که حاجت مرا برآوری و اذن دهی در امتحان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از حضرت رب الارباب به وی رسید که تو را اذن دادم، ولیکن می‌دانم که سعی تو نابود و تو خائب و مردود خواهی شد، پس شبی از شبها که آن حضرت در محراب عبادت ایستاده مشغول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بود، آن مردود به صورت ماری شد که ده سر داشته باشد و از پیش محراب آن حضرت علیه‌السلام خود را ظاهر نمود، دهنها گشوده و از هر دهنش آتش فرو می‌ریخت و به هر دهن یک انگشت پای آن حضرت را گرفته به دم فرو برد و به دندان گزید و آن حضرت چنانکه متوجه تضرع و زاری بود برقرار بود و اصلا متعرض آن ملعون نگردید، تا نماز خود را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نمی‌گذاری که ساعتی با </w:t>
      </w:r>
    </w:p>
    <w:p>
      <w:pPr>
        <w:pStyle w:val="BookText"/>
        <w:rPr/>
      </w:pPr>
      <w:r>
        <w:rPr>
          <w:rFonts w:ascii="IRNazanin" w:hAnsi="IRNazanin" w:eastAsia="IRNazanin"/>
          <w:color w:val="111111"/>
          <w:sz w:val="28"/>
          <w:sz w:val="28"/>
          <w:szCs w:val="28"/>
          <w:rtl w:val="true"/>
          <w:lang w:bidi="fa-IR"/>
        </w:rPr>
        <w:t>پروردگار خود مناجات نمایم، آن ملعون منکوب و مخذول از نظر آن حضرت غائب شد و آن حضرت باز مشغول تضرع و ابتهال گردید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حدیثی دیگر روایت کرده است که مضمونش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روزی به عبادت در محراب ایستاده بود و مشغول نماز بود و در پیش روی آن حضرت چاهی عمیق بود و حضرت امام محمدباقر علیه‌السلام طفل خردسالی بود و در کنار محراب آن حضرت ـ چنانکه عادت اطفال است ـ می‌گردید و بازی می‌کرد، از اتفاق خود را کشانید تا به کنار چاه رسانید و سرنگون به چاه در افتاد؛ آن حضرت اصلا ملتفت فرزند ارجمند و نهال برومند خود نگردید و همچنان مشغول تضرع و زاری بود، مادر حضرت امام محمدباقر علیه‌السلام چون حال فرزند سعادتمند خود را بر آن منوال دید، زاری‌کنان بر چاه دوید و شروع در فریاد و افغان نمود، آن حضرت باز متوجه وی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سوز درون بی ادبانه زبان گشود و به آن حضرت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شما بنی هاشم چه مقدار سنگین دل بوده‌اید که طفل من به چاه درافتاده است و تو مشغول نمازی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آن حضرت نماز خود را به پایان رسانید و بر سر چاه آمد و دست یازید و فرزند سعادتمند خود را از چاه بیرون آورد و به دست مادرش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مرا به حال خود بگذار تا مشغول مناجات با قاضی الحاجات شوم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بعض کتب معتبره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مرد مؤمن عارفی بود که از کثرت نماز، پیشانیش مانند زانوی شتر پینه کرده و از بسیاری روزه، چشمهای وی به مغاک</w:t>
      </w:r>
      <w:r>
        <w:rPr>
          <w:rStyle w:val="FootnoteAnchor"/>
          <w:rtl w:val="true"/>
        </w:rPr>
        <w:footnoteReference w:id="172"/>
      </w:r>
      <w:r>
        <w:rPr>
          <w:rFonts w:ascii="IRNazanin" w:hAnsi="IRNazanin" w:eastAsia="IRNazanin"/>
          <w:color w:val="111111"/>
          <w:sz w:val="28"/>
          <w:sz w:val="28"/>
          <w:szCs w:val="28"/>
          <w:rtl w:val="true"/>
          <w:lang w:bidi="fa-IR"/>
        </w:rPr>
        <w:t>سرش فرورفته بود، روزی شیطان رجیم و دیو لئیم خود را بر وی آشکار نمود، آن مرد مؤمن نگاه کرد، دید که آن ملعون اسباب خدعه و فریب بر خود آویخته و مهرهای رنگارنگ از پس پشت و پیش روی خود فرو ریخته است و چند افسار نیز بر دوش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 که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بر خود آویخته،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 فریب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 افسارها چیست که با خود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جهت جمعی از بندگان مخلص است که به این امور فریفته نمی‌شوند و باید ایشان را به افسار به دام فریب گرفتار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خود را از جمله مخلصین می‌پنداشت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افساری که برای فریب من مهیا نموده‌ای کدام است؟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بی افسارانی که به افسار احتیاج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 که آن کسان که به افسار احتیاج دارند کیانند،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آن کسان را بشناسی به همراه من بیا تا یکی از ایشان را به تو نشان دهم، آن مرد همراه وی روانه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اسم اعظم خدا بر وی خواند که از نظرها مخفی گردید، پس به همراه وی رفت تا به در سرائی رسیدند، شیطان داخل شد، آن مرد نیز از عقب وی به آن سرا درآمد، دید زنی تنور می‌سوزاند و طفلی در اطراف وی می‌گردد و بازی می‌کند، آن زن چون تنور خود را سوزانید و خواست که نان در آن بندد،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آن زن خمیر را گذارد و برخواست و وضو ساخت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طفل باز به بازی مشغول بود، شیطان دست یازید و از جیب خود سیبی یا اناری بیرون آورد و در نزد آن طفل بر زمین انداخت، آن طفل دست یازید که انار را از زمین بردارد، شیطان آن انار را به جانب </w:t>
      </w:r>
    </w:p>
    <w:p>
      <w:pPr>
        <w:pStyle w:val="BookText"/>
        <w:rPr/>
      </w:pPr>
      <w:r>
        <w:rPr>
          <w:rFonts w:ascii="IRNazanin" w:hAnsi="IRNazanin" w:eastAsia="IRNazanin"/>
          <w:color w:val="111111"/>
          <w:sz w:val="28"/>
          <w:sz w:val="28"/>
          <w:szCs w:val="28"/>
          <w:rtl w:val="true"/>
          <w:lang w:bidi="fa-IR"/>
        </w:rPr>
        <w:t>تنور حرکت داد، آن طفل از عقب انار روان شد، چون به نزدیک انار رسید، شیطان انار را به لب تنور برد، طفل از عقب انار به لب تنور آمد، چون خواست که انار را برباید، شیطان دست یازید و انار را در تنور افکند، طفل از عقب انار سراشیب شد و در تنور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در نماز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اصلا متزلزل نشد و به آرام دل و آرام تن، نماز خود را تمام کرد، آنگاه بر سر تنور آمد، دید که آن طفل در میان آتش نشسته است و با آتش بازی می‌کند و آتش او را اذیت نمی‌رساند، دست دراز کرد و طفل را از تنور بیرون آورد و در کناری نشانید و خود مشغول نماز شد، شیطان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یکی از آن کسان است که به افسار احتیاج دارد، پس از نظر آن مرد غائب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راه حق چنین بوده‌اند که تن به افسار شیطان رجیم در نداده‌اند و به خدعه و نیرنگ وی، از راه بیرون نرفته‌اند و به بنیان اخلاص و ارادت ایشان دامنی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مقتضای اخبار و احادیث، آن است که اهتمام به حضور قلب در جمیع عبادات خصوصا در نماز، امری است مهم و غافل شدن از آن غفلتی است عظیم و پستی است ظاهر و دوری است از مرتبه قرب، پیدا و باهر؛ و چه مصیبتی است از این عظیمتر که آدم عاقل در مدت شصت یا هفتاد سال یا بیشتر یا کمتر، در اوقات نماز به نماز بایستد و با معبود خود مناجات کند و امیدها به سوی خود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 چون روزِ عرض شود، دیوان عمل خود را از ثواب نماز، خالی بیند و میوه حسرت و ندامت از شاخسار اعمال ناشایست خود چیند و اصلا ثمری به وی عاید نگردد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است معنی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 وَ الاْآخِرَةَ ذَلِکَ هُوَ الْخُسْرَانُ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 است در دنیا و آخرت، این است زیان‌کاری آشکار هویدا</w:t>
      </w:r>
      <w:r>
        <w:rPr>
          <w:rFonts w:eastAsia="Amiri" w:cs="Amiri" w:ascii="Amiri" w:hAnsi="Amiri"/>
          <w:color w:val="111111"/>
          <w:sz w:val="28"/>
          <w:szCs w:val="28"/>
          <w:rtl w:val="true"/>
          <w:lang w:bidi="ar-SA"/>
        </w:rPr>
        <w:t xml:space="preserve">. </w:t>
      </w:r>
      <w:bookmarkStart w:id="113" w:name="pg17288_199492"/>
    </w:p>
    <w:p>
      <w:pPr>
        <w:pStyle w:val="BookText"/>
        <w:rPr/>
      </w:pPr>
      <w:bookmarkEnd w:id="113"/>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بِالاْءَخْسَرِینَ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 آیا آگاه کند شما را به کسانی که در زیان است عملهای ایشان، آن چنان کسانی که نابود است سعی ایشان در حیات دنیا و ایشان گمان دارند که کارهای نیکو از ایشان صادر می‌شود</w:t>
      </w:r>
      <w:r>
        <w:rPr>
          <w:rFonts w:eastAsia="IRNazanin" w:cs="IRNazanin"/>
          <w:color w:val="111111"/>
          <w:sz w:val="28"/>
          <w:szCs w:val="28"/>
          <w:rtl w:val="true"/>
          <w:lang w:bidi="fa-IR"/>
        </w:rPr>
        <w:t>.</w:t>
      </w:r>
    </w:p>
    <w:p>
      <w:pPr>
        <w:pStyle w:val="Heading4"/>
        <w:numPr>
          <w:ilvl w:val="3"/>
          <w:numId w:val="1"/>
        </w:numPr>
        <w:rPr/>
      </w:pPr>
      <w:bookmarkStart w:id="114" w:name="__RefHeading___Toc4413562_3224264995"/>
      <w:bookmarkStart w:id="115" w:name="_Toc42"/>
      <w:bookmarkEnd w:id="114"/>
      <w:r>
        <w:rPr>
          <w:rtl w:val="true"/>
        </w:rPr>
        <w:t>مطلب چهارم</w:t>
      </w:r>
      <w:r>
        <w:rPr>
          <w:rtl w:val="true"/>
        </w:rPr>
        <w:t>: [</w:t>
      </w:r>
      <w:r>
        <w:rPr>
          <w:rtl w:val="true"/>
        </w:rPr>
        <w:t>ذکر دوائی نافع در ازاله غفلت و توجه قلب</w:t>
      </w:r>
      <w:r>
        <w:rPr>
          <w:rtl w:val="true"/>
        </w:rPr>
        <w:t>]</w:t>
      </w:r>
      <w:bookmarkEnd w:id="115"/>
    </w:p>
    <w:p>
      <w:pPr>
        <w:pStyle w:val="BookText"/>
        <w:rPr/>
      </w:pPr>
      <w:r>
        <w:rPr>
          <w:rFonts w:ascii="IRNazanin" w:hAnsi="IRNazanin" w:eastAsia="IRNazanin"/>
          <w:color w:val="111111"/>
          <w:sz w:val="28"/>
          <w:sz w:val="28"/>
          <w:szCs w:val="28"/>
          <w:rtl w:val="true"/>
          <w:lang w:bidi="fa-IR"/>
        </w:rPr>
        <w:t>در ذکر دوائی که نافع است در ازاله غفلت و توجه قلب در نماز به جانب حضرت عزّت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ایمان مقتضی آن است که بنده مؤمن تعظیم کند از برای حق سبحانه و تعالی که به وی ایمان آورده است و اذعان به بزرگی و عظمت وی کرده است و مقتضی آن است که پیوسته بنده مؤمن، خائف و ترسناک باشد از خدا، به سبب کم بودن عمل خود و بسیاری تقصیر خود و حیا داشته باشد از تقصیر خود، پس مؤمن اگر متصف به ایمان باشد، در واقع از این صفات خالی نخواهد بود، هر چند که این صفات در اشخاص به قوت و ضعف باشند به سبب قوت و ضعف ایمان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منفک شدن مؤمن در حال نماز از این صفات نخواهد بود، مگر به جهت تفرقگی حواس و اغتشاش احوال و کثرت فکر در امور دنیا و میل قلب به جانب امور متفرقه که به تدبیر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اهتمام تمام دارد، زیرا که مشغول نمی‌کند مؤمن را از نماز، مگر افکار وارده بر وی که مشغول می‌کنند قلب را از توجه به سوی معبود بحق و این معنی فی‌الحقیقة مرضی است که عارض قلب می‌شود و آن را از امر خود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این ناخوشی نمی‌شود، مگر به دفع کردن سبب آن و قلع ماده و سد منبع آن</w:t>
      </w:r>
      <w:r>
        <w:rPr>
          <w:rFonts w:eastAsia="IRNazanin" w:cs="IRNazanin"/>
          <w:color w:val="111111"/>
          <w:sz w:val="28"/>
          <w:szCs w:val="28"/>
          <w:rtl w:val="true"/>
          <w:lang w:bidi="fa-IR"/>
        </w:rPr>
        <w:t>.</w:t>
      </w:r>
    </w:p>
    <w:p>
      <w:pPr>
        <w:pStyle w:val="Heading4"/>
        <w:numPr>
          <w:ilvl w:val="3"/>
          <w:numId w:val="1"/>
        </w:numPr>
        <w:rPr/>
      </w:pPr>
      <w:bookmarkStart w:id="116" w:name="__RefHeading___Toc4413564_3224264995"/>
      <w:bookmarkStart w:id="117" w:name="_Toc43"/>
      <w:bookmarkEnd w:id="116"/>
      <w:r>
        <w:rPr>
          <w:rtl w:val="true"/>
        </w:rPr>
        <w:t>[</w:t>
      </w:r>
      <w:r>
        <w:rPr>
          <w:rtl w:val="true"/>
        </w:rPr>
        <w:t>اسباب خواطر قلبی</w:t>
      </w:r>
      <w:r>
        <w:rPr>
          <w:rtl w:val="true"/>
        </w:rPr>
        <w:t>]</w:t>
      </w:r>
      <w:bookmarkEnd w:id="1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می‌گوئیم که سبب این خطرات که بر قلب عارض می‌شوند، یا امری است </w:t>
      </w:r>
      <w:bookmarkStart w:id="118" w:name="pg17288_199493"/>
    </w:p>
    <w:p>
      <w:pPr>
        <w:pStyle w:val="BookText"/>
        <w:rPr/>
      </w:pPr>
      <w:bookmarkEnd w:id="118"/>
      <w:r>
        <w:rPr>
          <w:rFonts w:ascii="IRNazanin" w:hAnsi="IRNazanin" w:eastAsia="IRNazanin"/>
          <w:color w:val="111111"/>
          <w:sz w:val="28"/>
          <w:sz w:val="28"/>
          <w:szCs w:val="28"/>
          <w:rtl w:val="true"/>
          <w:lang w:bidi="fa-IR"/>
        </w:rPr>
        <w:t>خارجی که بر قلب عارض می‌گردد و منشأ فساد و قساوت آن می‌شود و یا امری است باطنی که در قلب ثابت است</w:t>
      </w:r>
      <w:r>
        <w:rPr>
          <w:rFonts w:eastAsia="IRNazanin" w:cs="IRNazanin"/>
          <w:color w:val="111111"/>
          <w:sz w:val="28"/>
          <w:szCs w:val="28"/>
          <w:rtl w:val="true"/>
          <w:lang w:bidi="fa-IR"/>
        </w:rPr>
        <w:t>.</w:t>
      </w:r>
    </w:p>
    <w:p>
      <w:pPr>
        <w:pStyle w:val="Heading4"/>
        <w:numPr>
          <w:ilvl w:val="3"/>
          <w:numId w:val="1"/>
        </w:numPr>
        <w:rPr/>
      </w:pPr>
      <w:bookmarkStart w:id="119" w:name="__RefHeading___Toc4413566_3224264995"/>
      <w:bookmarkStart w:id="120" w:name="_Toc44"/>
      <w:bookmarkEnd w:id="119"/>
      <w:r>
        <w:rPr>
          <w:rtl w:val="true"/>
        </w:rPr>
        <w:t>[</w:t>
      </w:r>
      <w:r>
        <w:rPr>
          <w:rtl w:val="true"/>
        </w:rPr>
        <w:t>اسباب ظاهری</w:t>
      </w:r>
      <w:r>
        <w:rPr>
          <w:rtl w:val="true"/>
        </w:rPr>
        <w:t>]</w:t>
      </w:r>
      <w:bookmarkEnd w:id="120"/>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سبب عروض آن امر خارجی باشد، پس یا دیدن چشم خواهد بود، صورت محبوبی یا چهره امر غیر مطلوب و نامرعوبی، زیرا که دیدن چشم باعث می‌شود که قلب متوجه شود به آنچه آدمی دیده است و چون متوجه شود یا از آن سرور و بهجتی حاصل خواهد شد و یا ملال و نفرتی و بر هر تقدیر، قلب مشغول خواهد شد به تدبیر جلب آنچه موجب سرور و بهجت است و دفع آنچه باعث ملال است و نفرت، و به این سبب افکار گوناگون و خواطر از حد افزون بر قلب عارض و بعد از عروض آنها لامحاله قلب از توجه به جانب پروردگار منحرف و به جانب آن منصرف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شنیدن گوش است امری چنین را به تقریبی که در دیدن چشم ذکر رفت؛ و تو تأمل کن در اینکه هرگاه به اسبی یا استری یا چیز دیگر، محتاج باشی و در وقت نماز ببینی یا بشنوی که فلان کس اسبی که مناسب است دارد و می‌فروشد، آیا در تمام نماز در فکر خریدن آن نخواهی بود؟ و همچنین هرگاه بشنوی که فلان دشمن در صدد اذیت و ایذای تو است، آیا مجموع قلب تو متوجه دفع آن نخواهد شد؟</w:t>
      </w:r>
    </w:p>
    <w:p>
      <w:pPr>
        <w:pStyle w:val="BookText"/>
        <w:rPr/>
      </w:pPr>
      <w:r>
        <w:rPr>
          <w:rFonts w:ascii="IRNazanin" w:hAnsi="IRNazanin" w:eastAsia="IRNazanin"/>
          <w:color w:val="111111"/>
          <w:sz w:val="28"/>
          <w:sz w:val="28"/>
          <w:szCs w:val="28"/>
          <w:rtl w:val="true"/>
          <w:lang w:bidi="fa-IR"/>
        </w:rPr>
        <w:t>پس اگر به قلب، متوجه تحصیل مطلوب و دفع امر غیر گشتی، پس به کدام قلب متوجه نماز و مناجات با معبود بی نیاز خواهی شد و حال آنکه تو را یک قلب بیش نیست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اللَّهُ لِرَجُلٍ مِنْ قَلْبَیْنِ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یک مرد دو قلب عطا نفرموده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دوای این مرض مهلک آن است که چشم از خوب و بد و خیر و شر بپوشی </w:t>
      </w:r>
    </w:p>
    <w:p>
      <w:pPr>
        <w:pStyle w:val="BookText"/>
        <w:rPr/>
      </w:pPr>
      <w:r>
        <w:rPr>
          <w:rFonts w:ascii="IRNazanin" w:hAnsi="IRNazanin" w:eastAsia="IRNazanin"/>
          <w:color w:val="111111"/>
          <w:sz w:val="28"/>
          <w:sz w:val="28"/>
          <w:szCs w:val="28"/>
          <w:rtl w:val="true"/>
          <w:lang w:bidi="fa-IR"/>
        </w:rPr>
        <w:t>و گوش به مرغوب و نامرغوب دنیا ندهی و امور خود را به مدبّر امور واگذاری و شواغل دیدنی و شنیدنی را از خود دور داری و قلب را به کلّیّته متوجه معبود بحق و قادر مطلق نمائی و در جمیع احوال بر این منوال باشی تا در نماز نیز قلب به حال خود باشد و متوجه معبود یگانه گردد و از غیر او روی امید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معنی از برای تو متعذّر یا متعسّر باشد، لااقل قلب را بر این بداری که در حال نماز که معیار ردّ و قبول سایر اعمال و معراج مؤمن و محل مناجات با قاضی الحاجات است به خیالی دیگر مائل نشود و از ماسوی او روی برگرداند، تا به ثواب نماز فائز گردی و از قرب معبودِ بی نیاز دور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ممد این معنی است اینکه در حال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وظائف و آداب آن عمل نمائی و در وقت قیام نظر افکنی به سجده‌گاه خود و در آن حال به خاطر بگذرانی که در برابر پادشاه عظیمی ایستاده‌ای که تو را می‌بیند و بر اسرار تو مطلع است، هر چند تو او را نمی‌بینی؛ و بدانی که رو کردن به سوی وی نمی‌باشد، مگر به روی دل، و روی سر مثال و تابع است؛ و بترسی از این که اگر روی دل به جانب وی نگردانی تو را از درگاه خود محروم گرداند و بی نصیب برگرداند و از مقام خدمت خود تو را دور دارد و از جناب قدس خود تو را مأیوس نماید و با خود خیال کنی که چگونه می‌تواند بنده‌ای که در خدمت آقای خود ایستاده باشد، پشت خود را به جانب او بگرداند و روی از وی برتابد و فکر خود را در غیر خدمت و رضای وی صرف کند، زیرا که شبهه‌ای نیست که چنین بنده‌ای مستحق خذلان و ناامیدی است از درگاه آقای خود در این عالم انس، پس چگونه خواهد چنین بنده به نسبت به عالم قدس و جناب مقدس الهی و پادشاه حقیقی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نظر نمی‌کند به صورتها و عملهای شما، بلکه نظر می‌کند به سوی قلوب و نیات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پس به تذکر این امور و امثال اینها همت </w:t>
      </w:r>
    </w:p>
    <w:p>
      <w:pPr>
        <w:pStyle w:val="BookText"/>
        <w:rPr/>
      </w:pPr>
      <w:r>
        <w:rPr>
          <w:rFonts w:ascii="IRNazanin" w:hAnsi="IRNazanin" w:eastAsia="IRNazanin"/>
          <w:color w:val="111111"/>
          <w:sz w:val="28"/>
          <w:sz w:val="28"/>
          <w:szCs w:val="28"/>
          <w:rtl w:val="true"/>
          <w:lang w:bidi="fa-IR"/>
        </w:rPr>
        <w:t>خود را جمع کنی و قلب را صافی نمایی و به قصد صحیح متوجه معبود حقیقی شوی، اینها همه دوای دفع امور ظاهره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اسباب باطنه؛ پس علاج آنها صعب‌تر و دفع آنها دشوارتر است، زیرا که کسی که فرو رفت در وادی‌های امور دنیا و غرق شد در آب شور این عاریت سرا، فکرش منحصر در یک امر نیست، بلکه پیوسته از شاخی به شاخی می‌پرد و از جائی به جائی می‌دود و پوشانیدن چشم و گوش ندادن به سخن‌ها، نفعی به وی نمی‌بخشد، زیرا که آنچه در دلش جای گرفته است برای اشتغال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چنین کسی لازم است که به قهر و غلبه، نفس را بدارد به فهمیدن اذکاری که در نماز می‌خواند، و منع کند آن را از توجه به امری دیگر تا آنکه اندک اندک مشغول کند نفس خود را از امور باطله و برگرداند از هواها و خواهشهای عاطله، و اعانت می‌کند بر علاج این امر اینکه مصلی پیش از مشغول شدن به نماز، مهیا شود به جهت قیام بحق خدمت و خالی کند دل را از خیالهای دنیا و تازه کند بر خود امور آخرت را و به خاطر بگذراند طرز ایستادن خود را در موقف حساب در نزد حضرت رب الارباب و بپردازد دل را از آنچه همتش مصروف است به آن در هر باب و باقی نگذارد برای خود امری را که قلبش توجه کند به 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تسکین یافت صورت افکار دنیویه به این دوای مسکّن، و الا ناچار است از مُسهِّلی که ریشه‌های مرض را از اعماق عروق قلب برکند و آن مُسهِّل آن است که نظر کند در امور مهمّه خود که او را مشغول می‌گرداند از حضور قلب،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در اینکه مهم بودن آن امور در نظرش، به جهت میل و خواهشی است که به آنها دارد، پس نفس خود را زجر کند به کندن آن امور از وی و محروم گرداند نفس را از آنها و قطع </w:t>
      </w:r>
    </w:p>
    <w:p>
      <w:pPr>
        <w:pStyle w:val="BookText"/>
        <w:rPr/>
      </w:pPr>
      <w:r>
        <w:rPr>
          <w:rFonts w:ascii="IRNazanin" w:hAnsi="IRNazanin" w:eastAsia="IRNazanin"/>
          <w:color w:val="111111"/>
          <w:sz w:val="28"/>
          <w:sz w:val="28"/>
          <w:szCs w:val="28"/>
          <w:rtl w:val="true"/>
          <w:lang w:bidi="fa-IR"/>
        </w:rPr>
        <w:t>کند علاقه آنها را از نفس، و بداند که هر چه مشغول می‌کند او را از نماز ضد دین او و لشکر شیطان است که دشمن قدیم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که خداوندم عهد نکردم با شما 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نکنید شیطان را که آن دشمن آشکار شما است و اینکه عبادت کنید مرا که پروردگار شمایم، این است راه راست، پس یقین بداند که باقی ماندن آن امر ضررش بیشتر است از نبودن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معرفت، روزی در باغی از باغهای خود نماز می‌گذارد، ناگاه نظرش بر پر مرغی افتاد که بر شاخ درختی نشسته بود، پس ساعتی مشغول آن مرغ شد و نمازش را فراموش کرد و ندانست چه قدر نماز کرده است، چون این حالت از خود مشاهده کرد آن باغ را بر فقرا تصدق کرد تا شاید تلافی آن مشغولی کرده 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اهل حال چنین می‌کرده‌اند تا قطع کنند ماده فکر را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حکایت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صاحبان انتباه، اگر نمازش به جماعت فوت می‌شد، آن شب را نمی‌خوابید و احیا می‌داشت تا کفاره ترک جماعت باشد و اگر نماز مغربش را تأخیر می‌کرد تا دو ستاره در آسمان پیدا می‌شد، آزاد می‌کرد دو غلام را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همه اینها به جهت این بود که قطع کنند ماده فکر را از قلب و دفع کنند غفلت را از 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دوا قاطع است ماده علمت را و دوای سابق فائده می‌داد در دفع خواهشهای ضعیفه و افکاری که مشغول می‌کند حواشی قلب را</w:t>
      </w:r>
      <w:r>
        <w:rPr>
          <w:rFonts w:eastAsia="IRNazanin" w:cs="IRNazanin"/>
          <w:color w:val="111111"/>
          <w:sz w:val="28"/>
          <w:szCs w:val="28"/>
          <w:rtl w:val="true"/>
          <w:lang w:bidi="fa-IR"/>
        </w:rPr>
        <w:t xml:space="preserve">. </w:t>
      </w:r>
      <w:bookmarkStart w:id="121" w:name="pg17288_199497"/>
    </w:p>
    <w:p>
      <w:pPr>
        <w:pStyle w:val="Heading4"/>
        <w:numPr>
          <w:ilvl w:val="3"/>
          <w:numId w:val="1"/>
        </w:numPr>
        <w:rPr/>
      </w:pPr>
      <w:bookmarkStart w:id="122" w:name="__RefHeading___Toc4413568_3224264995"/>
      <w:bookmarkStart w:id="123" w:name="_Toc45"/>
      <w:bookmarkEnd w:id="121"/>
      <w:bookmarkEnd w:id="122"/>
      <w:r>
        <w:rPr>
          <w:rtl w:val="true"/>
        </w:rPr>
        <w:t>[</w:t>
      </w:r>
      <w:r>
        <w:rPr>
          <w:rtl w:val="true"/>
        </w:rPr>
        <w:t>درمان افکار و خواطر قوی</w:t>
      </w:r>
      <w:r>
        <w:rPr>
          <w:rtl w:val="true"/>
        </w:rPr>
        <w:t>]</w:t>
      </w:r>
      <w:bookmarkEnd w:id="123"/>
    </w:p>
    <w:p>
      <w:pPr>
        <w:pStyle w:val="BookText"/>
        <w:rPr/>
      </w:pPr>
      <w:r>
        <w:rPr>
          <w:rFonts w:ascii="IRNazanin" w:hAnsi="IRNazanin" w:eastAsia="IRNazanin"/>
          <w:color w:val="111111"/>
          <w:sz w:val="28"/>
          <w:sz w:val="28"/>
          <w:szCs w:val="28"/>
          <w:rtl w:val="true"/>
          <w:lang w:bidi="fa-IR"/>
        </w:rPr>
        <w:t>اما در دفع افکار قویه، پس آن دوا نفع نمی‌بخشد، بلکه این افکار قویه در قلب رسوخ کرده‌اند و پیوسته آنها تو را می‌کِشند و تو آنها را دفع می‌کنی، پس آنها غالب می‌شوند بر تو و تمام نمازت در شغل محاربه و جدال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تو در این حال، مَثَل مردی است که در بیایان می‌رفت و مشقت بسیار کشیده بود، ناگاه به پای درختی رسید و خواست که دمی در پای آن درخت بیاساید، مرغان چند بر شاخهای آن درخت هجوم آوردند و آواز برکشیدند او را از استراحت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چوبی به دست گرفت و آن مرغان را پرانید و نشست و خواست مشغول استراحت شود، باز آن مرغان معاودت نمودند و آواز برکشیدند، باز آن مرد چوب به دست گرفته مرغان پرانید و هر دفعه که مرغان را می‌پرانید باز بر می‌گشتند و او را از استراحت مانع می‌شدند، ناگاه مردی بر وی گذشت و با 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خواهی از آواز و نفیر مرغان فارغ شوی درخت را از بیخ برکن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پس ای عزیز همچنین است درخت شهوت و خواهش دنیا که چون ریشه‌های خود را در زمین دل محکم کرد و سر برکشید، بالضروره مرغان فکرهای دور و دراز بر آن می‌نشینند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استراحت مانع می‌شوند و هر چند خواهی آنها را دفع کنی میسر نمی‌شود، مگر آنکه ریشه درخت را از زمین برکنی و به کناری افکنی</w:t>
      </w:r>
      <w:r>
        <w:rPr>
          <w:rFonts w:eastAsia="IRNazanin" w:cs="IRNazanin"/>
          <w:color w:val="111111"/>
          <w:sz w:val="28"/>
          <w:szCs w:val="28"/>
          <w:rtl w:val="true"/>
          <w:lang w:bidi="fa-IR"/>
        </w:rPr>
        <w:t>.</w:t>
      </w:r>
    </w:p>
    <w:p>
      <w:pPr>
        <w:pStyle w:val="Heading4"/>
        <w:numPr>
          <w:ilvl w:val="3"/>
          <w:numId w:val="1"/>
        </w:numPr>
        <w:rPr/>
      </w:pPr>
      <w:bookmarkStart w:id="124" w:name="__RefHeading___Toc4413570_3224264995"/>
      <w:bookmarkStart w:id="125" w:name="_Toc46"/>
      <w:bookmarkEnd w:id="124"/>
      <w:r>
        <w:rPr>
          <w:rtl w:val="true"/>
        </w:rPr>
        <w:t>[</w:t>
      </w:r>
      <w:r>
        <w:rPr>
          <w:rtl w:val="true"/>
        </w:rPr>
        <w:t>بازگشت همه خواطر به حب دنیا</w:t>
      </w:r>
      <w:r>
        <w:rPr>
          <w:rtl w:val="true"/>
        </w:rPr>
        <w:t>]</w:t>
      </w:r>
      <w:bookmarkEnd w:id="1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این مشاغل بسیارند و مرجع همه آنها به یک امر است که آن حب دنیا است و از اینجا است که پیغمبر خدا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 دنیا سر هر گناهی است و اساس هر نقصانی و منبع هر فسادی، پس هرکس که باطن وی محتوی بر حب دنیا باشد، نه از رهگذر آنکه از آن توشه آخرت بردارد و زاد معاد مهیا کند، طمع نکند که دلش روشن و صاف شود و لذت مناجات قاضی الحاجات را دریابد، خصوصا در نماز که معراج مؤمن</w:t>
      </w:r>
      <w:r>
        <w:rPr>
          <w:rStyle w:val="FootnoteAnchor"/>
          <w:rtl w:val="true"/>
        </w:rPr>
        <w:footnoteReference w:id="182"/>
      </w:r>
      <w:r>
        <w:rPr>
          <w:rFonts w:ascii="IRNazanin" w:hAnsi="IRNazanin" w:eastAsia="IRNazanin"/>
          <w:color w:val="111111"/>
          <w:sz w:val="28"/>
          <w:sz w:val="28"/>
          <w:szCs w:val="28"/>
          <w:rtl w:val="true"/>
          <w:lang w:bidi="fa-IR"/>
        </w:rPr>
        <w:t>و دوای درد بیماران معاصی است، زیرا که آن کسی که مغرور می‌شود به دنیا، مسرور نمی‌شود به یاد خدا و مناجات او و همّت مرد با آن چیزی است که دیده‌اش به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چشم وی به دنیا روشن شود قلبش لامحاله متوجه آن خواهد بود و امید نجات از برای 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با وجود این حال مشغول مجاهده باید شد و دست بر نباید داشت و قلب را به یاد خدا مشغول باید ساخت و اسباب شاغله را از وی دور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است که دنیا را خواهد، نه از جهت توشه آخرت و تهیه زاد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دنیا را از این جهت خواهد که وسیله معموری آخرت است، پس آن ضرر ندارد و از اینجاست که پیغمبر خدا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یاری کننده‌ای است بر تقوی و پرهیزکاری غنی و بی نیازی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الدنیا علی الآخرة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یاری کننده است دنیا بر آخرت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بستن به دنیا و مصروف نمودن فکر در آن، زیاد نمی‌کند مگر احتیاج را و متفرق می‌گرداند امور را و زیاد می‌کند معاصی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دنیا بعد از ایمان به خدا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بسند معتبر از حضرت صادق علیه‌السلام روایت کرده است که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و شام کند در حالی که دنیا بزرگترین همّ او باشد، می‌گرداند خداوند عالم، فقر و احتیاج را در میان دو چشم او و متفرّق می‌گرداند امر او را و نمی‌رسد او را از دنیا مگر آن قدر که قسمت او است؛ و کسی که صبح کند و شام کند در حالی که آخرت اکبر همّ او باشد خدای تعالی می‌گرداند غنا و بی نیازی را در دل او و جمع می‌کند امر او را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هم در آن کتاب از همان جناب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ببندد دل خود را به دنیا، بسته شود دلش به سه خصلت؛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که هرگز تمام نشود،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آرزوئی که هرگز به آن نرسد،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هرگز حاصل نشود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هم در آن کتاب به سند معتبر از محمد بن مسلم بن عبیداللّه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علی بن الحسین علیهماالسلام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افضل است؟ آن حضرت فرمود که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بعد از معرفت خدا و معرفت رسول خدا بهتر نیست از دشمنی دنیا، زیرا که دشمنی دنیا شعبه‌ها دارد و معاصی خدا چند نوع است، پس اول چیزی که به آن معصیت خدا کردند کبر و خودبینی بود و آن معصیت شیطان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 و بود از کافران</w:t>
      </w:r>
      <w:r>
        <w:rPr>
          <w:rFonts w:eastAsia="IRNazanin" w:cs="IRNazanin"/>
          <w:color w:val="111111"/>
          <w:sz w:val="28"/>
          <w:szCs w:val="28"/>
          <w:rtl w:val="true"/>
          <w:lang w:bidi="fa-IR"/>
        </w:rPr>
        <w:t>.</w:t>
      </w:r>
      <w:r>
        <w:rPr>
          <w:rStyle w:val="FootnoteAnchor"/>
          <w:rtl w:val="true"/>
        </w:rPr>
        <w:footnoteReference w:id="18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 حرص است و آن معصیت آدم و حوا است در وقتی که ایزد تعالی به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این درخت مروید که از جمله ظلم کنندگان خواهید بود و ایشان از آن درخت گرفتند چیزی را که به آن محتاج نبودند و این شیوه میان ذریه </w:t>
      </w:r>
    </w:p>
    <w:p>
      <w:pPr>
        <w:pStyle w:val="BookText"/>
        <w:rPr/>
      </w:pPr>
      <w:r>
        <w:rPr>
          <w:rFonts w:ascii="IRNazanin" w:hAnsi="IRNazanin" w:eastAsia="IRNazanin"/>
          <w:color w:val="111111"/>
          <w:sz w:val="28"/>
          <w:sz w:val="28"/>
          <w:szCs w:val="28"/>
          <w:rtl w:val="true"/>
          <w:lang w:bidi="fa-IR"/>
        </w:rPr>
        <w:t>ایشان ماند تا روز قیامت و از اینجا است که اکثر اوقات طلب می‌کند فرزند آدم، چیزی را که به آن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حسد بود و آن معصیت پسر آدم است که قابیل</w:t>
      </w:r>
      <w:r>
        <w:rPr>
          <w:rStyle w:val="FootnoteAnchor"/>
          <w:rtl w:val="true"/>
        </w:rPr>
        <w:footnoteReference w:id="188"/>
      </w:r>
      <w:r>
        <w:rPr>
          <w:rFonts w:ascii="IRNazanin" w:hAnsi="IRNazanin" w:eastAsia="IRNazanin"/>
          <w:color w:val="111111"/>
          <w:sz w:val="28"/>
          <w:sz w:val="28"/>
          <w:szCs w:val="28"/>
          <w:rtl w:val="true"/>
          <w:lang w:bidi="fa-IR"/>
        </w:rPr>
        <w:t>به آن واسطه برادر خود را کشت، پس منشعب باشد از این سه معصیت، معاصی بسیار که از آنها است دوستی زنان و دوستی دنیا و دوستی ریاست و سروری و دوستی راحت و تن‌پروری و دوستی سخن گفتن و دوستی بلند مرتبه‌گی</w:t>
      </w:r>
      <w:r>
        <w:rPr>
          <w:rStyle w:val="FootnoteAnchor"/>
          <w:rtl w:val="true"/>
        </w:rPr>
        <w:footnoteReference w:id="189"/>
      </w:r>
      <w:r>
        <w:rPr>
          <w:rFonts w:ascii="IRNazanin" w:hAnsi="IRNazanin" w:eastAsia="IRNazanin"/>
          <w:color w:val="111111"/>
          <w:sz w:val="28"/>
          <w:sz w:val="28"/>
          <w:szCs w:val="28"/>
          <w:rtl w:val="true"/>
          <w:lang w:bidi="fa-IR"/>
        </w:rPr>
        <w:t>و مال‌داری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هفت خصلتند که معصیت خدا به آنها صادر می‌شود و همه اینها مجتمعند در حب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پیغمبران و دانایان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دنیا سر هر گناهی است و دنیا دو دنیا است دنیای بلاغ که آدمی به آن معیشت می‌کند و دنیای ملعونه که آدمی را از خدمت پروردگار عالمیان باز می‌دارد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به سند معتبر از حضرت صادق علیه‌السلام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حق تعالی در مناجات به موسی صلی الله علیه و آله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عقوبت است که در آن عقوبت کردم آدم را در وقتی که نافرمانی کرد مرا و گردانیدم من آن را ملعونه، ملعون است آنچه در آن هست، مگر آن چیزی که به آن تحصیل رضای 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من زهد ورزیدند در دنیا به قدر علم خود به ناخوشیهای آن و سایر خلق رغبت کردند در دنیا به قدر جهلشان و نیست احدی که عظیم بشمارد دنیا را، پس دیده‌اش به آن روشن شود و نیست احدی که حقیر بشمارد دنیا را، مگر آنکه از آن منتفع می‌شود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اخبار در این مضمار از اهل بیت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وارد شده است و محصّل همه آنها آن است که دنیا دو دنیا است؛ یکی آنکه به آن تحصیل رضای جناب اقدس الهی شود؛ و دیگری اینکه به آن آدمی از ساحت قرب یزدانی دور ماند، و دنیای مذموم که خدا آن را لعن کرده است، قسم ثانی است و قسم اول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به این نیز مغرور نشوی، که دنیا موضع تلبیس و غرور ابلیس است و شیطان آدمی را فریب می‌دهد و نفس نیز آن را مدد می‌کند و به آدمی چنین وا می‌نماید که این دنیا دنیای ممدوح است تا آنکه او را به بلاها مبتلا می‌گرداند و از مرحله قرب معبود حقیقی دور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مؤمن بیداردل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صدد امتحان و آزمایش خود باشد و مدام به عقل خود رجوع کند و قلب خود را امتحان نماید که مبادا نوعی شود که به محذور مبتلا گردد و داخل شود بر وی حب دنیا از راهی که از آن غافل باشد و دلیلی بر این قوی‌تر از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نیست، پس این است دوای نافع و مسهّل دافع، ولیکن این دوا تلخ است و در اکثر کامها و طباع ناگوار است و کسی به استعمال آن نمی‌پردازد و مرض، مزمن و عسر العلاج می‌شود و رفته رفته کار به جائی می‌انجامد که به هیچ دوا معالجه نمی‌شود، حتی اینکه اکابر و بزرگان سعی‌ها می‌کنند که دو رکعت نماز کنند که در آن امری از امور دنیا به خاطرشان نگذرد، برای ایشان ممکن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محرّر این کلمات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مشرف شدم و در آنجا به خدمت سید عزیزی رسیدم که از احفاد میرداماد بود و به قم آمده بود به زیارت و درصدد اصلاح نفس و تقویت قلب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خلوتی در اثناء صحبت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کنم که از برای من میسّر شود، یک نماز که در آن قلب متوجه معبود بی نیاز باشد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مشغول </w:t>
      </w:r>
    </w:p>
    <w:p>
      <w:pPr>
        <w:pStyle w:val="BookText"/>
        <w:rPr/>
      </w:pPr>
      <w:r>
        <w:rPr>
          <w:rFonts w:ascii="IRNazanin" w:hAnsi="IRNazanin" w:eastAsia="IRNazanin"/>
          <w:color w:val="111111"/>
          <w:sz w:val="28"/>
          <w:sz w:val="28"/>
          <w:szCs w:val="28"/>
          <w:rtl w:val="true"/>
          <w:lang w:bidi="fa-IR"/>
        </w:rPr>
        <w:t xml:space="preserve">نماز شدم، قلب متوجه است به امور باطله، مثل جنگ رستم و اسفندیار و سلطنت کیکاوس و کیخسرو و غیر اینها و چون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می‌شوم که نماز تمام شده است و به هیچ وجه قلب توجه به نماز نداشته است، لابد بعض اوقات نماز را اعاده می‌کنم که شاید قلب متوجه نماز شود، از اول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ما و تو را چه طمع است در توجه قلب به نماز؟ ای کاشکی که سالم بماند ثلث نماز یا ربع آن یا کمتر یا بیشتر از آن از وساوس شیطان، پس باشیم ما از جمله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کردند عمل صالح را به عمل بد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مجمل کلام در این مقام آن است که قلب شبیه است به قدحی که مملو باشد از سرکه مثلا و تو آب بر آن ریزی و شکی نیست که هر قدر آب بر آن داخل شود به قدر آن سرکه از قدح بیرون ریزد و حق تعالی 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نگردانیده است از برای هیچ مردی دو دل را در جوفش؛ پس تو را یک دل بیش نیست و دوستی دنیا و آخرت در یک دل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دنیا و آخرت، مثل دو زنند که در حباله یک مرد باشند، به قدری که یکی از آنها را خوشحال کند، آن دیگری از وی مکدر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در حدیث دیگر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دنیا و آخرت، مثل مشرق و مغرب است که هر قدر به یکی از آنها نزدیک شوی از دیگری دور خواهی 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آدم عاقل باید تأمل کند که کدام از آنها به حال وی انفع است تا همت بر آن بندد </w:t>
      </w:r>
      <w:bookmarkStart w:id="126" w:name="pg17288_199503"/>
    </w:p>
    <w:p>
      <w:pPr>
        <w:pStyle w:val="BookText"/>
        <w:rPr/>
      </w:pPr>
      <w:bookmarkEnd w:id="126"/>
      <w:r>
        <w:rPr>
          <w:rFonts w:ascii="IRNazanin" w:hAnsi="IRNazanin" w:eastAsia="IRNazanin"/>
          <w:color w:val="111111"/>
          <w:sz w:val="28"/>
          <w:sz w:val="28"/>
          <w:szCs w:val="28"/>
          <w:rtl w:val="true"/>
          <w:lang w:bidi="fa-IR"/>
        </w:rPr>
        <w:t xml:space="preserve">و دل را از دیگری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گرداند، و پر ظاهر است که آخرت که دار باقی است، انفع است از دنیا که دار فانی است و در شرف فنا و زوال است و نعمتش ناقص است و لذّتش فانی است و عیشش ناتمام است و غم و اندوه در آن بسیار است و مصائب و نوائب در آن بی‌شمار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و ایاکم من شرور انفسنا و سیآت اعمالنا بحق محمد و آله الامجاد</w:t>
      </w:r>
      <w:r>
        <w:rPr>
          <w:rFonts w:eastAsia="IRNazanin" w:cs="IRNazanin"/>
          <w:color w:val="111111"/>
          <w:sz w:val="28"/>
          <w:szCs w:val="28"/>
          <w:rtl w:val="true"/>
          <w:lang w:bidi="fa-IR"/>
        </w:rPr>
        <w:t>».</w:t>
      </w:r>
    </w:p>
    <w:p>
      <w:pPr>
        <w:pStyle w:val="Heading3"/>
        <w:numPr>
          <w:ilvl w:val="2"/>
          <w:numId w:val="1"/>
        </w:numPr>
        <w:rPr/>
      </w:pPr>
      <w:bookmarkStart w:id="127" w:name="__RefHeading___Toc4413572_3224264995"/>
      <w:bookmarkStart w:id="128" w:name="_Toc47"/>
      <w:bookmarkEnd w:id="127"/>
      <w:r>
        <w:rPr>
          <w:rtl w:val="true"/>
        </w:rPr>
        <w:t>[</w:t>
      </w:r>
      <w:r>
        <w:rPr>
          <w:rtl w:val="true"/>
        </w:rPr>
        <w:t>ابواب مباحث نماز</w:t>
      </w:r>
      <w:r>
        <w:rPr>
          <w:rtl w:val="true"/>
        </w:rPr>
        <w:t>]</w:t>
      </w:r>
      <w:bookmarkEnd w:id="128"/>
    </w:p>
    <w:p>
      <w:pPr>
        <w:pStyle w:val="Heading4"/>
        <w:numPr>
          <w:ilvl w:val="3"/>
          <w:numId w:val="1"/>
        </w:numPr>
        <w:rPr/>
      </w:pPr>
      <w:bookmarkStart w:id="129" w:name="__RefHeading___Toc4413574_3224264995"/>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و بدان که نماز مشتمل است بر سه امر مقدمات و مقامات و لواحق و منافیات، پس ناچار است در این مقام از ذکر سه باب</w:t>
      </w:r>
      <w:r>
        <w:rPr>
          <w:rFonts w:eastAsia="IRNazanin" w:cs="IRNazanin"/>
          <w:color w:val="111111"/>
          <w:sz w:val="28"/>
          <w:szCs w:val="28"/>
          <w:rtl w:val="true"/>
          <w:lang w:bidi="fa-IR"/>
        </w:rPr>
        <w:t>.</w:t>
      </w:r>
    </w:p>
    <w:p>
      <w:pPr>
        <w:pStyle w:val="Heading4"/>
        <w:numPr>
          <w:ilvl w:val="3"/>
          <w:numId w:val="1"/>
        </w:numPr>
        <w:rPr/>
      </w:pPr>
      <w:bookmarkStart w:id="131" w:name="__RefHeading___Toc4413576_3224264995"/>
      <w:bookmarkStart w:id="132" w:name="_Toc49"/>
      <w:bookmarkEnd w:id="131"/>
      <w:r>
        <w:rPr>
          <w:rtl w:val="true"/>
        </w:rPr>
        <w:t>باب اول</w:t>
      </w:r>
      <w:r>
        <w:rPr>
          <w:rtl w:val="true"/>
        </w:rPr>
        <w:t>: [</w:t>
      </w:r>
      <w:r>
        <w:rPr>
          <w:rtl w:val="true"/>
        </w:rPr>
        <w:t>مقدمات نماز</w:t>
      </w:r>
      <w:r>
        <w:rPr>
          <w:rtl w:val="true"/>
        </w:rPr>
        <w:t>]</w:t>
      </w:r>
      <w:bookmarkEnd w:id="132"/>
    </w:p>
    <w:p>
      <w:pPr>
        <w:pStyle w:val="Heading5"/>
        <w:numPr>
          <w:ilvl w:val="4"/>
          <w:numId w:val="1"/>
        </w:numPr>
        <w:rPr/>
      </w:pPr>
      <w:bookmarkStart w:id="133" w:name="__RefHeading___Toc4413578_3224264995"/>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باب اول در مقدمات نماز است و آنها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واجبه و مستحبّه و مقدمات واجبه شش‌اند، طهارت از حدث و طهارت از خبث و سرّ عورت و مکان و وقت 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مقدمات مندوبه بسیار است، مثل رفتن به مسجد و اذان و اقامه و احرام نماز بستن به هفت تکبیر و در بین تکبیرات، دعاهای توجه خواندن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یک از این امور، اسرار خفیه و رموز مخفیه مندرج است، هر چند عاقل لبیب و مشتاق حضرت حبیب، اگر تأمل نماید همه آنها را خود در می‌یابد، و لیکن در این مقام به ذکر اسرار یک یک از آنها می‌پردازیم و مخفیات رموز هر یک را به تفصیل مذکور می‌سازیم تا تذکره‌ای از برای هر کس که اراده تذکر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 و بیده ازمة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باب در ضمن هفت مطلب بیان می‌شود</w:t>
      </w:r>
      <w:r>
        <w:rPr>
          <w:rFonts w:eastAsia="IRNazanin" w:cs="IRNazanin"/>
          <w:color w:val="111111"/>
          <w:sz w:val="28"/>
          <w:szCs w:val="28"/>
          <w:rtl w:val="true"/>
          <w:lang w:bidi="fa-IR"/>
        </w:rPr>
        <w:t>.</w:t>
      </w:r>
    </w:p>
    <w:p>
      <w:pPr>
        <w:pStyle w:val="Heading5"/>
        <w:numPr>
          <w:ilvl w:val="4"/>
          <w:numId w:val="1"/>
        </w:numPr>
        <w:rPr/>
      </w:pPr>
      <w:bookmarkStart w:id="135" w:name="__RefHeading___Toc4413580_3224264995"/>
      <w:bookmarkStart w:id="136" w:name="_Toc51"/>
      <w:bookmarkEnd w:id="135"/>
      <w:r>
        <w:rPr>
          <w:rtl w:val="true"/>
        </w:rPr>
        <w:t>مطلب اول</w:t>
      </w:r>
      <w:r>
        <w:rPr>
          <w:rtl w:val="true"/>
        </w:rPr>
        <w:t>: [</w:t>
      </w:r>
      <w:r>
        <w:rPr>
          <w:rtl w:val="true"/>
        </w:rPr>
        <w:t>طهارت از حدث</w:t>
      </w:r>
      <w:r>
        <w:rPr>
          <w:rtl w:val="true"/>
        </w:rPr>
        <w:t>]</w:t>
      </w:r>
      <w:bookmarkEnd w:id="136"/>
    </w:p>
    <w:p>
      <w:pPr>
        <w:pStyle w:val="Heading6"/>
        <w:numPr>
          <w:ilvl w:val="5"/>
          <w:numId w:val="1"/>
        </w:numPr>
        <w:rPr/>
      </w:pPr>
      <w:bookmarkStart w:id="137" w:name="__RefHeading___Toc4413582_3224264995"/>
      <w:bookmarkStart w:id="138" w:name="_Toc52"/>
      <w:bookmarkEnd w:id="137"/>
      <w:r>
        <w:rPr>
          <w:rtl w:val="true"/>
        </w:rPr>
        <w:t>اشاره</w:t>
      </w:r>
      <w:bookmarkEnd w:id="1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طهارت از حدث است و آن حاصل می‌شود به وضو و غسل و تیمم، پس مقصود از این مطلب در ضمن سه مبحث آورده می‌شود</w:t>
      </w:r>
      <w:r>
        <w:rPr>
          <w:rFonts w:eastAsia="IRNazanin" w:cs="IRNazanin"/>
          <w:color w:val="111111"/>
          <w:sz w:val="28"/>
          <w:szCs w:val="28"/>
          <w:rtl w:val="true"/>
          <w:lang w:bidi="fa-IR"/>
        </w:rPr>
        <w:t xml:space="preserve">. </w:t>
      </w:r>
      <w:bookmarkStart w:id="139" w:name="pg17288_199504"/>
    </w:p>
    <w:p>
      <w:pPr>
        <w:pStyle w:val="Heading6"/>
        <w:numPr>
          <w:ilvl w:val="5"/>
          <w:numId w:val="1"/>
        </w:numPr>
        <w:rPr/>
      </w:pPr>
      <w:bookmarkStart w:id="140" w:name="__RefHeading___Toc4413584_3224264995"/>
      <w:bookmarkStart w:id="141" w:name="_Toc53"/>
      <w:bookmarkEnd w:id="139"/>
      <w:bookmarkEnd w:id="140"/>
      <w:r>
        <w:rPr>
          <w:rtl w:val="true"/>
        </w:rPr>
        <w:t>مبحث اول</w:t>
      </w:r>
      <w:r>
        <w:rPr>
          <w:rtl w:val="true"/>
        </w:rPr>
        <w:t>: [</w:t>
      </w:r>
      <w:r>
        <w:rPr>
          <w:rtl w:val="true"/>
        </w:rPr>
        <w:t>در اسرار وضو</w:t>
      </w:r>
      <w:r>
        <w:rPr>
          <w:rtl w:val="true"/>
        </w:rPr>
        <w:t>]</w:t>
      </w:r>
      <w:bookmarkEnd w:id="141"/>
    </w:p>
    <w:p>
      <w:pPr>
        <w:pStyle w:val="Heading6"/>
        <w:numPr>
          <w:ilvl w:val="5"/>
          <w:numId w:val="1"/>
        </w:numPr>
        <w:rPr/>
      </w:pPr>
      <w:bookmarkStart w:id="142" w:name="__RefHeading___Toc4413586_3224264995"/>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در وضو است و آن حاصل می‌شود به شستن رو و دستها و مسح سر و پاها؛ و بدان که سرّ اینکه حق سبحانه تعالی امر کرده است در وضو به غَسل و مسحِ این اعضا، این است که این اعضا مباشرند از برای امور دنیویه و منهمک و فرو رفته‌اند در کدورات دنیه فانیه، پس امر کرد حق تعالی به غسل آنها تا پاک و طاهر شوند از کدورات ظاهریة و قابل شوند از برای مناجات با پروردگار عالمیان و در این اشاره است به سوی اینکه لازم است بر بنده این که طاهر گرداند قلب را که موضع نظر حضرت پروردگار است و رئیس بزرگ آن جوارح است از کدورات معنویه، زیرا که حق سبحانه و تعالی نظر نمی‌کند به صورتهای بندگان، بلکه نظر می‌کند به دلهای ایشان و به جهت آنکه بداند کسی که می‌شوید این اعضاء را پیش از مشغول شدن به عبادت حضرت پروردگار عالم که در نزد عبادت حضرت پروردگار باید دست از آلودگیهای دنیا شست، و روی از آنها برتافت، و سر را از زیر بار گران آنها بیرون آورد، و پا از آمد و شدِ تحصیل مرادات دنیا کشید، و دل را از کثافات التفات به آنها خالی نمود، تا آنکه اهلیّت عبادت حضرت پروردگار بهم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این است مجمل سخن در اسرار وضو</w:t>
      </w:r>
      <w:r>
        <w:rPr>
          <w:rFonts w:eastAsia="IRNazanin" w:cs="IRNazanin"/>
          <w:color w:val="111111"/>
          <w:sz w:val="28"/>
          <w:szCs w:val="28"/>
          <w:rtl w:val="true"/>
          <w:lang w:bidi="fa-IR"/>
        </w:rPr>
        <w:t>.</w:t>
      </w:r>
    </w:p>
    <w:p>
      <w:pPr>
        <w:pStyle w:val="Heading6"/>
        <w:numPr>
          <w:ilvl w:val="5"/>
          <w:numId w:val="1"/>
        </w:numPr>
        <w:rPr/>
      </w:pPr>
      <w:bookmarkStart w:id="144" w:name="__RefHeading___Toc4413588_3224264995"/>
      <w:bookmarkStart w:id="145" w:name="_Toc55"/>
      <w:bookmarkEnd w:id="144"/>
      <w:r>
        <w:rPr>
          <w:rtl w:val="true"/>
        </w:rPr>
        <w:t>[</w:t>
      </w:r>
      <w:r>
        <w:rPr>
          <w:rtl w:val="true"/>
        </w:rPr>
        <w:t>تفصیل اسرار هریک از اجزاء وضو</w:t>
      </w:r>
      <w:r>
        <w:rPr>
          <w:rtl w:val="true"/>
        </w:rPr>
        <w:t>]</w:t>
      </w:r>
      <w:bookmarkEnd w:id="145"/>
    </w:p>
    <w:p>
      <w:pPr>
        <w:pStyle w:val="BookText"/>
        <w:rPr/>
      </w:pPr>
      <w:r>
        <w:rPr>
          <w:rFonts w:ascii="IRNazanin" w:hAnsi="IRNazanin" w:eastAsia="IRNazanin"/>
          <w:color w:val="111111"/>
          <w:sz w:val="28"/>
          <w:sz w:val="28"/>
          <w:szCs w:val="28"/>
          <w:rtl w:val="true"/>
          <w:lang w:bidi="fa-IR"/>
        </w:rPr>
        <w:t>اما تفصیل کلام در آن، پس آن است که امر فرمود به شستن وجه از جهت آنکه در آن واقع است اکثر حواس ظاهره مثل چشم که به آن رنگها ممتاز می‌شود و گوش که به آن آوازها امتیاز می‌یابد و زبان که به آن که مزه‌ها ادراک می‌شود و بینی که به آن ادراک بوها می‌شود؛ و پر ظاهر است که این حواس اعظم اسباب باعثه‌اند بر میل قلب به مشتهیات دنیا و مطالب این عاریت سرا، پس امر فرمود به شستن آن تا آنکه متوجّه شود به عبادت حق تعالی در حالی که پاک و پاکیزه باشد از این امور فانیه غیر باقیه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فرمود به شستن دستها، زیرا که آنها مباشر می‌شوند اکثر امور دنیاویه را؛ </w:t>
      </w:r>
    </w:p>
    <w:p>
      <w:pPr>
        <w:pStyle w:val="BookText"/>
        <w:rPr/>
      </w:pPr>
      <w:r>
        <w:rPr>
          <w:rFonts w:ascii="IRNazanin" w:hAnsi="IRNazanin" w:eastAsia="IRNazanin"/>
          <w:color w:val="111111"/>
          <w:sz w:val="28"/>
          <w:sz w:val="28"/>
          <w:szCs w:val="28"/>
          <w:rtl w:val="true"/>
          <w:lang w:bidi="fa-IR"/>
        </w:rPr>
        <w:t>و مقدم داشت دست راست را بر دست چپ، زیرا که دست راست اقوی است از دست چپ در این مرحله و مقدم است در نیل مشتهیات طبیعیه و احوال دنیای دنیه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فرمود به مسح پیش سر، زیرا که در آنجا واقع است دماغ که محل قوای باطنه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 قوه مفکره که بتوسط آن حاصل می‌شود قصد به سوی توجه به مرادات طبیعیه و منبعث می‌شود حواس به سوی رو کردن بر امور دنیویه که مانع است از اقبال به سوی امور اخرویه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فرمود به مسح پاها، زیرا که آنها را مدخلی است عظیم در تحصیل مرادات و مطالب دنیا و حصول مشتهیات و مآرب آن، پس بعد از آنکه بنده این اعضا را بشوید و مسح کند، چنانکه حق مسح کردن است و در آن حال از یاد حضرت آفریدگار بیرون نرود، سزاوار می‌شود برای دخول در عبادت و جائز می‌شود او را توجه به معبود بی نیاز و مستحق می‌گردد برای مناجات خداوند بی شریک و انباز</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حالی که ملاحظه کننده باشی قول رسول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خالص، مثل آب است و باید صفا و روشنی تو با حق تعالی، مانند صفا و روشنی آب باشد در وقتی که از آسمان نازل می‌شود و خدا آن را طهور نامیده است و پاک و پاکیزه گردان دل خود را به تقوی و یقین در نزد طهارت اعضای خود را به آب</w:t>
      </w:r>
      <w:r>
        <w:rPr>
          <w:rFonts w:eastAsia="IRNazanin" w:cs="IRNazanin"/>
          <w:color w:val="111111"/>
          <w:sz w:val="28"/>
          <w:szCs w:val="28"/>
          <w:rtl w:val="true"/>
          <w:lang w:bidi="fa-IR"/>
        </w:rPr>
        <w:t>.</w:t>
      </w:r>
      <w:r>
        <w:rPr>
          <w:rStyle w:val="FootnoteAnchor"/>
          <w:rtl w:val="true"/>
        </w:rPr>
        <w:footnoteReference w:id="1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علل ابن شاذان از حضرت امام رضا علیه‌السلام منقول است که آن حضرت فرمود جز این نیست مأمور شدند بندگان به وضو</w:t>
      </w:r>
      <w:r>
        <w:rPr>
          <w:rStyle w:val="FootnoteAnchor"/>
          <w:rtl w:val="true"/>
        </w:rPr>
        <w:footnoteReference w:id="198"/>
      </w:r>
      <w:r>
        <w:rPr>
          <w:rFonts w:ascii="IRNazanin" w:hAnsi="IRNazanin" w:eastAsia="IRNazanin"/>
          <w:color w:val="111111"/>
          <w:sz w:val="28"/>
          <w:sz w:val="28"/>
          <w:szCs w:val="28"/>
          <w:rtl w:val="true"/>
          <w:lang w:bidi="fa-IR"/>
        </w:rPr>
        <w:t xml:space="preserve">به جهت آنکه بنده پاک باشد در وقتی که می‌ایستد در برابر حق تعالی و مناجات می‌کند با مجیب الدعوات و حالی که مطیع است </w:t>
      </w:r>
    </w:p>
    <w:p>
      <w:pPr>
        <w:pStyle w:val="BookText"/>
        <w:rPr/>
      </w:pPr>
      <w:r>
        <w:rPr>
          <w:rFonts w:ascii="IRNazanin" w:hAnsi="IRNazanin" w:eastAsia="IRNazanin"/>
          <w:color w:val="111111"/>
          <w:sz w:val="28"/>
          <w:sz w:val="28"/>
          <w:szCs w:val="28"/>
          <w:rtl w:val="true"/>
          <w:lang w:bidi="fa-IR"/>
        </w:rPr>
        <w:t>مرا آن جناب را و پاک و پاکیزه باشد از دنس‌ها و نجاسات و برطرف شود از او کسالت و دفع شود از او نعاس و پاک شود دل او برای ایستادن در برابر خداوند جبار و جز این نیست که واجب شستن بر رو و دستها و مسح بر سر و پاها، از جهت آنکه عبد چون بایستد در برابر خداوند جبار، این چهار عضو از او نمایان است و سجود می‌کند به پیشانی که جزئی از روی است و خضوع و فروتنی می‌کند روی او و بلند می‌کند دستهای خود را به جانب حضرت آفریدگار و به سر حرکت می‌کند در حال رکوع و سجود و بپا بر می‌خیزد و می‌نشیند در برابر حضرت پروردگار</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صدوق در فقیه</w:t>
      </w:r>
      <w:r>
        <w:rPr>
          <w:rStyle w:val="FootnoteAnchor"/>
          <w:rtl w:val="true"/>
        </w:rPr>
        <w:footnoteReference w:id="200"/>
      </w:r>
      <w:r>
        <w:rPr>
          <w:rFonts w:ascii="IRNazanin" w:hAnsi="IRNazanin" w:eastAsia="IRNazanin"/>
          <w:color w:val="111111"/>
          <w:sz w:val="28"/>
          <w:sz w:val="28"/>
          <w:szCs w:val="28"/>
          <w:rtl w:val="true"/>
          <w:lang w:bidi="fa-IR"/>
        </w:rPr>
        <w:t>به اندک تفاوت روایت کرده است از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یاد کردیم، واجبات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را مستحباتی چند هست که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و خواندن دعاها در نزد نظر کردن به آب و نزد هر فعلی از افعال وضو، چنانکه از حضرت امیر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متوجه وضو شود، زبان به حمد و ثنای حضرت قادر یگانه گشود و چون نظرش بر آب افتاد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الماء طهورا و لم یجعله نجسا</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التّوابین و اجعلنی من المتطهرین</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حضرت خداوندی را سزاست که گردانید آب را پاک و پاک کننده و نگردانید آن را نجس، خدایا بگردان مرا از جمله توبه کنندگان و بگردان مرا از جمله طهارت گیرندگان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اینکه خواهش نمود که خدا وی را از جمله توبه کنندگان و طهارت گیرندگان گرداند ظاهر است؛ زیرا که آدمی هرگاه پاک از معاصی نشود قابل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با </w:t>
      </w:r>
    </w:p>
    <w:p>
      <w:pPr>
        <w:pStyle w:val="BookText"/>
        <w:rPr/>
      </w:pPr>
      <w:r>
        <w:rPr>
          <w:rFonts w:ascii="IRNazanin" w:hAnsi="IRNazanin" w:eastAsia="IRNazanin"/>
          <w:color w:val="111111"/>
          <w:sz w:val="28"/>
          <w:sz w:val="28"/>
          <w:szCs w:val="28"/>
          <w:rtl w:val="true"/>
          <w:lang w:bidi="fa-IR"/>
        </w:rPr>
        <w:t>قاضی الحاجات نمی‌گردد؛ و پاک شدن از معاصی حاصل نمی‌شود، مگر به توبه و توبه حاصل نمی‌شود، مگر به قبول آن، پس در نزد هر فعلی از افعال وضو، عرض مطلبی را نمود که مناسب آن مقام بود و ما آن ادعیه را در کتاب میزان الاعمال که به فارسی نوشته‌ایم ایراد نموده‌ایم و عاقل لبیب و دانای اریب چون به آنها رجوع کند، سرّ هر یک را ادراک می‌تواند کرد و ذکر آنها در این مقام موجب طول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آن حضرت از وضو فارغ شدند،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تمام الوضوء و تمام الصلوة و تمام مغفرتک و رضوانک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روزی کن مرا تمام بودن وضو و تمام بودن نماز و تمام مغفرت و آمرزش خود و خوشنودی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ذکر این دعاها یا از جهت تأدیب است که ما و تو متنبه شویم و یا از جهت آن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سیآت المقربین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خوبان و طاعت ایشان، بدی و معصیت است نسبت به مقرّبان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الشریعة از حضرت صادق علیه‌السلام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خواهی که طهارت کنی و وضو بسازی نزدیک شو به آب چنانچه نزدیک می‌شوی به رحمت خدا، زیرا که حق سبحانه تعالی گردانیده است آب را مفتاح قرب و مناجات خود و دلیل و راهنما به سوی بساط خدمت خود و همچنانکه رحمت او می‌شوید گناهان بندگان را، همچنان نجاساتِ ظاهر را پاک می‌کند آب نه غیر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فرستادیم از سماء آبی را که پاک و پاک کننده است</w:t>
      </w:r>
      <w:r>
        <w:rPr>
          <w:rFonts w:eastAsia="IRNazanin" w:cs="IRNazanin"/>
          <w:color w:val="111111"/>
          <w:sz w:val="28"/>
          <w:szCs w:val="28"/>
          <w:rtl w:val="true"/>
          <w:lang w:bidi="fa-IR"/>
        </w:rPr>
        <w:t>»</w:t>
      </w:r>
      <w:r>
        <w:rPr>
          <w:rStyle w:val="FootnoteAnchor"/>
          <w:rtl w:val="true"/>
        </w:rPr>
        <w:footnoteReference w:id="205"/>
      </w:r>
      <w:bookmarkStart w:id="146" w:name="pg17288_199508"/>
    </w:p>
    <w:p>
      <w:pPr>
        <w:pStyle w:val="BookText"/>
        <w:rPr/>
      </w:pPr>
      <w:bookmarkEnd w:id="146"/>
      <w:r>
        <w:rPr>
          <w:rFonts w:ascii="IRNazanin" w:hAnsi="IRNazanin" w:eastAsia="IRNazanin"/>
          <w:color w:val="111111"/>
          <w:sz w:val="28"/>
          <w:sz w:val="28"/>
          <w:szCs w:val="28"/>
          <w:rtl w:val="true"/>
          <w:lang w:bidi="fa-IR"/>
        </w:rPr>
        <w:t>و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گردانیدیم و خلق کردیم از آب هر چیز زنده را</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همچنانکه زنده کرد از آب هر چیزی از نعیم دنیا را، همچنین به فضل و رحمت خود زنده گردانید دلها را به طاعت و عبادت خود؛ و فکر کن در صفا و روشنی آب و پاک و پاک کننده بودن و برکت آن و باریکی ممزوج شدن آن به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کن آن را در تطهیر اعضای خود که خدا امر کرده است تو را به تطهیر آنها، و بجا بیاور تطهیر اعضا را به آداب و فرائض و سنن آنها، زیرا که در تحت هر یک از آنها فوائد بسیار است، هرگاه تو استعمال کنی آنها را، به حرمت جاری می‌شود چشمه‌های فواید آن در دل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معاشرت کن با خلق خدا مثل ممزوج شدن آب به چیزها که می‌رساند هر چیز حق آن را و متغیر نمی‌شود از آنچه هست</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147" w:name="__RefHeading___Toc4413590_3224264995"/>
      <w:bookmarkStart w:id="148" w:name="_Toc56"/>
      <w:bookmarkEnd w:id="147"/>
      <w:r>
        <w:rPr>
          <w:rtl w:val="true"/>
        </w:rPr>
        <w:t>مبحث دوم</w:t>
      </w:r>
      <w:r>
        <w:rPr>
          <w:rtl w:val="true"/>
        </w:rPr>
        <w:t xml:space="preserve">: </w:t>
      </w:r>
      <w:r>
        <w:rPr>
          <w:rtl w:val="true"/>
        </w:rPr>
        <w:t>در اسرار مخفیّه غسل است</w:t>
      </w:r>
      <w:bookmarkEnd w:id="148"/>
    </w:p>
    <w:p>
      <w:pPr>
        <w:pStyle w:val="BookText"/>
        <w:rPr/>
      </w:pPr>
      <w:r>
        <w:rPr>
          <w:rFonts w:ascii="IRNazanin" w:hAnsi="IRNazanin" w:eastAsia="IRNazanin"/>
          <w:color w:val="111111"/>
          <w:sz w:val="28"/>
          <w:sz w:val="28"/>
          <w:szCs w:val="28"/>
          <w:rtl w:val="true"/>
          <w:lang w:bidi="fa-IR"/>
        </w:rPr>
        <w:t>بدان که غسل حاصل می‌شود به شستن جمیع بدن، یا به ترتیب که اول سر و گردن را بشوید، و بعد از آن جانب راست از چنبر گردن تا کف پا و ناخن‌ها، و بعد از آن جانب چپ به نوع جانب راست و یا به یک دفعه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سرّ اینکه امر فرمود حکیم علی الاطلاق به شستن جمیع بدن در غسل، آن است که اقرب حالات آدمی و اشدّ آنها از حیثیت تعلق به شهوات و خواهش نفس، حال جماع است که از جمله موجبات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که جمیع بدن را در آن مدخل است، و از اینجا است که پیغمبر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هر موئی جنابت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پس به سبب جماع جمیع بدن از ساحت کبریای خداوند بی همتا دور می‌گردد و غرق می‌شود در لذّات بدنیّه و شهوات دنیّه؛ پس شستن آن واجب می‌شود تا متأهل شود بدن برای مقابله با جهت شریفه و داخل شدن در عبادت منیفه و دور شود از قوای حیوانیّه و لذّات انسانیّه و شهوات دنیاویّه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عاقل لبیب پوشیده و مخفی نیست که قلب را در این لذّت مدخلی عظیم و حظّی وافر است، پس تطهیر وی از کثافات تعلقات اولی و اهم است و لازم است بر مکلف مرتاض که در آن حال به تطهیر قلب پردازد و آن را از علایق و تعلّقات تهی سازد و به توجه به عالم قدس میل دهد تا آنکه چون مشغول نماز شود، آن لذّات در نظرش در نیاید و ملتفت به آنها نشود و به لذات دائمه اخرویّه مایل گردد؛ و حسن محبوب مجازی آن را مشغول نگرداند و هیئت خلوت و حالت صحبت در آن منتقش نگردد بلکه به توجه تام و تنبه تمام ملتفت معبود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شود و با خشیت و نیاز به دربار حضرت آفریدگار بی نیاز روی آورد تا قابل فیض و احسان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است که مقربان درگاه احدیّت و نزدیکان بارگاه صمدیّت، چون آواز اذان می‌شنیدند و وقت نماز داخل می‌شد، دست از مصاحبان می‌شستند و درِ صحبت و اختلاط در می‌بستند و پناه به درگاه حضرت اله می‌بردند، چنانکه از بعض زنان پیغمبر آخرالزمان صلی الله علیه و آله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آن حضرت این بود که با ما می‌نشست و صحبت می‌داشت و ما با وی به صحبت مشغول بودیم تا اینکه وقت نماز داخل می‌شد و چون آواز اذان می‌شنید، دست از صحبت ما می‌کشید، چنانکه گویا هرگز ما او را ندیده و نشناخته بودیم و او ما را ندیده و نشناخته بود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مردان راه، چنین بوده‌اند و طریق بندگی را به این روش پیموده‌اند و تو </w:t>
      </w:r>
      <w:bookmarkStart w:id="149" w:name="pg17288_199510"/>
    </w:p>
    <w:p>
      <w:pPr>
        <w:pStyle w:val="BookText"/>
        <w:rPr/>
      </w:pPr>
      <w:bookmarkEnd w:id="149"/>
      <w:r>
        <w:rPr>
          <w:rFonts w:ascii="IRNazanin" w:hAnsi="IRNazanin" w:eastAsia="IRNazanin"/>
          <w:color w:val="111111"/>
          <w:sz w:val="28"/>
          <w:sz w:val="28"/>
          <w:szCs w:val="28"/>
          <w:rtl w:val="true"/>
          <w:lang w:bidi="fa-IR"/>
        </w:rPr>
        <w:t>هرگز نکنی آنچه تو را فرمودند خواهی که چنان شوی که مردان بودند؟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تو راه نرفته‌ای، از آن ننمودند ورنه که زد این در، که در نگشودند</w:t>
      </w:r>
    </w:p>
    <w:p>
      <w:pPr>
        <w:pStyle w:val="BookText"/>
        <w:rPr/>
      </w:pPr>
      <w:r>
        <w:rPr>
          <w:rFonts w:ascii="IRNazanin" w:hAnsi="IRNazanin" w:eastAsia="IRNazanin"/>
          <w:color w:val="111111"/>
          <w:sz w:val="28"/>
          <w:sz w:val="28"/>
          <w:szCs w:val="28"/>
          <w:rtl w:val="true"/>
          <w:lang w:bidi="fa-IR"/>
        </w:rPr>
        <w:t>و در علل ابن شاذان از حضرت امام رضا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کرده است خدا به غسل از جنابت، نه از خلا رفتن، به جهت آنکه جنابت از نفس انسان است و از جمیع بدن خارج می‌شود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خلا نیست از نفس انسان، بلکه جز این نیست که بول و غایط چیزی است از غذا حاصل می‌شود که از دری داخل می‌شود و از دری دیگر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همین حدیث را روایت کرده است و در آخر آن مذکور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تخفیف در بول و غایط آن است که آنها بیشترند از جنابت و علی الدوام حاصلند، پس راضی شد خدا به وضو از آنها به جهت بسیاری آنها و بیرون آمدن آنها بی اختیار و بدون شهوت، و جنابت نمی‌باشد، مگر به التذاذ و شهوت</w:t>
      </w:r>
      <w:r>
        <w:rPr>
          <w:rFonts w:eastAsia="IRNazanin" w:cs="IRNazanin"/>
          <w:color w:val="111111"/>
          <w:sz w:val="28"/>
          <w:szCs w:val="28"/>
          <w:rtl w:val="true"/>
          <w:lang w:bidi="fa-IR"/>
        </w:rPr>
        <w:t>».</w:t>
      </w:r>
      <w:r>
        <w:rPr>
          <w:rStyle w:val="FootnoteAnchor"/>
          <w:rtl w:val="true"/>
        </w:rPr>
        <w:footnoteReference w:id="212"/>
      </w:r>
    </w:p>
    <w:p>
      <w:pPr>
        <w:pStyle w:val="Heading6"/>
        <w:numPr>
          <w:ilvl w:val="5"/>
          <w:numId w:val="1"/>
        </w:numPr>
        <w:rPr/>
      </w:pPr>
      <w:bookmarkStart w:id="150" w:name="__RefHeading___Toc4413592_3224264995"/>
      <w:bookmarkStart w:id="151" w:name="_Toc57"/>
      <w:bookmarkEnd w:id="150"/>
      <w:r>
        <w:rPr>
          <w:rtl w:val="true"/>
        </w:rPr>
        <w:t>مبحث سوم</w:t>
      </w:r>
      <w:r>
        <w:rPr>
          <w:rtl w:val="true"/>
        </w:rPr>
        <w:t>: [</w:t>
      </w:r>
      <w:r>
        <w:rPr>
          <w:rtl w:val="true"/>
        </w:rPr>
        <w:t>در اسرار پنهان تیمم</w:t>
      </w:r>
      <w:r>
        <w:rPr>
          <w:rtl w:val="true"/>
        </w:rPr>
        <w:t>]</w:t>
      </w:r>
      <w:bookmarkEnd w:id="151"/>
    </w:p>
    <w:p>
      <w:pPr>
        <w:pStyle w:val="BookText"/>
        <w:rPr/>
      </w:pPr>
      <w:r>
        <w:rPr>
          <w:rFonts w:ascii="IRNazanin" w:hAnsi="IRNazanin" w:eastAsia="IRNazanin"/>
          <w:color w:val="111111"/>
          <w:sz w:val="28"/>
          <w:sz w:val="28"/>
          <w:szCs w:val="28"/>
          <w:rtl w:val="true"/>
          <w:lang w:bidi="fa-IR"/>
        </w:rPr>
        <w:t>در اسرار خفیّه و امور مخفیّه تیمم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واجب می‌شود در نزد تعذّر استعمال آب در طهارت یا به جهت نبودن آب و یا به جهت قابل نبودن محل استعمال آن به واسطه امراض و ناخوشیها برای </w:t>
      </w:r>
      <w:bookmarkStart w:id="152" w:name="pg17288_199511"/>
    </w:p>
    <w:p>
      <w:pPr>
        <w:pStyle w:val="BookText"/>
        <w:rPr/>
      </w:pPr>
      <w:bookmarkEnd w:id="152"/>
      <w:r>
        <w:rPr>
          <w:rFonts w:ascii="IRNazanin" w:hAnsi="IRNazanin" w:eastAsia="IRNazanin"/>
          <w:color w:val="111111"/>
          <w:sz w:val="28"/>
          <w:sz w:val="28"/>
          <w:szCs w:val="28"/>
          <w:rtl w:val="true"/>
          <w:lang w:bidi="fa-IR"/>
        </w:rPr>
        <w:t>استعمال آن، پس امر فرموده است حضرت حکیم علیّ، به مالیدن خاک برای اعضای شریفه که پیشانی و دستها است از جهت تنبیه بر اینکه، چون تطهیر آنها به آب که لطیف‌ترین چیزها است ممکن نیست، باید خاکسار و ذلیل شوند در نزد کردگار جلیل، و منفعل شوند از عدم تطهیر خود و باقی ماندن بر کثافت واقعی که به آنها رسیده است از ارتکاب امور دنیا؛ و گویا سرّ اینکه مسح پاها به خاک واجب نشد این باشد که این دو معتادند به مجاورت، و به مالیدن خاک، بر آنها ذلت و انکساری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عاقل لبیب در این حال باید ملتفت شود به اینکه هر گاه تطهیر قلب نیز به آب صاف به تنبیهات از اوصاف رذیله</w:t>
      </w:r>
      <w:r>
        <w:rPr>
          <w:rStyle w:val="FootnoteAnchor"/>
          <w:rtl w:val="true"/>
        </w:rPr>
        <w:footnoteReference w:id="213"/>
      </w:r>
      <w:r>
        <w:rPr>
          <w:rFonts w:ascii="IRNazanin" w:hAnsi="IRNazanin" w:eastAsia="IRNazanin"/>
          <w:color w:val="111111"/>
          <w:sz w:val="28"/>
          <w:sz w:val="28"/>
          <w:szCs w:val="28"/>
          <w:rtl w:val="true"/>
          <w:lang w:bidi="fa-IR"/>
        </w:rPr>
        <w:t>و تنویر آن به اخلاق جمیله ممکن نباشد، باید آن را در مقام انکسار و خاکساری بدارد تا شاید مطّلع شود بر آن سید کریم و مولای رحیم وی، در حالی که شکسته حال و متواضع باشد و بر آن ترحم نماید و به نظر میل و انعطاف بر آن نگرد و آن را از بَوادی غوایت</w:t>
      </w:r>
      <w:r>
        <w:rPr>
          <w:rStyle w:val="FootnoteAnchor"/>
          <w:rtl w:val="true"/>
        </w:rPr>
        <w:footnoteReference w:id="214"/>
      </w:r>
      <w:r>
        <w:rPr>
          <w:rFonts w:ascii="IRNazanin" w:hAnsi="IRNazanin" w:eastAsia="IRNazanin"/>
          <w:color w:val="111111"/>
          <w:sz w:val="28"/>
          <w:sz w:val="28"/>
          <w:szCs w:val="28"/>
          <w:rtl w:val="true"/>
          <w:lang w:bidi="fa-IR"/>
        </w:rPr>
        <w:t xml:space="preserve">به وادی هدایت آورد و آن را به لمعه‌ای از لمعات انوار لامعه خود نورانی گرداند و از ظلمت کثافات عصیان و نافرمانیش برهاند؛ زیرا که در حدیث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 القلوب المنکسرة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نزد دلهای شکسته است، پس ترقی کند به این وسیله از حضیض اغفال، و تلافی کند آنچه از وی فوت شده است از اقبال به جانب حضرت ذی‌الجلال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غفلت و اهمال وفّقنا اللّه لتدارک ما فات منّا من الأعمال و الأفعال</w:t>
      </w:r>
      <w:r>
        <w:rPr>
          <w:rFonts w:eastAsia="IRNazanin" w:cs="IRNazanin"/>
          <w:color w:val="111111"/>
          <w:sz w:val="28"/>
          <w:szCs w:val="28"/>
          <w:rtl w:val="true"/>
          <w:lang w:bidi="fa-IR"/>
        </w:rPr>
        <w:t>.</w:t>
      </w:r>
    </w:p>
    <w:p>
      <w:pPr>
        <w:pStyle w:val="Heading5"/>
        <w:numPr>
          <w:ilvl w:val="4"/>
          <w:numId w:val="1"/>
        </w:numPr>
        <w:rPr/>
      </w:pPr>
      <w:bookmarkStart w:id="153" w:name="__RefHeading___Toc4413594_3224264995"/>
      <w:bookmarkStart w:id="154" w:name="_Toc58"/>
      <w:bookmarkEnd w:id="153"/>
      <w:r>
        <w:rPr>
          <w:rtl w:val="true"/>
        </w:rPr>
        <w:t>مطلب دوم</w:t>
      </w:r>
      <w:r>
        <w:rPr>
          <w:rtl w:val="true"/>
        </w:rPr>
        <w:t xml:space="preserve">: </w:t>
      </w:r>
      <w:r>
        <w:rPr>
          <w:rtl w:val="true"/>
        </w:rPr>
        <w:t>در طهارت از خبث و تخلّی است</w:t>
      </w:r>
      <w:bookmarkEnd w:id="154"/>
    </w:p>
    <w:p>
      <w:pPr>
        <w:pStyle w:val="Heading6"/>
        <w:numPr>
          <w:ilvl w:val="5"/>
          <w:numId w:val="1"/>
        </w:numPr>
        <w:rPr/>
      </w:pPr>
      <w:bookmarkStart w:id="155" w:name="__RefHeading___Toc4413596_3224264995"/>
      <w:bookmarkStart w:id="156" w:name="_Toc59"/>
      <w:bookmarkEnd w:id="155"/>
      <w:r>
        <w:rPr>
          <w:rtl w:val="true"/>
        </w:rPr>
        <w:t>اشاره</w:t>
      </w:r>
      <w:bookmarkEnd w:id="1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طهارت از خبث، پس لازم است بر عاقل غیر غافل اینکه تفکر نماید در اینکه حکیم علی الاطلاق امر کرده است او را که چون خواهد متوجه نماز که مناجات است با </w:t>
      </w:r>
      <w:bookmarkStart w:id="157" w:name="pg17288_199512"/>
    </w:p>
    <w:p>
      <w:pPr>
        <w:pStyle w:val="BookText"/>
        <w:rPr/>
      </w:pPr>
      <w:bookmarkEnd w:id="157"/>
      <w:r>
        <w:rPr>
          <w:rFonts w:ascii="IRNazanin" w:hAnsi="IRNazanin" w:eastAsia="IRNazanin"/>
          <w:color w:val="111111"/>
          <w:sz w:val="28"/>
          <w:sz w:val="28"/>
          <w:szCs w:val="28"/>
          <w:rtl w:val="true"/>
          <w:lang w:bidi="fa-IR"/>
        </w:rPr>
        <w:t>حضرت بی نیاز، بدن را که پوست و قشر است، از نجاسات ظاهریه پاک کند و همچنین جامه را که ملاصق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بر وی اینکه باطن را که لُب است و موضع نظر معبود از خباثات باطنیه و اخلاق ذمیمه مهلکه، پاک و پاکیزه گرداند و به آب صافِ تذکر و انتباه، غفلت و اشتباه را از خود دور نماید و به دست توبه و انابه، معاصی گذشته را از نفس دفع کند و به پای عزم بر عدم ارتکاب آنها در زمان آینده ثابت قدم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ظاهر خود را از دنس نجاسات پاک نماید و از نجاسات باطن باک نداشته باشد، تدلیس کرده و در نظر معبود رسوا و مفتضح خواهد بود</w:t>
      </w:r>
      <w:r>
        <w:rPr>
          <w:rFonts w:eastAsia="IRNazanin" w:cs="IRNazanin"/>
          <w:color w:val="111111"/>
          <w:sz w:val="28"/>
          <w:szCs w:val="28"/>
          <w:rtl w:val="true"/>
          <w:lang w:bidi="fa-IR"/>
        </w:rPr>
        <w:t>.</w:t>
      </w:r>
    </w:p>
    <w:p>
      <w:pPr>
        <w:pStyle w:val="Heading6"/>
        <w:numPr>
          <w:ilvl w:val="5"/>
          <w:numId w:val="1"/>
        </w:numPr>
        <w:rPr/>
      </w:pPr>
      <w:bookmarkStart w:id="158" w:name="__RefHeading___Toc4413598_3224264995"/>
      <w:bookmarkStart w:id="159" w:name="_Toc60"/>
      <w:bookmarkEnd w:id="158"/>
      <w:r>
        <w:rPr>
          <w:rtl w:val="true"/>
        </w:rPr>
        <w:t>[</w:t>
      </w:r>
      <w:r>
        <w:rPr>
          <w:rtl w:val="true"/>
        </w:rPr>
        <w:t>در اسرار تخلّی</w:t>
      </w:r>
      <w:r>
        <w:rPr>
          <w:rtl w:val="true"/>
        </w:rPr>
        <w:t>]</w:t>
      </w:r>
      <w:bookmarkEnd w:id="159"/>
    </w:p>
    <w:p>
      <w:pPr>
        <w:pStyle w:val="BookText"/>
        <w:rPr/>
      </w:pPr>
      <w:r>
        <w:rPr>
          <w:rFonts w:ascii="IRNazanin" w:hAnsi="IRNazanin" w:eastAsia="IRNazanin"/>
          <w:color w:val="111111"/>
          <w:sz w:val="28"/>
          <w:sz w:val="28"/>
          <w:szCs w:val="28"/>
          <w:rtl w:val="true"/>
          <w:lang w:bidi="fa-IR"/>
        </w:rPr>
        <w:t>و اما تخلّی، پس در آن حال متذکر شود که پر بودن باطن باعث سنگین بودن دل و زحمت است و چون از کثافات خالی شود، موجب تفریح خاطر و استراحت؛ پس در آن حال مشغول شود به دفع سنگینی‌های گناهان و اخلاق ذمیمه که در اعماق قلب جمع آمده و موجب قساوت و سنگینی دل شده و کسالت و غفلت در وی پدیدار گردیده است و از عبادت معبود بحق، محروم مانده است تا آنکه قلب به استراحت افتد و قابل عبادت شود و اهل مناجات با قاضی الحاجات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مسرور مشو که ظاهر بدن او از ثقل کثافات فارغ و سنگینی آنها رفع شد و به استراحت افتادی، زیرا که اگر به این مشعوف شوی و باطن تو بر اثقال کثافات باقی ماند، تدلیس کرده خواهی بود و این معنی موجب رسوائی و افتضاح تو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مصدِّق این کلمات، حدیثی است که در کتاب مصباح الشریعة از حضرت صادق علیه‌السلام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مستراح را از جهت آن مستراح نامیده‌اند که به استراحت می‌افتند نفوس در آنجا از اثقال نجاسات و خالی شدن معده از کثافات، و مؤمن در آن حال باید متذکر شود که کسی که خالص باشد از حطام دنیا </w:t>
      </w:r>
      <w:bookmarkStart w:id="160" w:name="pg17288_199513"/>
    </w:p>
    <w:p>
      <w:pPr>
        <w:pStyle w:val="BookText"/>
        <w:rPr/>
      </w:pPr>
      <w:bookmarkEnd w:id="160"/>
      <w:r>
        <w:rPr>
          <w:rFonts w:ascii="IRNazanin" w:hAnsi="IRNazanin" w:eastAsia="IRNazanin"/>
          <w:color w:val="111111"/>
          <w:sz w:val="28"/>
          <w:sz w:val="28"/>
          <w:szCs w:val="28"/>
          <w:rtl w:val="true"/>
          <w:lang w:bidi="fa-IR"/>
        </w:rPr>
        <w:t xml:space="preserve">و آلوده نباشد به اسباب عیش این عاریت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امرش چنین است که به عدول از آنها استراحت دارد، پس خود را از آنها خالی نماید و پیرامون جمع آنها نگردد و فارغ کند قلبش را از مشاغل آنها و دوری کند از اخذ و قبض آنها، چنانکه دوری می‌کند از بول و غایط و نجاسات دیگر؛ و فکر کند در نفس خود و بداند که چون معده سنگین شود و قوه دافعه خواهد اثقال آن را بیرون اندازد، چگونه ذلیل و عاجز می‌شود؛ و چون معده خالی شود، چگونه سبک و فارغ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بداند که چنگ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به قناعت و تقوی مورث راحت دارین و سرافرازی نشاتین است؛ و بداند که راحتی در هوان دنیا و فارغ شدن از لذّات فانیه این عاریت سرا و تخلّی از نجاسات اموال حرام و شبهه‌ناک و مثل آنها است، پس خالی کند خود را از آنها و درِ کبر و خودبینی را بر روی خود در بندد و از گناهان و معاصی بگریزد، و درِ تواضع و فروتنی و حیا و پشیمانی را بر روی خود بگشاید و سعی کند در اداء اوامر و نواهی معبود بحق و پروردگار مطلق به جهت طلب زلفی و حسن مآب، و محبوس کند نفس خود را در زندان خوف و الصبر و دوری کردن از شهوات و لذّات فانیه، تا آنکه برسد به امان خدا در دار عقبی و منزل قرار، و فائز شود به رحمت حضرت پروردگار و بچشد طعم رضا و خوشنودی او را، زیرا که معوّل</w:t>
      </w:r>
      <w:r>
        <w:rPr>
          <w:rStyle w:val="FootnoteAnchor"/>
          <w:rtl w:val="true"/>
        </w:rPr>
        <w:footnoteReference w:id="216"/>
      </w:r>
      <w:r>
        <w:rPr>
          <w:rFonts w:ascii="IRNazanin" w:hAnsi="IRNazanin" w:eastAsia="IRNazanin"/>
          <w:color w:val="111111"/>
          <w:sz w:val="28"/>
          <w:sz w:val="28"/>
          <w:szCs w:val="28"/>
          <w:rtl w:val="true"/>
          <w:lang w:bidi="fa-IR"/>
        </w:rPr>
        <w:t>و مقصود واقعی همین است و مابقی چیزی نیست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161" w:name="__RefHeading___Toc4413600_3224264995"/>
      <w:bookmarkStart w:id="162" w:name="_Toc61"/>
      <w:bookmarkEnd w:id="161"/>
      <w:r>
        <w:rPr>
          <w:rtl w:val="true"/>
        </w:rPr>
        <w:t>مطلب سوم</w:t>
      </w:r>
      <w:r>
        <w:rPr>
          <w:rtl w:val="true"/>
        </w:rPr>
        <w:t xml:space="preserve">: </w:t>
      </w:r>
      <w:r>
        <w:rPr>
          <w:rtl w:val="true"/>
        </w:rPr>
        <w:t>در ستر عورت است</w:t>
      </w:r>
      <w:bookmarkEnd w:id="1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ستر عورت پوشانیدن مقابح بدن است از ابصار خلق، زیرا که ظاهر بدن تو موضع نظر خلایق است و باطن تو موضع نظر خالق، پس تفکر کن که </w:t>
      </w:r>
    </w:p>
    <w:p>
      <w:pPr>
        <w:pStyle w:val="BookText"/>
        <w:rPr/>
      </w:pPr>
      <w:r>
        <w:rPr>
          <w:rFonts w:ascii="IRNazanin" w:hAnsi="IRNazanin" w:eastAsia="IRNazanin"/>
          <w:color w:val="111111"/>
          <w:sz w:val="28"/>
          <w:sz w:val="28"/>
          <w:szCs w:val="28"/>
          <w:rtl w:val="true"/>
          <w:lang w:bidi="fa-IR"/>
        </w:rPr>
        <w:t>هرگاه پوشانیدن مقابح ظاهر که موضع نظر خلق است واجب باشد، پس چگونه است حال پوشانیدن قبائح باطن که موضع نظر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قبائح باطن را نمی‌پوشاند لباسی، مگر لباس توبه و انابه و پشیمانی از کرده‌های گذشته و پیرامون آن نگشتن در زمان آینده، پس در آن حال مستعد شود برای هجوم لشکر خوف و حیا بر قلب، پس ذلیل کند نفس خود را و قرار گیرد در زیر پرده خجلت و انکسار و بایستد در برابر حضرت آفریدگار، مثل ایستادن بنده گناهکار که گریخته باشد از آقای خود و بعد از پشیمانی باز گردیده باشد به سوی وی، سر در پیش و شرمسار با دیده اشکبار و سوز آه آتش‌بار، و از وی درخواهد عفو از تقصیرات خود را و عزم کند بر تلافی مافات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مصدق این کلمات است، حدیثی که در مصباح الشریعة از حضرت صادق علیه‌السلام منقول است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زینت‌دارترین لباس مؤمن، لباس تقوی و پرهیزگاری است و نرم‌ترین لباسهای وی، ایمان به خدا و روز جزا است، حق تعالی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تقوی نیکو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اما لباس ظاهر، پس نعمتی است از جانب خدا که پوشانند به آن عورات خود را و گرامی داشته است به آن ذریه آدم علیه‌السلام را و عطا نفرموده است به دیگری از مخلوقات عالم و از برای مؤمنان آلتی است از برای اداء آنچه خدا واجب کرده است بر ایشان از نماز و غیر آن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لباس تو لباسی است که تو را مشغول نگرداند از حق تعالی، بلکه نزدیک گرداند تو را به ذکر و شکر و فرمان‌برداری وی، و باعث نشود تو را بر عجب و ریاء و زینت کردن 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مفاخرت نمودن بر امثال و اقران بر وجه خُیَلاء</w:t>
      </w:r>
      <w:r>
        <w:rPr>
          <w:rStyle w:val="FootnoteAnchor"/>
          <w:rtl w:val="true"/>
        </w:rPr>
        <w:footnoteReference w:id="219"/>
      </w:r>
      <w:r>
        <w:rPr>
          <w:rFonts w:ascii="IRNazanin" w:hAnsi="IRNazanin" w:eastAsia="IRNazanin"/>
          <w:color w:val="111111"/>
          <w:sz w:val="28"/>
          <w:sz w:val="28"/>
          <w:szCs w:val="28"/>
          <w:rtl w:val="true"/>
          <w:lang w:bidi="fa-IR"/>
        </w:rPr>
        <w:t>، زیرا که این امور، آفت دین و مورث قساوت قلبند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جامه پوشیدی به خاطر بیاور این را که خدا پوشانیده است بر تو گناهان تو را به رحمت خود و بپوشان باطن خود را به صدق و راستی، چنانکه می‌پوشانی ظاهر خود را به لباس خود و بپوشان باطن خود را به لباس خوف و خشیت و ظاهر خود را به لباس فرمانبرداری و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بیاور فضل و رحمت حق تعالی را از جهت آنکه خلق کرده است برای تو اسباب لباس را که بپوشانی به آن عورات ظاهره را، و گشوده است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توبه و انابه را که بپوشانی به آن عورات باطنه را از گناهان و اخلاق رذیله، و رسوا مکن احدی را به برچیدن پرده از عیوب وی، زیرا که پوشانیده است حضرت خلاّق عالم بر تو، اعظم از آنها را، و مشغول شو به عیب نفس خود و چشم بپوشان از آنچه از تو نخواسته‌اند از عیب دیگران، و بترس از آنکه فانی کنی عمر خود را به عمل دیگران و تجارت کنی به سرمایه این و آن و از عیوب خود غافل شوی و به هلاکت ابدی گرفتار گردی، زیرا که فراموش کردن گناهان، عظیمتر عقوبتی است از جانب خدا در دنیا و وافرتر عقوبتی است در عقبی، و مادام که بنده مؤمن، مشغول است به طاعت خدا و شناختن عیوب نفس خود و ترک آنچه قبیح است در دین خدا، دور است از آفات جهان و فرو رونده است در بحار رحمت حضرت یزدان و فائز شونده است به جواهر فواید حکمت و بیان، و مادام که فراموش کننده است عیوب نفس خود را، واگذاشته می‌شود به حول و قوّت خود و رستگار نمی‌شود هرگز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کلمات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کاشان که موطن اصلی حقیر است رفتم، در یکی از قرای آن یکی از علما به دیدن من آمد، خود را آراسته و قبائی به رنگ مرمر پوشیده و عمامه قیمتی بر سر گذارده و غایت تقطیع در لباس خود به کار برده؛ چون در نزد من نشست، به نظر حیرت در او می‌نگریستم و به دیده تعجب در وی نگاه می‌کردم و در دل خود بر حال وی می‌گریستم و با خود می‌گفتم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چه مقدار مغرور است که نفس را که خلاّق عالم او را از سایر نفوس مکونات برگزیده و خلعت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کَرَّمْنَا بَنِی </w:t>
      </w:r>
      <w:bookmarkStart w:id="163" w:name="pg17288_199516"/>
    </w:p>
    <w:p>
      <w:pPr>
        <w:pStyle w:val="BookText"/>
        <w:rPr/>
      </w:pPr>
      <w:bookmarkEnd w:id="163"/>
      <w:r>
        <w:rPr>
          <w:rFonts w:ascii="Amiri" w:hAnsi="Amiri" w:eastAsia="Amiri" w:cs="Amiri"/>
          <w:color w:val="111111"/>
          <w:sz w:val="28"/>
          <w:sz w:val="28"/>
          <w:szCs w:val="28"/>
          <w:rtl w:val="true"/>
          <w:lang w:bidi="ar-SA"/>
        </w:rPr>
        <w:t>آدَمَ</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وی پوشانیده و قامت قابلیتش را به لباس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الاْءِنسَانَ فِی أَحْسَنِ تَقْوِیمٍ</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به کرباسی که از گیاهی حاصل شود و به گیاهی دیگر آن را رنگ کنند و آن را بقا و ثباتی نباشد، آرایش دهد و به آن خوش دل و مشعوف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4413602_3224264995"/>
      <w:bookmarkStart w:id="165" w:name="_Toc62"/>
      <w:bookmarkEnd w:id="164"/>
      <w:r>
        <w:rPr>
          <w:rtl w:val="true"/>
        </w:rPr>
        <w:t>مطلب چهارم</w:t>
      </w:r>
      <w:r>
        <w:rPr>
          <w:rtl w:val="true"/>
        </w:rPr>
        <w:t xml:space="preserve">: </w:t>
      </w:r>
      <w:r>
        <w:rPr>
          <w:rtl w:val="true"/>
        </w:rPr>
        <w:t>در اسرار مخفیه مکان مصلی است</w:t>
      </w:r>
      <w:bookmarkEnd w:id="165"/>
    </w:p>
    <w:p>
      <w:pPr>
        <w:pStyle w:val="BookText"/>
        <w:rPr/>
      </w:pPr>
      <w:r>
        <w:rPr>
          <w:rFonts w:ascii="IRNazanin" w:hAnsi="IRNazanin" w:eastAsia="IRNazanin"/>
          <w:color w:val="111111"/>
          <w:sz w:val="28"/>
          <w:sz w:val="28"/>
          <w:szCs w:val="28"/>
          <w:rtl w:val="true"/>
          <w:lang w:bidi="fa-IR"/>
        </w:rPr>
        <w:t xml:space="preserve">چون به مکان نماز روی آوری، با خود خیال کن که به خدمت پادشاه بزرگی رو آورده‌ای که از تو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اخلاص و بندگی نخواسته، و از باطن تو اطلاع دارد و اسرار نهان تو بر وی پوشیده و مخفی نیست، و تو می‌خواهی با وی مناجات نمائی و احوال خود را بر وی معروض داری و از وی حاجتهای بزرگ بخواهی که دیگری قدرت بر برآوردن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امید داری که نظر رحمت به جانب تو افکند و حوائج تو را برآورد، پس سزاوار است که در آن حال، لباس ذلّ و مسکنت پوشی و به تضرع و زاری و خضوع و خشوع کوشی، و مکانی را اختیار کنی که آن را محل نزول رحمت خود نمود، و درِ کرم و بخشش خود را در آن گشوده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مشاهد متبرّکه، و آداب مسجد و اسرار مخفیه آن در طی مطلب هفتم مذکور خواهد شد، ان شاء اللّه</w:t>
      </w:r>
      <w:r>
        <w:rPr>
          <w:rFonts w:eastAsia="IRNazanin" w:cs="IRNazanin"/>
          <w:color w:val="111111"/>
          <w:sz w:val="28"/>
          <w:szCs w:val="28"/>
          <w:rtl w:val="true"/>
          <w:lang w:bidi="fa-IR"/>
        </w:rPr>
        <w:t>.</w:t>
      </w:r>
    </w:p>
    <w:p>
      <w:pPr>
        <w:pStyle w:val="Heading5"/>
        <w:numPr>
          <w:ilvl w:val="4"/>
          <w:numId w:val="1"/>
        </w:numPr>
        <w:rPr/>
      </w:pPr>
      <w:bookmarkStart w:id="166" w:name="__RefHeading___Toc4413604_3224264995"/>
      <w:bookmarkStart w:id="167" w:name="_Toc63"/>
      <w:bookmarkEnd w:id="166"/>
      <w:r>
        <w:rPr>
          <w:rtl w:val="true"/>
        </w:rPr>
        <w:t>مطلب پنجم</w:t>
      </w:r>
      <w:r>
        <w:rPr>
          <w:rtl w:val="true"/>
        </w:rPr>
        <w:t xml:space="preserve">: </w:t>
      </w:r>
      <w:r>
        <w:rPr>
          <w:rtl w:val="true"/>
        </w:rPr>
        <w:t>در اسرار خفیه وقت نماز است</w:t>
      </w:r>
      <w:bookmarkEnd w:id="167"/>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عارف را لازم است که چون وقت نماز درآید، متصف به دو حالت باشد، یکی رجا و شعف و خوشحالی، و دیگری خوف و ترس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اتصاف به خوشحالی و شعف، پس به جهت آن است که باید متذکّر شوی در آن حال که این وقتی است که پادشاه حقیقی و محبوب واقعی آن را معین فرموده است، برای اینکه به خدمتش برسی و در برابرش بایستی و قابل فیض مکالمه‌اش شوی و فائز </w:t>
      </w:r>
    </w:p>
    <w:p>
      <w:pPr>
        <w:pStyle w:val="BookText"/>
        <w:rPr/>
      </w:pPr>
      <w:r>
        <w:rPr>
          <w:rFonts w:ascii="IRNazanin" w:hAnsi="IRNazanin" w:eastAsia="IRNazanin"/>
          <w:color w:val="111111"/>
          <w:sz w:val="28"/>
          <w:sz w:val="28"/>
          <w:szCs w:val="28"/>
          <w:rtl w:val="true"/>
          <w:lang w:bidi="fa-IR"/>
        </w:rPr>
        <w:t>به طاعت و عبادتش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در دلت شوقی و سروری و در صورتت بشاشت و صبوری حاصل شود که این زمان، زمان وصول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مهیا شوی برای وصال با طهارت و نظافت و پوشیدن جامه‌هایی که صلاحیت حضور داشته باشند، همچنانکه مهیا می‌شوی برای ورود بر پادشاهی از پادشاهان دنیا، در وقتی که تو را به حضور خود طلبد و به بارگاه خود خواند و قابل مکالمه خود گرداند، و خود را در آن حال مانند کسی تصور کن که پادشاه عظیمی وعده داده باشد تو را که در وقت به خدمتش برسی و فرمانی برای تو صادر کند که از خواص وی و واقفان حضورش باشی و خدمات لایقه به تو رجوع فرماید و با تو بر وجه انبساط و رأفت تکلم نماید و با تو انس گیرد و تو آنچه خواهی از مصالح خود از وی طلب نمائی و تو را خلعتی فاخر عطا کند، و در میان مردم تو را سرافراز و مفتخر داند، و مادام که سلطنت او باقی باشد بر آن قرار بماند و از قدر و منزلت تو در نزد وی چیزی کم نشود، بلکه روز به روز در تزاید باشد، آیا تو در این حال منتظر آن وقت نخواهی بود و شوقت به آن وقت نخواهد کشید و پیش از آنکه آن وقت در آید همت به آن نبسته خواهی بود؟ و فکر نخواهی کرد که کی شود آن وقت درآید و پادشاه به وعده خود عمل نماید و مرا به قرب جوار خود بخواند و به شرف مکالمه خود مشرّف گرداند و خلعت فاخر در من پوشاند؟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را کم از وعده پادشاه دنیا مدان، و قرب جوار وی را سهل مشمار، و نوشتن تو را از جمله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درگاه ایزد تعالی، پست‌تر از تقرّب یکی از سلاطین دنیا نه انگار؛ و بدان که نماز اعظم خدمات معبود واقعی و اقرب قربات پادشاه حقیقی است و به سجود آن وعده قرب داده است در فرمان خود که به تو فرستاده است به واسطه پیغمبر خود صلی الله علیه و آله ، و آن پیغمبر صلی الله علیه و آله که مخبر صادق و متکلّم بحق است نیز به این وعده کرده است و ضامن شده است این را که به واسطه این خدمت، در دار قرب و خلود، و متنعم گردی به نعمتی که چشمی ندیده و گوشی نشنیده باشد، و مهیا کرده است برای تو در آنجا مکانهای رفیع البنا و محبوبان خوش لقا و اطعمه بسیار و اقمشه بیشمار و کرامتهای گوناگون و نعمتهای از حد افزون و راحت ابدی و استراحت سرمدی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 غافل است آدمی که در چنین وقتی به خدمت مخلوقی پردازد و از نماز، پهلو تهی سازد و به اداء آن نپردازد و وعده خداوند کریم عظیم را سهل شمرد و از وعده پادشاه مجازی کمتر داند، و حال آنکه دل پادشاه به دست خدا است و بی توفیق و اذن خدا، به احدی نفع و ضرر نمی‌تواند رسانید و اعتماد به وعده‌اش نیست و ملکش ناپایدار و دولتش همیشه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پیغمبر خدا صلی الله علیه و آله پیوسته منتظر وقت نماز می‌بود و انتظار آن را می‌کشیدند و شوق تمام به دخول آن داشتند و به بلال مؤذن خود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راحت انداز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محنت مشغولی به غیر معبود فارغ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سخن اشاره است به اینکه مشغولی ظاهری به غیر حق تعالی، تعب شدیدی بود نسبت به آن حضرت و هر چند دلش هرگز از یاد خدا غافل نبود، ولیکن روشنی چشمش و سرور قلبش و سکون نفسش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مکرر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و سرور قلبی فی الصّلوة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دیده و مسروری دل من در نماز است، این است سبب سرور و باعث شوق و شعف به سوی دخول وقت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سبب ترس و خوف و تزلزل و منشأ خوف و تذلل، پس آن است که در درگاه سلاطین مجازی، چنانکه امید قرب و راحت و طمع فوز و استراحت هست، بیم انحطاط و پستی و خوف بی اعتباری و تهی‌دستی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چنانکه ملوک موصوفند به بخشش و عطا و نوازش و سخا، همچنان موصوف به غضب و نکال و انتقام و اذلال نیز می‌باشند، خصوصاً سلاطین غیور و خواقینِ از پستی فطرت دور، همچنین است درگاه احدیّت و بارگاه صمدیّت که چنانکه امید قرب در آن موجود است، بیم بُعد نیز با </w:t>
      </w:r>
    </w:p>
    <w:p>
      <w:pPr>
        <w:pStyle w:val="BookText"/>
        <w:rPr/>
      </w:pPr>
      <w:r>
        <w:rPr>
          <w:rFonts w:ascii="IRNazanin" w:hAnsi="IRNazanin" w:eastAsia="IRNazanin"/>
          <w:color w:val="111111"/>
          <w:sz w:val="28"/>
          <w:sz w:val="28"/>
          <w:szCs w:val="28"/>
          <w:rtl w:val="true"/>
          <w:lang w:bidi="fa-IR"/>
        </w:rPr>
        <w:t>وی همراه است، و چنانکه شوق بلندی درجه است، خوف پستی مرتبه نیز هست، و چنانکه رجاء قبول اعمال است، ترس ردّ آنها و تشویش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وصایای لقمان است که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نیکو کن که قبول کننده عمل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کامل باید چون وقت نماز داخل شود به خود پردازد و خوف و خشیت را شعار خود سازد و با نفس خود خطاب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ایستادن در برابر حضرت آفریدگار داخل شده است و تو آلوده به کدورات بدنیه و علایق دنیویّه، و از این حذر کن که مبادا عملت مقبول درگاه نشود و به درجه قبول نرسد و تو ناامید و تهی‌دست باز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به خاطر خود بگذراند عظمت و جلال و قدرت و اجلال خداوند بی شبه و مثال و معبود پاینده بی زوال را، پس متذکر شود پستی رتبه و مرتبه خود را، و با خود خیال کند که چون من بنده لئیمی، کجا قابل مناجات خداوند عظیم باشد و به چه امید در برابر جناب واجب التعظیم ایستد و به کدام اطمینان درجه قرب او را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حضرت امیرالمؤمنین علیه‌السلام چون وقت نماز داخل می‌شد، آثار تزلزل و تململ</w:t>
      </w:r>
      <w:r>
        <w:rPr>
          <w:rStyle w:val="FootnoteAnchor"/>
          <w:rtl w:val="true"/>
        </w:rPr>
        <w:footnoteReference w:id="225"/>
      </w:r>
      <w:r>
        <w:rPr>
          <w:rFonts w:ascii="IRNazanin" w:hAnsi="IRNazanin" w:eastAsia="IRNazanin"/>
          <w:color w:val="111111"/>
          <w:sz w:val="28"/>
          <w:sz w:val="28"/>
          <w:szCs w:val="28"/>
          <w:rtl w:val="true"/>
          <w:lang w:bidi="fa-IR"/>
        </w:rPr>
        <w:t>در وی ظاهر می‌شد و به وی عرض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تو را که چنین حالت متبدّل و اعضاء و جوارحت متزلزل است؟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وقت اداء امانتی که عرض کرد خدا آن را بر آسمانها و زمینها و آنها از قبول و برداشتن آن ابا کردند و ترسیدند از آن</w:t>
      </w:r>
      <w:r>
        <w:rPr>
          <w:rFonts w:eastAsia="IRNazanin" w:cs="IRNazanin"/>
          <w:color w:val="111111"/>
          <w:sz w:val="28"/>
          <w:szCs w:val="28"/>
          <w:rtl w:val="true"/>
          <w:lang w:bidi="fa-IR"/>
        </w:rPr>
        <w:t>».</w:t>
      </w:r>
      <w:r>
        <w:rPr>
          <w:rStyle w:val="FootnoteAnchor"/>
          <w:rtl w:val="true"/>
        </w:rPr>
        <w:footnoteReference w:id="22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 علی بن الحسین سیدالساجدین علیهماالسلام این </w:t>
      </w:r>
      <w:bookmarkStart w:id="168" w:name="pg17288_199520"/>
    </w:p>
    <w:p>
      <w:pPr>
        <w:pStyle w:val="BookText"/>
        <w:rPr/>
      </w:pPr>
      <w:bookmarkEnd w:id="168"/>
      <w:r>
        <w:rPr>
          <w:rFonts w:ascii="IRNazanin" w:hAnsi="IRNazanin" w:eastAsia="IRNazanin"/>
          <w:color w:val="111111"/>
          <w:sz w:val="28"/>
          <w:sz w:val="28"/>
          <w:szCs w:val="28"/>
          <w:rtl w:val="true"/>
          <w:lang w:bidi="fa-IR"/>
        </w:rPr>
        <w:t>بود که هرگاه می‌خواست وضو بسازد، رنگ مبارکش زرد می‌شد، پس اصحاب آن حضرت علیه‌السلام به وی عرض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عادت شده است برای تو در وقت وضو که رنگ مبارکت زرد می‌شود و حالت متغیّر می‌گردد؟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می‌خواهم در برابر کی بایستم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اینها همه اشاره است به استشعار خوف و استحضار عظمت معبود بحق و التفات به سوی وی و انقطاع از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می‌شود که استشعار خوف از شعار کاملین است، چنانکه غفلت از آن علاقه مطرودین است، عافانا اللّه من الطرد و الإبعاد، بحق محمد و آله الأمجاد</w:t>
      </w:r>
      <w:r>
        <w:rPr>
          <w:rFonts w:eastAsia="IRNazanin" w:cs="IRNazanin"/>
          <w:color w:val="111111"/>
          <w:sz w:val="28"/>
          <w:szCs w:val="28"/>
          <w:rtl w:val="true"/>
          <w:lang w:bidi="fa-IR"/>
        </w:rPr>
        <w:t>.</w:t>
      </w:r>
    </w:p>
    <w:p>
      <w:pPr>
        <w:pStyle w:val="Heading5"/>
        <w:numPr>
          <w:ilvl w:val="4"/>
          <w:numId w:val="1"/>
        </w:numPr>
        <w:rPr/>
      </w:pPr>
      <w:bookmarkStart w:id="169" w:name="__RefHeading___Toc4413606_3224264995"/>
      <w:bookmarkStart w:id="170" w:name="_Toc64"/>
      <w:bookmarkEnd w:id="169"/>
      <w:r>
        <w:rPr>
          <w:rtl w:val="true"/>
        </w:rPr>
        <w:t>مطلب ششم</w:t>
      </w:r>
      <w:r>
        <w:rPr>
          <w:rtl w:val="true"/>
        </w:rPr>
        <w:t xml:space="preserve">: </w:t>
      </w:r>
      <w:r>
        <w:rPr>
          <w:rtl w:val="true"/>
        </w:rPr>
        <w:t>در مخفیّات رموز استقبال قبله است</w:t>
      </w:r>
      <w:bookmarkEnd w:id="1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به معنی رو کردن است به جهتی از جهات و آن متحقق نمی‌شود، مگر به اینکه روی از هر جهتی برتابی و به یک جهت متوجه شوی، و مراد به استقبال در نماز آن است که بگردانی روی بدن خود را به جانب کعبه معظمه که خانه خدا است و خدا آن را برگزیده است و خانه خودش خوانده است، و واجب گردانیدن این معنی بر تو، دلیلی است واضح و برهانی است لائح بر اینکه مقصود اصلی گردانیدن روی قلب است به جانب معبود حقیقی و مقصود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گردانیدن روی ظاهر، وسیله است به سوی آنچه مقصد اصلی است از تو؛ زیرا که ظاهر، عنوان باطن و وسیله به سوی آن است و معراجی است که مؤمن از آن ترقی کند به مطالب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 و مراتب رفیعه، و ضبطی است مر جوارح را، و تسکینی است مر آنها را به ثابت گردانیدنشان بر جهت واحده، تا اینکه سرکشی نکنند بر قلب؛ زیرا که اعضا و جوارح هرگاه سرکشی کنند و ملتفت شوند به اطراف، قلب را تابع خود گردانند و از معبود بحق برگردانند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حال استقبال باید روی قلب تو به جانب حضرت ذی الجلال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 از اینکه هرگاه روی دل برگردانی خدا برگرداند روی تو را مثل روی حمار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عدم ادراک و التفات به معبود پاک، چنانکه این معنی از حضرت رسول خدا صلی الله علیه و آله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نیست که این، نهی است از عدم التفات به خدا و رو گردانیدن از وی به وجه قلب و عدم ملاحظه عظمت و بزرگواری وی، زیرا که کسی که ملتفت می‌شود از طرفی به طرفی و میل از جانبی به جانبی دیگر، ملتفت نمی‌شود به سوی خدا و متذکر نمی‌شود عظمت و بزرگواری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می‌شود از مطالعه انوار کبریائی وی، و کسی که چنین شود، رفته رفته این عادت در وی مستمر می‌شود و این در وی غالب می‌گردد، پس روی دل وی مانند روی دل حمار می‌شود در عدم تعقل امور عِلویّه و عدم افاضه شی‌ء از علوم واقعیّه و رسوم الهیّه بر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فقرات معلوم می‌شود که مقصود واقعی، توجه وجه قلب است به جانب معبود حقیقی و گردانیدن وجه ظاهر، وسیله است به سوی آن و مناط ثواب همان است، چنانکه در حدیثی وارد است که 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بایستد بنده به نماز و باشد هوا و قلبش به جانب خدا، از نماز فارغ می‌شود مانند روزی که از مادر متولد شده باشد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پاک می‌شود، چنانکه روزی که از مادر متولد شد، گناه نداشت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مصباح الشریعة و تنبیهات قلبیه مرسلا از حضرت صادق علیه‌السلام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نماز بایستی و روی خود را به جانب قبله گردانی، </w:t>
      </w:r>
      <w:bookmarkStart w:id="171" w:name="pg17288_199522"/>
    </w:p>
    <w:p>
      <w:pPr>
        <w:pStyle w:val="BookText"/>
        <w:rPr/>
      </w:pPr>
      <w:bookmarkEnd w:id="171"/>
      <w:r>
        <w:rPr>
          <w:rFonts w:ascii="IRNazanin" w:hAnsi="IRNazanin" w:eastAsia="IRNazanin"/>
          <w:color w:val="111111"/>
          <w:sz w:val="28"/>
          <w:sz w:val="28"/>
          <w:szCs w:val="28"/>
          <w:rtl w:val="true"/>
          <w:lang w:bidi="fa-IR"/>
        </w:rPr>
        <w:t>مأیوس شو از دنیا و آنچه در آن است و از خلق و آنچه دارند، و خالی کن دل خود را از هر چه باز دارد آن را از یاد خدا و معاینه ببین به دیده قلب، عظمت و بزرگواری حق تعالی را و به خاطر بیاور ایستادنت را در روز قیامت در برابر عرش جناب اقدس الهی سر در پیش، و بایست به پای خوف و تشویش</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72" w:name="__RefHeading___Toc4413608_3224264995"/>
      <w:bookmarkStart w:id="173" w:name="_Toc65"/>
      <w:bookmarkEnd w:id="172"/>
      <w:r>
        <w:rPr>
          <w:rtl w:val="true"/>
        </w:rPr>
        <w:t>مطلب هفتم</w:t>
      </w:r>
      <w:r>
        <w:rPr>
          <w:rtl w:val="true"/>
        </w:rPr>
        <w:t xml:space="preserve">: </w:t>
      </w:r>
      <w:r>
        <w:rPr>
          <w:rtl w:val="true"/>
        </w:rPr>
        <w:t>در اسرار مخفیّه مقدمات مستحبّه نماز است</w:t>
      </w:r>
      <w:bookmarkEnd w:id="173"/>
    </w:p>
    <w:p>
      <w:pPr>
        <w:pStyle w:val="BookText"/>
        <w:rPr/>
      </w:pPr>
      <w:r>
        <w:rPr>
          <w:rFonts w:ascii="IRNazanin" w:hAnsi="IRNazanin" w:eastAsia="IRNazanin"/>
          <w:color w:val="111111"/>
          <w:sz w:val="28"/>
          <w:sz w:val="28"/>
          <w:szCs w:val="28"/>
          <w:rtl w:val="true"/>
          <w:lang w:bidi="fa-IR"/>
        </w:rPr>
        <w:t>و آنها بسیار است، ولیکن ما به ذکر بعضی از اینها می‌پردازیم که در نظر شارع اهم و اسرار آنها اتم است و آن چند امر است</w:t>
      </w:r>
      <w:r>
        <w:rPr>
          <w:rFonts w:eastAsia="IRNazanin" w:cs="IRNazanin"/>
          <w:color w:val="111111"/>
          <w:sz w:val="28"/>
          <w:szCs w:val="28"/>
          <w:rtl w:val="true"/>
          <w:lang w:bidi="fa-IR"/>
        </w:rPr>
        <w:t>.</w:t>
      </w:r>
    </w:p>
    <w:p>
      <w:pPr>
        <w:pStyle w:val="Heading5"/>
        <w:numPr>
          <w:ilvl w:val="4"/>
          <w:numId w:val="1"/>
        </w:numPr>
        <w:rPr/>
      </w:pPr>
      <w:bookmarkStart w:id="174" w:name="__RefHeading___Toc4413610_3224264995"/>
      <w:bookmarkStart w:id="175" w:name="_Toc66"/>
      <w:bookmarkEnd w:id="174"/>
      <w:r>
        <w:rPr>
          <w:rtl w:val="true"/>
        </w:rPr>
        <w:t>[</w:t>
      </w:r>
      <w:r>
        <w:rPr>
          <w:rtl w:val="true"/>
        </w:rPr>
        <w:t>امر</w:t>
      </w:r>
      <w:r>
        <w:rPr>
          <w:rtl w:val="true"/>
        </w:rPr>
        <w:t xml:space="preserve">] </w:t>
      </w:r>
      <w:r>
        <w:rPr>
          <w:rtl w:val="true"/>
        </w:rPr>
        <w:t>اوّل</w:t>
      </w:r>
      <w:r>
        <w:rPr>
          <w:rtl w:val="true"/>
        </w:rPr>
        <w:t>: [</w:t>
      </w:r>
      <w:r>
        <w:rPr>
          <w:rtl w:val="true"/>
        </w:rPr>
        <w:t>اختیار مکان مناسب برای مناجات</w:t>
      </w:r>
      <w:r>
        <w:rPr>
          <w:rtl w:val="true"/>
        </w:rPr>
        <w:t>]</w:t>
      </w:r>
      <w:bookmarkEnd w:id="175"/>
    </w:p>
    <w:p>
      <w:pPr>
        <w:pStyle w:val="BookText"/>
        <w:rPr/>
      </w:pPr>
      <w:r>
        <w:rPr>
          <w:rFonts w:ascii="IRNazanin" w:hAnsi="IRNazanin" w:eastAsia="IRNazanin"/>
          <w:color w:val="111111"/>
          <w:sz w:val="28"/>
          <w:sz w:val="28"/>
          <w:szCs w:val="28"/>
          <w:rtl w:val="true"/>
          <w:lang w:bidi="fa-IR"/>
        </w:rPr>
        <w:t xml:space="preserve">ارتیاد و اختیار مکان است که صلاحیت داشته باشد از برای مناجات با حضرت قاضی الحاجات و آن امکنه است که معبود بحق و مقصود مطلق آنها را برگزیده است برای خود و آنها را اضافه به خود نموده، خانه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خوانده است و آنها را محل اجابت و مظنّه قبول طاعت و موضع نزول رحمت و معدن رضا و مغفرت خود گردانیده، مثل مساجد و مشاهد مقدّسه و معابد مکرّمه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قصد کن یکی از آنها را در حالی که ملازم سکینه و وقار و مراقب خشوع و انکسار باشی و سؤال کنی از خدا اینکه تو را از خاصان بندگان خود گرداند و به صالحان ملحق نماید و متوجه خدا شو به هیئتی که گویا بر صراط می‌گذری، و در دل خود متردّد باش در میان خوف و رجا و رد و قبول تا اینکه دلت خاشع شود و جوارحت خاضع گردند و اهل افاضه رحمت و مغفرت گردی و برسد به تو عطوفت جناب اقدس الهی و شامل تو گردد مرحمت غیر متناهی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در مسجد رسی به خاطر آور که قصد کرده‌ای پادشاه بزرگی را چنانکه در مصباح الشریعة و تنبیهات قلبیه مرسلا از حضرت صادق علیه‌السلام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در مسجد رسیدی بدان که قصد کرده‌ای پادشاه عظیم القدری را که پا نمی‌گذارند بر بساط کبریای وی، مگر پاکان و مأذون نیستند در مجالست و مصاحبت وی مگر صدیقان، و خائف و ترسناک باش از پا گذاشتن بر بساط خدمت وی به نوعی که ترسناک می‌شوی در حضور پادشاه، زیرا که اگر غافل شوی به خطر عظیم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قادر است بر آنچه خواهد نسبت به تو به عمل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و احسان و فضل و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میل کند به سوی تو به فضل و رحمت، قبول می‌کند از تو طاعت اندک تو را و عطا می‌کند به تو ثواب بسیار، و اگر مطالبه کند از تو که او مستحق صدق و اخلاص و ارادت و اختصاص است و عمل تو خالی از آنها است، دور می‌کند تو را از خدمت خود و ردّ می‌کند عمل تو را هر چند بسیار باشد و او کننده است آنچه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اعتراف کن در خدمت وی و تقصیر و فقر و احتیاج خود در برابر وی، زیرا که تو اراده کرده‌ای طاعت و عبادت او و انس گرفتن با جناب حضرت او، و بدان که مخفی نیست بر وی پوشیدگیهای امور برای خلایق و ظواهر ایشان و او اطلاع دارد بر همه و باش مثل فقیرترین بندگان و حقیرترین غلامان در برابر وی، و خالی کن قلب خود را از هر چه مشغول کند تو را از خدمت وی، زیرا که او پاک و پاکیزه است و قبول نمی‌کند از تو مگر عمل خالص 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نگاه کن که اسم تو در کدام دیوان ثبت است، دیوان مقرّبین یا دیوان مطرودین، پس اگر در آن حال دلت خاشع شود و لذّت مناجات با قاضی الحاجات به کام دلت درآید و بچشی از کأس رحمت و کرامت وی و بیابی در قلب توجه و اجابت او را برای خود، پس به تحقیق سزاوار خدمت او خواهی بود و اذن دخول خواهی یافت و برای تو </w:t>
      </w:r>
      <w:bookmarkStart w:id="176" w:name="pg17288_199524"/>
    </w:p>
    <w:p>
      <w:pPr>
        <w:pStyle w:val="BookText"/>
        <w:rPr/>
      </w:pPr>
      <w:bookmarkEnd w:id="176"/>
      <w:r>
        <w:rPr>
          <w:rFonts w:ascii="IRNazanin" w:hAnsi="IRNazanin" w:eastAsia="IRNazanin"/>
          <w:color w:val="111111"/>
          <w:sz w:val="28"/>
          <w:sz w:val="28"/>
          <w:szCs w:val="28"/>
          <w:rtl w:val="true"/>
          <w:lang w:bidi="fa-IR"/>
        </w:rPr>
        <w:t xml:space="preserve">امان از طرد و ابعاد خواهد بود، پس آنگاه داخل مسجد شو، و الا پس بایست بر درِ مسجد، مثل ایستادن مضطری که چاره‌های وی منقطع شده باشد و امید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باشد، زیرا که حق تعالی از باطن ذلت و انکسار و صدق التجا و اضطرار از تو ملاحظه نماید، نظر می‌کند به جانب تو به رحمت و رأفت و میل می‌کند به وی به شفقت و مرحمت، و توفیق می‌دهد تو را به آنچه محبوب و مرضی او است، زیرا که وی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کردن به بندگان درمانده مضطر خود که به دربار کرم وی حاضر شوند و مرضات و خوشنودی وی را طلب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کلام مجید خود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اجابت می‌کند بنده مضطر درمانده را، اگر او را بخواند و برطرف می‌کند ناخوشیها را از وی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pStyle w:val="Heading5"/>
        <w:numPr>
          <w:ilvl w:val="4"/>
          <w:numId w:val="1"/>
        </w:numPr>
        <w:rPr/>
      </w:pPr>
      <w:bookmarkStart w:id="177" w:name="__RefHeading___Toc4413612_3224264995"/>
      <w:bookmarkStart w:id="178" w:name="_Toc67"/>
      <w:bookmarkEnd w:id="177"/>
      <w:r>
        <w:rPr>
          <w:rtl w:val="true"/>
        </w:rPr>
        <w:t>[</w:t>
      </w:r>
      <w:r>
        <w:rPr>
          <w:rtl w:val="true"/>
        </w:rPr>
        <w:t>امر</w:t>
      </w:r>
      <w:r>
        <w:rPr>
          <w:rtl w:val="true"/>
        </w:rPr>
        <w:t xml:space="preserve">] </w:t>
      </w:r>
      <w:r>
        <w:rPr>
          <w:rtl w:val="true"/>
        </w:rPr>
        <w:t>دوم</w:t>
      </w:r>
      <w:r>
        <w:rPr>
          <w:rtl w:val="true"/>
        </w:rPr>
        <w:t xml:space="preserve">: </w:t>
      </w:r>
      <w:r>
        <w:rPr>
          <w:rtl w:val="true"/>
        </w:rPr>
        <w:t>از مقدمات مستحبه، اذان و اقامه است</w:t>
      </w:r>
      <w:bookmarkEnd w:id="1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اسرار و مخفیات رموز آن، آن است که چون آواز مؤذّن را بشنوی حاضر کن در دل خود، هول نداء روز قیامت را و کمر خود را محکم ببند در باطن و ظاهر، برای مسارعت در اجابت معبود حقیقی، زیرا که سرعت کنندگان به این ندا کسانی باشند که در روز عرضِ اکبر، ندای لطف و مرحمت شنوند، پس در حال سرعت به این ندا، لطف و مرحمت را به یاد آور، پس اگر دلت مملو شود از خوشحالی و سرور و بشاشت و صبور و مستعد شود به رغبت تمام به مسارعت به سوی این ندای عام، پس بدان که در روز قیامت ندای شادی و اکرام خواهی شنید و مرحمتهای افزون از حدّ و عدّ به تو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متوجه فصول اذان و کلمات آن شو و ببین که چگونه ابتداء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آنها نیز همین لفظ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اینجا دریاب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اول است و آخر و ظاهر است و باطن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در دل متوجه شو به تعظیم و تکریم خداوند کبیر در نزد شنیدن تکبیر و حقیر و پست بشمار دنیا و مافیها را تا آنکه دروغ نگفته باشی در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شنیدن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ماسوی را از دل بیرون کن و به خاطر بیاور حضرت رسالت پناه را در وقت شنیدن شهادت به رسالت و شهادت دِه به رسالت آن حضرت از روی اخلاص و صلوات بفرست بر آن حضرت و آل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حضرت صادق علیه‌السلام روایت کرده است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بشنود که مؤذّن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بگوید از روی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أَشْهَدُ أنْ لا إلهَ إِلاّ اللّه و أشْهَدُ أنَّ مُحَمَّدًا رَسُولُ اللّه، اکتفی بهما عمن أبی و جحد و اعین بهما من أقر 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وی عطا می‌کند به وی اجر، به عدد هر کافری که انکار وحدت و رسالت کرده است و به عدد کسی که اقرار و شهادت داده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مؤذّن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 و جان روی به نماز کن و سعی کن به سوی نماز، و 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 به سوی نماز که موجب فیروزی و فلاح و رستگاری است</w:t>
      </w:r>
      <w:r>
        <w:rPr>
          <w:rFonts w:eastAsia="IRNazanin" w:cs="IRNazanin"/>
          <w:color w:val="111111"/>
          <w:sz w:val="28"/>
          <w:szCs w:val="28"/>
          <w:rtl w:val="true"/>
          <w:lang w:bidi="fa-IR"/>
        </w:rPr>
        <w:t xml:space="preserve">. </w:t>
      </w:r>
      <w:bookmarkStart w:id="179" w:name="pg17288_199526"/>
    </w:p>
    <w:p>
      <w:pPr>
        <w:pStyle w:val="BookText"/>
        <w:rPr/>
      </w:pPr>
      <w:bookmarkEnd w:id="179"/>
      <w:r>
        <w:rPr>
          <w:rFonts w:ascii="IRNazanin" w:hAnsi="IRNazanin" w:eastAsia="IRNazanin"/>
          <w:color w:val="111111"/>
          <w:sz w:val="28"/>
          <w:sz w:val="28"/>
          <w:szCs w:val="28"/>
          <w:rtl w:val="true"/>
          <w:lang w:bidi="fa-IR"/>
        </w:rPr>
        <w:t>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بگذران به اعتقاد درست که نماز بهترین عملها است؛ 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 عهد خود را به بزرگی خدا و تعظیم وی، پس ختم کن اذان را به ذکر خدا، چنانکه ابتدا کرده بودی به ذکر وی و متذکر شو این که مبدأ تو از او است و بازگشت تو نیز به سوی وی خواهد بود، و بدانکه قوام وجود تو به او است و اعتماد تو بر حول و قوّت او است و نیست حولی و قوّتی، مگر به خداوند یکتای یگانه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180" w:name="__RefHeading___Toc4413614_3224264995"/>
      <w:bookmarkStart w:id="181" w:name="_Toc68"/>
      <w:bookmarkEnd w:id="180"/>
      <w:r>
        <w:rPr>
          <w:rtl w:val="true"/>
        </w:rPr>
        <w:t>[</w:t>
      </w:r>
      <w:r>
        <w:rPr>
          <w:rtl w:val="true"/>
        </w:rPr>
        <w:t>امر</w:t>
      </w:r>
      <w:r>
        <w:rPr>
          <w:rtl w:val="true"/>
        </w:rPr>
        <w:t xml:space="preserve">] </w:t>
      </w:r>
      <w:r>
        <w:rPr>
          <w:rtl w:val="true"/>
        </w:rPr>
        <w:t>سوم</w:t>
      </w:r>
      <w:r>
        <w:rPr>
          <w:rtl w:val="true"/>
        </w:rPr>
        <w:t>: [</w:t>
      </w:r>
      <w:r>
        <w:rPr>
          <w:rtl w:val="true"/>
        </w:rPr>
        <w:t>در اسرار افتتاح نماز به تکبیرات هفتگانه</w:t>
      </w:r>
      <w:r>
        <w:rPr>
          <w:rtl w:val="true"/>
        </w:rPr>
        <w:t>]</w:t>
      </w:r>
      <w:bookmarkEnd w:id="181"/>
    </w:p>
    <w:p>
      <w:pPr>
        <w:pStyle w:val="BookText"/>
        <w:rPr/>
      </w:pPr>
      <w:r>
        <w:rPr>
          <w:rFonts w:ascii="IRNazanin" w:hAnsi="IRNazanin" w:eastAsia="IRNazanin"/>
          <w:color w:val="111111"/>
          <w:sz w:val="28"/>
          <w:sz w:val="28"/>
          <w:szCs w:val="28"/>
          <w:rtl w:val="true"/>
          <w:lang w:bidi="fa-IR"/>
        </w:rPr>
        <w:t>اسرار خفیّه افتتاح نماز است به تکبیرات هفتگانه و خواندن دعاهائی است که در همین تکبیرات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نماز ایستادی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معنی این را که خدا بزرگتر است از آنکه به وصف درآید، 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عارفی که بگوید ز سرّ ذات تو حرفی نه وصف ذات تو ممکن که ماوراء صفاتی</w:t>
      </w:r>
    </w:p>
    <w:p>
      <w:pPr>
        <w:pStyle w:val="BookText"/>
        <w:rPr/>
      </w:pPr>
      <w:r>
        <w:rPr>
          <w:rFonts w:ascii="IRNazanin" w:hAnsi="IRNazanin" w:eastAsia="IRNazanin"/>
          <w:color w:val="111111"/>
          <w:sz w:val="28"/>
          <w:sz w:val="28"/>
          <w:szCs w:val="28"/>
          <w:rtl w:val="true"/>
          <w:lang w:bidi="fa-IR"/>
        </w:rPr>
        <w:t>پس در آن حال متذکر شو پستی مرتبه خود، و عبادت خود را در جنب عظمت و بزرگواری معبود یگانه، و بی مقداری همت خود را از ایستادن در برابر او و قیام به وظائف عبادت او، و بازداشتن خود را در مقام خدمت او و تمام کردن وظائف بندگی او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چنانکه کلینی به سند صحیح از حضرت صادق علیه‌السلام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تکبیر می‌گوئی، پس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لا إِلهَ إِلاّ أَنْتَ سُبْحانَکَ إِنِّی عَمِلْتُ سُوءً وَ ظَلَمْتُ نَفْسِی فَاغْفِرْلِی ذَنْبِی إنَّهُ لا یَغْفِرُ الذُّنُوبَ إِلاّ أَنْتَ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که ترجمه‌اش </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توئی پادشاه بحق، نیست خدایی به جز تو، پاک و منزه می‌شمارم، به درستی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کردم بر نفس خود، پس بیامرز برای من گناهان مرا، زیرا که نمی‌آمرزد گناهان را احدی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بگذران عظمت مملکت و عموم قدرت خدا را و احاطه او بر جمیع 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بگذران، پاکی و دوری او را از نقائص و مناقص و صفات جلال، و استجماع وی بر جمیع صفات کمال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عَمِلْتُ سُوءً وَ ظَلَمْتُ نَفْسِی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بگذران، گناهانی که در آشکار و نهان مرتکب آنها شده، و تقصیرات خود را در برابر نظر خود حاضر گردان و خود را ذلیل و شکسته حال در مقام ذلت و انکسار بدار، و با خود خیال کن که وی با آن عظمت و جلال، مثل توئی را با این انکسار و ذلت به چنین خدمتی سرافراز و مفتخر فرموده است، پس خود را در برابر وی بازدار، با نهایت ذلت و انکسار سر خجلت و انفعال به پیش افکنده، نادم از گناهان منفعل از معاصی بی پایان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 بدان که معبود بحق و مقصود مطلق از تو دور نیست، بلکه به تو نزدیک است و اگر تو او را نمی‌بینی او تو را می‌بیند و بر شکستگی و انکسار تو مطلع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دو تکبیر دیگر بگوی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فِی یَدَیْکَ وَ الشَّرَّ لَیْسَ إِلَیْکَ عَبْدُکَ وَ ابْنُ عَبْدَیْکَ ذَلِیلٌ بَیْنَ یَدَیْکَ وَ الْمَهْدِیُّ مَنْ هَدْیْتَ لا مَلْجَأَ مِنْکَ إِلاّ إِلَیْکَ سُبْحَانَکَ وَ حَنانِیْکَ تَبارَکْتَ وَ تَعَالَیْتَ سُبْحَانَکَ رَبَّ الْبِیْتِ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که ظاهر ترجمه‌اش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می‌ایستم در خدمت تو، ایستادنی بعد از ایستادنی، و استعانت می‌جویم به ایستادن در خدمت تو، استعانتی بعد از استعانتی، و خیر در دست تو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بدی از جانب تو نیست، منم بنده تو و پسر دو بنده تو که ذلیل و بی‌مقدار در برابر تو ایستاده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که نیست هدایت مگر از جانب او، و او است راه‌نمای هر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مَلْجَأَ مِنْکَ إِلاّ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کن به اینکه ملجأ و پناهی نیست از برای تو، مگر به گریختن به کنف حمایت وی، و از او نمی‌توان گریخت به پناه بردن به وی، پس دو تکبیر دیگر بگوی که هفت تکبیر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السَّمَواتِ وَ الاْءَرْضَ حَنِیْفاً مُسْلِمًا وَ مَا أَنَا مِنَ الْمُشْرِکِینْ إِنَّ صَلَوتِی وَ نُسُکِی وَ مَحْیَایَ وَ مَمَاتِی للّه‌ِِ رَبِّ الْعَالَمِیْنَ لا شَرِیْکَ لَهُ وَ بِذلِکَ أُمِرْتُ وَ أَنَا مِنَ الْمُسْلِمِیْنَ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چون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برگردان روی دلِ خود را از جمیع ماسویِ آن کسی که ایجاد کرده است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چنین کسی استحقاق این دارد که روی دل به سوی وی آوری و از جمیع ماسوای وی روی برگردانی، و چون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دوبینی از خود دور کن و احدی را در عبادت خود شریک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تو و عبادت تو و زندگی و مردن تو همه از برای خداست، پس قلب را بر این معنی ثابت بدار تا کاذب و دروغ‌گو نباشی و در زبان نگوئی چیزی را که دلت از آن بی‌خبر باشد و یا دلت بر خلاف آن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یقین بدان که تو را به این امر کرده‌اند و به دل در خیال غیر او مباش و امثال این معانی، و مطالب را بر قلب خود استوار و محکم کن تا به مطالب عالیه برسی و از این مقامات ترقی کنی و به مقام قرب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دهد خداوند منان ما و تو را به رسیدن به این مقامات إنّه ولیّ التوفیق</w:t>
      </w:r>
      <w:r>
        <w:rPr>
          <w:rFonts w:eastAsia="IRNazanin" w:cs="IRNazanin"/>
          <w:color w:val="111111"/>
          <w:sz w:val="28"/>
          <w:szCs w:val="28"/>
          <w:rtl w:val="true"/>
          <w:lang w:bidi="fa-IR"/>
        </w:rPr>
        <w:t xml:space="preserve">. </w:t>
      </w:r>
      <w:bookmarkStart w:id="182" w:name="pg17288_199529"/>
    </w:p>
    <w:p>
      <w:pPr>
        <w:pStyle w:val="Heading4"/>
        <w:numPr>
          <w:ilvl w:val="3"/>
          <w:numId w:val="1"/>
        </w:numPr>
        <w:rPr/>
      </w:pPr>
      <w:bookmarkStart w:id="183" w:name="__RefHeading___Toc4413616_3224264995"/>
      <w:bookmarkStart w:id="184" w:name="_Toc69"/>
      <w:bookmarkEnd w:id="182"/>
      <w:bookmarkEnd w:id="183"/>
      <w:r>
        <w:rPr>
          <w:rtl w:val="true"/>
        </w:rPr>
        <w:t>باب دوم در مقارنات نماز است</w:t>
      </w:r>
      <w:bookmarkEnd w:id="184"/>
    </w:p>
    <w:p>
      <w:p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غیر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ارکان که به ترک آنها عمداً و سهواً نماز باطل می‌شود پنجند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نیّت و تکبیرة‌الاحرام و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ارکان که به ترک آنها عمداً نماز باطل می‌شود نه سهواً سه‌اند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و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این باب در ضمن دو فصل بیان می‌شود</w:t>
      </w:r>
      <w:r>
        <w:rPr>
          <w:rFonts w:eastAsia="IRNazanin" w:cs="IRNazanin"/>
          <w:color w:val="111111"/>
          <w:sz w:val="28"/>
          <w:szCs w:val="28"/>
          <w:rtl w:val="true"/>
          <w:lang w:bidi="fa-IR"/>
        </w:rPr>
        <w:t>.</w:t>
      </w:r>
    </w:p>
    <w:p>
      <w:pPr>
        <w:pStyle w:val="Heading4"/>
        <w:numPr>
          <w:ilvl w:val="3"/>
          <w:numId w:val="1"/>
        </w:numPr>
        <w:rPr/>
      </w:pPr>
      <w:bookmarkStart w:id="185" w:name="__RefHeading___Toc4413618_3224264995"/>
      <w:bookmarkStart w:id="186" w:name="_Toc70"/>
      <w:bookmarkEnd w:id="185"/>
      <w:r>
        <w:rPr>
          <w:rtl w:val="true"/>
        </w:rPr>
        <w:t>فصل اول</w:t>
      </w:r>
      <w:r>
        <w:rPr>
          <w:rtl w:val="true"/>
        </w:rPr>
        <w:t xml:space="preserve">: </w:t>
      </w:r>
      <w:r>
        <w:rPr>
          <w:rtl w:val="true"/>
        </w:rPr>
        <w:t>در مقارنات رکنیه است</w:t>
      </w:r>
      <w:bookmarkEnd w:id="186"/>
    </w:p>
    <w:p>
      <w:pPr>
        <w:pStyle w:val="Heading5"/>
        <w:numPr>
          <w:ilvl w:val="4"/>
          <w:numId w:val="1"/>
        </w:numPr>
        <w:rPr/>
      </w:pPr>
      <w:bookmarkStart w:id="187" w:name="__RefHeading___Toc4413620_3224264995"/>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و آنها پنجند چنانکه گذشت و مقصود از این فصل در ضمن پنج مقصد بیان می‌شود</w:t>
      </w:r>
      <w:r>
        <w:rPr>
          <w:rFonts w:eastAsia="IRNazanin" w:cs="IRNazanin"/>
          <w:color w:val="111111"/>
          <w:sz w:val="28"/>
          <w:szCs w:val="28"/>
          <w:rtl w:val="true"/>
          <w:lang w:bidi="fa-IR"/>
        </w:rPr>
        <w:t>.</w:t>
      </w:r>
    </w:p>
    <w:p>
      <w:pPr>
        <w:pStyle w:val="Heading5"/>
        <w:numPr>
          <w:ilvl w:val="4"/>
          <w:numId w:val="1"/>
        </w:numPr>
        <w:rPr/>
      </w:pPr>
      <w:bookmarkStart w:id="189" w:name="__RefHeading___Toc4413622_3224264995"/>
      <w:bookmarkStart w:id="190" w:name="_Toc72"/>
      <w:bookmarkEnd w:id="189"/>
      <w:r>
        <w:rPr>
          <w:rtl w:val="true"/>
        </w:rPr>
        <w:t>مقصد اول</w:t>
      </w:r>
      <w:r>
        <w:rPr>
          <w:rtl w:val="true"/>
        </w:rPr>
        <w:t xml:space="preserve">: </w:t>
      </w:r>
      <w:r>
        <w:rPr>
          <w:rtl w:val="true"/>
        </w:rPr>
        <w:t>در بیان اسرار قلبیّه قیام است</w:t>
      </w:r>
      <w:bookmarkEnd w:id="190"/>
    </w:p>
    <w:p>
      <w:pPr>
        <w:pStyle w:val="BookText"/>
        <w:rPr/>
      </w:pPr>
      <w:r>
        <w:rPr>
          <w:rFonts w:ascii="IRNazanin" w:hAnsi="IRNazanin" w:eastAsia="IRNazanin"/>
          <w:color w:val="111111"/>
          <w:sz w:val="28"/>
          <w:sz w:val="28"/>
          <w:szCs w:val="28"/>
          <w:rtl w:val="true"/>
          <w:lang w:bidi="fa-IR"/>
        </w:rPr>
        <w:t>چون به نماز ایستادی به خاطر بگذران که در برابر خداوند قهار که جان تو در قبضه قدرت او است، ایستاده و او سبحانه مطلع است بر آشکار و نهان تو و نزدیک‌تر است به تو از رگ گردن تو، پس عبادت کن او را به نحوی که گویا تو او را می‌بینی که اگر تو او را نمی‌بینی او سبحانه تو را می‌بیند و از اسرار پوشیده تو با خبر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وادار قلب خود را در برابر وی، چنانکه بدن خود را در برابر وی باز داشته‌ای و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افکن سر خود را که اشرف و ارفع اعضای تو است در حالی که ذلیل و خوار باشی و دل خود را به تواضع و شکستگی بسته و دل خود را به لباس خشوع و تذلّل آراسته باشی و تکبّر و خودبینی را از خود دور کرده باشی، همچنانکه و بایست در برابر خالق خود مثل ایستادن در برابر پادشاهی از پادشاهان دنیا؛ زیرا که تو هر چند بر عظمت و جلال پادشاه مطلع نباشی می‌بینی خود را در برابر وی ذلیل و خاکسار و متغیر الاحوال و بی اعتبار؛ و بسا باشد که اگر خواهی با وی تکلیم کنی، لکنت بر </w:t>
      </w:r>
    </w:p>
    <w:p>
      <w:pPr>
        <w:pStyle w:val="BookText"/>
        <w:rPr/>
      </w:pPr>
      <w:r>
        <w:rPr>
          <w:rFonts w:ascii="IRNazanin" w:hAnsi="IRNazanin" w:eastAsia="IRNazanin"/>
          <w:color w:val="111111"/>
          <w:sz w:val="28"/>
          <w:sz w:val="28"/>
          <w:szCs w:val="28"/>
          <w:rtl w:val="true"/>
          <w:lang w:bidi="fa-IR"/>
        </w:rPr>
        <w:t>زبانت افتد و رعشه در اعضای تو پیدا شود و منشأ اینها همه خوفی است که در دل تو پیدا می‌شود در نزد تصور عظمت و جلال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باشد حال در وقتی که در برابر پادشاه پادشاهان و اصلاح کننده امر ایشان و مطلع بر آشکار و نهان، بایستی و با وی تکلم کنی و احوال خود را بر وی عرض نمائی و از وی حاجات خود را بطلبی و دلت خاشع نگردد و اعضا و جوارحت متزلزل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که 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مخلصان باشی، بلکه از غافلان محسوب گردی و از فضل و رحمت وی محروم مانی و بدان که هرگاه در آن حال، متذکر جلال و عظمت وی شوی و دلت خاشع گردد، امیدوار به مغفرت و رحمت وی خواهی بود و به تقصیرات خود اقرار و اعتراف خواهی نمود و این از عابدان، مطلوب و در نظر معبود بحق، مرغوب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خود را چنان ببین که در پهلوی یکی از صلحاء قوم خود ایستاده و به نماز مشغولی و می‌خواهی که وی تو را از خوبان داند و از نیکان شمارد، و تصور کن که در چنین حالی چگونه نماز خواهی کرد، و چگونه خضوع و خشوع به عمل خواهی آورد و اعضا و جوارح خود را چگونه به شکستگی و خضوع باز خواهی داشت از خوف اینکه آن مرد عاجز فقیر تو را از صلحا نشناسد و نسبت به خشوع ندهد، و حال آنکه بسا باشد که آن صالح فقیر در دل خود به هزار محنت آلوده باشد و هزار خوف و اضطراب داشته باشد که اصلا به تو التفات نکند و بر خضوع و خشوع تو مطلع نگردد و در فکر تو نباشد، چنانکه مکرر این معنی به ظهور رسیده و بر صاحبان تجربه منکشف گردیده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خود بگوی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 می‌کنی از بنده ضعیفی که نه خیر تو به دست او است و نه شری از تو دفع می‌تواند کرد، پس چرا حیا نمی‌کنی از پروردگار دانا و علام الغیوب توانا و خلاق عالم و آفریننده بنی‌آدم که قدرت دارد بر هر امری و علم او به هر </w:t>
      </w:r>
    </w:p>
    <w:p>
      <w:pPr>
        <w:pStyle w:val="BookText"/>
        <w:rPr/>
      </w:pPr>
      <w:r>
        <w:rPr>
          <w:rFonts w:ascii="IRNazanin" w:hAnsi="IRNazanin" w:eastAsia="IRNazanin"/>
          <w:color w:val="111111"/>
          <w:sz w:val="28"/>
          <w:sz w:val="28"/>
          <w:szCs w:val="28"/>
          <w:rtl w:val="true"/>
          <w:lang w:bidi="fa-IR"/>
        </w:rPr>
        <w:t>چیز احاطه کرده است و سر موئی از تو غافل نمی‌شود و به حراست و نگهبانی تو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معرفت داری، حیا از حضرت عزّت نداری، چگونه جرأت می‌کنی که از بنده ضعیفی بترسی و از قادر مطلق و معبود بحق پروا نداشته باشی و حال آنکه او احق است بترسیدن و اولی است به حیا از وی داشتن، زیرا که خالق و رازق تو است و خیر و شر و نفع و ضرر تو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بسیار است طغیان تو و چه عظیم است عدوان تو و از حد افزون است دشمنی تو با خود که عظمت و بزرگی به نظرت در نمی‌آید و حرمت مرد عاجز فقیری مطمح نظر تو است و از نظرت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این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حدیثی که از پیغمبر صلی الله علیه و آله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حیای ما از خدا؟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کن از خدا چنانکه حیا می‌کنی از مرد صالحی از قوم و قبیله خود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این است سرّ اصلی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دوام قیام، پس سرّش آن است که باید قلب تو متوجه باشد به سوی خدا و ایستاده باشد در برابر معبود خود، مادام که بدنت در برابر وی ایستاده است بی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رو کننده است به بنده خود مادام که او التفات نکند به دیگری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پر ظاهر است که مراد به این التفات، التفاتِ ظاهر نیست، بلکه التفات قلب و باطن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اسرار قیام آن است که همچنانکه واجب است نگهداری سر و چشم و بدن </w:t>
      </w:r>
    </w:p>
    <w:p>
      <w:pPr>
        <w:pStyle w:val="BookText"/>
        <w:rPr/>
      </w:pPr>
      <w:r>
        <w:rPr>
          <w:rFonts w:ascii="IRNazanin" w:hAnsi="IRNazanin" w:eastAsia="IRNazanin"/>
          <w:color w:val="111111"/>
          <w:sz w:val="28"/>
          <w:sz w:val="28"/>
          <w:szCs w:val="28"/>
          <w:rtl w:val="true"/>
          <w:lang w:bidi="fa-IR"/>
        </w:rPr>
        <w:t xml:space="preserve">در ظاهر از رو گردانیدن از قبله ـ که جهت خانه معبود است ـ ، همچنین واجب است نگهداری قلب در باطن از التفات و رو کردن به غیر معبود و اگر قلب با نجوای شیاطین روی گرداند از جانب وی، آن را به خاطر آور که خدا مطلع است بر رو گردانیدن تو و بد امری است که در عین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الحاجات برگردانی تا آنکه به حال خود برگردد و به جانب معبود خود روی آورد و از خواب غفلت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خشوع باطن ملزوم خشوع ظاهر است و مادام که باطنت خاشع نگردد، ظاهرت خاشع نخواهد شد؛ و شاهد بر این معنی است، حدیثی که از پیغمبر خدا صلی الله علیه 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دید که در نماز با ریش خود بازی می‌کرد،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دلش خاشع می‌بود هر آینه اعضا و جوارحش نیز خاشع می‌بود، زیرا که رعیت در حکم راعی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مراد به رعیت در این مقام، اعضا و جوارح است که در فرمان نفس‌اند، و مراد به راعی، نفس که فرمان‌فرمای آنها است؛ و از اینجا است که در بعض فقرات ادعیه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اصلح الراعی و الرعیة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بیاور راعی و رعیت را، یعنی قلب و جوارح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ظاهر در خشوع باشد و باطن خاشع نباشد، پس آن غفلت است از عظمت پادشاه پادشاهان و حیا کردن است از خلق و فراموش کردن است از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من کو در جهان باطن خرابی ظاهر آرائی ز مردم عیب خود پنهان کنی در پرده رسوائی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دین و دنیا مانده از خوف و رجا حیران نظر جائی و دل جائی و سر جائی و تن جائی </w:t>
      </w:r>
      <w:bookmarkStart w:id="191" w:name="pg17288_199533"/>
    </w:p>
    <w:p>
      <w:pPr>
        <w:pStyle w:val="BookText"/>
        <w:rPr/>
      </w:pPr>
      <w:bookmarkEnd w:id="191"/>
      <w:r>
        <w:rPr>
          <w:rFonts w:ascii="IRNazanin" w:hAnsi="IRNazanin" w:eastAsia="IRNazanin"/>
          <w:color w:val="111111"/>
          <w:sz w:val="28"/>
          <w:sz w:val="28"/>
          <w:szCs w:val="28"/>
          <w:rtl w:val="true"/>
          <w:lang w:bidi="fa-IR"/>
        </w:rPr>
        <w:t>به عین بندگی در هر نفس، مفتون معبودی به ظاهر در نماز اما به پیش خلق برپائی</w:t>
      </w:r>
    </w:p>
    <w:p>
      <w:pPr>
        <w:pStyle w:val="BookText"/>
        <w:rPr/>
      </w:pPr>
      <w:r>
        <w:rPr>
          <w:rFonts w:ascii="IRNazanin" w:hAnsi="IRNazanin" w:eastAsia="IRNazanin"/>
          <w:color w:val="111111"/>
          <w:sz w:val="28"/>
          <w:sz w:val="28"/>
          <w:szCs w:val="28"/>
          <w:rtl w:val="true"/>
          <w:lang w:bidi="fa-IR"/>
        </w:rPr>
        <w:t>به عقبا مائل و از شغل آن پهلو تهی سازی ز دنیای دنی بیزار و از سوداش شیدائی</w:t>
      </w:r>
    </w:p>
    <w:p>
      <w:pPr>
        <w:pStyle w:val="Heading5"/>
        <w:numPr>
          <w:ilvl w:val="4"/>
          <w:numId w:val="1"/>
        </w:numPr>
        <w:rPr/>
      </w:pPr>
      <w:bookmarkStart w:id="192" w:name="__RefHeading___Toc4413624_3224264995"/>
      <w:bookmarkStart w:id="193" w:name="_Toc73"/>
      <w:bookmarkEnd w:id="192"/>
      <w:r>
        <w:rPr>
          <w:rtl w:val="true"/>
        </w:rPr>
        <w:t>مقصد دوم</w:t>
      </w:r>
      <w:r>
        <w:rPr>
          <w:rtl w:val="true"/>
        </w:rPr>
        <w:t xml:space="preserve">: </w:t>
      </w:r>
      <w:r>
        <w:rPr>
          <w:rtl w:val="true"/>
        </w:rPr>
        <w:t>در وظائف قلبیه نیت است</w:t>
      </w:r>
      <w:bookmarkEnd w:id="193"/>
    </w:p>
    <w:p>
      <w:pPr>
        <w:pStyle w:val="BookText"/>
        <w:rPr/>
      </w:pPr>
      <w:r>
        <w:rPr>
          <w:rFonts w:ascii="IRNazanin" w:hAnsi="IRNazanin" w:eastAsia="IRNazanin"/>
          <w:color w:val="111111"/>
          <w:sz w:val="28"/>
          <w:sz w:val="28"/>
          <w:szCs w:val="28"/>
          <w:rtl w:val="true"/>
          <w:lang w:bidi="fa-IR"/>
        </w:rPr>
        <w:t xml:space="preserve">بدانکه نیّت عبارت است از قصد کردن فعل معین از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پس اگر تواند نیت احرار را بعمل آورد، بکند، و الا به نیّت تجّار و مزدورین اکتفا کند و الا به نیت عبید و غلامان اکتفا کند و نیت احرار و ابرار بر این وجه است که عبادت کنند از برای معبود به حق از جهت آنکه معبود، مستحق عبادت است و در نیت ایشان طمع ثواب و خوف از عقاب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از حضرت امیر مؤمنان و مولای متقیان منقول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عبادت نمی‌کنم خدا را به جهت خوف از عقاب او و نه به جهت طمع در ثواب و بهشت او، بلکه یافتم خدا را اهل عبادت پس عبادت می‌کنم او را به این جهت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نیّت تاجران و مزدوران بر این وجه است که به جهت طمع مزد و ثواب، عبادت می‌کنند و در نیت ایشان خوف از عقاب داخل نیست و نیت عبید و غلامان بر این وجه است که عبادت ایشان از جهت خوف از عقاب است و طمع ثواب در آن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در نیت هم خوف از عقاب و هم طمع ثواب مندرج باشد و آن نیت نوکران و خدمتکاران است که فرمان آقای خود می‌برند هم از جهت آنکه مبادا ایشان را از نظر بیندازد و سیاست کند و هم به جهت آنکه به ایشان مواجب و جیره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وظائف قلبیه نیت آن است که در نیت عزم کند بر اجابت خدا در اتمام نماز و امتثال امر معبود بی نیاز و دوری کردن از اموری که خلل به نماز رساند و نماز را فاسد سازد و از درجه اعتبار و قبولش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امور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نماز را فاسد می‌سازند، ظاهرا و باطناً که بر مکلّف قضا یا اعاده آن لازم می‌آید و آنها در کتب فقها مذکورند و ما آنها را در کتاب میزان الاعمال یاد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نماز را از درجه قبول می‌اندازند و آنها در طی این رساله بیان می‌شود و اعظم آنها عدم حضور قلب است در نماز، چنانکه مکرر یاد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خالی از حضور قلب، نیت غافلان و بی‌باکان است، زیرا که نه در آن خوف عقاب مندرج است و نه طمع ثواب و نه عبادت کردن به جهت آنکه معبود مستحق عبادت است، و عبادت با این نیت از درجه قبول ساقط و از مرتبه اعتبار هابط است، هر چند در بعض اوقات موجب قضا و اعاده نباشد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به این عبادت است، حدیثی که روایت کرده است آن را عیص بن قاسم از حضرت صادق علیه‌السلام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می‌گذرد بر مردی پنجاه سال که قبول نمی‌کند خدا از او یک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امر از این شدیدتر و عظیم‌تر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می‌شناسید از همسایگان و رفیقان کسی را که اگر از برای یکی از شما نماز کند، هر آینه قبول نمی‌کند از او به جهت استخفاف نمودنش به نمازش؛ به درستی حق سبحانه و تعالی قبول نمی‌کند، مگر عمل نیکوی خالص را، پس چگونه قبول می‌کند نمازی را که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استخفاف شده 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از وصایای لقمان است که به پسرش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آخرت مهیا کن که راه دور است و عمل را نیکو کن که قبول کننده عمل، بسیار دانا است و امثال این اخبار و احادیث در طی مقدمات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وظائف قلبیّه نیت نماز آن است که در دل خود، منت عظیم از معبود به حق داشته باشی که با این رتبه عالی و مرتبه متعالی، تو را با این خسّت طبع و پستی مرتبه و دنائت رتبه به خدمت خود مأمور گردانیده و به مناجات خود خوانده است و به ایستادن در برابر خود اذن داده، پس نیک تأمّل کن که با کی مناجات داری؟ و به چه کس تکلّم می‌نمائی؟ پس در این هنگام سزاوار آن است که غرق عرقِ خجلت و انفعال گردی و اعضا و جوارح تو از هیبت برهم لرزد و رنگ تو از خوف زرد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ثالثه گذشت که حضرت سید الساجدین علیه‌السلام هرگاه به نماز می‌ایستاد، رنگ مبارکش متغیّر می‌شد و چون به سجده می‌رفت، سر بر نمی‌داشت تا آنکه عرق از او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به نماز می‌ایستاد و اعضای مبارکش خشک می‌شد که گویا ساق درختی بود که حرکت نکند، مگر آنچه باد آن را حرکت دهد</w:t>
      </w:r>
      <w:r>
        <w:rPr>
          <w:rStyle w:val="FootnoteAnchor"/>
          <w:rtl w:val="true"/>
        </w:rPr>
        <w:footnoteReference w:id="245"/>
      </w:r>
      <w:r>
        <w:rPr>
          <w:rFonts w:ascii="IRNazanin" w:hAnsi="IRNazanin" w:eastAsia="IRNazanin"/>
          <w:color w:val="111111"/>
          <w:sz w:val="28"/>
          <w:sz w:val="28"/>
          <w:szCs w:val="28"/>
          <w:rtl w:val="true"/>
          <w:lang w:bidi="fa-IR"/>
        </w:rPr>
        <w:t>و اخبار دیگر در این خصوص در همان مقدمه گذشت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مصباح الشریعة و تنبیهات قلبیه، مرسلا از حضرت صادق علیه‌السلام روایت کرده است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نیت صادقه کسی است که صاحب قلب سلیم باشد، زیرا که سلامت قلب از هواجس محذورات حاصل می‌شود به خالص گردانیدن نیت از برای خدا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کلام مجید خود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Style w:val="FootnoteAnchor"/>
          <w:rtl w:val="true"/>
        </w:rPr>
        <w:footnoteReference w:id="246"/>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روزی که نفع </w:t>
      </w:r>
    </w:p>
    <w:p>
      <w:pPr>
        <w:pStyle w:val="BookText"/>
        <w:rPr/>
      </w:pPr>
      <w:r>
        <w:rPr>
          <w:rFonts w:ascii="IRNazanin" w:hAnsi="IRNazanin" w:eastAsia="IRNazanin"/>
          <w:color w:val="111111"/>
          <w:sz w:val="28"/>
          <w:sz w:val="28"/>
          <w:szCs w:val="28"/>
          <w:rtl w:val="true"/>
          <w:lang w:bidi="fa-IR"/>
        </w:rPr>
        <w:t>نمی‌بخشد مال و فرزندان به احدی، مگر آن کسی که بیاورد به جانب خدا، قلب سلیم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برمی‌خیزد از قلب بر قدر صفاء معرفت آن و مختلف می‌شود صفاء قلب به حسب اختلاف ایمان در قوت و ضعف آن و صاحب النیة خالصه، نفس و هوای او مقهورند در تحت سلطان، تعظیم خدا و حیاء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تنبیهات، مرسلا از آن حضرت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جمیع افعال مفتاح در بسته قبول اعمال است و پست‌ترین مرتبه اخلاص بذل بنده است، طاقت خود را در بندگی، و اینکه نداند از برای عمل خود در نزد خدا قدر و منزلتی که به واسطه عمل خود از خدا مزدی خواهد و چنان داند که اگر حق تعالی از او مطالبه کند وفاء به حق عبودیت را هر آینه او عاجز از اداء آن و منفعل و شرمسار باشد از پستی عمل خود، و بلندترین مرتبه اخلاص سالم ماندن است از جمیع گناهان و در آخرت رستگاری و خلاص است از آتش جهنم و فائز شدن است به بهشت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مصباح الشریعة، مرسلا از حضرت صادق علیه‌السلام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است از برای بنده مؤمن که نیت خود را خالص گرداند در هر حرکت و سکونی، زیرا که اگر چنین نکند از غافلان خواهد بود و حق تعالی در کتاب خود غافلان را وصف فرموده است،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کَالاْءَنْعَامِ بَلْ هُمْ أَضَلُّ</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واللّه العالم، ایشان، مثل چهارپایانند، بلکه ایشان گمراه‌ترند،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ایشان غافلانند</w:t>
      </w:r>
      <w:r>
        <w:rPr>
          <w:rFonts w:eastAsia="IRNazanin" w:cs="IRNazanin"/>
          <w:color w:val="111111"/>
          <w:sz w:val="28"/>
          <w:szCs w:val="28"/>
          <w:rtl w:val="true"/>
          <w:lang w:bidi="fa-IR"/>
        </w:rPr>
        <w:t>».</w:t>
      </w:r>
      <w:r>
        <w:rPr>
          <w:rStyle w:val="FootnoteAnchor"/>
          <w:rtl w:val="true"/>
        </w:rPr>
        <w:footnoteReference w:id="250"/>
      </w:r>
      <w:bookmarkStart w:id="194" w:name="pg17288_199537"/>
    </w:p>
    <w:p>
      <w:pPr>
        <w:pStyle w:val="Heading5"/>
        <w:numPr>
          <w:ilvl w:val="4"/>
          <w:numId w:val="1"/>
        </w:numPr>
        <w:rPr/>
      </w:pPr>
      <w:bookmarkStart w:id="195" w:name="__RefHeading___Toc4413626_3224264995"/>
      <w:bookmarkStart w:id="196" w:name="_Toc74"/>
      <w:bookmarkEnd w:id="194"/>
      <w:bookmarkEnd w:id="195"/>
      <w:r>
        <w:rPr>
          <w:rtl w:val="true"/>
        </w:rPr>
        <w:t>مقصد سوم</w:t>
      </w:r>
      <w:r>
        <w:rPr>
          <w:rtl w:val="true"/>
        </w:rPr>
        <w:t xml:space="preserve">: </w:t>
      </w:r>
      <w:r>
        <w:rPr>
          <w:rtl w:val="true"/>
        </w:rPr>
        <w:t>در تکبیرة الاحرام است</w:t>
      </w:r>
      <w:bookmarkEnd w:id="196"/>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معنی این کلمه شریفه آن است که خدا بزرگ‌تر است از آنکه به وصف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کجات جویم ای جان، که ز غایت کمالت چو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درآیم، تو به وصف در نیائی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معنی آن این است که خدا بزرگ‌تر است از آنکه ادراک به حواس ظاهره و باطنه یا قیاس کرده شود به ناس، پس چون تکلّم کند زبان تو به این کلمه طیبه، سزاوار است اینکه دلت تکذیب آن نکند، پس در دل احدی را از خدا بزرگ‌تر دانی، خدا تو را از جمله دروغ‌گویان خواهد شمرد، هر چند اینکه به زبان می‌گوئی مطابق واقع باشد، همچنانکه در سوره منافقون حکایت کرد از منافقین که گفتند به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لَرَسُولُ اللَّهِ</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 خدائی،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دروغ‌گویانند و حال آنکه سخن ایشان مطابق واقع و پیغمبر خدا صلی الله علیه و آله ، رسول خدا بود، پس نسبت دادن ایشان به دروغ از این رهگذر است که زبان ایشان با قلبشان موافقت نداشت، پس هرگاه هوا و خواهش نفس تو غالب باشد بر تو و اطاعت تو مر نفست را اقوی باشد از اطاعت خدا و تو مطیع‌تر باشی مر نفست را از خدا، پس او را رضای خود خوانده و بزرگ‌تر از حق تعالی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2"/>
      </w:r>
      <w:bookmarkStart w:id="197" w:name="pg17288_199538"/>
    </w:p>
    <w:p>
      <w:pPr>
        <w:pStyle w:val="Heading5"/>
        <w:numPr>
          <w:ilvl w:val="4"/>
          <w:numId w:val="1"/>
        </w:numPr>
        <w:rPr/>
      </w:pPr>
      <w:bookmarkStart w:id="198" w:name="__RefHeading___Toc4413628_3224264995"/>
      <w:bookmarkStart w:id="199" w:name="_Toc75"/>
      <w:bookmarkEnd w:id="197"/>
      <w:bookmarkEnd w:id="198"/>
      <w:r>
        <w:rPr>
          <w:rtl w:val="true"/>
        </w:rPr>
        <w:t>منابع و مصادر تحقیق</w:t>
      </w:r>
      <w:bookmarkEnd w:id="199"/>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 شهید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علیه‌السلام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الآیات، صدر المتألهین شیرازی،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حکمت و فلسفه،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علاّمه مجلسی،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مهدی‌پور،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اصفهان،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المرتضی، علی بن حسین علم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قاهره،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و علی اکبر غفاری،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موءسسة البعثة،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علاّمه مجلسی،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أبی‌القاسم علی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ـ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جزائری،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 و عقاب الأعمال، شیخ صدوق،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دارالشریف الرضی للنشر،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محمد بن محمد شعیری،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 محمد بن محمد ابن اشعث،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النینوی الجدید،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قاضی نعمان 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آل البیت علیهم‌السلام ،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محمد بن جریر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بعثت،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شیخ آقا بزرگ طهرانی،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ـ لبنان،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شهید ثانی،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مکتبه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بصیرة المتعظین، محمد بن احمد فتال نیشابوری،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أبی الحدید، ابن أبی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الکتاب والسنة، محمد ری‌شهری،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نجاح الساعی،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موحدی 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الحسینی، حسین بن عبد صمد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المدرسی الیزدی،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شیخ صدوق،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العزیزیة، ابن أبی جمهور احسائی،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سید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علیه‌السلام ،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الحکم و المواعظ، علی بن محمد لیثی واسطی،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 عبدالواحد بن محمد تمیمی 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 أبی عبداللّه محمد بن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المعجم البسیط،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بندر ریگی،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المنسوب إلی الإمام الرضا علیه‌السلام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موءسسه آل البیت علیهم‌السلام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آل البیت علیهم‌السلام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محدث،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ملا محسن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علاّمه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عسکری و سید هاشم رسولی محلاتی،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فی غرر الأخبار، علی بن حسن طبرسی،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الظلام، محمد باقر الوحید البهبهانی،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موءسّسه وحید بهبهانی،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وحید بهبهانی، قم، 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منسوب به جعفر بن محمد،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 شیخ بهایی،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أبی‌طالب علیهم‌السلام ، ابن شهر آشوب،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 علامه حلی،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اللبنانی،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شیخ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موءسسه آل البیت علیهم‌السلام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آل البیت علیهم‌السلام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 الکبری، أبی عبداللّه الحسین بن حمدان الخصیبی،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موءسسه البلاغ والنشر لبنان،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bookmarkStart w:id="200" w:name="pg17288_199542"/>
    </w:p>
    <w:p>
      <w:pPr>
        <w:pStyle w:val="Heading2"/>
        <w:numPr>
          <w:ilvl w:val="1"/>
          <w:numId w:val="1"/>
        </w:numPr>
        <w:rPr/>
      </w:pPr>
      <w:bookmarkStart w:id="201" w:name="__RefHeading___Toc4413630_3224264995"/>
      <w:bookmarkStart w:id="202" w:name="_Toc76"/>
      <w:bookmarkEnd w:id="200"/>
      <w:bookmarkEnd w:id="201"/>
      <w:r>
        <w:rPr>
          <w:rtl w:val="true"/>
        </w:rPr>
        <w:t>حجلة العرایس</w:t>
      </w:r>
      <w:bookmarkEnd w:id="202"/>
    </w:p>
    <w:p>
      <w:pPr>
        <w:pStyle w:val="Heading3"/>
        <w:numPr>
          <w:ilvl w:val="2"/>
          <w:numId w:val="1"/>
        </w:numPr>
        <w:rPr/>
      </w:pPr>
      <w:bookmarkStart w:id="203" w:name="__RefHeading___Toc4413632_3224264995"/>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اسماعیل خاتون آبادی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Heading3"/>
        <w:numPr>
          <w:ilvl w:val="2"/>
          <w:numId w:val="1"/>
        </w:numPr>
        <w:rPr/>
      </w:pPr>
      <w:bookmarkStart w:id="205" w:name="__RefHeading___Toc4413634_3224264995"/>
      <w:bookmarkStart w:id="206" w:name="_Toc78"/>
      <w:bookmarkEnd w:id="205"/>
      <w:r>
        <w:rPr>
          <w:rtl w:val="true"/>
        </w:rPr>
        <w:t>مقدمه تحقیق</w:t>
      </w:r>
      <w:bookmarkEnd w:id="206"/>
    </w:p>
    <w:p>
      <w:pPr>
        <w:pStyle w:val="BookText"/>
        <w:rPr/>
      </w:pPr>
      <w:r>
        <w:rPr>
          <w:rFonts w:ascii="IRNazanin" w:hAnsi="IRNazanin" w:eastAsia="IRNazanin"/>
          <w:color w:val="111111"/>
          <w:sz w:val="28"/>
          <w:sz w:val="28"/>
          <w:szCs w:val="28"/>
          <w:rtl w:val="true"/>
          <w:lang w:bidi="fa-IR"/>
        </w:rPr>
        <w:t>این رساله بنابر فرمایش خود مؤلّف، جناب محمدباقر بن اسماعیل حسینی خاتون‌آبادی، به درخواست شاه سلطان حسین صفوی ـ مبنی بر این که رساله‌ای در باب عقود نکاح و متعه و کفاره افطار روزه ماه مبارک رمضان بنگارند ـ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مقدمه رساله را با نثری بسیار زیبا و جذاب آغاز کرده است که برای محققین و اهل ادب جای تأمل دارد</w:t>
      </w:r>
      <w:r>
        <w:rPr>
          <w:rFonts w:eastAsia="IRNazanin" w:cs="IRNazanin"/>
          <w:color w:val="111111"/>
          <w:sz w:val="28"/>
          <w:szCs w:val="28"/>
          <w:rtl w:val="true"/>
          <w:lang w:bidi="fa-IR"/>
        </w:rPr>
        <w:t>.</w:t>
      </w:r>
    </w:p>
    <w:p>
      <w:pPr>
        <w:pStyle w:val="Heading3"/>
        <w:numPr>
          <w:ilvl w:val="2"/>
          <w:numId w:val="1"/>
        </w:numPr>
        <w:rPr/>
      </w:pPr>
      <w:bookmarkStart w:id="207" w:name="__RefHeading___Toc4413636_3224264995"/>
      <w:bookmarkStart w:id="208" w:name="_Toc79"/>
      <w:bookmarkEnd w:id="207"/>
      <w:r>
        <w:rPr>
          <w:rtl w:val="true"/>
        </w:rPr>
        <w:t>نگاهی به زندگی مؤلّف</w:t>
      </w:r>
      <w:bookmarkEnd w:id="2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محمدباقر بن میر محمداسماعیل خاتون‌آبادی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Style w:val="FootnoteAnchor"/>
          <w:rtl w:val="true"/>
        </w:rPr>
        <w:footnoteReference w:id="253"/>
      </w:r>
      <w:r>
        <w:rPr>
          <w:rFonts w:ascii="IRNazanin" w:hAnsi="IRNazanin" w:eastAsia="IRNazanin"/>
          <w:color w:val="111111"/>
          <w:sz w:val="28"/>
          <w:sz w:val="28"/>
          <w:szCs w:val="28"/>
          <w:rtl w:val="true"/>
          <w:lang w:bidi="fa-IR"/>
        </w:rPr>
        <w:t xml:space="preserve">ـ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عموی ایشان بوده و علاقه فراوانی نیز به محمدباقر داشته به دقت اخبار و آگاهی‌های مربوط به زندگی او را آورده است ـ میر محمدباقر، علوم دینی را نزد پدرش محمد اسماعیل فراگرفت و همچنین از حضور آقا </w:t>
      </w:r>
      <w:bookmarkStart w:id="209" w:name="pg17288_199543"/>
    </w:p>
    <w:p>
      <w:pPr>
        <w:pStyle w:val="BookText"/>
        <w:rPr/>
      </w:pPr>
      <w:bookmarkEnd w:id="209"/>
      <w:r>
        <w:rPr>
          <w:rFonts w:ascii="IRNazanin" w:hAnsi="IRNazanin" w:eastAsia="IRNazanin"/>
          <w:color w:val="111111"/>
          <w:sz w:val="28"/>
          <w:sz w:val="28"/>
          <w:szCs w:val="28"/>
          <w:rtl w:val="true"/>
          <w:lang w:bidi="fa-IR"/>
        </w:rPr>
        <w:t>حسین خوانساری نیز کسب علم نمود، از پدرش و علامه مجلسی و فاضل سراب نقل حدیث می‌کند</w:t>
      </w:r>
      <w:r>
        <w:rPr>
          <w:rFonts w:eastAsia="IRNazanin" w:cs="IRNazanin"/>
          <w:color w:val="111111"/>
          <w:sz w:val="28"/>
          <w:szCs w:val="28"/>
          <w:rtl w:val="true"/>
          <w:lang w:bidi="fa-IR"/>
        </w:rPr>
        <w:t>.</w:t>
      </w:r>
    </w:p>
    <w:p>
      <w:pPr>
        <w:pStyle w:val="Heading3"/>
        <w:numPr>
          <w:ilvl w:val="2"/>
          <w:numId w:val="1"/>
        </w:numPr>
        <w:rPr/>
      </w:pPr>
      <w:bookmarkStart w:id="210" w:name="__RefHeading___Toc4413638_3224264995"/>
      <w:bookmarkStart w:id="211" w:name="_Toc80"/>
      <w:bookmarkEnd w:id="210"/>
      <w:r>
        <w:rPr>
          <w:rtl w:val="true"/>
        </w:rPr>
        <w:t>شاگردان</w:t>
      </w:r>
      <w:bookmarkEnd w:id="211"/>
    </w:p>
    <w:p>
      <w:pPr>
        <w:pStyle w:val="BookText"/>
        <w:rPr/>
      </w:pPr>
      <w:r>
        <w:rPr>
          <w:rFonts w:ascii="IRNazanin" w:hAnsi="IRNazanin" w:eastAsia="IRNazanin"/>
          <w:color w:val="111111"/>
          <w:sz w:val="28"/>
          <w:sz w:val="28"/>
          <w:szCs w:val="28"/>
          <w:rtl w:val="true"/>
          <w:lang w:bidi="fa-IR"/>
        </w:rPr>
        <w:t xml:space="preserve">وی پس از پدرش نیز مقام امامت و مدرّسی مسجد جامع عباسی را به عهده داشت و از این طریق تأثیر زیادی در تعلیم و تربیت افراد می‌نمود، از جمله شاگردان وی می‌توان به ملا عبدالحسین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نورالدین بن سید نعمت اللّه جزایری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علوی خاتون‌آبادی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صالح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قبل از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دانشمند او سید اسماعیل و سید محمد اشاره کرد</w:t>
      </w:r>
      <w:r>
        <w:rPr>
          <w:rFonts w:eastAsia="IRNazanin" w:cs="IRNazanin"/>
          <w:color w:val="111111"/>
          <w:sz w:val="28"/>
          <w:szCs w:val="28"/>
          <w:rtl w:val="true"/>
          <w:lang w:bidi="fa-IR"/>
        </w:rPr>
        <w:t>.</w:t>
      </w:r>
    </w:p>
    <w:p>
      <w:pPr>
        <w:pStyle w:val="Heading3"/>
        <w:numPr>
          <w:ilvl w:val="2"/>
          <w:numId w:val="1"/>
        </w:numPr>
        <w:rPr/>
      </w:pPr>
      <w:bookmarkStart w:id="212" w:name="__RefHeading___Toc4413640_3224264995"/>
      <w:bookmarkStart w:id="213" w:name="_Toc81"/>
      <w:bookmarkEnd w:id="212"/>
      <w:r>
        <w:rPr>
          <w:rtl w:val="true"/>
        </w:rPr>
        <w:t>موقعیت سیاسی اجتماعی</w:t>
      </w:r>
      <w:bookmarkEnd w:id="213"/>
    </w:p>
    <w:p>
      <w:pPr>
        <w:pStyle w:val="BookText"/>
        <w:rPr/>
      </w:pPr>
      <w:r>
        <w:rPr>
          <w:rFonts w:ascii="IRNazanin" w:hAnsi="IRNazanin" w:eastAsia="IRNazanin"/>
          <w:color w:val="111111"/>
          <w:sz w:val="28"/>
          <w:sz w:val="28"/>
          <w:szCs w:val="28"/>
          <w:rtl w:val="true"/>
          <w:lang w:bidi="fa-IR"/>
        </w:rPr>
        <w:t xml:space="preserve">میر محمد باقر دانشمندی مورد توجه شاه سلطان حسین بود و عنوان معلمی او را داشت و در جلسات خصوصی و عمومی با وی نشست و برخاست می‌کرد، علاقه شاه به وی سبب شد که در رمضان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 را همراه پدرش به افطاری دعوت کند و هفت ساعت با ایشان مشغول صحبت بود و از وی خواست پیرامون احکام شرع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شاه از وی درخواست نمود رساله‌ای در واجبات نماز و سپس رساله‌ای در شرایط و آداب دعا بنگارد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14" w:name="__RefHeading___Toc4413642_3224264995"/>
      <w:bookmarkStart w:id="215" w:name="_Toc82"/>
      <w:bookmarkEnd w:id="214"/>
      <w:r>
        <w:rPr>
          <w:rtl w:val="true"/>
        </w:rPr>
        <w:t>زهد و تقوای ملا محمدباقر خاتون‌آبادی</w:t>
      </w:r>
      <w:bookmarkEnd w:id="21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درگذشت شیخ محمدجعفر قاضی ـ شیخ الاسلام اصفهان ـ شاه زمان چندین جلسه برای انتخاب جانشین وی برگزار نمود، شاه و اطرافیان اصرار به پذیرش این منصب توسط میر محمدباقر داشتند، ولی ایشان نپذیرفت و علت را وجوه شرعیه درباره عدم مشرعیت این شغل عنوان کرد، هنگامی که شاه از پذیرفتن خواسته خود </w:t>
      </w:r>
      <w:bookmarkStart w:id="216" w:name="pg17288_199544"/>
    </w:p>
    <w:p>
      <w:pPr>
        <w:pStyle w:val="BookText"/>
        <w:rPr/>
      </w:pPr>
      <w:bookmarkEnd w:id="216"/>
      <w:r>
        <w:rPr>
          <w:rFonts w:ascii="IRNazanin" w:hAnsi="IRNazanin" w:eastAsia="IRNazanin"/>
          <w:color w:val="111111"/>
          <w:sz w:val="28"/>
          <w:sz w:val="28"/>
          <w:szCs w:val="28"/>
          <w:rtl w:val="true"/>
          <w:lang w:bidi="fa-IR"/>
        </w:rPr>
        <w:t>مأیوس شد، از وی خواست که کس دیگر را معرفی کند، ایشان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خود اعتماد نداشته باشم بر دیگری چگونه اعتماد خواهم داشت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سید عبدالحسین حسینی خاتون‌آبادی،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علامی فهامی یگانه زمانه میر محمدباقر سلمه اللّه سن شریفش چهل و پنج سال بود و از راقم حروف سه سال بزرگتر بود و حقّا که کمال مردانگی و همّت و تدیّن بود از چنین منصبی گذشتن او، بلغه اللّه تعالی غایة مناه و طوّل اللّه عمره فی طاعته و رضاه</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217" w:name="__RefHeading___Toc4413644_3224264995"/>
      <w:bookmarkStart w:id="218" w:name="_Toc83"/>
      <w:bookmarkEnd w:id="217"/>
      <w:r>
        <w:rPr>
          <w:rtl w:val="true"/>
        </w:rPr>
        <w:t>وفات</w:t>
      </w:r>
      <w:bookmarkEnd w:id="21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قیمت گندم و آرد در شهر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منافقین بی دین تحریک فتنه نموده و شایع کردند که میر محمدباقر، شاه را به بالا بردن قیمت‌ها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تحریک شدند و به خانه ایشان هجوم آوردند و درِ خانه سید را آتش زدند، میر محمدباقر پیش از این حادثه نیز بیمار بود و از ناحیه سینه ناراحت بود، بعد از این واقعه، آزارش شدّت نمود و در شب 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ذات‌الریه درگذشت</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219" w:name="__RefHeading___Toc4413646_3224264995"/>
      <w:bookmarkStart w:id="220" w:name="_Toc84"/>
      <w:bookmarkEnd w:id="219"/>
      <w:r>
        <w:rPr>
          <w:rtl w:val="true"/>
        </w:rPr>
        <w:t>روش تحقیق</w:t>
      </w:r>
      <w:bookmarkEnd w:id="220"/>
    </w:p>
    <w:p>
      <w:pPr>
        <w:pStyle w:val="BookText"/>
        <w:rPr/>
      </w:pPr>
      <w:r>
        <w:rPr>
          <w:rFonts w:ascii="IRNazanin" w:hAnsi="IRNazanin" w:eastAsia="IRNazanin"/>
          <w:color w:val="111111"/>
          <w:sz w:val="28"/>
          <w:sz w:val="28"/>
          <w:szCs w:val="28"/>
          <w:rtl w:val="true"/>
          <w:lang w:bidi="fa-IR"/>
        </w:rPr>
        <w:t>در این رساله به علت این که نثر قدیم فارسی است، برخی کلمات به صورت مخفف نگاشته شده که ما آن را به صورت کامل آورده‌ایم تا برای خواننده روان‌تر باشد، از باب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ابتداء به نسخه مرکز احیاء دست پیدا کردیم و آن را تایپ و مقابله نمودیم، بعد از تحقیقات اولیه به دو نسخه کتابخانه مجلس با شماره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ثبت قدیم </w:t>
      </w:r>
      <w:r>
        <w:rPr>
          <w:rFonts w:eastAsia="IRNazanin" w:cs="IRNazanin"/>
          <w:color w:val="111111"/>
          <w:sz w:val="28"/>
          <w:szCs w:val="28"/>
          <w:lang w:bidi="fa-IR"/>
        </w:rPr>
        <w:t>1/30946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ملی با شماره </w:t>
      </w:r>
      <w:r>
        <w:rPr>
          <w:rFonts w:eastAsia="IRNazanin" w:cs="IRNazanin"/>
          <w:color w:val="111111"/>
          <w:sz w:val="28"/>
          <w:szCs w:val="28"/>
          <w:lang w:bidi="fa-IR"/>
        </w:rPr>
        <w:t>6/2599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پیدا کردیم که مقابله آن را از </w:t>
      </w:r>
    </w:p>
    <w:p>
      <w:pPr>
        <w:pStyle w:val="BookText"/>
        <w:rPr/>
      </w:pPr>
      <w:r>
        <w:rPr>
          <w:rFonts w:ascii="IRNazanin" w:hAnsi="IRNazanin" w:eastAsia="IRNazanin"/>
          <w:color w:val="111111"/>
          <w:sz w:val="28"/>
          <w:sz w:val="28"/>
          <w:szCs w:val="28"/>
          <w:rtl w:val="true"/>
          <w:lang w:bidi="fa-IR"/>
        </w:rPr>
        <w:t>طریق رایانه انجام دادیم، و این سه نسخه هر کدام مکمل دیگری بودند، چون در هر سه نسخه، کم و کاستی‌هایی وجود داشت که به تنهایی نمی‌شد آن را مبنای تحقیق قرار داد، و از این سه نسخه در عرض هم استفاده کردیم و در موارد اختلافی، آن را که به نظر می‌رسید صحیح‌تر است، داخل متن و موارد اختلافی را از دو نسخه دیگر در پاورقی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نسخه مجلس مغلوط بود که ما موارد بسیار فاحش آن را در پاورقی تذکر ندادیم، اما به علت این که موارد متعددی بود که ما از این نسخه بهره بردیم و برای تکمیل نسخه بسیار مفید بود، لذا از این نسخه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نسخه‌های استفاده شده، رموزی قرار داده شده که از این قرار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مرکز احیاء 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سروران گرامی حجت الاسلام حاج سید احمد سجادی و حجت الاسلام محمدجواد نورمحمدی که ضمینه تحقیق این رساله را برای بنده فراهم نمودند،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سید محمود نریمانی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30/3/92</w:t>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حجلة العرایس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حجلة العرایس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w:t>
      </w:r>
      <w:bookmarkStart w:id="221" w:name="pg17288_199550"/>
    </w:p>
    <w:p>
      <w:pPr>
        <w:pStyle w:val="BookText"/>
        <w:rPr/>
      </w:pPr>
      <w:bookmarkEnd w:id="22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22" w:name="__RefHeading___Toc4413648_3224264995"/>
      <w:bookmarkStart w:id="223" w:name="_Toc85"/>
      <w:bookmarkEnd w:id="222"/>
      <w:r>
        <w:rPr>
          <w:rtl w:val="true"/>
        </w:rPr>
        <w:t>[</w:t>
      </w:r>
      <w:r>
        <w:rPr>
          <w:rtl w:val="true"/>
        </w:rPr>
        <w:t>مقدمه مؤلّف</w:t>
      </w:r>
      <w:r>
        <w:rPr>
          <w:rtl w:val="true"/>
        </w:rPr>
        <w:t>]</w:t>
      </w:r>
      <w:bookmarkEnd w:id="223"/>
    </w:p>
    <w:p>
      <w:pPr>
        <w:pStyle w:val="BookText"/>
        <w:rPr/>
      </w:pPr>
      <w:r>
        <w:rPr>
          <w:rFonts w:ascii="IRNazanin" w:hAnsi="IRNazanin" w:eastAsia="IRNazanin"/>
          <w:color w:val="111111"/>
          <w:sz w:val="28"/>
          <w:sz w:val="28"/>
          <w:szCs w:val="28"/>
          <w:rtl w:val="true"/>
          <w:lang w:bidi="fa-IR"/>
        </w:rPr>
        <w:t>حجله عرایس ابکار</w:t>
      </w:r>
      <w:r>
        <w:rPr>
          <w:rStyle w:val="FootnoteAnchor"/>
          <w:rtl w:val="true"/>
        </w:rPr>
        <w:footnoteReference w:id="258"/>
      </w:r>
      <w:r>
        <w:rPr>
          <w:rFonts w:ascii="IRNazanin" w:hAnsi="IRNazanin" w:eastAsia="IRNazanin"/>
          <w:color w:val="111111"/>
          <w:sz w:val="28"/>
          <w:sz w:val="28"/>
          <w:szCs w:val="28"/>
          <w:rtl w:val="true"/>
          <w:lang w:bidi="fa-IR"/>
        </w:rPr>
        <w:t>سخن را زینت و بها؛ و شبستان گل چهرگان بیان را روشنی و ضیا از انوار حلی و حلل؛ و فروغ شمع و چراغ حمد و ثنا و سپاس بی‌منتهای خداوندی است که آئینه بدن نمای جهان ابداع؛ و مرآت مظهر اشیاء عالم اختراع، در نظر واقفان اسرار نهانخانه معارف؛ و بازیافتگان محافل سرایر عوارف، بی‌پرده خفا و حجاب اختفا عکس‌پذیر صور تجلّیات</w:t>
      </w:r>
      <w:r>
        <w:rPr>
          <w:rStyle w:val="FootnoteAnchor"/>
          <w:rtl w:val="true"/>
        </w:rPr>
        <w:footnoteReference w:id="259"/>
      </w:r>
      <w:r>
        <w:rPr>
          <w:rFonts w:ascii="IRNazanin" w:hAnsi="IRNazanin" w:eastAsia="IRNazanin"/>
          <w:color w:val="111111"/>
          <w:sz w:val="28"/>
          <w:sz w:val="28"/>
          <w:szCs w:val="28"/>
          <w:rtl w:val="true"/>
          <w:lang w:bidi="fa-IR"/>
        </w:rPr>
        <w:t>زیبا لعبتان قدرتهای کامله او، و جلوه‌گاه شواهد حسنای نیکو طلعتان حکمتهای بالغه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که به طفیل وجود با جود و ذات کامل الصّفات مسعود، محرم خلوت سرای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متّکی و 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کافرینش هست خاکش همه هستی فدای جان پاکش</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آل اطهار و اولاد ابرار او</w:t>
      </w:r>
      <w:r>
        <w:rPr>
          <w:rStyle w:val="FootnoteAnchor"/>
          <w:rtl w:val="true"/>
        </w:rPr>
        <w:footnoteReference w:id="265"/>
      </w:r>
      <w:r>
        <w:rPr>
          <w:rFonts w:ascii="IRNazanin" w:hAnsi="IRNazanin" w:eastAsia="IRNazanin"/>
          <w:color w:val="111111"/>
          <w:sz w:val="28"/>
          <w:sz w:val="28"/>
          <w:szCs w:val="28"/>
          <w:rtl w:val="true"/>
          <w:lang w:bidi="fa-IR"/>
        </w:rPr>
        <w:t xml:space="preserve">خصوصاً، مخصوص به عقد اخوّت و وصایت، منصوص بنصّ خلافت و ولایت، ممدوح به سوره هل اتی، موصوف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شیر یزدان و</w:t>
      </w:r>
      <w:r>
        <w:rPr>
          <w:rStyle w:val="FootnoteAnchor"/>
          <w:rtl w:val="true"/>
        </w:rPr>
        <w:footnoteReference w:id="267"/>
      </w:r>
      <w:r>
        <w:rPr>
          <w:rFonts w:ascii="IRNazanin" w:hAnsi="IRNazanin" w:eastAsia="IRNazanin"/>
          <w:color w:val="111111"/>
          <w:sz w:val="28"/>
          <w:sz w:val="28"/>
          <w:szCs w:val="28"/>
          <w:rtl w:val="true"/>
          <w:lang w:bidi="fa-IR"/>
        </w:rPr>
        <w:t xml:space="preserve">سرور غالب، شاه مردان،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صلوات اللّه و سلامه علیهم اجمعین انشاء خطبه تزویج آباء علوی با امّهات سفلی، و تولید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ثلاث نموده تا کارخانه ایجاد انتظام یابد، و اسباب عرصه کون و فساد به التیام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چون به میامن عنایات</w:t>
      </w:r>
      <w:r>
        <w:rPr>
          <w:rStyle w:val="FootnoteAnchor"/>
          <w:rtl w:val="true"/>
        </w:rPr>
        <w:footnoteReference w:id="269"/>
      </w:r>
      <w:r>
        <w:rPr>
          <w:rFonts w:ascii="IRNazanin" w:hAnsi="IRNazanin" w:eastAsia="IRNazanin"/>
          <w:color w:val="111111"/>
          <w:sz w:val="28"/>
          <w:sz w:val="28"/>
          <w:szCs w:val="28"/>
          <w:rtl w:val="true"/>
          <w:lang w:bidi="fa-IR"/>
        </w:rPr>
        <w:t>بی‌منتهای خالق انس و جان و الطاف لایحصی، ازدواج بخش عناصر و ارکان جلّ شأنه و عظم برهانه، پیوسته همّت والا نهمت</w:t>
      </w:r>
      <w:r>
        <w:rPr>
          <w:rStyle w:val="FootnoteAnchor"/>
          <w:rtl w:val="true"/>
        </w:rPr>
        <w:footnoteReference w:id="270"/>
      </w:r>
      <w:r>
        <w:rPr>
          <w:rFonts w:ascii="IRNazanin" w:hAnsi="IRNazanin" w:eastAsia="IRNazanin"/>
          <w:color w:val="111111"/>
          <w:sz w:val="28"/>
          <w:sz w:val="28"/>
          <w:szCs w:val="28"/>
          <w:rtl w:val="true"/>
          <w:lang w:bidi="fa-IR"/>
        </w:rPr>
        <w:t>سپهر بنیان و همواره نیّت صافی طویّت</w:t>
      </w:r>
      <w:r>
        <w:rPr>
          <w:rStyle w:val="FootnoteAnchor"/>
          <w:rtl w:val="true"/>
        </w:rPr>
        <w:footnoteReference w:id="271"/>
      </w:r>
      <w:r>
        <w:rPr>
          <w:rFonts w:ascii="IRNazanin" w:hAnsi="IRNazanin" w:eastAsia="IRNazanin"/>
          <w:color w:val="111111"/>
          <w:sz w:val="28"/>
          <w:sz w:val="28"/>
          <w:szCs w:val="28"/>
          <w:rtl w:val="true"/>
          <w:lang w:bidi="fa-IR"/>
        </w:rPr>
        <w:t>، اکسیر زمان، نواب کامیاب، مالک رقاب</w:t>
      </w:r>
      <w:r>
        <w:rPr>
          <w:rStyle w:val="FootnoteAnchor"/>
          <w:rtl w:val="true"/>
        </w:rPr>
        <w:footnoteReference w:id="272"/>
      </w:r>
      <w:r>
        <w:rPr>
          <w:rFonts w:ascii="IRNazanin" w:hAnsi="IRNazanin" w:eastAsia="IRNazanin"/>
          <w:color w:val="111111"/>
          <w:sz w:val="28"/>
          <w:sz w:val="28"/>
          <w:szCs w:val="28"/>
          <w:rtl w:val="true"/>
          <w:lang w:bidi="fa-IR"/>
        </w:rPr>
        <w:t>، شهسوار گردون، وقار عالمیان، ماب شهنشاه جهان و جهانیان، سرور ملوک و خواقین دوران، افتخار پادشاهان روزگار، ملجاء نامداران عرصه گیر و دار، پادشاهی که</w:t>
      </w:r>
      <w:r>
        <w:rPr>
          <w:rStyle w:val="FootnoteAnchor"/>
          <w:rtl w:val="true"/>
        </w:rPr>
        <w:footnoteReference w:id="273"/>
      </w:r>
      <w:r>
        <w:rPr>
          <w:rFonts w:ascii="IRNazanin" w:hAnsi="IRNazanin" w:eastAsia="IRNazanin"/>
          <w:color w:val="111111"/>
          <w:sz w:val="28"/>
          <w:sz w:val="28"/>
          <w:szCs w:val="28"/>
          <w:rtl w:val="true"/>
          <w:lang w:bidi="fa-IR"/>
        </w:rPr>
        <w:t>حدایق ایمان را به آبیاری اجرای سنن سنیّه</w:t>
      </w:r>
      <w:r>
        <w:rPr>
          <w:rStyle w:val="FootnoteAnchor"/>
          <w:rtl w:val="true"/>
        </w:rPr>
        <w:footnoteReference w:id="274"/>
      </w:r>
      <w:r>
        <w:rPr>
          <w:rFonts w:ascii="Amiri" w:hAnsi="Amiri" w:eastAsia="Amiri" w:cs="Amiri"/>
          <w:color w:val="111111"/>
          <w:sz w:val="28"/>
          <w:sz w:val="28"/>
          <w:szCs w:val="28"/>
          <w:rtl w:val="true"/>
          <w:lang w:bidi="ar-SA"/>
        </w:rPr>
        <w:t>ریّان</w:t>
      </w:r>
      <w:r>
        <w:rPr>
          <w:rStyle w:val="FootnoteAnchor"/>
          <w:rtl w:val="true"/>
        </w:rPr>
        <w:footnoteReference w:id="275"/>
      </w:r>
      <w:r>
        <w:rPr>
          <w:rFonts w:ascii="IRNazanin" w:hAnsi="IRNazanin" w:eastAsia="IRNazanin"/>
          <w:color w:val="111111"/>
          <w:sz w:val="28"/>
          <w:sz w:val="28"/>
          <w:szCs w:val="28"/>
          <w:rtl w:val="true"/>
          <w:lang w:bidi="fa-IR"/>
        </w:rPr>
        <w:t>، و گلهای عقاید قلوب را به هبوب نسایم متتابعه متابعت شریعت بهیّه، خندان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سلمای</w:t>
      </w:r>
      <w:r>
        <w:rPr>
          <w:rStyle w:val="FootnoteAnchor"/>
          <w:rtl w:val="true"/>
        </w:rPr>
        <w:footnoteReference w:id="276"/>
      </w:r>
      <w:r>
        <w:rPr>
          <w:rFonts w:ascii="IRNazanin" w:hAnsi="IRNazanin" w:eastAsia="IRNazanin"/>
          <w:color w:val="111111"/>
          <w:sz w:val="28"/>
          <w:sz w:val="28"/>
          <w:szCs w:val="28"/>
          <w:rtl w:val="true"/>
          <w:lang w:bidi="fa-IR"/>
        </w:rPr>
        <w:t>نیّت والا را به حلی و حلل یقین آراسته و عذار عذرای</w:t>
      </w:r>
      <w:r>
        <w:rPr>
          <w:rStyle w:val="FootnoteAnchor"/>
          <w:rtl w:val="true"/>
        </w:rPr>
        <w:footnoteReference w:id="277"/>
      </w:r>
      <w:r>
        <w:rPr>
          <w:rFonts w:ascii="IRNazanin" w:hAnsi="IRNazanin" w:eastAsia="IRNazanin"/>
          <w:color w:val="111111"/>
          <w:sz w:val="28"/>
          <w:sz w:val="28"/>
          <w:szCs w:val="28"/>
          <w:rtl w:val="true"/>
          <w:lang w:bidi="fa-IR"/>
        </w:rPr>
        <w:t xml:space="preserve">عقیدت علیا را به مشّاطکی ثبات در دین پیراسته؛ سررشته دولتش بر صفحات لیالی و ایام </w:t>
      </w:r>
    </w:p>
    <w:p>
      <w:pPr>
        <w:pStyle w:val="BookText"/>
        <w:rPr/>
      </w:pPr>
      <w:r>
        <w:rPr>
          <w:rFonts w:ascii="IRNazanin" w:hAnsi="IRNazanin" w:eastAsia="IRNazanin"/>
          <w:color w:val="111111"/>
          <w:sz w:val="28"/>
          <w:sz w:val="28"/>
          <w:szCs w:val="28"/>
          <w:rtl w:val="true"/>
          <w:lang w:bidi="fa-IR"/>
        </w:rPr>
        <w:t>و اوراق دهور و اعوام، ثبت و نگاشته؛ و پنج نوبت صیت سلطنتش در مسدّس جهات</w:t>
      </w:r>
      <w:r>
        <w:rPr>
          <w:rStyle w:val="FootnoteAnchor"/>
          <w:rtl w:val="true"/>
        </w:rPr>
        <w:footnoteReference w:id="278"/>
      </w:r>
      <w:r>
        <w:rPr>
          <w:rFonts w:ascii="IRNazanin" w:hAnsi="IRNazanin" w:eastAsia="IRNazanin"/>
          <w:color w:val="111111"/>
          <w:sz w:val="28"/>
          <w:sz w:val="28"/>
          <w:szCs w:val="28"/>
          <w:rtl w:val="true"/>
          <w:lang w:bidi="fa-IR"/>
        </w:rPr>
        <w:t>عرصه ربع مسکون</w:t>
      </w:r>
      <w:r>
        <w:rPr>
          <w:rStyle w:val="FootnoteAnchor"/>
          <w:rtl w:val="true"/>
        </w:rPr>
        <w:footnoteReference w:id="279"/>
      </w:r>
      <w:r>
        <w:rPr>
          <w:rFonts w:ascii="IRNazanin" w:hAnsi="IRNazanin" w:eastAsia="IRNazanin"/>
          <w:color w:val="111111"/>
          <w:sz w:val="28"/>
          <w:sz w:val="28"/>
          <w:szCs w:val="28"/>
          <w:rtl w:val="true"/>
          <w:lang w:bidi="fa-IR"/>
        </w:rPr>
        <w:t>، عَلَم انفراد افراشته، جامه دیبای قامت زیبای قابلیتش، محلّی به حلیه علوّ حسب، عنوان نامه ابد ختامه سطوتش مطرّز</w:t>
      </w:r>
      <w:r>
        <w:rPr>
          <w:rStyle w:val="FootnoteAnchor"/>
          <w:rtl w:val="true"/>
        </w:rPr>
        <w:footnoteReference w:id="280"/>
      </w:r>
      <w:r>
        <w:rPr>
          <w:rFonts w:ascii="IRNazanin" w:hAnsi="IRNazanin" w:eastAsia="IRNazanin"/>
          <w:color w:val="111111"/>
          <w:sz w:val="28"/>
          <w:sz w:val="28"/>
          <w:szCs w:val="28"/>
          <w:rtl w:val="true"/>
          <w:lang w:bidi="fa-IR"/>
        </w:rPr>
        <w:t>به طراز طغرای</w:t>
      </w:r>
      <w:r>
        <w:rPr>
          <w:rStyle w:val="FootnoteAnchor"/>
          <w:rtl w:val="true"/>
        </w:rPr>
        <w:footnoteReference w:id="281"/>
      </w:r>
      <w:r>
        <w:rPr>
          <w:rFonts w:ascii="IRNazanin" w:hAnsi="IRNazanin" w:eastAsia="IRNazanin"/>
          <w:color w:val="111111"/>
          <w:sz w:val="28"/>
          <w:sz w:val="28"/>
          <w:szCs w:val="28"/>
          <w:rtl w:val="true"/>
          <w:lang w:bidi="fa-IR"/>
        </w:rPr>
        <w:t>غرّای سمو نسب قباب سرادق جاه و جلالش چون سیّارات</w:t>
      </w:r>
      <w:r>
        <w:rPr>
          <w:rStyle w:val="FootnoteAnchor"/>
          <w:rtl w:val="true"/>
        </w:rPr>
        <w:footnoteReference w:id="282"/>
      </w:r>
      <w:r>
        <w:rPr>
          <w:rFonts w:ascii="IRNazanin" w:hAnsi="IRNazanin" w:eastAsia="IRNazanin"/>
          <w:color w:val="111111"/>
          <w:sz w:val="28"/>
          <w:sz w:val="28"/>
          <w:szCs w:val="28"/>
          <w:rtl w:val="true"/>
          <w:lang w:bidi="fa-IR"/>
        </w:rPr>
        <w:t xml:space="preserve">سپهر، زینت بخش بسیط زمین، غبار موکب همعنان اقبالش، سرمه بینائی چشم سلاطین با تمکین، نکته دیباچه عزّ و شرف، گوهر یکدانه این نه صدف، شاه فلک، جاه ممالک ستان، شمسه نه منظر کون و مکان، مطلع مجموعه لیل و نهار، معنی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الغزل</w:t>
      </w:r>
      <w:r>
        <w:rPr>
          <w:rStyle w:val="FootnoteAnchor"/>
          <w:rtl w:val="true"/>
        </w:rPr>
        <w:footnoteReference w:id="283"/>
      </w:r>
      <w:r>
        <w:rPr>
          <w:rFonts w:ascii="IRNazanin" w:hAnsi="IRNazanin" w:eastAsia="IRNazanin"/>
          <w:color w:val="111111"/>
          <w:sz w:val="28"/>
          <w:sz w:val="28"/>
          <w:szCs w:val="28"/>
          <w:rtl w:val="true"/>
          <w:lang w:bidi="fa-IR"/>
        </w:rPr>
        <w:t>اقتدار، السلطان بن السّلطان و الخاقان بن الخاقان شاه سُلطان حسین الحسینی الموسوی الصّفوی، بهادرخان، خلّد اللّه علی مفارق العالمین</w:t>
      </w:r>
      <w:r>
        <w:rPr>
          <w:rStyle w:val="FootnoteAnchor"/>
          <w:rtl w:val="true"/>
        </w:rPr>
        <w:footnoteReference w:id="284"/>
      </w:r>
      <w:r>
        <w:rPr>
          <w:rFonts w:ascii="IRNazanin" w:hAnsi="IRNazanin" w:eastAsia="IRNazanin"/>
          <w:color w:val="111111"/>
          <w:sz w:val="28"/>
          <w:sz w:val="28"/>
          <w:szCs w:val="28"/>
          <w:rtl w:val="true"/>
          <w:lang w:bidi="fa-IR"/>
        </w:rPr>
        <w:t>ظلال جلاله و ادام للمؤمنین مواید انعامه و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سطوع</w:t>
      </w:r>
      <w:r>
        <w:rPr>
          <w:rStyle w:val="FootnoteAnchor"/>
          <w:rtl w:val="true"/>
        </w:rPr>
        <w:footnoteReference w:id="285"/>
      </w:r>
      <w:r>
        <w:rPr>
          <w:rFonts w:ascii="IRNazanin" w:hAnsi="IRNazanin" w:eastAsia="IRNazanin"/>
          <w:color w:val="111111"/>
          <w:sz w:val="28"/>
          <w:sz w:val="28"/>
          <w:szCs w:val="28"/>
          <w:rtl w:val="true"/>
          <w:lang w:bidi="fa-IR"/>
        </w:rPr>
        <w:t>آفتاب جهان</w:t>
      </w:r>
      <w:r>
        <w:rPr>
          <w:rStyle w:val="FootnoteAnchor"/>
          <w:rtl w:val="true"/>
        </w:rPr>
        <w:footnoteReference w:id="286"/>
      </w:r>
      <w:r>
        <w:rPr>
          <w:rFonts w:ascii="IRNazanin" w:hAnsi="IRNazanin" w:eastAsia="IRNazanin"/>
          <w:color w:val="111111"/>
          <w:sz w:val="28"/>
          <w:sz w:val="28"/>
          <w:szCs w:val="28"/>
          <w:rtl w:val="true"/>
          <w:lang w:bidi="fa-IR"/>
        </w:rPr>
        <w:t>افروز دولت پایدار بی زوال و آغاز طلوع نیّر مملکت</w:t>
      </w:r>
      <w:r>
        <w:rPr>
          <w:rStyle w:val="FootnoteAnchor"/>
          <w:rtl w:val="true"/>
        </w:rPr>
        <w:footnoteReference w:id="287"/>
      </w:r>
      <w:r>
        <w:rPr>
          <w:rFonts w:ascii="IRNazanin" w:hAnsi="IRNazanin" w:eastAsia="IRNazanin"/>
          <w:color w:val="111111"/>
          <w:sz w:val="28"/>
          <w:sz w:val="28"/>
          <w:szCs w:val="28"/>
          <w:rtl w:val="true"/>
          <w:lang w:bidi="fa-IR"/>
        </w:rPr>
        <w:t>ابد قرار از مشارق عظمت و اقبال، متوجّه ترویج شریعت مطهّره حضرت رسالت پناهی صلی الله علیه و آله و قیام به اوامر و نواهی کما هی بوده و هست تا همگی پناهندگان</w:t>
      </w:r>
      <w:r>
        <w:rPr>
          <w:rStyle w:val="FootnoteAnchor"/>
          <w:rtl w:val="true"/>
        </w:rPr>
        <w:footnoteReference w:id="288"/>
      </w:r>
      <w:r>
        <w:rPr>
          <w:rFonts w:ascii="IRNazanin" w:hAnsi="IRNazanin" w:eastAsia="IRNazanin"/>
          <w:color w:val="111111"/>
          <w:sz w:val="28"/>
          <w:sz w:val="28"/>
          <w:szCs w:val="28"/>
          <w:rtl w:val="true"/>
          <w:lang w:bidi="fa-IR"/>
        </w:rPr>
        <w:t>سایه مرحمت و جملگی سایه گزینان شادروان رأفتش، عامل به مقتضای شرع اطهر و به طریق انور هدایت رهبر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راه که در امور فروج زیادتی اهتمام و نظم عقود</w:t>
      </w:r>
      <w:r>
        <w:rPr>
          <w:rStyle w:val="FootnoteAnchor"/>
          <w:rtl w:val="true"/>
        </w:rPr>
        <w:footnoteReference w:id="289"/>
      </w:r>
      <w:r>
        <w:rPr>
          <w:rFonts w:ascii="IRNazanin" w:hAnsi="IRNazanin" w:eastAsia="IRNazanin"/>
          <w:color w:val="111111"/>
          <w:sz w:val="28"/>
          <w:sz w:val="28"/>
          <w:szCs w:val="28"/>
          <w:rtl w:val="true"/>
          <w:lang w:bidi="fa-IR"/>
        </w:rPr>
        <w:t xml:space="preserve">ازدواج بر نهج شرعی، </w:t>
      </w:r>
    </w:p>
    <w:p>
      <w:pPr>
        <w:pStyle w:val="BookText"/>
        <w:rPr/>
      </w:pPr>
      <w:r>
        <w:rPr>
          <w:rFonts w:ascii="IRNazanin" w:hAnsi="IRNazanin" w:eastAsia="IRNazanin"/>
          <w:color w:val="111111"/>
          <w:sz w:val="28"/>
          <w:sz w:val="28"/>
          <w:szCs w:val="28"/>
          <w:rtl w:val="true"/>
          <w:lang w:bidi="fa-IR"/>
        </w:rPr>
        <w:t>باعث نظام و دوام بود و در این وقت خاطر خطیر اشرف اعلی و ضمیر منیر مقدّس معلّی متعلّق گشته که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اختصار به طریق</w:t>
      </w:r>
      <w:r>
        <w:rPr>
          <w:rStyle w:val="FootnoteAnchor"/>
          <w:rtl w:val="true"/>
        </w:rPr>
        <w:footnoteReference w:id="290"/>
      </w:r>
      <w:r>
        <w:rPr>
          <w:rFonts w:ascii="IRNazanin" w:hAnsi="IRNazanin" w:eastAsia="IRNazanin"/>
          <w:color w:val="111111"/>
          <w:sz w:val="28"/>
          <w:sz w:val="28"/>
          <w:szCs w:val="28"/>
          <w:rtl w:val="true"/>
          <w:lang w:bidi="fa-IR"/>
        </w:rPr>
        <w:t>خاص و تفصیلی که صفایح اوراق رقم‌پذیر خواهد گشت، در باب ایقاع عقود نکاح و متعه و کفّاره افطار روزه ماه مبارک رمضان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حقیر قاصر خاسر</w:t>
      </w:r>
      <w:r>
        <w:rPr>
          <w:rStyle w:val="FootnoteAnchor"/>
          <w:rtl w:val="true"/>
        </w:rPr>
        <w:footnoteReference w:id="291"/>
      </w:r>
      <w:r>
        <w:rPr>
          <w:rFonts w:ascii="IRNazanin" w:hAnsi="IRNazanin" w:eastAsia="IRNazanin"/>
          <w:color w:val="111111"/>
          <w:sz w:val="28"/>
          <w:sz w:val="28"/>
          <w:szCs w:val="28"/>
          <w:rtl w:val="true"/>
          <w:lang w:bidi="fa-IR"/>
        </w:rPr>
        <w:t>محمّدباقر بن اسماعیل الحسینی الخاتون آبادی، کمر جد بر میان جان استوار</w:t>
      </w:r>
      <w:r>
        <w:rPr>
          <w:rStyle w:val="FootnoteAnchor"/>
          <w:rtl w:val="true"/>
        </w:rPr>
        <w:footnoteReference w:id="292"/>
      </w:r>
      <w:r>
        <w:rPr>
          <w:rFonts w:ascii="IRNazanin" w:hAnsi="IRNazanin" w:eastAsia="IRNazanin"/>
          <w:color w:val="111111"/>
          <w:sz w:val="28"/>
          <w:sz w:val="28"/>
          <w:szCs w:val="28"/>
          <w:rtl w:val="true"/>
          <w:lang w:bidi="fa-IR"/>
        </w:rPr>
        <w:t>، 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ابواب بر نهج مأمور مشتمل بر سه مطلب نوشته هدیه محفل ارم مماثل و بزم فردوس مشاکل آن اعلی حضرت گردون بسطت ساخت؛ امیّد که از خرده‌گیری</w:t>
      </w:r>
      <w:r>
        <w:rPr>
          <w:rStyle w:val="FootnoteAnchor"/>
          <w:rtl w:val="true"/>
        </w:rPr>
        <w:footnoteReference w:id="293"/>
      </w:r>
      <w:r>
        <w:rPr>
          <w:rFonts w:ascii="IRNazanin" w:hAnsi="IRNazanin" w:eastAsia="IRNazanin"/>
          <w:color w:val="111111"/>
          <w:sz w:val="28"/>
          <w:sz w:val="28"/>
          <w:szCs w:val="28"/>
          <w:rtl w:val="true"/>
          <w:lang w:bidi="fa-IR"/>
        </w:rPr>
        <w:t xml:space="preserve">ارباب نظر دور و در نظر بازیافتگان درگاه خسرو بلند اقبال، مقبول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و المعین </w:t>
      </w:r>
      <w:bookmarkStart w:id="224" w:name="pg17288_199554"/>
    </w:p>
    <w:p>
      <w:pPr>
        <w:pStyle w:val="Heading3"/>
        <w:numPr>
          <w:ilvl w:val="2"/>
          <w:numId w:val="1"/>
        </w:numPr>
        <w:rPr/>
      </w:pPr>
      <w:bookmarkStart w:id="225" w:name="__RefHeading___Toc4413650_3224264995"/>
      <w:bookmarkStart w:id="226" w:name="_Toc86"/>
      <w:bookmarkEnd w:id="224"/>
      <w:bookmarkEnd w:id="225"/>
      <w:r>
        <w:rPr>
          <w:rtl w:val="true"/>
        </w:rPr>
        <w:t>[</w:t>
      </w:r>
      <w:r>
        <w:rPr>
          <w:rtl w:val="true"/>
        </w:rPr>
        <w:t>در بیان عقد نکاح</w:t>
      </w:r>
      <w:r>
        <w:rPr>
          <w:rtl w:val="true"/>
        </w:rPr>
        <w:t>]</w:t>
      </w:r>
      <w:bookmarkEnd w:id="226"/>
    </w:p>
    <w:p>
      <w:pPr>
        <w:pStyle w:val="Heading4"/>
        <w:numPr>
          <w:ilvl w:val="3"/>
          <w:numId w:val="1"/>
        </w:numPr>
        <w:rPr/>
      </w:pPr>
      <w:bookmarkStart w:id="227" w:name="__RefHeading___Toc4413652_3224264995"/>
      <w:bookmarkStart w:id="228" w:name="_Toc87"/>
      <w:bookmarkEnd w:id="227"/>
      <w:r>
        <w:rPr>
          <w:rtl w:val="true"/>
        </w:rPr>
        <w:t>مطلب اول</w:t>
      </w:r>
      <w:bookmarkEnd w:id="228"/>
    </w:p>
    <w:p>
      <w:pPr>
        <w:pStyle w:val="BookText"/>
        <w:rPr/>
      </w:pPr>
      <w:r>
        <w:rPr>
          <w:rFonts w:ascii="IRNazanin" w:hAnsi="IRNazanin" w:eastAsia="IRNazanin"/>
          <w:color w:val="111111"/>
          <w:sz w:val="28"/>
          <w:sz w:val="28"/>
          <w:szCs w:val="28"/>
          <w:rtl w:val="true"/>
          <w:lang w:bidi="fa-IR"/>
        </w:rPr>
        <w:t>مخفی نیست که هرگاه صیغه نکاح یا متعه میان مردی</w:t>
      </w:r>
      <w:r>
        <w:rPr>
          <w:rStyle w:val="FootnoteAnchor"/>
          <w:rtl w:val="true"/>
        </w:rPr>
        <w:footnoteReference w:id="294"/>
      </w:r>
      <w:r>
        <w:rPr>
          <w:rFonts w:ascii="IRNazanin" w:hAnsi="IRNazanin" w:eastAsia="IRNazanin"/>
          <w:color w:val="111111"/>
          <w:sz w:val="28"/>
          <w:sz w:val="28"/>
          <w:szCs w:val="28"/>
          <w:rtl w:val="true"/>
          <w:lang w:bidi="fa-IR"/>
        </w:rPr>
        <w:t>و زنی جاری شد، هرگاه</w:t>
      </w:r>
      <w:r>
        <w:rPr>
          <w:rStyle w:val="FootnoteAnchor"/>
          <w:rtl w:val="true"/>
        </w:rPr>
        <w:footnoteReference w:id="295"/>
      </w:r>
      <w:r>
        <w:rPr>
          <w:rFonts w:ascii="IRNazanin" w:hAnsi="IRNazanin" w:eastAsia="IRNazanin"/>
          <w:color w:val="111111"/>
          <w:sz w:val="28"/>
          <w:sz w:val="28"/>
          <w:szCs w:val="28"/>
          <w:rtl w:val="true"/>
          <w:lang w:bidi="fa-IR"/>
        </w:rPr>
        <w:t>هریک، دیگری را می‌بینند</w:t>
      </w:r>
      <w:r>
        <w:rPr>
          <w:rStyle w:val="FootnoteAnchor"/>
          <w:rtl w:val="true"/>
        </w:rPr>
        <w:footnoteReference w:id="296"/>
      </w:r>
      <w:r>
        <w:rPr>
          <w:rFonts w:ascii="IRNazanin" w:hAnsi="IRNazanin" w:eastAsia="IRNazanin"/>
          <w:color w:val="111111"/>
          <w:sz w:val="28"/>
          <w:sz w:val="28"/>
          <w:szCs w:val="28"/>
          <w:rtl w:val="true"/>
          <w:lang w:bidi="fa-IR"/>
        </w:rPr>
        <w:t>و انواع تمتعات از هم می‌برند و غالب اوقات فرزند از ایشان به وجود می‌آید؛ اگر عقد و قصد صحیح باشد، هریک از این افعال موجب ثواب و حسنه می‌باشد؛ و اگر معاذ اللّه عقد صحیح نباشد، زن بر مرد غیرحلال و هریک از این افعال حرام و فرزند ولد زنا خواهد بود، مگر آنکه شبهه‌ای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بر هرکه صیغه تزویج گوید، آنکه نهایت احتیاط را در عقد و شرایط آن رعایت نماید و صیغه را به طریقی بخواند که هیچ یک از علماء در صحّت آن خلاف</w:t>
      </w:r>
      <w:r>
        <w:rPr>
          <w:rStyle w:val="FootnoteAnchor"/>
          <w:rtl w:val="true"/>
        </w:rPr>
        <w:footnoteReference w:id="297"/>
      </w:r>
      <w:r>
        <w:rPr>
          <w:rFonts w:ascii="IRNazanin" w:hAnsi="IRNazanin" w:eastAsia="IRNazanin"/>
          <w:color w:val="111111"/>
          <w:sz w:val="28"/>
          <w:sz w:val="28"/>
          <w:szCs w:val="28"/>
          <w:rtl w:val="true"/>
          <w:lang w:bidi="fa-IR"/>
        </w:rPr>
        <w:t xml:space="preserve">نکرده باشند، تا اطمینان کامل حاصل شود و معانی الفاظ را درست فهم کند و حروف را از مخارج لایقه ادا نماید و حرکات و سکونات الفاظ را درست گوید و از 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قصد انشا آن است که قصد نماید که حلال شدن این زن را بر این مرد به </w:t>
      </w:r>
    </w:p>
    <w:p>
      <w:pPr>
        <w:pStyle w:val="BookText"/>
        <w:rPr/>
      </w:pPr>
      <w:r>
        <w:rPr>
          <w:rFonts w:ascii="IRNazanin" w:hAnsi="IRNazanin" w:eastAsia="IRNazanin"/>
          <w:color w:val="111111"/>
          <w:sz w:val="28"/>
          <w:sz w:val="28"/>
          <w:szCs w:val="28"/>
          <w:rtl w:val="true"/>
          <w:lang w:bidi="fa-IR"/>
        </w:rPr>
        <w:t>طریق نکاح یا متعه؛ الحال به سبب این کلام احداث می‌کنم و واقع می‌سازم، نه آنکه نکاح یا متعه و قبول کردن آن در زمان گذشته واقع شده است و من از آن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زن یا وکیل زن، آنچه را که در صیغه می‌گوید ـ که آن را ایجاب</w:t>
      </w:r>
      <w:r>
        <w:rPr>
          <w:rStyle w:val="FootnoteAnchor"/>
          <w:rtl w:val="true"/>
        </w:rPr>
        <w:footnoteReference w:id="298"/>
      </w:r>
      <w:r>
        <w:rPr>
          <w:rFonts w:ascii="IRNazanin" w:hAnsi="IRNazanin" w:eastAsia="IRNazanin"/>
          <w:color w:val="111111"/>
          <w:sz w:val="28"/>
          <w:sz w:val="28"/>
          <w:szCs w:val="28"/>
          <w:rtl w:val="true"/>
          <w:lang w:bidi="fa-IR"/>
        </w:rPr>
        <w:t>می‌نامند ـ تا تمام</w:t>
      </w:r>
      <w:r>
        <w:rPr>
          <w:rStyle w:val="FootnoteAnchor"/>
          <w:rtl w:val="true"/>
        </w:rPr>
        <w:footnoteReference w:id="299"/>
      </w:r>
      <w:r>
        <w:rPr>
          <w:rFonts w:ascii="IRNazanin" w:hAnsi="IRNazanin" w:eastAsia="IRNazanin"/>
          <w:color w:val="111111"/>
          <w:sz w:val="28"/>
          <w:sz w:val="28"/>
          <w:szCs w:val="28"/>
          <w:rtl w:val="true"/>
          <w:lang w:bidi="fa-IR"/>
        </w:rPr>
        <w:t xml:space="preserve">نکند، مرد یا وکیل مرد، شروع در تلفظ به قبول نکند؛ و هرگاه ایجاب تمام شود، بی‌فاصله تلفّظ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صحّت عقد تزویج، شرط است تعیین نمودن مرد و زن،</w:t>
      </w:r>
      <w:r>
        <w:rPr>
          <w:rStyle w:val="FootnoteAnchor"/>
          <w:rtl w:val="true"/>
        </w:rPr>
        <w:footnoteReference w:id="300"/>
      </w:r>
      <w:r>
        <w:rPr>
          <w:rFonts w:ascii="IRNazanin" w:hAnsi="IRNazanin" w:eastAsia="IRNazanin"/>
          <w:color w:val="111111"/>
          <w:sz w:val="28"/>
          <w:sz w:val="28"/>
          <w:szCs w:val="28"/>
          <w:rtl w:val="true"/>
          <w:lang w:bidi="fa-IR"/>
        </w:rPr>
        <w:t>اگر مرد و زن با هم صیغه گویند، به طریق تکلم و خطاب تعیین می‌نمایند، و اگر وکیلهای ایشان صیغه گویند، باید اسم مرد و زن را در صیغه مذکور سازند به نحوی که ممتاز و معیّن شوند و اشتباهی در آنها نباشد</w:t>
      </w:r>
      <w:r>
        <w:rPr>
          <w:rStyle w:val="FootnoteAnchor"/>
          <w:rtl w:val="true"/>
        </w:rPr>
        <w:footnoteReference w:id="301"/>
      </w:r>
      <w:r>
        <w:rPr>
          <w:rFonts w:ascii="IRNazanin" w:hAnsi="IRNazanin" w:eastAsia="IRNazanin"/>
          <w:color w:val="111111"/>
          <w:sz w:val="28"/>
          <w:sz w:val="28"/>
          <w:szCs w:val="28"/>
          <w:rtl w:val="true"/>
          <w:lang w:bidi="fa-IR"/>
        </w:rPr>
        <w:t xml:space="preserve">و اگر نام ایشان را نگویند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مُوَکِّلی وَ مُوَکّلَتِی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ایشان کنند، قصد کنند به این دو لفظ ایشان را و در میان وکیلهای</w:t>
      </w:r>
      <w:r>
        <w:rPr>
          <w:rStyle w:val="FootnoteAnchor"/>
          <w:rtl w:val="true"/>
        </w:rPr>
        <w:footnoteReference w:id="302"/>
      </w:r>
      <w:r>
        <w:rPr>
          <w:rFonts w:ascii="IRNazanin" w:hAnsi="IRNazanin" w:eastAsia="IRNazanin"/>
          <w:color w:val="111111"/>
          <w:sz w:val="28"/>
          <w:sz w:val="28"/>
          <w:szCs w:val="28"/>
          <w:rtl w:val="true"/>
          <w:lang w:bidi="fa-IR"/>
        </w:rPr>
        <w:t>ایشان به نحو ممتاز معهود باشند و اگر حاضر باشند</w:t>
      </w:r>
      <w:r>
        <w:rPr>
          <w:rStyle w:val="FootnoteAnchor"/>
          <w:rtl w:val="true"/>
        </w:rPr>
        <w:footnoteReference w:id="303"/>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اشاره کنند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نیست در صحت عقد نکاح دائمی، ذکر صداق</w:t>
      </w:r>
      <w:r>
        <w:rPr>
          <w:rStyle w:val="FootnoteAnchor"/>
          <w:rtl w:val="true"/>
        </w:rPr>
        <w:footnoteReference w:id="305"/>
      </w:r>
      <w:r>
        <w:rPr>
          <w:rFonts w:ascii="IRNazanin" w:hAnsi="IRNazanin" w:eastAsia="IRNazanin"/>
          <w:color w:val="111111"/>
          <w:sz w:val="28"/>
          <w:sz w:val="28"/>
          <w:szCs w:val="28"/>
          <w:rtl w:val="true"/>
          <w:lang w:bidi="fa-IR"/>
        </w:rPr>
        <w:t xml:space="preserve">و مراد به صداق و مهر آن </w:t>
      </w:r>
    </w:p>
    <w:p>
      <w:pPr>
        <w:pStyle w:val="BookText"/>
        <w:rPr/>
      </w:pPr>
      <w:r>
        <w:rPr>
          <w:rFonts w:ascii="IRNazanin" w:hAnsi="IRNazanin" w:eastAsia="IRNazanin"/>
          <w:color w:val="111111"/>
          <w:sz w:val="28"/>
          <w:sz w:val="28"/>
          <w:szCs w:val="28"/>
          <w:rtl w:val="true"/>
          <w:lang w:bidi="fa-IR"/>
        </w:rPr>
        <w:t>چیزی است که مرد در عوض به زن می‌دهد، پس اگر در عقد، مهر را مذکور نسازند نکاح صحیح است به شرط آنکه در عقد شرط نکنند که صداق اصلا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عقد، صداق را مذکور نسازند، بر زوج چه چیز لازم می‌شود، مناسب این مختصر نیست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اگر مهر را مذکور کنند ضرور است که تعیین نمایند جنس و قدر و وصف آن را به طریقی که مشخص و معیّن شود و قابل زیادتی و نقصان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نیست که مهر طلا یا نقره باشد، بلکه هر عینی که به حسب شرع مملوک باشد یا منفعتی که به ازاء آن شرعاً اجرتی توان داد هرگاه معین باشد مهر قرار</w:t>
      </w:r>
      <w:r>
        <w:rPr>
          <w:rStyle w:val="FootnoteAnchor"/>
          <w:rtl w:val="true"/>
        </w:rPr>
        <w:footnoteReference w:id="307"/>
      </w:r>
      <w:r>
        <w:rPr>
          <w:rFonts w:ascii="IRNazanin" w:hAnsi="IRNazanin" w:eastAsia="IRNazanin"/>
          <w:color w:val="111111"/>
          <w:sz w:val="28"/>
          <w:sz w:val="28"/>
          <w:szCs w:val="28"/>
          <w:rtl w:val="true"/>
          <w:lang w:bidi="fa-IR"/>
        </w:rPr>
        <w:t>می‌توان داد، مثل آنکه مردی مهر زن را این</w:t>
      </w:r>
      <w:r>
        <w:rPr>
          <w:rStyle w:val="FootnoteAnchor"/>
          <w:rtl w:val="true"/>
        </w:rPr>
        <w:footnoteReference w:id="308"/>
      </w:r>
      <w:r>
        <w:rPr>
          <w:rFonts w:ascii="IRNazanin" w:hAnsi="IRNazanin" w:eastAsia="IRNazanin"/>
          <w:color w:val="111111"/>
          <w:sz w:val="28"/>
          <w:sz w:val="28"/>
          <w:szCs w:val="28"/>
          <w:rtl w:val="true"/>
          <w:lang w:bidi="fa-IR"/>
        </w:rPr>
        <w:t>قرار دهد که تعلیم نماید به آن زن، سوره 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309"/>
      </w:r>
      <w:r>
        <w:rPr>
          <w:rFonts w:ascii="IRNazanin" w:hAnsi="IRNazanin" w:eastAsia="IRNazanin"/>
          <w:color w:val="111111"/>
          <w:sz w:val="28"/>
          <w:sz w:val="28"/>
          <w:szCs w:val="28"/>
          <w:rtl w:val="true"/>
          <w:lang w:bidi="fa-IR"/>
        </w:rPr>
        <w:t>از سوره‌های قرآن مجید، چنان که در حدیث</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پیامبر صلی الله علیه و آله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شوهر بده آن حضرت رو به اصحاب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این بانو ازدواج می‌نماید؟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قصد ازدواج با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را چه قرار می‌دهی؟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مهریه نمی‌توانی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اصحاب کرده و از آنها پرسید کدام یک حاضرند با آن زن ازدواج کنند آن مرد دوباره تمایل خود را برای ازدواج با آن بانو اعلام کرد و پیامبر صلی الله علیه و آله به دلیل آن که نمی‌توانست مهریه‌ای برای آن زن قرار دهد، پیشنهاد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بار سوم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سوم که پیامبر از اصحاب سؤال کردند؟ چه کسی تمایل به ازدواج با او را دارد؟ آن مرد برای بار سوم تقاضای خود را اعلام کرد،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را به نیکویی می‌دانی؟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عقد او درآوردم بر اینکه مهریه آن بانو آموزش قرآن توسط تو به او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علما رضوان اللّه تعالی علیهم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و زن قادر بر گفتن صیغه تزویج به لغت عربی</w:t>
      </w:r>
      <w:r>
        <w:rPr>
          <w:rStyle w:val="FootnoteAnchor"/>
          <w:rtl w:val="true"/>
        </w:rPr>
        <w:footnoteReference w:id="311"/>
      </w:r>
      <w:r>
        <w:rPr>
          <w:rFonts w:ascii="IRNazanin" w:hAnsi="IRNazanin" w:eastAsia="IRNazanin"/>
          <w:color w:val="111111"/>
          <w:sz w:val="28"/>
          <w:sz w:val="28"/>
          <w:szCs w:val="28"/>
          <w:rtl w:val="true"/>
          <w:lang w:bidi="fa-IR"/>
        </w:rPr>
        <w:t>باشند جایز نیست که به لغتی دیگر صیغه گویند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اگر هیچ یک از مرد و زن قادر بر عربی گفتن صیغه نباشند و قادر بر آموختن صیغه به لغت عربی باشند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مشقتی که تحمل آن از عادت بیرون باشد و خواهند که خود صیغه گویند، لازم است که تعلّم کنند و بغیر عربی اکتفا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مشقت مزبوره قادر بر تعلّم نباشند، جایز است که صیغه را به لغت غیرعربی که می‌دانند بگویند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مرد و زن عارف به لغت عربی</w:t>
      </w:r>
      <w:r>
        <w:rPr>
          <w:rStyle w:val="FootnoteAnchor"/>
          <w:rtl w:val="true"/>
        </w:rPr>
        <w:footnoteReference w:id="313"/>
      </w:r>
      <w:r>
        <w:rPr>
          <w:rFonts w:ascii="IRNazanin" w:hAnsi="IRNazanin" w:eastAsia="IRNazanin"/>
          <w:color w:val="111111"/>
          <w:sz w:val="28"/>
          <w:sz w:val="28"/>
          <w:szCs w:val="28"/>
          <w:rtl w:val="true"/>
          <w:lang w:bidi="fa-IR"/>
        </w:rPr>
        <w:t>یا قادر بر تعلّم باشد، بر او لازم است که به عربی ادا نماید و دیگری که عارف و قادر</w:t>
      </w:r>
      <w:r>
        <w:rPr>
          <w:rStyle w:val="FootnoteAnchor"/>
          <w:rtl w:val="true"/>
        </w:rPr>
        <w:footnoteReference w:id="314"/>
      </w:r>
      <w:r>
        <w:rPr>
          <w:rFonts w:ascii="IRNazanin" w:hAnsi="IRNazanin" w:eastAsia="IRNazanin"/>
          <w:color w:val="111111"/>
          <w:sz w:val="28"/>
          <w:sz w:val="28"/>
          <w:szCs w:val="28"/>
          <w:rtl w:val="true"/>
          <w:lang w:bidi="fa-IR"/>
        </w:rPr>
        <w:t xml:space="preserve">نباشد، اکتفا بغیر عربی می‌تواند نمود؛ و هرگاه عارف به عربی و قادر بر تعلّم آن نباشند و توانند دیگری را وکیل نمود تا به </w:t>
      </w:r>
    </w:p>
    <w:p>
      <w:pPr>
        <w:pStyle w:val="BookText"/>
        <w:rPr/>
      </w:pPr>
      <w:r>
        <w:rPr>
          <w:rFonts w:ascii="IRNazanin" w:hAnsi="IRNazanin" w:eastAsia="IRNazanin"/>
          <w:color w:val="111111"/>
          <w:sz w:val="28"/>
          <w:sz w:val="28"/>
          <w:szCs w:val="28"/>
          <w:rtl w:val="true"/>
          <w:lang w:bidi="fa-IR"/>
        </w:rPr>
        <w:t>عربی صیغه را جاری سازد</w:t>
      </w:r>
      <w:r>
        <w:rPr>
          <w:rStyle w:val="FootnoteAnchor"/>
          <w:rtl w:val="true"/>
        </w:rPr>
        <w:footnoteReference w:id="315"/>
      </w:r>
      <w:r>
        <w:rPr>
          <w:rFonts w:ascii="IRNazanin" w:hAnsi="IRNazanin" w:eastAsia="IRNazanin"/>
          <w:color w:val="111111"/>
          <w:sz w:val="28"/>
          <w:sz w:val="28"/>
          <w:szCs w:val="28"/>
          <w:rtl w:val="true"/>
          <w:lang w:bidi="fa-IR"/>
        </w:rPr>
        <w:t>، علماء خلاف کرده‌اند در اینکه دیگری را وکیل کردن لازم است یا نه، بعضی به لزوم توکیل قائل شده‌اند و بیشتر برآنند که توکیل لازم نیست و مرد و زن را با امکان توکیل، جایز است صیغه گفتن به غیر عربی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بعضی از علماء قائل شده‌اند که زوجین هرچند قادر بر عربی گفتن صیغه باشند، جایز است که صیغه را به غیر عربی گویند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احوط آن است که یا مرد و زن با هم صیغه را به عربی گویند یا وکیل نمایند دیگری را تا به عربی</w:t>
      </w:r>
      <w:r>
        <w:rPr>
          <w:rStyle w:val="FootnoteAnchor"/>
          <w:rtl w:val="true"/>
        </w:rPr>
        <w:footnoteReference w:id="318"/>
      </w:r>
      <w:r>
        <w:rPr>
          <w:rFonts w:ascii="IRNazanin" w:hAnsi="IRNazanin" w:eastAsia="IRNazanin"/>
          <w:color w:val="111111"/>
          <w:sz w:val="28"/>
          <w:sz w:val="28"/>
          <w:szCs w:val="28"/>
          <w:rtl w:val="true"/>
          <w:lang w:bidi="fa-IR"/>
        </w:rPr>
        <w:t>صیغه گفته شود</w:t>
      </w:r>
      <w:r>
        <w:rPr>
          <w:rStyle w:val="FootnoteAnchor"/>
          <w:rtl w:val="true"/>
        </w:rPr>
        <w:footnoteReference w:id="319"/>
      </w:r>
      <w:r>
        <w:rPr>
          <w:rFonts w:ascii="IRNazanin" w:hAnsi="IRNazanin" w:eastAsia="IRNazanin"/>
          <w:color w:val="111111"/>
          <w:sz w:val="28"/>
          <w:sz w:val="28"/>
          <w:szCs w:val="28"/>
          <w:rtl w:val="true"/>
          <w:lang w:bidi="fa-IR"/>
        </w:rPr>
        <w:t>و اکتفا به غیر عربی ننمایند، به تخصیص با قدرت بر وکیل کردن شخصی که عارف به عربی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علما خلاف نموده‌اند</w:t>
      </w:r>
      <w:r>
        <w:rPr>
          <w:rStyle w:val="FootnoteAnchor"/>
          <w:rtl w:val="true"/>
        </w:rPr>
        <w:footnoteReference w:id="320"/>
      </w:r>
      <w:r>
        <w:rPr>
          <w:rFonts w:ascii="IRNazanin" w:hAnsi="IRNazanin" w:eastAsia="IRNazanin"/>
          <w:color w:val="111111"/>
          <w:sz w:val="28"/>
          <w:sz w:val="28"/>
          <w:szCs w:val="28"/>
          <w:rtl w:val="true"/>
          <w:lang w:bidi="fa-IR"/>
        </w:rPr>
        <w:t>در اینکه</w:t>
      </w:r>
      <w:r>
        <w:rPr>
          <w:rStyle w:val="FootnoteAnchor"/>
          <w:rtl w:val="true"/>
        </w:rPr>
        <w:footnoteReference w:id="321"/>
      </w:r>
      <w:r>
        <w:rPr>
          <w:rFonts w:ascii="IRNazanin" w:hAnsi="IRNazanin" w:eastAsia="IRNazanin"/>
          <w:color w:val="111111"/>
          <w:sz w:val="28"/>
          <w:sz w:val="28"/>
          <w:szCs w:val="28"/>
          <w:rtl w:val="true"/>
          <w:lang w:bidi="fa-IR"/>
        </w:rPr>
        <w:t>طرف ایجاب و قبول هر دو یک شخص می‌تواند بود یا نه، مثل آنکه مرد و زن هر دو یک شخص را وکیل کنند</w:t>
      </w:r>
      <w:r>
        <w:rPr>
          <w:rStyle w:val="FootnoteAnchor"/>
          <w:rtl w:val="true"/>
        </w:rPr>
        <w:footnoteReference w:id="322"/>
      </w:r>
      <w:r>
        <w:rPr>
          <w:rFonts w:ascii="IRNazanin" w:hAnsi="IRNazanin" w:eastAsia="IRNazanin"/>
          <w:color w:val="111111"/>
          <w:sz w:val="28"/>
          <w:sz w:val="28"/>
          <w:szCs w:val="28"/>
          <w:rtl w:val="true"/>
          <w:lang w:bidi="fa-IR"/>
        </w:rPr>
        <w:t>و احتیاط در آن است که طرف ایجاب و قبول هر دو یک شخص نباشند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نکاح دایمی به هریک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به اتّفاق علما رضی اللّه تعالی عنهم اکتفا به هریک از این دو لفظ می‌توان نمود</w:t>
      </w:r>
      <w:r>
        <w:rPr>
          <w:rStyle w:val="FootnoteAnchor"/>
          <w:rtl w:val="true"/>
        </w:rPr>
        <w:footnoteReference w:id="324"/>
      </w:r>
      <w:r>
        <w:rPr>
          <w:rFonts w:ascii="IRNazanin" w:hAnsi="IRNazanin" w:eastAsia="IRNazanin"/>
          <w:color w:val="111111"/>
          <w:sz w:val="28"/>
          <w:sz w:val="28"/>
          <w:szCs w:val="28"/>
          <w:rtl w:val="true"/>
          <w:lang w:bidi="fa-IR"/>
        </w:rPr>
        <w:t>و در قرآن مجید</w:t>
      </w:r>
      <w:r>
        <w:rPr>
          <w:rStyle w:val="FootnoteAnchor"/>
          <w:rtl w:val="true"/>
        </w:rPr>
        <w:footnoteReference w:id="325"/>
      </w:r>
      <w:r>
        <w:rPr>
          <w:rFonts w:ascii="IRNazanin" w:hAnsi="IRNazanin" w:eastAsia="IRNazanin"/>
          <w:color w:val="111111"/>
          <w:sz w:val="28"/>
          <w:sz w:val="28"/>
          <w:szCs w:val="28"/>
          <w:rtl w:val="true"/>
          <w:lang w:bidi="fa-IR"/>
        </w:rPr>
        <w:t>و اخبار ائمّه اطهار</w:t>
      </w:r>
      <w:r>
        <w:rPr>
          <w:rStyle w:val="FootnoteAnchor"/>
          <w:rtl w:val="true"/>
        </w:rPr>
        <w:footnoteReference w:id="326"/>
      </w:r>
      <w:r>
        <w:rPr>
          <w:rFonts w:ascii="IRNazanin" w:hAnsi="IRNazanin" w:eastAsia="IRNazanin"/>
          <w:color w:val="111111"/>
          <w:sz w:val="28"/>
          <w:sz w:val="28"/>
          <w:szCs w:val="28"/>
          <w:rtl w:val="true"/>
          <w:lang w:bidi="fa-IR"/>
        </w:rPr>
        <w:t xml:space="preserve">صلوات اللّه تعالی علیهم هریک از این دو لفظ متعدی به دو مفعول شده‌اند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لیکن در بعضی از مواضع زوج مفعول اول است و زوجه مفعول ثانی و در بعضی دیگر برعکس و در بعضی از مواضع</w:t>
      </w:r>
      <w:r>
        <w:rPr>
          <w:rStyle w:val="FootnoteAnchor"/>
          <w:rtl w:val="true"/>
        </w:rPr>
        <w:footnoteReference w:id="327"/>
      </w:r>
      <w:r>
        <w:rPr>
          <w:rFonts w:ascii="IRNazanin" w:hAnsi="IRNazanin" w:eastAsia="IRNazanin"/>
          <w:color w:val="111111"/>
          <w:sz w:val="28"/>
          <w:sz w:val="28"/>
          <w:szCs w:val="28"/>
          <w:rtl w:val="true"/>
          <w:lang w:bidi="fa-IR"/>
        </w:rPr>
        <w:t>تزویج متعدی به مفعول دویّم</w:t>
      </w:r>
      <w:r>
        <w:rPr>
          <w:rStyle w:val="FootnoteAnchor"/>
          <w:rtl w:val="true"/>
        </w:rPr>
        <w:footnoteReference w:id="328"/>
      </w:r>
      <w:r>
        <w:rPr>
          <w:rFonts w:ascii="IRNazanin" w:hAnsi="IRNazanin" w:eastAsia="IRNazanin"/>
          <w:color w:val="111111"/>
          <w:sz w:val="28"/>
          <w:sz w:val="28"/>
          <w:szCs w:val="28"/>
          <w:rtl w:val="true"/>
          <w:lang w:bidi="fa-IR"/>
        </w:rPr>
        <w:t xml:space="preserve">شده است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دویّم</w:t>
      </w:r>
      <w:r>
        <w:rPr>
          <w:rStyle w:val="FootnoteAnchor"/>
          <w:rtl w:val="true"/>
        </w:rPr>
        <w:footnoteReference w:id="329"/>
      </w:r>
      <w:r>
        <w:rPr>
          <w:rFonts w:ascii="IRNazanin" w:hAnsi="IRNazanin" w:eastAsia="IRNazanin"/>
          <w:color w:val="111111"/>
          <w:sz w:val="28"/>
          <w:sz w:val="28"/>
          <w:szCs w:val="28"/>
          <w:rtl w:val="true"/>
          <w:lang w:bidi="fa-IR"/>
        </w:rPr>
        <w:t>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اخبار</w:t>
      </w:r>
      <w:r>
        <w:rPr>
          <w:rStyle w:val="FootnoteAnchor"/>
          <w:rtl w:val="true"/>
        </w:rPr>
        <w:footnoteReference w:id="330"/>
      </w:r>
      <w:r>
        <w:rPr>
          <w:rFonts w:ascii="IRNazanin" w:hAnsi="IRNazanin" w:eastAsia="IRNazanin"/>
          <w:color w:val="111111"/>
          <w:sz w:val="28"/>
          <w:sz w:val="28"/>
          <w:szCs w:val="28"/>
          <w:rtl w:val="true"/>
          <w:lang w:bidi="fa-IR"/>
        </w:rPr>
        <w:t xml:space="preserve">، متعدی شده‌اند به مفعول دویّم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دویم زوج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استعمالات همگی صحیح و موافق لغت عربی است به تخصیص استعمالی که مطابق قرآن مجید باشد ـ که افصح کلامها است ـ به هر یک از این وجوه که صیغه نکاح گفته شود</w:t>
      </w:r>
      <w:r>
        <w:rPr>
          <w:rStyle w:val="FootnoteAnchor"/>
          <w:rtl w:val="true"/>
        </w:rPr>
        <w:footnoteReference w:id="331"/>
      </w:r>
      <w:r>
        <w:rPr>
          <w:rFonts w:ascii="IRNazanin" w:hAnsi="IRNazanin" w:eastAsia="IRNazanin"/>
          <w:color w:val="111111"/>
          <w:sz w:val="28"/>
          <w:sz w:val="28"/>
          <w:szCs w:val="28"/>
          <w:rtl w:val="true"/>
          <w:lang w:bidi="fa-IR"/>
        </w:rPr>
        <w:t>صحیح است و کسی به بطلان آن قائل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ایجاب و قبول ضرور نیست که به یک لفظ باشند، مثل آنکه</w:t>
      </w:r>
      <w:r>
        <w:rPr>
          <w:rStyle w:val="FootnoteAnchor"/>
          <w:rtl w:val="true"/>
        </w:rPr>
        <w:footnoteReference w:id="332"/>
      </w: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التَّزویج</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می‌تواند گفت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بر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لفظی دیگر که دلالت بر مهر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می‌توان نمود، مثل آنکه زن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اَنْکَحْتُکَ نَفْسی عَلی صَداقِ</w:t>
      </w:r>
      <w:r>
        <w:rPr>
          <w:rStyle w:val="FootnoteAnchor"/>
          <w:rtl w:val="true"/>
        </w:rPr>
        <w:footnoteReference w:id="336"/>
      </w:r>
      <w:r>
        <w:rPr>
          <w:rFonts w:ascii="Amiri" w:hAnsi="Amiri" w:eastAsia="Amiri" w:cs="Amiri"/>
          <w:color w:val="111111"/>
          <w:sz w:val="28"/>
          <w:sz w:val="28"/>
          <w:szCs w:val="28"/>
          <w:rtl w:val="true"/>
          <w:lang w:bidi="ar-SA"/>
        </w:rPr>
        <w:t>خَمْسینَ یا بِصِداقِ خَمْسینَ یا عَلی خَمْسینَ یا بِمَهْرِ خَمْسینَ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در صیغه ایجاب به طریق تصریح، یا به طریق عهد، مهر</w:t>
      </w:r>
      <w:r>
        <w:rPr>
          <w:rStyle w:val="FootnoteAnchor"/>
          <w:rtl w:val="true"/>
        </w:rPr>
        <w:footnoteReference w:id="337"/>
      </w:r>
      <w:r>
        <w:rPr>
          <w:rFonts w:ascii="IRNazanin" w:hAnsi="IRNazanin" w:eastAsia="IRNazanin"/>
          <w:color w:val="111111"/>
          <w:sz w:val="28"/>
          <w:sz w:val="28"/>
          <w:szCs w:val="28"/>
          <w:rtl w:val="true"/>
          <w:lang w:bidi="fa-IR"/>
        </w:rPr>
        <w:t>مذکور شود، در قبول ضرور نیست ذکر مهر و اگر مذکور شود بهتر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هرگاه بالغه و عاقله باشد و باکره نباشد، رضای دیگری در صحّت تزویج او ضرور نیست، لیکن اگر ولیّ داشته باشد، سنّت است که به رضای او شوهر کند</w:t>
      </w:r>
      <w:r>
        <w:rPr>
          <w:rStyle w:val="FootnoteAnchor"/>
          <w:rtl w:val="true"/>
        </w:rPr>
        <w:footnoteReference w:id="338"/>
      </w:r>
      <w:r>
        <w:rPr>
          <w:rFonts w:ascii="IRNazanin" w:hAnsi="IRNazanin" w:eastAsia="IRNazanin"/>
          <w:color w:val="111111"/>
          <w:sz w:val="28"/>
          <w:sz w:val="28"/>
          <w:szCs w:val="28"/>
          <w:rtl w:val="true"/>
          <w:lang w:bidi="fa-IR"/>
        </w:rPr>
        <w:t>و بعضی قائل</w:t>
      </w:r>
      <w:r>
        <w:rPr>
          <w:rStyle w:val="FootnoteAnchor"/>
          <w:rtl w:val="true"/>
        </w:rPr>
        <w:footnoteReference w:id="339"/>
      </w:r>
      <w:r>
        <w:rPr>
          <w:rFonts w:ascii="IRNazanin" w:hAnsi="IRNazanin" w:eastAsia="IRNazanin"/>
          <w:color w:val="111111"/>
          <w:sz w:val="28"/>
          <w:sz w:val="28"/>
          <w:szCs w:val="28"/>
          <w:rtl w:val="true"/>
          <w:lang w:bidi="fa-IR"/>
        </w:rPr>
        <w:t>به لزوم رضای ولیّ با وجود ثیّبه بودن زن شده‌اند؛ و چون بعضی</w:t>
      </w:r>
      <w:r>
        <w:rPr>
          <w:rStyle w:val="FootnoteAnchor"/>
          <w:rtl w:val="true"/>
        </w:rPr>
        <w:footnoteReference w:id="340"/>
      </w:r>
      <w:r>
        <w:rPr>
          <w:rFonts w:ascii="IRNazanin" w:hAnsi="IRNazanin" w:eastAsia="IRNazanin"/>
          <w:color w:val="111111"/>
          <w:sz w:val="28"/>
          <w:sz w:val="28"/>
          <w:szCs w:val="28"/>
          <w:rtl w:val="true"/>
          <w:lang w:bidi="fa-IR"/>
        </w:rPr>
        <w:t>از اخبار</w:t>
      </w:r>
      <w:r>
        <w:rPr>
          <w:rStyle w:val="FootnoteAnchor"/>
          <w:rtl w:val="true"/>
        </w:rPr>
        <w:footnoteReference w:id="341"/>
      </w:r>
      <w:r>
        <w:rPr>
          <w:rFonts w:ascii="IRNazanin" w:hAnsi="IRNazanin" w:eastAsia="IRNazanin"/>
          <w:color w:val="111111"/>
          <w:sz w:val="28"/>
          <w:sz w:val="28"/>
          <w:szCs w:val="28"/>
          <w:rtl w:val="true"/>
          <w:lang w:bidi="fa-IR"/>
        </w:rPr>
        <w:t>را</w:t>
      </w:r>
      <w:r>
        <w:rPr>
          <w:rStyle w:val="FootnoteAnchor"/>
          <w:rtl w:val="true"/>
        </w:rPr>
        <w:footnoteReference w:id="342"/>
      </w:r>
      <w:r>
        <w:rPr>
          <w:rFonts w:ascii="IRNazanin" w:hAnsi="IRNazanin" w:eastAsia="IRNazanin"/>
          <w:color w:val="111111"/>
          <w:sz w:val="28"/>
          <w:sz w:val="28"/>
          <w:szCs w:val="28"/>
          <w:rtl w:val="true"/>
          <w:lang w:bidi="fa-IR"/>
        </w:rPr>
        <w:t>بر آن فی الجمله دلالتی هست، احتیاط کامل مقتضی آن است که رضای ولیّ رعایت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باکره</w:t>
      </w:r>
      <w:r>
        <w:rPr>
          <w:rStyle w:val="FootnoteAnchor"/>
          <w:rtl w:val="true"/>
        </w:rPr>
        <w:footnoteReference w:id="343"/>
      </w:r>
      <w:r>
        <w:rPr>
          <w:rFonts w:ascii="IRNazanin" w:hAnsi="IRNazanin" w:eastAsia="IRNazanin"/>
          <w:color w:val="111111"/>
          <w:sz w:val="28"/>
          <w:sz w:val="28"/>
          <w:szCs w:val="28"/>
          <w:rtl w:val="true"/>
          <w:lang w:bidi="fa-IR"/>
        </w:rPr>
        <w:t>بالغه عاقله باشد و ولیّ ـ یعنی پدر و جد پدری ـ نداشته باشد نیز</w:t>
      </w:r>
      <w:r>
        <w:rPr>
          <w:rStyle w:val="FootnoteAnchor"/>
          <w:rtl w:val="true"/>
        </w:rPr>
        <w:footnoteReference w:id="344"/>
      </w:r>
      <w:r>
        <w:rPr>
          <w:rFonts w:ascii="IRNazanin" w:hAnsi="IRNazanin" w:eastAsia="IRNazanin"/>
          <w:color w:val="111111"/>
          <w:sz w:val="28"/>
          <w:sz w:val="28"/>
          <w:szCs w:val="28"/>
          <w:rtl w:val="true"/>
          <w:lang w:bidi="fa-IR"/>
        </w:rPr>
        <w:t>رضای زوجه کافی است و رضای دیگری به اتّفاق کل علما ضرور نیست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اگر بالغه عاقله باکره باشد و ولیّ داشته باشد در تزویج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علماء خلاف نموده‌اند</w:t>
      </w:r>
      <w:r>
        <w:rPr>
          <w:rStyle w:val="FootnoteAnchor"/>
          <w:rtl w:val="true"/>
        </w:rPr>
        <w:footnoteReference w:id="346"/>
      </w:r>
      <w:r>
        <w:rPr>
          <w:rFonts w:ascii="IRNazanin" w:hAnsi="IRNazanin" w:eastAsia="IRNazanin"/>
          <w:color w:val="111111"/>
          <w:sz w:val="28"/>
          <w:sz w:val="28"/>
          <w:szCs w:val="28"/>
          <w:rtl w:val="true"/>
          <w:lang w:bidi="fa-IR"/>
        </w:rPr>
        <w:t>و بعضی گفته‌اند که در این صورت نیز رضای زوجه</w:t>
      </w:r>
      <w:r>
        <w:rPr>
          <w:rStyle w:val="FootnoteAnchor"/>
          <w:rtl w:val="true"/>
        </w:rPr>
        <w:footnoteReference w:id="347"/>
      </w:r>
      <w:r>
        <w:rPr>
          <w:rFonts w:ascii="IRNazanin" w:hAnsi="IRNazanin" w:eastAsia="IRNazanin"/>
          <w:color w:val="111111"/>
          <w:sz w:val="28"/>
          <w:sz w:val="28"/>
          <w:szCs w:val="28"/>
          <w:rtl w:val="true"/>
          <w:lang w:bidi="fa-IR"/>
        </w:rPr>
        <w:t>به تنهائی کافی است و بعضی گفته‌اند که رضای ولیّ به تنهائی</w:t>
      </w:r>
      <w:r>
        <w:rPr>
          <w:rStyle w:val="FootnoteAnchor"/>
          <w:rtl w:val="true"/>
        </w:rPr>
        <w:footnoteReference w:id="348"/>
      </w:r>
      <w:r>
        <w:rPr>
          <w:rFonts w:ascii="IRNazanin" w:hAnsi="IRNazanin" w:eastAsia="IRNazanin"/>
          <w:color w:val="111111"/>
          <w:sz w:val="28"/>
          <w:sz w:val="28"/>
          <w:szCs w:val="28"/>
          <w:rtl w:val="true"/>
          <w:lang w:bidi="fa-IR"/>
        </w:rPr>
        <w:t>کافی است و رضای زوجه ضرور نیست و بعضی رضای هر دو را ضرور دانسته‌اند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القول الثانی للشیخ فی النهایة و الخلاف، و فی المبسوط اختاره أیضاً علی تردد، و ابن أبی عقیل فی المتمسک و الشیخ أجاز لها فی المتعة أن تعقد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اختیار المفید فی المقنعة و أبی الصلاح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اقوال دیگر نیز قائل شده‌اند و ترجیح یکی از اقوال به غایت مشکل است و رعایت احتیاط مقتضی آن است که بی رضای هر دو عقد واقع نشود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احوط آن است که یکی از ولیّ و زوجه، دیگری را یا هر دو، ثالثی را وکیل نمایند تا به اصالت و وکالت</w:t>
      </w:r>
      <w:r>
        <w:rPr>
          <w:rStyle w:val="FootnoteAnchor"/>
          <w:rtl w:val="true"/>
        </w:rPr>
        <w:footnoteReference w:id="350"/>
      </w:r>
      <w:r>
        <w:rPr>
          <w:rFonts w:ascii="IRNazanin" w:hAnsi="IRNazanin" w:eastAsia="IRNazanin"/>
          <w:color w:val="111111"/>
          <w:sz w:val="28"/>
          <w:sz w:val="28"/>
          <w:szCs w:val="28"/>
          <w:rtl w:val="true"/>
          <w:lang w:bidi="fa-IR"/>
        </w:rPr>
        <w:t>یا به وکالت هر دو صیغه خوانده شود</w:t>
      </w:r>
      <w:r>
        <w:rPr>
          <w:rStyle w:val="FootnoteAnchor"/>
          <w:rtl w:val="true"/>
        </w:rPr>
        <w:footnoteReference w:id="351"/>
      </w:r>
      <w:r>
        <w:rPr>
          <w:rFonts w:ascii="IRNazanin" w:hAnsi="IRNazanin" w:eastAsia="IRNazanin"/>
          <w:color w:val="111111"/>
          <w:sz w:val="28"/>
          <w:sz w:val="28"/>
          <w:szCs w:val="28"/>
          <w:rtl w:val="true"/>
          <w:lang w:bidi="fa-IR"/>
        </w:rPr>
        <w:t>، و هرگاه به این طریق صیغه گفته شود، شکی در صحّت عقد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بعضی از متأخرین علماء هرگاه چنین عقدی را واقع می‌ساخته به جهت احتیاط به وکالت زن جدا و به وکالت ولیّ جدا</w:t>
      </w:r>
      <w:r>
        <w:rPr>
          <w:rStyle w:val="FootnoteAnchor"/>
          <w:rtl w:val="true"/>
        </w:rPr>
        <w:footnoteReference w:id="352"/>
      </w:r>
      <w:r>
        <w:rPr>
          <w:rFonts w:ascii="IRNazanin" w:hAnsi="IRNazanin" w:eastAsia="IRNazanin"/>
          <w:color w:val="111111"/>
          <w:sz w:val="28"/>
          <w:sz w:val="28"/>
          <w:szCs w:val="28"/>
          <w:rtl w:val="true"/>
          <w:lang w:bidi="fa-IR"/>
        </w:rPr>
        <w:t>و به وکالت هر دو در</w:t>
      </w:r>
      <w:r>
        <w:rPr>
          <w:rStyle w:val="FootnoteAnchor"/>
          <w:rtl w:val="true"/>
        </w:rPr>
        <w:footnoteReference w:id="353"/>
      </w:r>
      <w:r>
        <w:rPr>
          <w:rFonts w:ascii="IRNazanin" w:hAnsi="IRNazanin" w:eastAsia="IRNazanin"/>
          <w:color w:val="111111"/>
          <w:sz w:val="28"/>
          <w:sz w:val="28"/>
          <w:szCs w:val="28"/>
          <w:rtl w:val="true"/>
          <w:lang w:bidi="fa-IR"/>
        </w:rPr>
        <w:t>یک صیغه جدا، صیغه می‌خوانده و یک صیغه دیگر بی قید وکالت زن، ولیّ جدا می‌گفته و صیغ</w:t>
      </w:r>
      <w:r>
        <w:rPr>
          <w:rStyle w:val="FootnoteAnchor"/>
          <w:rtl w:val="true"/>
        </w:rPr>
        <w:footnoteReference w:id="354"/>
      </w:r>
      <w:r>
        <w:rPr>
          <w:rFonts w:ascii="IRNazanin" w:hAnsi="IRNazanin" w:eastAsia="IRNazanin"/>
          <w:color w:val="111111"/>
          <w:sz w:val="28"/>
          <w:sz w:val="28"/>
          <w:szCs w:val="28"/>
          <w:rtl w:val="true"/>
          <w:lang w:bidi="fa-IR"/>
        </w:rPr>
        <w:t>را به لفظ تزویج و نکاح هر دو جاری می‌ساخته و اگرچه دلیلی شرعی بر رجحان</w:t>
      </w:r>
      <w:r>
        <w:rPr>
          <w:rStyle w:val="FootnoteAnchor"/>
          <w:rtl w:val="true"/>
        </w:rPr>
        <w:footnoteReference w:id="355"/>
      </w:r>
      <w:r>
        <w:rPr>
          <w:rFonts w:ascii="IRNazanin" w:hAnsi="IRNazanin" w:eastAsia="IRNazanin"/>
          <w:color w:val="111111"/>
          <w:sz w:val="28"/>
          <w:sz w:val="28"/>
          <w:szCs w:val="28"/>
          <w:rtl w:val="true"/>
          <w:lang w:bidi="fa-IR"/>
        </w:rPr>
        <w:t xml:space="preserve">رعایت این نحو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احتیاطها نیست، لیکن بر رعایت آنها در امثال این موضع ضرری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خلاف کرده‌اند در اینکه ولایت جد مشروط است به وجود پدر</w:t>
      </w:r>
      <w:r>
        <w:rPr>
          <w:rStyle w:val="FootnoteAnchor"/>
          <w:rtl w:val="true"/>
        </w:rPr>
        <w:footnoteReference w:id="356"/>
      </w:r>
      <w:r>
        <w:rPr>
          <w:rFonts w:ascii="IRNazanin" w:hAnsi="IRNazanin" w:eastAsia="IRNazanin"/>
          <w:color w:val="111111"/>
          <w:sz w:val="28"/>
          <w:sz w:val="28"/>
          <w:szCs w:val="28"/>
          <w:rtl w:val="true"/>
          <w:lang w:bidi="fa-IR"/>
        </w:rPr>
        <w:t>یا آنکه با موت پدر نیز</w:t>
      </w:r>
      <w:r>
        <w:rPr>
          <w:rStyle w:val="FootnoteAnchor"/>
          <w:rtl w:val="true"/>
        </w:rPr>
        <w:footnoteReference w:id="357"/>
      </w:r>
      <w:r>
        <w:rPr>
          <w:rFonts w:ascii="IRNazanin" w:hAnsi="IRNazanin" w:eastAsia="IRNazanin"/>
          <w:color w:val="111111"/>
          <w:sz w:val="28"/>
          <w:sz w:val="28"/>
          <w:szCs w:val="28"/>
          <w:rtl w:val="true"/>
          <w:lang w:bidi="fa-IR"/>
        </w:rPr>
        <w:t>ولایت جد ثابت است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محقق حلی در مختصر النافع،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اولیاء العقد و علامه حلی در تذکرة الفقهاء چاپ سنگی،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کیفیة ولایة الأب و الجد و پسر علامه حلی در ایضاح الفوائد،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عدم مشروط بودن به وجود پدر را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احوط و مشهور آن است که با حیات و ممات پدر، ولایت جد ثابت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پدر و جد نزاع کنند در تزویج باکره رشیده و هریک خواهند که</w:t>
      </w:r>
      <w:r>
        <w:rPr>
          <w:rStyle w:val="FootnoteAnchor"/>
          <w:rtl w:val="true"/>
        </w:rPr>
        <w:footnoteReference w:id="359"/>
      </w:r>
      <w:r>
        <w:rPr>
          <w:rFonts w:ascii="IRNazanin" w:hAnsi="IRNazanin" w:eastAsia="IRNazanin"/>
          <w:color w:val="111111"/>
          <w:sz w:val="28"/>
          <w:sz w:val="28"/>
          <w:szCs w:val="28"/>
          <w:rtl w:val="true"/>
          <w:lang w:bidi="fa-IR"/>
        </w:rPr>
        <w:t>او را به شخصی دهند غیر آن شخصی که دیگری اراده دارد که به او دهد، مشهور میان علماء و مدلول بعض اخبار تقدیم اختیار</w:t>
      </w:r>
      <w:r>
        <w:rPr>
          <w:rStyle w:val="FootnoteAnchor"/>
          <w:rtl w:val="true"/>
        </w:rPr>
        <w:footnoteReference w:id="360"/>
      </w:r>
      <w:r>
        <w:rPr>
          <w:rFonts w:ascii="IRNazanin" w:hAnsi="IRNazanin" w:eastAsia="IRNazanin"/>
          <w:color w:val="111111"/>
          <w:sz w:val="28"/>
          <w:sz w:val="28"/>
          <w:szCs w:val="28"/>
          <w:rtl w:val="true"/>
          <w:lang w:bidi="fa-IR"/>
        </w:rPr>
        <w:t>جد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آنچه مذکور شد</w:t>
      </w:r>
      <w:r>
        <w:rPr>
          <w:rStyle w:val="FootnoteAnchor"/>
          <w:rtl w:val="true"/>
        </w:rPr>
        <w:footnoteReference w:id="362"/>
      </w:r>
      <w:r>
        <w:rPr>
          <w:rFonts w:ascii="IRNazanin" w:hAnsi="IRNazanin" w:eastAsia="IRNazanin"/>
          <w:color w:val="111111"/>
          <w:sz w:val="28"/>
          <w:sz w:val="28"/>
          <w:szCs w:val="28"/>
          <w:rtl w:val="true"/>
          <w:lang w:bidi="fa-IR"/>
        </w:rPr>
        <w:t>در باب احوط بودن رضای ولیّ در عقد باکره رشیده در وقتی است که ولیّ مانع نباشد از شوهر دادن باکره رشیده</w:t>
      </w:r>
      <w:r>
        <w:rPr>
          <w:rStyle w:val="FootnoteAnchor"/>
          <w:rtl w:val="true"/>
        </w:rPr>
        <w:footnoteReference w:id="363"/>
      </w:r>
      <w:r>
        <w:rPr>
          <w:rFonts w:ascii="IRNazanin" w:hAnsi="IRNazanin" w:eastAsia="IRNazanin"/>
          <w:color w:val="111111"/>
          <w:sz w:val="28"/>
          <w:sz w:val="28"/>
          <w:szCs w:val="28"/>
          <w:rtl w:val="true"/>
          <w:lang w:bidi="fa-IR"/>
        </w:rPr>
        <w:t>به کفو؛ و مراد به کفو در این موضع کسی است که مؤمن و صاحب عفّت</w:t>
      </w:r>
      <w:r>
        <w:rPr>
          <w:rStyle w:val="FootnoteAnchor"/>
          <w:rtl w:val="true"/>
        </w:rPr>
        <w:footnoteReference w:id="364"/>
      </w:r>
      <w:r>
        <w:rPr>
          <w:rFonts w:ascii="IRNazanin" w:hAnsi="IRNazanin" w:eastAsia="IRNazanin"/>
          <w:color w:val="111111"/>
          <w:sz w:val="28"/>
          <w:sz w:val="28"/>
          <w:szCs w:val="28"/>
          <w:rtl w:val="true"/>
          <w:lang w:bidi="fa-IR"/>
        </w:rPr>
        <w:t>و قادر بر نفقه و کسوه زن باشد؛ و اگر کفوی به هم رسد و زن را خواستگاری نماید و ولیّ بدون رعایت مصلحت زن مانع باشد از تزویج؛ پس اذن و رضای آن ولیّ ضرور نیست و زن بدون رضای او شوهر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در این صورت آن است که عقد به اذن و مشورت حاکم شرع ـ یعنی عالم عادل جامع شرایط و فتوی ـ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ولیّ از</w:t>
      </w:r>
      <w:r>
        <w:rPr>
          <w:rStyle w:val="FootnoteAnchor"/>
          <w:rtl w:val="true"/>
        </w:rPr>
        <w:footnoteReference w:id="365"/>
      </w:r>
      <w:r>
        <w:rPr>
          <w:rFonts w:ascii="IRNazanin" w:hAnsi="IRNazanin" w:eastAsia="IRNazanin"/>
          <w:color w:val="111111"/>
          <w:sz w:val="28"/>
          <w:sz w:val="28"/>
          <w:szCs w:val="28"/>
          <w:rtl w:val="true"/>
          <w:lang w:bidi="fa-IR"/>
        </w:rPr>
        <w:t>منع، آن باشد که گمان مردی دیگر داشته باشد که بهتر از این مرد باشد، معزول از ولایت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نکاح در روز جمعه واقع شود و در ساعتی از روز باشد که هوا گرم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مکروه است عقد کردن در وقتی که ماه در برج عقرب باشد؛ و از حضرت صادق صلوات اللّه علیه مروی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هرکه</w:t>
      </w:r>
      <w:r>
        <w:rPr>
          <w:rStyle w:val="FootnoteAnchor"/>
          <w:rtl w:val="true"/>
        </w:rPr>
        <w:footnoteReference w:id="366"/>
      </w:r>
      <w:r>
        <w:rPr>
          <w:rFonts w:ascii="IRNazanin" w:hAnsi="IRNazanin" w:eastAsia="IRNazanin"/>
          <w:color w:val="111111"/>
          <w:sz w:val="28"/>
          <w:sz w:val="28"/>
          <w:szCs w:val="28"/>
          <w:rtl w:val="true"/>
          <w:lang w:bidi="fa-IR"/>
        </w:rPr>
        <w:t>عقد کند و ماه در عقرب باشد نیکوئی نبیند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مکروه است عقد کردن در وقتی که ماه در محاق باشد، یعنی تحت‌الشعاع باشد و نور نداشته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شرط نیست در صحّت نکاح حضور دو عادل، لیکن سنّت است که نکاح را علانیه واقع سازند</w:t>
      </w:r>
      <w:r>
        <w:rPr>
          <w:rStyle w:val="FootnoteAnchor"/>
          <w:rtl w:val="true"/>
        </w:rPr>
        <w:footnoteReference w:id="369"/>
      </w:r>
      <w:r>
        <w:rPr>
          <w:rFonts w:ascii="IRNazanin" w:hAnsi="IRNazanin" w:eastAsia="IRNazanin"/>
          <w:color w:val="111111"/>
          <w:sz w:val="28"/>
          <w:sz w:val="28"/>
          <w:szCs w:val="28"/>
          <w:rtl w:val="true"/>
          <w:lang w:bidi="fa-IR"/>
        </w:rPr>
        <w:t>و جمعی از مؤمنان را دعوت کنند و ایشان را بر نکاح شاهد</w:t>
      </w:r>
      <w:r>
        <w:rPr>
          <w:rStyle w:val="FootnoteAnchor"/>
          <w:rtl w:val="true"/>
        </w:rPr>
        <w:footnoteReference w:id="370"/>
      </w:r>
      <w:r>
        <w:rPr>
          <w:rFonts w:ascii="IRNazanin" w:hAnsi="IRNazanin" w:eastAsia="IRNazanin"/>
          <w:color w:val="111111"/>
          <w:sz w:val="28"/>
          <w:sz w:val="28"/>
          <w:szCs w:val="28"/>
          <w:rtl w:val="true"/>
          <w:lang w:bidi="fa-IR"/>
        </w:rPr>
        <w:t>سازند</w:t>
      </w:r>
      <w:r>
        <w:rPr>
          <w:rStyle w:val="FootnoteAnchor"/>
          <w:rtl w:val="true"/>
        </w:rPr>
        <w:footnoteReference w:id="371"/>
      </w:r>
      <w:r>
        <w:rPr>
          <w:rFonts w:ascii="IRNazanin" w:hAnsi="IRNazanin" w:eastAsia="IRNazanin"/>
          <w:color w:val="111111"/>
          <w:sz w:val="28"/>
          <w:sz w:val="28"/>
          <w:szCs w:val="28"/>
          <w:rtl w:val="true"/>
          <w:lang w:bidi="fa-IR"/>
        </w:rPr>
        <w:t>و مهمانی کنند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نیز سنت است قبل از جریان صیغه و بعد از بسم اللّه، خواندن خطبه که مشتمل باشد بر حمد الهی، سیّما به ازاء نعمت حلال کردن تزویج؛ و نیز مشتمل باشد بر صلوات بر حضرت خاتم النبیین صلی الله علیه و آله و اهل بیت اطهار او</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اخبار</w:t>
      </w:r>
      <w:r>
        <w:rPr>
          <w:rStyle w:val="FootnoteAnchor"/>
          <w:rtl w:val="true"/>
        </w:rPr>
        <w:footnoteReference w:id="375"/>
      </w:r>
      <w:r>
        <w:rPr>
          <w:rFonts w:ascii="IRNazanin" w:hAnsi="IRNazanin" w:eastAsia="IRNazanin"/>
          <w:color w:val="111111"/>
          <w:sz w:val="28"/>
          <w:sz w:val="28"/>
          <w:szCs w:val="28"/>
          <w:rtl w:val="true"/>
          <w:lang w:bidi="fa-IR"/>
        </w:rPr>
        <w:t>و رسائل علما در این باب خطبه‌های طولانی مذکور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مشهوره که بعضی</w:t>
      </w:r>
      <w:r>
        <w:rPr>
          <w:rStyle w:val="FootnoteAnchor"/>
          <w:rtl w:val="true"/>
        </w:rPr>
        <w:footnoteReference w:id="376"/>
      </w:r>
      <w:r>
        <w:rPr>
          <w:rFonts w:ascii="IRNazanin" w:hAnsi="IRNazanin" w:eastAsia="IRNazanin"/>
          <w:color w:val="111111"/>
          <w:sz w:val="28"/>
          <w:sz w:val="28"/>
          <w:szCs w:val="28"/>
          <w:rtl w:val="true"/>
          <w:lang w:bidi="fa-IR"/>
        </w:rPr>
        <w:t>از آن مأخوذ است از خطبه‌ای که حضرت امام محمدتقی صلوات اللّه علیه در وقتی که دختر مأمون الرّشید را به جهت خود عقد می‌نموده، خوانده و خطبه مشهوره این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إِقْرارًا بِنِعْمِته وَ لا إِلهَ اِلاَّ اللّه اِخْلاصًا لِوَحْدَانِیَّتِهِ وَ صَلَّی اللّه‌ُ عَلی سَیّدِ بَرِیَّته مُحمّدٍ صَلَّی اللّه‌ُ عَلیْه وَ الِه وَ عَلی الاْءَصْفِیاءِ مِنْ عِتْرَتِه وَ ذُرَّیتِه، أَمّا بَعْدُ؛ فَقَدْ کانَ مِنْ فَضْلِ </w:t>
      </w:r>
    </w:p>
    <w:p>
      <w:pPr>
        <w:pStyle w:val="BookText"/>
        <w:rPr/>
      </w:pPr>
      <w:r>
        <w:rPr>
          <w:rFonts w:ascii="Amiri" w:hAnsi="Amiri" w:eastAsia="Amiri" w:cs="Amiri"/>
          <w:color w:val="111111"/>
          <w:sz w:val="28"/>
          <w:sz w:val="28"/>
          <w:szCs w:val="28"/>
          <w:rtl w:val="true"/>
          <w:lang w:bidi="ar-SA"/>
        </w:rPr>
        <w:t>اللّه‌ِ تَعالی عَلی الأَنَامِ</w:t>
      </w:r>
      <w:r>
        <w:rPr>
          <w:rStyle w:val="FootnoteAnchor"/>
          <w:rtl w:val="true"/>
        </w:rPr>
        <w:footnoteReference w:id="378"/>
      </w:r>
      <w:r>
        <w:rPr>
          <w:rFonts w:ascii="Amiri" w:hAnsi="Amiri" w:eastAsia="Amiri" w:cs="Amiri"/>
          <w:color w:val="111111"/>
          <w:sz w:val="28"/>
          <w:sz w:val="28"/>
          <w:szCs w:val="28"/>
          <w:rtl w:val="true"/>
          <w:lang w:bidi="ar-SA"/>
        </w:rPr>
        <w:t>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وَانْکِحُوا الأَیامی مِنْکُمْ وَالصّالِحینَ مِنْ عِبادِکُم وَ إِماءِکُم إِنْ یَکُونُوا فُقَراءَ یُغْنِهِمُ اللّه‌ُ مِنْ فَضْلِه وَاللّه‌ُ واسِعٌ عَلیمٌ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رَسُولهُ الکَریمُ</w:t>
      </w:r>
      <w:r>
        <w:rPr>
          <w:rStyle w:val="FootnoteAnchor"/>
          <w:rtl w:val="true"/>
        </w:rPr>
        <w:footnoteReference w:id="381"/>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تَناکحُوا تَناسَلُوا تَکْثُروُا، فَإِنّی</w:t>
      </w:r>
      <w:r>
        <w:rPr>
          <w:rStyle w:val="FootnoteAnchor"/>
          <w:rtl w:val="true"/>
        </w:rPr>
        <w:footnoteReference w:id="382"/>
      </w:r>
      <w:r>
        <w:rPr>
          <w:rFonts w:ascii="Amiri" w:hAnsi="Amiri" w:eastAsia="Amiri" w:cs="Amiri"/>
          <w:color w:val="111111"/>
          <w:sz w:val="28"/>
          <w:sz w:val="28"/>
          <w:szCs w:val="28"/>
          <w:rtl w:val="true"/>
          <w:lang w:bidi="ar-SA"/>
        </w:rPr>
        <w:t>أُباهِی بِکُمُ الأُمَمَ یَوْمَ القِیمَةِ وَ لَوْ بِالسّقْطِ</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فَعَلی کِتابِ اللّه‌ِ وَ سُنّةِ نَبیّه وَالاْءئمَّةِ الطّاهِرینَ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بِالبرائَة مِنْ أَعْدائِهِمْ اَجْمَعینَ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صیغه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صیغه نکاح را یا مرد با زن می‌خواند، یا مرد با وکیل زن می‌خواند، یا وکیل مرد با زن می‌خواند</w:t>
      </w:r>
      <w:r>
        <w:rPr>
          <w:rStyle w:val="FootnoteAnchor"/>
          <w:rtl w:val="true"/>
        </w:rPr>
        <w:footnoteReference w:id="384"/>
      </w:r>
      <w:r>
        <w:rPr>
          <w:rFonts w:ascii="IRNazanin" w:hAnsi="IRNazanin" w:eastAsia="IRNazanin"/>
          <w:color w:val="111111"/>
          <w:sz w:val="28"/>
          <w:sz w:val="28"/>
          <w:szCs w:val="28"/>
          <w:rtl w:val="true"/>
          <w:lang w:bidi="fa-IR"/>
        </w:rPr>
        <w:t>یا وکیل مرد با وکیل زن می‌گوید؛ و بر هر تقدیر یا اذن ولیّ نباید یا باید، و بر هر تقدیری که باید، احتمالات قریبه بوقوع آن است که یا زن ولیّ را وکیل نموده، یا ولیّ زن را وکیل نموده باشد، یا هر دو دیگری را وکیل نموده باشند و جمیع این احتمالات در نه قسم بیان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مرد صیغه گوید و رضای ولیّ نباید، هرگاه جمیع وجوه استعمالات از روی احتیاط رعایت شود و فرض کنیم که مهر مبلغ پنجاه تومان تازه </w:t>
      </w:r>
    </w:p>
    <w:p>
      <w:pPr>
        <w:pStyle w:val="BookText"/>
        <w:rPr/>
      </w:pPr>
      <w:r>
        <w:rPr>
          <w:rFonts w:ascii="IRNazanin" w:hAnsi="IRNazanin" w:eastAsia="IRNazanin"/>
          <w:color w:val="111111"/>
          <w:sz w:val="28"/>
          <w:sz w:val="28"/>
          <w:szCs w:val="28"/>
          <w:rtl w:val="true"/>
          <w:lang w:bidi="fa-IR"/>
        </w:rPr>
        <w:t>سکّه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اَنْکَحْتُکَ وَ زَوَّجْتُکَ نَفْسی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بی‌فاصله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لِنَفْسی عَلَی الصَّداق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بِنَفْسی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لِنَفْسی عَلَی 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نَفْسی نَفْسَکَ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همان را می‌گوید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نَفْسی مِنْ نَفْسِکَ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همان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سابق مذکور شد، هریک از این صیغ ایجاب و قبول که گفته شود، عقد صحیح است؛ و بر این قیاس در باقی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بباید دانست که هرگاه شخصی که صیغه می‌گوید به لغت عربی اینقدر مربوط نباشد</w:t>
      </w:r>
      <w:r>
        <w:rPr>
          <w:rStyle w:val="FootnoteAnchor"/>
          <w:rtl w:val="true"/>
        </w:rPr>
        <w:footnoteReference w:id="385"/>
      </w:r>
      <w:r>
        <w:rPr>
          <w:rFonts w:ascii="IRNazanin" w:hAnsi="IRNazanin" w:eastAsia="IRNazanin"/>
          <w:color w:val="111111"/>
          <w:sz w:val="28"/>
          <w:sz w:val="28"/>
          <w:szCs w:val="28"/>
          <w:rtl w:val="true"/>
          <w:lang w:bidi="fa-IR"/>
        </w:rPr>
        <w:t xml:space="preserve">که قدر مهر را ذکر نماید، باید که قبل از جریان صیغه قدر مهر را مشخص نموده، تمهید نمایند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صَداقِ خَمْسینَ تُومانًا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الصَّداق المَعْلُومِ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اشاره نماید به آن قدری که تمهید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86"/>
      </w:r>
      <w:r>
        <w:rPr>
          <w:rFonts w:ascii="IRNazanin" w:hAnsi="IRNazanin" w:eastAsia="IRNazanin"/>
          <w:color w:val="111111"/>
          <w:sz w:val="28"/>
          <w:sz w:val="28"/>
          <w:szCs w:val="28"/>
          <w:rtl w:val="true"/>
          <w:lang w:bidi="fa-IR"/>
        </w:rPr>
        <w:t>در صورتی که طرفین عقد، ربطی تمام به لغت عربی نداشته باشند، اگر قبل از خواندن صیغه به عربی</w:t>
      </w:r>
      <w:r>
        <w:rPr>
          <w:rStyle w:val="FootnoteAnchor"/>
          <w:rtl w:val="true"/>
        </w:rPr>
        <w:footnoteReference w:id="387"/>
      </w:r>
      <w:r>
        <w:rPr>
          <w:rFonts w:ascii="IRNazanin" w:hAnsi="IRNazanin" w:eastAsia="IRNazanin"/>
          <w:color w:val="111111"/>
          <w:sz w:val="28"/>
          <w:sz w:val="28"/>
          <w:szCs w:val="28"/>
          <w:rtl w:val="true"/>
          <w:lang w:bidi="fa-IR"/>
        </w:rPr>
        <w:t>یا بعد از آن، معنی</w:t>
      </w:r>
      <w:r>
        <w:rPr>
          <w:rStyle w:val="FootnoteAnchor"/>
          <w:rtl w:val="true"/>
        </w:rPr>
        <w:footnoteReference w:id="388"/>
      </w:r>
      <w:r>
        <w:rPr>
          <w:rFonts w:ascii="IRNazanin" w:hAnsi="IRNazanin" w:eastAsia="IRNazanin"/>
          <w:color w:val="111111"/>
          <w:sz w:val="28"/>
          <w:sz w:val="28"/>
          <w:szCs w:val="28"/>
          <w:rtl w:val="true"/>
          <w:lang w:bidi="fa-IR"/>
        </w:rPr>
        <w:t>صیغه را به فارسی با هم بگویند تا صیغه را به فارسی</w:t>
      </w:r>
      <w:r>
        <w:rPr>
          <w:rStyle w:val="FootnoteAnchor"/>
          <w:rtl w:val="true"/>
        </w:rPr>
        <w:footnoteReference w:id="389"/>
      </w:r>
      <w:r>
        <w:rPr>
          <w:rFonts w:ascii="IRNazanin" w:hAnsi="IRNazanin" w:eastAsia="IRNazanin"/>
          <w:color w:val="111111"/>
          <w:sz w:val="28"/>
          <w:sz w:val="28"/>
          <w:szCs w:val="28"/>
          <w:rtl w:val="true"/>
          <w:lang w:bidi="fa-IR"/>
        </w:rPr>
        <w:t>نیز خوانده باشند بهتر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مرد صیغه گوید و رضای ولیّ باید، و ولیّ زن را وکیل نموده باشد، در این صورت قبل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 سابق گذشت، زیاد </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إِصالَةً وَ وِکالَةً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ولیّ جد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إِصالَةً وَ وِکالَةً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ولیّ پدر باشد؛ و باقی الفاظ ایجاب و قبول، چنان است که در قسم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عبارت اولی</w:t>
      </w:r>
      <w:r>
        <w:rPr>
          <w:rStyle w:val="FootnoteAnchor"/>
          <w:rtl w:val="true"/>
        </w:rPr>
        <w:footnoteReference w:id="390"/>
      </w:r>
      <w:r>
        <w:rPr>
          <w:rFonts w:ascii="IRNazanin" w:hAnsi="IRNazanin" w:eastAsia="IRNazanin"/>
          <w:color w:val="111111"/>
          <w:sz w:val="28"/>
          <w:sz w:val="28"/>
          <w:szCs w:val="28"/>
          <w:rtl w:val="true"/>
          <w:lang w:bidi="fa-IR"/>
        </w:rPr>
        <w:t>هرگاه ولیّ پدر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إِصالَةً وَ وِکالَةً عَنْ اَبی اَنْکَحْتُکَ وَ زَوَّجْتُکَ نَفْسی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همان را می‌گوید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رعایت احتیاط جریان صیغه به طریق انفراد نماید، آنچه در قسم اوّل گذشت نیز علیحده می‌گوید و نیز علیحده اضافه می‌کند بر آنچه در قسم اول گذشت</w:t>
      </w:r>
      <w:r>
        <w:rPr>
          <w:rStyle w:val="FootnoteAnchor"/>
          <w:rtl w:val="true"/>
        </w:rPr>
        <w:footnoteReference w:id="3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عَنْ أبی یا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وَ 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باقی الفاظ را چنانکه گذشت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وکیل زن صیغه گوید و اذن ولیّ نباید و وکیل زن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عبارات</w:t>
      </w:r>
      <w:r>
        <w:rPr>
          <w:rStyle w:val="FootnoteAnchor"/>
          <w:rtl w:val="true"/>
        </w:rPr>
        <w:footnoteReference w:id="392"/>
      </w:r>
      <w:r>
        <w:rPr>
          <w:rFonts w:ascii="IRNazanin" w:hAnsi="IRNazanin" w:eastAsia="IRNazanin"/>
          <w:color w:val="111111"/>
          <w:sz w:val="28"/>
          <w:sz w:val="28"/>
          <w:szCs w:val="28"/>
          <w:rtl w:val="true"/>
          <w:lang w:bidi="fa-IR"/>
        </w:rPr>
        <w:t>قسم اوّل گذشت،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الفاظ چنان است که در قسم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عبارت اولی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اَنْکَحْتُکَ وَ زَوَّجْتُکَ مُوَّکِلَتی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بی‌فاصله مرد همان را می‌گوید که در قسم اوّل گذشت و بر این قیاس عبارات دیگر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قسم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را مرد یا ولیّ گوید و زن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 وکیل نموده باشد،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إِصالةً وَ وِکالَةً عَنْ مُوَکِّلَتی اَنْکَحْتُکَها وَ زَوَّجْتُکَها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قبول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إِصالةً وَ وِکالَةً عَن مُوَکّلَتی زَوَّجْتُکَ بِها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قبول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إِصالَةً وَ وکالَةً عَنْ مُوَکِّلَتی أنْکَحْتُها وَ زَوَّجْتُها نَفْسَکَ عَلَی الصَّداقِ الْمَعْلُومِ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 در عبارت دیگر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انفراد را اگر گوید، آنچه در قسم سیّم گذشت علیحده می‌گوید؛ و نیز علیحده می‌گوید بر فرضی که نام زن زینب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اَنْکَحْتُکَ وَ زَوَّجْتُکَ بِنْتی زَیْنَبَ عَلَی الصَّداقِ</w:t>
      </w:r>
      <w:r>
        <w:rPr>
          <w:rStyle w:val="FootnoteAnchor"/>
          <w:rtl w:val="true"/>
        </w:rPr>
        <w:footnoteReference w:id="395"/>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این منوال، باقی عبارات</w:t>
      </w:r>
      <w:r>
        <w:rPr>
          <w:rStyle w:val="FootnoteAnchor"/>
          <w:rtl w:val="true"/>
        </w:rPr>
        <w:footnoteReference w:id="396"/>
      </w:r>
      <w:r>
        <w:rPr>
          <w:rFonts w:ascii="IRNazanin" w:hAnsi="IRNazanin" w:eastAsia="IRNazanin"/>
          <w:color w:val="111111"/>
          <w:sz w:val="28"/>
          <w:sz w:val="28"/>
          <w:szCs w:val="28"/>
          <w:rtl w:val="true"/>
          <w:lang w:bidi="fa-IR"/>
        </w:rPr>
        <w:t>ایجاب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وکیل زن صیغه گوید و اذن ولیّ باید و ولیّ نیز وکیل زن را وکیل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پدر باشد،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 عَنْ اَبیها اَنْکَحْتُکَها وَ زَوَّجْتُکَها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همان را که گذشت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Style w:val="FootnoteAnchor"/>
          <w:rtl w:val="true"/>
        </w:rPr>
        <w:footnoteReference w:id="3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وعَنْ أبیها زَوَّجْتُکَ بها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می‌گوید</w:t>
      </w:r>
      <w:r>
        <w:rPr>
          <w:rFonts w:eastAsia="IRNazanin" w:cs="IRNazanin"/>
          <w:color w:val="111111"/>
          <w:sz w:val="28"/>
          <w:szCs w:val="28"/>
          <w:rtl w:val="true"/>
          <w:lang w:bidi="fa-IR"/>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وِکالَةً عَنْ مُوَکِّلَتی وَ عَنْ اَبیها اَنْکَحْتُها وَ زَوَّجْتُها</w:t>
      </w:r>
      <w:r>
        <w:rPr>
          <w:rStyle w:val="FootnoteAnchor"/>
          <w:rtl w:val="true"/>
        </w:rPr>
        <w:footnoteReference w:id="399"/>
      </w:r>
      <w:r>
        <w:rPr>
          <w:rFonts w:ascii="IRNazanin" w:hAnsi="IRNazanin" w:eastAsia="IRNazanin"/>
          <w:color w:val="111111"/>
          <w:sz w:val="28"/>
          <w:sz w:val="28"/>
          <w:szCs w:val="28"/>
          <w:rtl w:val="true"/>
          <w:lang w:bidi="fa-IR"/>
        </w:rPr>
        <w:t>نَفْسَکَ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w:t>
      </w:r>
      <w:r>
        <w:rPr>
          <w:rStyle w:val="FootnoteAnchor"/>
          <w:rtl w:val="true"/>
        </w:rPr>
        <w:footnoteReference w:id="400"/>
      </w:r>
      <w:r>
        <w:rPr>
          <w:rFonts w:ascii="IRNazanin" w:hAnsi="IRNazanin" w:eastAsia="IRNazanin"/>
          <w:color w:val="111111"/>
          <w:sz w:val="28"/>
          <w:sz w:val="28"/>
          <w:szCs w:val="28"/>
          <w:rtl w:val="true"/>
          <w:lang w:bidi="fa-IR"/>
        </w:rPr>
        <w:t>قبول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احتیاط خواندن صیغه را به طریق انفراد رعایت کند، آن را که در قسم سیّم گذشت نیز می‌خواند و نیز وکیل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مُوَکِّلِی اَنْکَحْتُکَ وَ زَوَّجْتُکَ بِنتَهُ</w:t>
      </w:r>
      <w:r>
        <w:rPr>
          <w:rStyle w:val="FootnoteAnchor"/>
          <w:rtl w:val="true"/>
        </w:rPr>
        <w:footnoteReference w:id="401"/>
      </w:r>
      <w:r>
        <w:rPr>
          <w:rFonts w:ascii="IRNazanin" w:hAnsi="IRNazanin" w:eastAsia="IRNazanin"/>
          <w:color w:val="111111"/>
          <w:sz w:val="28"/>
          <w:sz w:val="28"/>
          <w:szCs w:val="28"/>
          <w:rtl w:val="true"/>
          <w:lang w:bidi="fa-IR"/>
        </w:rPr>
        <w:t>زَیْنَبَ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 همان را می‌گوید که گذشت و بر این قیاس باقی عبارات ایجاب را تغییر می‌دهد، اگر رعایت خواندن آنها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با زن صیغه گوید و رضای ولیّ نباید،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مُوَکِّلَکَ نَفْسی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لِمُوَکّلی عَلَی الصَّداقِ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مُوَکّلِکَ بِنَفْسِی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لِمُوَکِّلِی عَلَی الصَّداقِ الْمَعْلُومِ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وَ زَوَّجْتُ نَفْسِی مُوَکِّلَکَ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همان را که قبل از این گفت،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نَفْسِی مِنْ مُوَکّلِکَ عَلی الصَّداقِ المَعْلُوم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پس وکیل مرد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با زن صیغه گوید و اذن ولیّ باید، و ولیّ زن را وکیل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زیاد می‌کند</w:t>
      </w:r>
      <w:r>
        <w:rPr>
          <w:rStyle w:val="FootnoteAnchor"/>
          <w:rtl w:val="true"/>
        </w:rPr>
        <w:footnoteReference w:id="404"/>
      </w:r>
      <w:r>
        <w:rPr>
          <w:rFonts w:ascii="Amiri" w:hAnsi="Amiri" w:eastAsia="Amiri" w:cs="Amiri"/>
          <w:color w:val="111111"/>
          <w:sz w:val="28"/>
          <w:sz w:val="28"/>
          <w:szCs w:val="28"/>
          <w:rtl w:val="true"/>
          <w:lang w:bidi="ar-SA"/>
        </w:rPr>
        <w:t xml:space="preserve">زن ـ 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اَنْکَحْتُ وَ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عبارت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إِصالَةً و وِکالَةً</w:t>
      </w:r>
      <w:r>
        <w:rPr>
          <w:rStyle w:val="FootnoteAnchor"/>
          <w:rtl w:val="true"/>
        </w:rPr>
        <w:footnoteReference w:id="405"/>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ولیّ پدر باشد</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ولیّ جد باشد؛ و باقی الفاظ ایجاب و قبول چنان است که در قسم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عبارت اولی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إِصالَةً وَ وِکالَةً عَن اَبی اَنْکَحْتُ وَ زَوَّجْتُ مَوّکِلَکَ نَفْسِی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وکیل مرد به دستور قسم سابق قبول می‌کند و اگر احتیاط عبارت انفراد را رعایت نماید، می‌گوید نیز آنچه را که در قسم سابق گذشت، و نیز می‌گوید آنچه را که در اوّل این قسم گذشت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با</w:t>
      </w:r>
      <w:r>
        <w:rPr>
          <w:rStyle w:val="FootnoteAnchor"/>
          <w:rtl w:val="true"/>
        </w:rPr>
        <w:footnoteReference w:id="407"/>
      </w:r>
      <w:r>
        <w:rPr>
          <w:rFonts w:ascii="IRNazanin" w:hAnsi="IRNazanin" w:eastAsia="IRNazanin"/>
          <w:color w:val="111111"/>
          <w:sz w:val="28"/>
          <w:sz w:val="28"/>
          <w:szCs w:val="28"/>
          <w:rtl w:val="true"/>
          <w:lang w:bidi="fa-IR"/>
        </w:rPr>
        <w:t xml:space="preserve">وکیل زن صیغه گوید و اذن ولیّ نباید، هرگاه احتیاط </w:t>
      </w:r>
    </w:p>
    <w:p>
      <w:pPr>
        <w:pStyle w:val="BookText"/>
        <w:rPr/>
      </w:pPr>
      <w:r>
        <w:rPr>
          <w:rFonts w:ascii="IRNazanin" w:hAnsi="IRNazanin" w:eastAsia="IRNazanin"/>
          <w:color w:val="111111"/>
          <w:sz w:val="28"/>
          <w:sz w:val="28"/>
          <w:szCs w:val="28"/>
          <w:rtl w:val="true"/>
          <w:lang w:bidi="fa-IR"/>
        </w:rPr>
        <w:t>رعایت همه استعمالات نمایند،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مُوَکِّلَکَ مُوَکِّلَتی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 فاصله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لِمُوکّلی عَلَی الصَّداقِ المَذْکُورِ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مُوَکّلَکَ بِمُوَکِّلَتی عَلَی الصَّداقِ المَعْلُومِ</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پس 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لِمُوَکّلی عَلَی الصَّداقِ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مَوَکِّلَتی مُوَکِّلَکَ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همان را می‌گوید که گذشت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مُوَکّلَتی مِنْ مُوَکِّلِکَ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با وکیل زن صیغه گوید و اذن ولیّ باید، و ولیّ وکیل زن را وکیل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زَیْنَبَ وَ عَنْ اَبیها اَنْکَحْتُ وَ زَوَّجْتُ مُوَکّلَکَ نَفْسها عَلی صَداقِ خَمْسینَ تُومانًا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قبول می‌کند به عبارتی که در قسم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 عَنْ اَبیها زَوَّجْتُ مُوَکِّلَکَ بِها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 عَنْ اَبیها اَنْکَحْتُها وَ زَوَّجْتُها مُوکّلَکَ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قبول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وِکالَةً عَنْ مُوَکِّلَتی وَ عَنْ أَبِیها أَنْکَحْتُها وَ زَوَّجْتُها مِنْ مُوَکِّلِکَ </w:t>
      </w:r>
    </w:p>
    <w:p>
      <w:pPr>
        <w:pStyle w:val="BookText"/>
        <w:rPr/>
      </w:pPr>
      <w:r>
        <w:rPr>
          <w:rFonts w:ascii="IRNazanin" w:hAnsi="IRNazanin" w:eastAsia="IRNazanin"/>
          <w:color w:val="111111"/>
          <w:sz w:val="28"/>
          <w:sz w:val="28"/>
          <w:szCs w:val="28"/>
          <w:rtl w:val="true"/>
          <w:lang w:bidi="fa-IR"/>
        </w:rPr>
        <w:t>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قبول می‌کند؛</w:t>
      </w:r>
      <w:r>
        <w:rPr>
          <w:rStyle w:val="FootnoteAnchor"/>
          <w:rtl w:val="true"/>
        </w:rPr>
        <w:footnoteReference w:id="411"/>
      </w:r>
      <w:r>
        <w:rPr>
          <w:rFonts w:ascii="IRNazanin" w:hAnsi="IRNazanin" w:eastAsia="IRNazanin"/>
          <w:color w:val="111111"/>
          <w:sz w:val="28"/>
          <w:sz w:val="28"/>
          <w:szCs w:val="28"/>
          <w:rtl w:val="true"/>
          <w:lang w:bidi="fa-IR"/>
        </w:rPr>
        <w:t xml:space="preserve">و اگر رعایت احتیاط صیغه انفراد نماید، آنچه در قسم سابق مذکور شد نیز علیحده می‌گوید؛ و نیز آنچه در قسم سابق گذشت وکیل زن می‌گوید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عبارت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مُوَکّلَکَ بِنْتَ مَوَکِّلِی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قیاس در باقی عبارات و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زن را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در اکثر این اقسام، صیغه‌های</w:t>
      </w:r>
      <w:r>
        <w:rPr>
          <w:rStyle w:val="FootnoteAnchor"/>
          <w:rtl w:val="true"/>
        </w:rPr>
        <w:footnoteReference w:id="412"/>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را به عبارات دیگر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ایجاب را در این قسم در صورت تشریک به این عبارت نیز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زَوَّجْتُ مُوَکِّلَکَ نَفْسَ مُوَکِّلَتِی وَ بِنْتَ مُوَکِّلِی عَلی صَداقِ خَمْسینَ 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قیاس باقی عبارات را</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چون منظور و مقصود در عقد نکاح آن است که به عربی و به لفظ تزویج یا نکاح و به فعل ماضی ادا شود و زوج و زوجه و مهر تعیین و در شق تشریک به وکالت زوجه و ولیّ هر دو در شق</w:t>
      </w:r>
      <w:r>
        <w:rPr>
          <w:rStyle w:val="FootnoteAnchor"/>
          <w:rtl w:val="true"/>
        </w:rPr>
        <w:footnoteReference w:id="414"/>
      </w:r>
      <w:r>
        <w:rPr>
          <w:rFonts w:ascii="IRNazanin" w:hAnsi="IRNazanin" w:eastAsia="IRNazanin"/>
          <w:color w:val="111111"/>
          <w:sz w:val="28"/>
          <w:sz w:val="28"/>
          <w:szCs w:val="28"/>
          <w:rtl w:val="true"/>
          <w:lang w:bidi="fa-IR"/>
        </w:rPr>
        <w:t>انفراد به وکالت زوجه علیحده و به وکالت ولیّ زوجه علیحده</w:t>
      </w:r>
      <w:r>
        <w:rPr>
          <w:rStyle w:val="FootnoteAnchor"/>
          <w:rtl w:val="true"/>
        </w:rPr>
        <w:footnoteReference w:id="415"/>
      </w:r>
      <w:r>
        <w:rPr>
          <w:rFonts w:ascii="IRNazanin" w:hAnsi="IRNazanin" w:eastAsia="IRNazanin"/>
          <w:color w:val="111111"/>
          <w:sz w:val="28"/>
          <w:sz w:val="28"/>
          <w:szCs w:val="28"/>
          <w:rtl w:val="true"/>
          <w:lang w:bidi="fa-IR"/>
        </w:rPr>
        <w:t>صیغه جاری شود، پس به هریک از عباراتی که مشتمل بر رعایت این شروط باشد واقع شود، عقد صحیح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اقسام مذکور شد، از جمله آن عبارات</w:t>
      </w:r>
      <w:r>
        <w:rPr>
          <w:rStyle w:val="FootnoteAnchor"/>
          <w:rtl w:val="true"/>
        </w:rPr>
        <w:footnoteReference w:id="4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تغییر دهد و به عباراتی</w:t>
      </w:r>
      <w:r>
        <w:rPr>
          <w:rStyle w:val="FootnoteAnchor"/>
          <w:rtl w:val="true"/>
        </w:rPr>
        <w:footnoteReference w:id="417"/>
      </w:r>
      <w:r>
        <w:rPr>
          <w:rFonts w:ascii="IRNazanin" w:hAnsi="IRNazanin" w:eastAsia="IRNazanin"/>
          <w:color w:val="111111"/>
          <w:sz w:val="28"/>
          <w:sz w:val="28"/>
          <w:szCs w:val="28"/>
          <w:rtl w:val="true"/>
          <w:lang w:bidi="fa-IR"/>
        </w:rPr>
        <w:t>دیگر گوید و این شروط را در آن نیز رعایت نماید، عقد صحیح خواهد بود</w:t>
      </w:r>
      <w:r>
        <w:rPr>
          <w:rFonts w:eastAsia="IRNazanin" w:cs="IRNazanin"/>
          <w:color w:val="111111"/>
          <w:sz w:val="28"/>
          <w:szCs w:val="28"/>
          <w:rtl w:val="true"/>
          <w:lang w:bidi="fa-IR"/>
        </w:rPr>
        <w:t xml:space="preserve">. </w:t>
      </w:r>
      <w:bookmarkStart w:id="229" w:name="pg17288_199572"/>
    </w:p>
    <w:p>
      <w:pPr>
        <w:pStyle w:val="Heading4"/>
        <w:numPr>
          <w:ilvl w:val="3"/>
          <w:numId w:val="1"/>
        </w:numPr>
        <w:rPr/>
      </w:pPr>
      <w:bookmarkStart w:id="230" w:name="__RefHeading___Toc4413654_3224264995"/>
      <w:bookmarkStart w:id="231" w:name="_Toc88"/>
      <w:bookmarkEnd w:id="229"/>
      <w:bookmarkEnd w:id="230"/>
      <w:r>
        <w:rPr>
          <w:rtl w:val="true"/>
        </w:rPr>
        <w:t>مطلب دُوم</w:t>
      </w:r>
      <w:r>
        <w:rPr>
          <w:rtl w:val="true"/>
        </w:rPr>
        <w:t xml:space="preserve">: </w:t>
      </w:r>
      <w:r>
        <w:rPr>
          <w:rtl w:val="true"/>
        </w:rPr>
        <w:t>در بیان عقد متعه و بعضی از احکام آن</w:t>
      </w:r>
      <w:bookmarkEnd w:id="231"/>
    </w:p>
    <w:p>
      <w:pPr>
        <w:pStyle w:val="Heading5"/>
        <w:numPr>
          <w:ilvl w:val="4"/>
          <w:numId w:val="1"/>
        </w:numPr>
        <w:rPr/>
      </w:pPr>
      <w:bookmarkStart w:id="232" w:name="__RefHeading___Toc4413656_3224264995"/>
      <w:bookmarkStart w:id="233" w:name="_Toc8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بدان ایدک اللّه تعالی که شرایط و آدابی که در نکاح دائم مذکور شد، همگی در عقد متعه نیز باید که رعایت شود و فرق میان نکاح دائم و متعه در</w:t>
      </w:r>
      <w:r>
        <w:rPr>
          <w:rStyle w:val="FootnoteAnchor"/>
          <w:rtl w:val="true"/>
        </w:rPr>
        <w:footnoteReference w:id="418"/>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w:t>
      </w:r>
    </w:p>
    <w:p>
      <w:pPr>
        <w:pStyle w:val="Heading5"/>
        <w:numPr>
          <w:ilvl w:val="4"/>
          <w:numId w:val="1"/>
        </w:numPr>
        <w:rPr/>
      </w:pPr>
      <w:bookmarkStart w:id="234" w:name="__RefHeading___Toc4413658_3224264995"/>
      <w:bookmarkStart w:id="235" w:name="_Toc90"/>
      <w:bookmarkEnd w:id="234"/>
      <w:r>
        <w:rPr>
          <w:rtl w:val="true"/>
        </w:rPr>
        <w:t>[</w:t>
      </w:r>
      <w:r>
        <w:rPr>
          <w:rtl w:val="true"/>
        </w:rPr>
        <w:t>تفاوت عقد نکاح و عقد متعه</w:t>
      </w:r>
      <w:r>
        <w:rPr>
          <w:rtl w:val="true"/>
        </w:rPr>
        <w:t>]</w:t>
      </w:r>
      <w:bookmarkEnd w:id="235"/>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کل علماء رضی اللّه عنهم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واقع می‌شود،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است در اینکه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یا نه</w:t>
      </w:r>
      <w:r>
        <w:rPr>
          <w:rStyle w:val="FootnoteAnchor"/>
          <w:rtl w:val="true"/>
        </w:rPr>
        <w:footnoteReference w:id="419"/>
      </w:r>
      <w:r>
        <w:rPr>
          <w:rFonts w:ascii="IRNazanin" w:hAnsi="IRNazanin" w:eastAsia="IRNazanin"/>
          <w:color w:val="111111"/>
          <w:sz w:val="28"/>
          <w:sz w:val="28"/>
          <w:szCs w:val="28"/>
          <w:rtl w:val="true"/>
          <w:lang w:bidi="fa-IR"/>
        </w:rPr>
        <w:t>و اتّفاق نموده‌اند بر اینکه عقد متعه به هریک از این سه لفظ واقع می‌شود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در نکاح دائم مذکور نشود</w:t>
      </w:r>
      <w:r>
        <w:rPr>
          <w:rStyle w:val="FootnoteAnchor"/>
          <w:rtl w:val="true"/>
        </w:rPr>
        <w:footnoteReference w:id="421"/>
      </w:r>
      <w:r>
        <w:rPr>
          <w:rFonts w:ascii="IRNazanin" w:hAnsi="IRNazanin" w:eastAsia="IRNazanin"/>
          <w:color w:val="111111"/>
          <w:sz w:val="28"/>
          <w:sz w:val="28"/>
          <w:szCs w:val="28"/>
          <w:rtl w:val="true"/>
          <w:lang w:bidi="fa-IR"/>
        </w:rPr>
        <w:t>، عقد باطل نیست،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عقد متعه که اگر مهر در آن تعیین نشود به اتفاق کل علماء باطل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مدّت مذکور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دائم است به خلاف متعه که لازم است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تعیین مدّت به نحوی که قابل زیاده و نقصان نباشد و اشتباهی در آن </w:t>
      </w:r>
    </w:p>
    <w:p>
      <w:pPr>
        <w:pStyle w:val="BookText"/>
        <w:rPr/>
      </w:pPr>
      <w:r>
        <w:rPr>
          <w:rFonts w:ascii="IRNazanin" w:hAnsi="IRNazanin" w:eastAsia="IRNazanin"/>
          <w:color w:val="111111"/>
          <w:sz w:val="28"/>
          <w:sz w:val="28"/>
          <w:szCs w:val="28"/>
          <w:rtl w:val="true"/>
          <w:lang w:bidi="fa-IR"/>
        </w:rPr>
        <w:t>نرود و در</w:t>
      </w:r>
      <w:r>
        <w:rPr>
          <w:rStyle w:val="FootnoteAnchor"/>
          <w:rtl w:val="true"/>
        </w:rPr>
        <w:footnoteReference w:id="423"/>
      </w:r>
      <w:r>
        <w:rPr>
          <w:rFonts w:ascii="IRNazanin" w:hAnsi="IRNazanin" w:eastAsia="IRNazanin"/>
          <w:color w:val="111111"/>
          <w:sz w:val="28"/>
          <w:sz w:val="28"/>
          <w:szCs w:val="28"/>
          <w:rtl w:val="true"/>
          <w:lang w:bidi="fa-IR"/>
        </w:rPr>
        <w:t>وقتی که مقصود زن و مرد عقد منقطع باشد ـ یعنی متعه ـ و در عقد مدت</w:t>
      </w:r>
      <w:r>
        <w:rPr>
          <w:rStyle w:val="FootnoteAnchor"/>
          <w:rtl w:val="true"/>
        </w:rPr>
        <w:footnoteReference w:id="424"/>
      </w:r>
      <w:r>
        <w:rPr>
          <w:rFonts w:ascii="IRNazanin" w:hAnsi="IRNazanin" w:eastAsia="IRNazanin"/>
          <w:color w:val="111111"/>
          <w:sz w:val="28"/>
          <w:sz w:val="28"/>
          <w:szCs w:val="28"/>
          <w:rtl w:val="true"/>
          <w:lang w:bidi="fa-IR"/>
        </w:rPr>
        <w:t>مذکور نشود</w:t>
      </w:r>
      <w:r>
        <w:rPr>
          <w:rStyle w:val="FootnoteAnchor"/>
          <w:rtl w:val="true"/>
        </w:rPr>
        <w:footnoteReference w:id="425"/>
      </w:r>
      <w:r>
        <w:rPr>
          <w:rFonts w:ascii="IRNazanin" w:hAnsi="IRNazanin" w:eastAsia="IRNazanin"/>
          <w:color w:val="111111"/>
          <w:sz w:val="28"/>
          <w:sz w:val="28"/>
          <w:szCs w:val="28"/>
          <w:rtl w:val="true"/>
          <w:lang w:bidi="fa-IR"/>
        </w:rPr>
        <w:t>، علما در آن خلاف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میان این زن و مرد نکاح دائم متحقّق می‌شود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به لفظ نکاح یا تزویج گفته شده است صحیح و دائم است و اگر به لفظ متعه جاری شده است، باطل است</w:t>
      </w:r>
      <w:r>
        <w:rPr>
          <w:rStyle w:val="FootnoteAnchor"/>
          <w:rtl w:val="true"/>
        </w:rPr>
        <w:footnoteReference w:id="428"/>
      </w:r>
      <w:r>
        <w:rPr>
          <w:rFonts w:ascii="IRNazanin" w:hAnsi="IRNazanin" w:eastAsia="IRNazanin"/>
          <w:color w:val="111111"/>
          <w:sz w:val="28"/>
          <w:sz w:val="28"/>
          <w:szCs w:val="28"/>
          <w:rtl w:val="true"/>
          <w:lang w:bidi="fa-IR"/>
        </w:rPr>
        <w:t>و مذهب دویم اظهر و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احوط آن است</w:t>
      </w:r>
      <w:r>
        <w:rPr>
          <w:rStyle w:val="FootnoteAnchor"/>
          <w:rtl w:val="true"/>
        </w:rPr>
        <w:footnoteReference w:id="429"/>
      </w:r>
      <w:r>
        <w:rPr>
          <w:rFonts w:ascii="IRNazanin" w:hAnsi="IRNazanin" w:eastAsia="IRNazanin"/>
          <w:color w:val="111111"/>
          <w:sz w:val="28"/>
          <w:sz w:val="28"/>
          <w:szCs w:val="28"/>
          <w:rtl w:val="true"/>
          <w:lang w:bidi="fa-IR"/>
        </w:rPr>
        <w:t>که بعد از وقوع چنین عقدی، یا عقدی دائم تازه جاری سازند</w:t>
      </w:r>
      <w:r>
        <w:rPr>
          <w:rStyle w:val="FootnoteAnchor"/>
          <w:rtl w:val="true"/>
        </w:rPr>
        <w:footnoteReference w:id="430"/>
      </w:r>
      <w:r>
        <w:rPr>
          <w:rFonts w:ascii="IRNazanin" w:hAnsi="IRNazanin" w:eastAsia="IRNazanin"/>
          <w:color w:val="111111"/>
          <w:sz w:val="28"/>
          <w:sz w:val="28"/>
          <w:szCs w:val="28"/>
          <w:rtl w:val="true"/>
          <w:lang w:bidi="fa-IR"/>
        </w:rPr>
        <w:t>، یا آن مرد آن</w:t>
      </w:r>
      <w:r>
        <w:rPr>
          <w:rStyle w:val="FootnoteAnchor"/>
          <w:rtl w:val="true"/>
        </w:rPr>
        <w:footnoteReference w:id="431"/>
      </w:r>
      <w:r>
        <w:rPr>
          <w:rFonts w:ascii="IRNazanin" w:hAnsi="IRNazanin" w:eastAsia="IRNazanin"/>
          <w:color w:val="111111"/>
          <w:sz w:val="28"/>
          <w:sz w:val="28"/>
          <w:szCs w:val="28"/>
          <w:rtl w:val="true"/>
          <w:lang w:bidi="fa-IR"/>
        </w:rPr>
        <w:t>زن را طلاق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432"/>
      </w:r>
      <w:r>
        <w:rPr>
          <w:rFonts w:ascii="IRNazanin" w:hAnsi="IRNazanin" w:eastAsia="IRNazanin"/>
          <w:color w:val="111111"/>
          <w:sz w:val="28"/>
          <w:sz w:val="28"/>
          <w:szCs w:val="28"/>
          <w:rtl w:val="true"/>
          <w:lang w:bidi="fa-IR"/>
        </w:rPr>
        <w:t>مشهور میان علماء</w:t>
      </w:r>
      <w:r>
        <w:rPr>
          <w:rStyle w:val="FootnoteAnchor"/>
          <w:rtl w:val="true"/>
        </w:rPr>
        <w:footnoteReference w:id="433"/>
      </w:r>
      <w:r>
        <w:rPr>
          <w:rFonts w:ascii="IRNazanin" w:hAnsi="IRNazanin" w:eastAsia="IRNazanin"/>
          <w:color w:val="111111"/>
          <w:sz w:val="28"/>
          <w:sz w:val="28"/>
          <w:szCs w:val="28"/>
          <w:rtl w:val="true"/>
          <w:lang w:bidi="fa-IR"/>
        </w:rPr>
        <w:t xml:space="preserve">آن است که درازی و کوتاهی مدّت متعه به اختیار </w:t>
      </w:r>
    </w:p>
    <w:p>
      <w:pPr>
        <w:pStyle w:val="BookText"/>
        <w:rPr/>
      </w:pPr>
      <w:r>
        <w:rPr>
          <w:rFonts w:ascii="IRNazanin" w:hAnsi="IRNazanin" w:eastAsia="IRNazanin"/>
          <w:color w:val="111111"/>
          <w:sz w:val="28"/>
          <w:sz w:val="28"/>
          <w:szCs w:val="28"/>
          <w:rtl w:val="true"/>
          <w:lang w:bidi="fa-IR"/>
        </w:rPr>
        <w:t>زوجین</w:t>
      </w:r>
      <w:r>
        <w:rPr>
          <w:rStyle w:val="FootnoteAnchor"/>
          <w:rtl w:val="true"/>
        </w:rPr>
        <w:footnoteReference w:id="434"/>
      </w:r>
      <w:r>
        <w:rPr>
          <w:rFonts w:ascii="IRNazanin" w:hAnsi="IRNazanin" w:eastAsia="IRNazanin"/>
          <w:color w:val="111111"/>
          <w:sz w:val="28"/>
          <w:sz w:val="28"/>
          <w:szCs w:val="28"/>
          <w:rtl w:val="true"/>
          <w:lang w:bidi="fa-IR"/>
        </w:rPr>
        <w:t>است، پس ایشان اگر خواهند</w:t>
      </w:r>
      <w:r>
        <w:rPr>
          <w:rStyle w:val="FootnoteAnchor"/>
          <w:rtl w:val="true"/>
        </w:rPr>
        <w:footnoteReference w:id="435"/>
      </w:r>
      <w:r>
        <w:rPr>
          <w:rFonts w:ascii="IRNazanin" w:hAnsi="IRNazanin" w:eastAsia="IRNazanin"/>
          <w:color w:val="111111"/>
          <w:sz w:val="28"/>
          <w:sz w:val="28"/>
          <w:szCs w:val="28"/>
          <w:rtl w:val="true"/>
          <w:lang w:bidi="fa-IR"/>
        </w:rPr>
        <w:t>که مدّت را یک ساعت یا پنجاه سال قرار دهند، جایز است؛ و احوط آن است که کمتر از نصف روز نباشد به جهت خلافی که از کلام بعضی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مدّت معیّن شود و زوجین شرط نمایند عدد خاصی را</w:t>
      </w:r>
      <w:r>
        <w:rPr>
          <w:rStyle w:val="FootnoteAnchor"/>
          <w:rtl w:val="true"/>
        </w:rPr>
        <w:footnoteReference w:id="436"/>
      </w:r>
      <w:r>
        <w:rPr>
          <w:rFonts w:ascii="IRNazanin" w:hAnsi="IRNazanin" w:eastAsia="IRNazanin"/>
          <w:color w:val="111111"/>
          <w:sz w:val="28"/>
          <w:sz w:val="28"/>
          <w:szCs w:val="28"/>
          <w:rtl w:val="true"/>
          <w:lang w:bidi="fa-IR"/>
        </w:rPr>
        <w:t>برای جماع،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اکتفا کنند به تعیین عدد جماع و مدّت را تعیین ننمایند، مثل آنکه مردی زنی را متعه کند که دو مرتبه با او جماع کند، پس در صحّت و بطلان آن علماء خلاف کرده‌اند</w:t>
      </w:r>
      <w:r>
        <w:rPr>
          <w:rStyle w:val="FootnoteAnchor"/>
          <w:rtl w:val="true"/>
        </w:rPr>
        <w:footnoteReference w:id="437"/>
      </w:r>
      <w:r>
        <w:rPr>
          <w:rFonts w:ascii="IRNazanin" w:hAnsi="IRNazanin" w:eastAsia="IRNazanin"/>
          <w:color w:val="111111"/>
          <w:sz w:val="28"/>
          <w:sz w:val="28"/>
          <w:szCs w:val="28"/>
          <w:rtl w:val="true"/>
          <w:lang w:bidi="fa-IR"/>
        </w:rPr>
        <w:t>و احوط آن است که بدون تعیین</w:t>
      </w:r>
      <w:r>
        <w:rPr>
          <w:rStyle w:val="FootnoteAnchor"/>
          <w:rtl w:val="true"/>
        </w:rPr>
        <w:footnoteReference w:id="438"/>
      </w:r>
      <w:r>
        <w:rPr>
          <w:rFonts w:ascii="IRNazanin" w:hAnsi="IRNazanin" w:eastAsia="IRNazanin"/>
          <w:color w:val="111111"/>
          <w:sz w:val="28"/>
          <w:sz w:val="28"/>
          <w:szCs w:val="28"/>
          <w:rtl w:val="true"/>
          <w:lang w:bidi="fa-IR"/>
        </w:rPr>
        <w:t>مدّت، عقد متعه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و اقوی آن است که مدّت متعه جایز است که متّصل به زمان عقد باشد و جایز است که منفصل باشد</w:t>
      </w:r>
      <w:r>
        <w:rPr>
          <w:rStyle w:val="FootnoteAnchor"/>
          <w:rtl w:val="true"/>
        </w:rPr>
        <w:footnoteReference w:id="439"/>
      </w:r>
      <w:r>
        <w:rPr>
          <w:rFonts w:ascii="IRNazanin" w:hAnsi="IRNazanin" w:eastAsia="IRNazanin"/>
          <w:color w:val="111111"/>
          <w:sz w:val="28"/>
          <w:sz w:val="28"/>
          <w:szCs w:val="28"/>
          <w:rtl w:val="true"/>
          <w:lang w:bidi="fa-IR"/>
        </w:rPr>
        <w:t xml:space="preserve">از آن، مثل آنکه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ماه زنی را یکساله متعه کند و اول یکسال غرّه ماه آینده باشد؛ و بعضی منفصل را باطل دانسته‌اند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مشهور آن است که هرگاه مدّت را در عقد مجمل گذارند و بیان نکنند که متّصل به زمان عقد است یا منفصل، عقد صحیح است و باید که ابتدای مدّت از زمان عقد باشد </w:t>
      </w:r>
    </w:p>
    <w:p>
      <w:pPr>
        <w:pStyle w:val="BookText"/>
        <w:rPr/>
      </w:pPr>
      <w:r>
        <w:rPr>
          <w:rFonts w:ascii="IRNazanin" w:hAnsi="IRNazanin" w:eastAsia="IRNazanin"/>
          <w:color w:val="111111"/>
          <w:sz w:val="28"/>
          <w:sz w:val="28"/>
          <w:szCs w:val="28"/>
          <w:rtl w:val="true"/>
          <w:lang w:bidi="fa-IR"/>
        </w:rPr>
        <w:t>و در این نیز بعضی خلاف کرده‌اند</w:t>
      </w:r>
      <w:r>
        <w:rPr>
          <w:rStyle w:val="FootnoteAnchor"/>
          <w:rtl w:val="true"/>
        </w:rPr>
        <w:footnoteReference w:id="440"/>
      </w:r>
      <w:r>
        <w:rPr>
          <w:rFonts w:ascii="IRNazanin" w:hAnsi="IRNazanin" w:eastAsia="IRNazanin"/>
          <w:color w:val="111111"/>
          <w:sz w:val="28"/>
          <w:sz w:val="28"/>
          <w:szCs w:val="28"/>
          <w:rtl w:val="true"/>
          <w:lang w:bidi="fa-IR"/>
        </w:rPr>
        <w:t>و احوط آن است که در عقد متعه مدّت را متّصل به زمان عقد قرار دهند و در اصل عقد تصریح به اتّصال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r>
        <w:rPr>
          <w:rStyle w:val="FootnoteAnchor"/>
          <w:rtl w:val="true"/>
        </w:rPr>
        <w:footnoteReference w:id="441"/>
      </w:r>
      <w:r>
        <w:rPr>
          <w:rFonts w:ascii="IRNazanin" w:hAnsi="IRNazanin" w:eastAsia="IRNazanin"/>
          <w:color w:val="111111"/>
          <w:sz w:val="28"/>
          <w:sz w:val="28"/>
          <w:szCs w:val="28"/>
          <w:rtl w:val="true"/>
          <w:lang w:bidi="fa-IR"/>
        </w:rPr>
        <w:t>نکاح دائم به وجه</w:t>
      </w:r>
      <w:r>
        <w:rPr>
          <w:rStyle w:val="FootnoteAnchor"/>
          <w:rtl w:val="true"/>
        </w:rPr>
        <w:footnoteReference w:id="442"/>
      </w:r>
      <w:r>
        <w:rPr>
          <w:rFonts w:ascii="IRNazanin" w:hAnsi="IRNazanin" w:eastAsia="IRNazanin"/>
          <w:color w:val="111111"/>
          <w:sz w:val="28"/>
          <w:sz w:val="28"/>
          <w:szCs w:val="28"/>
          <w:rtl w:val="true"/>
          <w:lang w:bidi="fa-IR"/>
        </w:rPr>
        <w:t>صحیح لازم واقع شود، اگر زوج خواهد که زوجه را از حباله خود بیرون کند، نمی‌شود، مگر</w:t>
      </w:r>
      <w:r>
        <w:rPr>
          <w:rStyle w:val="FootnoteAnchor"/>
          <w:rtl w:val="true"/>
        </w:rPr>
        <w:footnoteReference w:id="443"/>
      </w:r>
      <w:r>
        <w:rPr>
          <w:rFonts w:ascii="IRNazanin" w:hAnsi="IRNazanin" w:eastAsia="IRNazanin"/>
          <w:color w:val="111111"/>
          <w:sz w:val="28"/>
          <w:sz w:val="28"/>
          <w:szCs w:val="28"/>
          <w:rtl w:val="true"/>
          <w:lang w:bidi="fa-IR"/>
        </w:rPr>
        <w:t>آنکه زن را طلاق گوید در حضور دو عادل به شروطی که در طلاق معتبر است، به خلاف عقد متعه که اگر زوج در اثناء مدت خواهد که متعه را از حباله خود بیرون کند، موقوف بر طلاق و حضور دو عادل نیست و همین بس است که باقی مدّت را به زن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در اینکه نکاح دائم</w:t>
      </w:r>
      <w:r>
        <w:rPr>
          <w:rStyle w:val="FootnoteAnchor"/>
          <w:rtl w:val="true"/>
        </w:rPr>
        <w:footnoteReference w:id="444"/>
      </w:r>
      <w:r>
        <w:rPr>
          <w:rFonts w:ascii="IRNazanin" w:hAnsi="IRNazanin" w:eastAsia="IRNazanin"/>
          <w:color w:val="111111"/>
          <w:sz w:val="28"/>
          <w:sz w:val="28"/>
          <w:szCs w:val="28"/>
          <w:rtl w:val="true"/>
          <w:lang w:bidi="fa-IR"/>
        </w:rPr>
        <w:t>سبب آن است که زوجین از هم میراث برند، به خلاف متعه که در آن علماء خلاف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نیز زوجین از هم</w:t>
      </w:r>
      <w:r>
        <w:rPr>
          <w:rStyle w:val="FootnoteAnchor"/>
          <w:rtl w:val="true"/>
        </w:rPr>
        <w:footnoteReference w:id="445"/>
      </w:r>
      <w:r>
        <w:rPr>
          <w:rFonts w:ascii="IRNazanin" w:hAnsi="IRNazanin" w:eastAsia="IRNazanin"/>
          <w:color w:val="111111"/>
          <w:sz w:val="28"/>
          <w:sz w:val="28"/>
          <w:szCs w:val="28"/>
          <w:rtl w:val="true"/>
          <w:lang w:bidi="fa-IR"/>
        </w:rPr>
        <w:t>ارث می‌برند، اگر موت یکی از ایشان در مدّت متعه باشد، خواه شرط میراث بردن از هم کرده باشند، یا شرط میراث نبردن کرده باشند</w:t>
      </w:r>
      <w:r>
        <w:rPr>
          <w:rStyle w:val="FootnoteAnchor"/>
          <w:rtl w:val="true"/>
        </w:rPr>
        <w:footnoteReference w:id="446"/>
      </w:r>
      <w:r>
        <w:rPr>
          <w:rFonts w:ascii="IRNazanin" w:hAnsi="IRNazanin" w:eastAsia="IRNazanin"/>
          <w:color w:val="111111"/>
          <w:sz w:val="28"/>
          <w:sz w:val="28"/>
          <w:szCs w:val="28"/>
          <w:rtl w:val="true"/>
          <w:lang w:bidi="fa-IR"/>
        </w:rPr>
        <w:t>، یا مجمل گذاشته</w:t>
      </w:r>
      <w:r>
        <w:rPr>
          <w:rStyle w:val="FootnoteAnchor"/>
          <w:rtl w:val="true"/>
        </w:rPr>
        <w:footnoteReference w:id="447"/>
      </w:r>
      <w:r>
        <w:rPr>
          <w:rFonts w:ascii="IRNazanin" w:hAnsi="IRNazanin" w:eastAsia="IRNazanin"/>
          <w:color w:val="111111"/>
          <w:sz w:val="28"/>
          <w:sz w:val="28"/>
          <w:szCs w:val="28"/>
          <w:rtl w:val="true"/>
          <w:lang w:bidi="fa-IR"/>
        </w:rPr>
        <w:t>باشند و این قول مشهور نیست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شقوق از هم میراث نمی‌برند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میراث بردن کرده باشند، میراث می‌برند و اگر شرط میراث بردن نکرده باشند، میراث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نمی‌برند خواه شرط میراث نبردن کرده باشند یا مجمل گذاشته باشند، و این قول به حسب ظاهر راجح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میراث نبردن کرده باشند میراث نمی‌برند و اگر شرط میراث نبردن نکرده باشند، می‌برند</w:t>
      </w:r>
      <w:r>
        <w:rPr>
          <w:rStyle w:val="FootnoteAnchor"/>
          <w:rtl w:val="true"/>
        </w:rPr>
        <w:footnoteReference w:id="451"/>
      </w:r>
      <w:r>
        <w:rPr>
          <w:rStyle w:val="FootnoteAnchor"/>
          <w:rtl w:val="true"/>
        </w:rPr>
        <w:footnoteReference w:id="452"/>
      </w:r>
      <w:r>
        <w:rPr>
          <w:rFonts w:ascii="IRNazanin" w:hAnsi="IRNazanin" w:eastAsia="IRNazanin"/>
          <w:color w:val="111111"/>
          <w:sz w:val="28"/>
          <w:sz w:val="28"/>
          <w:szCs w:val="28"/>
          <w:rtl w:val="true"/>
          <w:lang w:bidi="fa-IR"/>
        </w:rPr>
        <w:t>و شرط میراث کردن یا نکردن اگر چه در صحّت و بطلان عقد متعه دخلی ندارد، لیکن چون منشأ اشکال و نزاع است در میراث، بهتر آن است که در عقد متعه شرط کنند میراث نبردن را و به اجمال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فرقهای دیگر نیز میان نکاح دائم و منقطع</w:t>
      </w:r>
      <w:r>
        <w:rPr>
          <w:rStyle w:val="FootnoteAnchor"/>
          <w:rtl w:val="true"/>
        </w:rPr>
        <w:footnoteReference w:id="453"/>
      </w:r>
      <w:r>
        <w:rPr>
          <w:rFonts w:ascii="IRNazanin" w:hAnsi="IRNazanin" w:eastAsia="IRNazanin"/>
          <w:color w:val="111111"/>
          <w:sz w:val="28"/>
          <w:sz w:val="28"/>
          <w:szCs w:val="28"/>
          <w:rtl w:val="true"/>
          <w:lang w:bidi="fa-IR"/>
        </w:rPr>
        <w:t>هست، لیکن تفصیل آنها مناسب نیست با وضع این رساله بر نهجی که امر اشرف اعلی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اینکه متعدّی به هر دو مفعول می‌شود به نفس با جواز تقدیم هریک از مفعولین بر دیگری؛ و متعدی می‌شود به مفعول دویم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زوجه مفعول دویّم باشد؛ و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زوج</w:t>
      </w:r>
      <w:r>
        <w:rPr>
          <w:rStyle w:val="FootnoteAnchor"/>
          <w:rtl w:val="true"/>
        </w:rPr>
        <w:footnoteReference w:id="454"/>
      </w:r>
      <w:r>
        <w:rPr>
          <w:rFonts w:ascii="IRNazanin" w:hAnsi="IRNazanin" w:eastAsia="IRNazanin"/>
          <w:color w:val="111111"/>
          <w:sz w:val="28"/>
          <w:sz w:val="28"/>
          <w:szCs w:val="28"/>
          <w:rtl w:val="true"/>
          <w:lang w:bidi="fa-IR"/>
        </w:rPr>
        <w:t xml:space="preserve">مفعول دویّم باشد و هریک از این استعمالات صحیح است و در عقد اکتفای به هریک می‌توان نمود و در کلام اهل لغت تعدیه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و احوط آن است که زوج و زوجه و مهر و مدّت و باقی اموری که در عقد متعه</w:t>
      </w:r>
      <w:r>
        <w:rPr>
          <w:rStyle w:val="FootnoteAnchor"/>
          <w:rtl w:val="true"/>
        </w:rPr>
        <w:footnoteReference w:id="455"/>
      </w:r>
      <w:r>
        <w:rPr>
          <w:rFonts w:ascii="IRNazanin" w:hAnsi="IRNazanin" w:eastAsia="IRNazanin"/>
          <w:color w:val="111111"/>
          <w:sz w:val="28"/>
          <w:sz w:val="28"/>
          <w:szCs w:val="28"/>
          <w:rtl w:val="true"/>
          <w:lang w:bidi="fa-IR"/>
        </w:rPr>
        <w:t>لازم یا راجح است ذکر آنها باید که یا صریحاً در عقد مذکور شوند</w:t>
      </w:r>
      <w:r>
        <w:rPr>
          <w:rStyle w:val="FootnoteAnchor"/>
          <w:rtl w:val="true"/>
        </w:rPr>
        <w:footnoteReference w:id="456"/>
      </w:r>
      <w:r>
        <w:rPr>
          <w:rFonts w:ascii="IRNazanin" w:hAnsi="IRNazanin" w:eastAsia="IRNazanin"/>
          <w:color w:val="111111"/>
          <w:sz w:val="28"/>
          <w:sz w:val="28"/>
          <w:szCs w:val="28"/>
          <w:rtl w:val="true"/>
          <w:lang w:bidi="fa-IR"/>
        </w:rPr>
        <w:t xml:space="preserve">، مثل آنکه </w:t>
      </w:r>
    </w:p>
    <w:p>
      <w:pPr>
        <w:pStyle w:val="BookText"/>
        <w:rPr/>
      </w:pPr>
      <w:r>
        <w:rPr>
          <w:rFonts w:ascii="IRNazanin" w:hAnsi="IRNazanin" w:eastAsia="IRNazanin"/>
          <w:color w:val="111111"/>
          <w:sz w:val="28"/>
          <w:sz w:val="28"/>
          <w:szCs w:val="28"/>
          <w:rtl w:val="true"/>
          <w:lang w:bidi="fa-IR"/>
        </w:rPr>
        <w:t>وکیل زن به وکیل مرد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مُوَکِّلَتِی زَیْنَبَ مُوَکِّلَکَ مُحمَّدًا شَهْرًا هِلالیًّا مُبْتَدأَءً مِن الانِ باثْنَیْ عَشَرَ عَبّاسیًّا جَدیدَالضَّرْبِ بِشَرْطِ أنْ لا</w:t>
      </w:r>
      <w:r>
        <w:rPr>
          <w:rStyle w:val="FootnoteAnchor"/>
          <w:rtl w:val="true"/>
        </w:rPr>
        <w:footnoteReference w:id="457"/>
      </w:r>
      <w:r>
        <w:rPr>
          <w:rFonts w:ascii="IRNazanin" w:hAnsi="IRNazanin" w:eastAsia="IRNazanin"/>
          <w:color w:val="111111"/>
          <w:sz w:val="28"/>
          <w:sz w:val="28"/>
          <w:szCs w:val="28"/>
          <w:rtl w:val="true"/>
          <w:lang w:bidi="fa-IR"/>
        </w:rPr>
        <w:t>تَرِثَهُ وَ لا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مُحمَّدٍ فی المُدَّةِ الْمَذکُورةِ بِالمَبْلَغِ المَذْکُورِ بِالشَّرطِ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سابق بر عقد تمهید امور مزبوره نمایند و آن دو شخصی که صیغه می‌گویند، آنها را در خاطر داشته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لفظی مطابق لغت عربی به آنها اشاره نمایند، مثل آنکه وکیل زن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مُوَکِّلَتی مُوَکِّلَکَ</w:t>
      </w:r>
      <w:r>
        <w:rPr>
          <w:rStyle w:val="FootnoteAnchor"/>
          <w:rtl w:val="true"/>
        </w:rPr>
        <w:footnoteReference w:id="458"/>
      </w:r>
      <w:r>
        <w:rPr>
          <w:rFonts w:ascii="IRNazanin" w:hAnsi="IRNazanin" w:eastAsia="IRNazanin"/>
          <w:color w:val="111111"/>
          <w:sz w:val="28"/>
          <w:sz w:val="28"/>
          <w:szCs w:val="28"/>
          <w:rtl w:val="true"/>
          <w:lang w:bidi="fa-IR"/>
        </w:rPr>
        <w:t>فِی المُدَّةِ المَعْلُومَةِ بِالْمَبْلَغِ المَعْلُومِ بِالشَّرطِ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نماید به آن زنی که او را وکیل نموده؛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نماید</w:t>
      </w:r>
      <w:r>
        <w:rPr>
          <w:rStyle w:val="FootnoteAnchor"/>
          <w:rtl w:val="true"/>
        </w:rPr>
        <w:footnoteReference w:id="459"/>
      </w:r>
      <w:r>
        <w:rPr>
          <w:rFonts w:ascii="IRNazanin" w:hAnsi="IRNazanin" w:eastAsia="IRNazanin"/>
          <w:color w:val="111111"/>
          <w:sz w:val="28"/>
          <w:sz w:val="28"/>
          <w:szCs w:val="28"/>
          <w:rtl w:val="true"/>
          <w:lang w:bidi="fa-IR"/>
        </w:rPr>
        <w:t>به مردی که مخاطب را وکیل نموده</w:t>
      </w:r>
      <w:r>
        <w:rPr>
          <w:rStyle w:val="FootnoteAnchor"/>
          <w:rtl w:val="true"/>
        </w:rPr>
        <w:footnoteReference w:id="460"/>
      </w:r>
      <w:r>
        <w:rPr>
          <w:rFonts w:ascii="IRNazanin" w:hAnsi="IRNazanin" w:eastAsia="IRNazanin"/>
          <w:color w:val="111111"/>
          <w:sz w:val="28"/>
          <w:sz w:val="28"/>
          <w:szCs w:val="28"/>
          <w:rtl w:val="true"/>
          <w:lang w:bidi="fa-IR"/>
        </w:rPr>
        <w:t xml:space="preserve">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کند</w:t>
      </w:r>
      <w:r>
        <w:rPr>
          <w:rStyle w:val="FootnoteAnchor"/>
          <w:rtl w:val="true"/>
        </w:rPr>
        <w:footnoteReference w:id="461"/>
      </w:r>
      <w:r>
        <w:rPr>
          <w:rFonts w:ascii="IRNazanin" w:hAnsi="IRNazanin" w:eastAsia="IRNazanin"/>
          <w:color w:val="111111"/>
          <w:sz w:val="28"/>
          <w:sz w:val="28"/>
          <w:szCs w:val="28"/>
          <w:rtl w:val="true"/>
          <w:lang w:bidi="fa-IR"/>
        </w:rPr>
        <w:t>به مدّت یک ماه</w:t>
      </w:r>
      <w:r>
        <w:rPr>
          <w:rStyle w:val="FootnoteAnchor"/>
          <w:rtl w:val="true"/>
        </w:rPr>
        <w:footnoteReference w:id="462"/>
      </w:r>
      <w:r>
        <w:rPr>
          <w:rFonts w:ascii="IRNazanin" w:hAnsi="IRNazanin" w:eastAsia="IRNazanin"/>
          <w:color w:val="111111"/>
          <w:sz w:val="28"/>
          <w:sz w:val="28"/>
          <w:szCs w:val="28"/>
          <w:rtl w:val="true"/>
          <w:lang w:bidi="fa-IR"/>
        </w:rPr>
        <w:t xml:space="preserve">که ابتدای آن از حال جریان صیغه باشد؛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نماید به دوازده</w:t>
      </w:r>
      <w:r>
        <w:rPr>
          <w:rStyle w:val="FootnoteAnchor"/>
          <w:rtl w:val="true"/>
        </w:rPr>
        <w:footnoteReference w:id="463"/>
      </w:r>
      <w:r>
        <w:rPr>
          <w:rFonts w:ascii="IRNazanin" w:hAnsi="IRNazanin" w:eastAsia="IRNazanin"/>
          <w:color w:val="111111"/>
          <w:sz w:val="28"/>
          <w:sz w:val="28"/>
          <w:szCs w:val="28"/>
          <w:rtl w:val="true"/>
          <w:lang w:bidi="fa-IR"/>
        </w:rPr>
        <w:t xml:space="preserve">عبّاسی تازه سکّه؛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نماید به شرط میراث نبردن 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اقسامی که در نکاح دائم گذشت، در عقد متعه نیز به تفصیل</w:t>
      </w:r>
      <w:r>
        <w:rPr>
          <w:rStyle w:val="FootnoteAnchor"/>
          <w:rtl w:val="true"/>
        </w:rPr>
        <w:footnoteReference w:id="464"/>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w:t>
      </w:r>
      <w:r>
        <w:rPr>
          <w:rStyle w:val="FootnoteAnchor"/>
          <w:rtl w:val="true"/>
        </w:rPr>
        <w:footnoteReference w:id="465"/>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صیغه گوید و رضای ولی نباید، هرگاه مدت را فرض کنیم که یک ماه است و مهر مبلغ پنج عبّاسی تازه</w:t>
      </w:r>
      <w:r>
        <w:rPr>
          <w:rStyle w:val="FootnoteAnchor"/>
          <w:rtl w:val="true"/>
        </w:rPr>
        <w:footnoteReference w:id="466"/>
      </w:r>
      <w:r>
        <w:rPr>
          <w:rFonts w:ascii="IRNazanin" w:hAnsi="IRNazanin" w:eastAsia="IRNazanin"/>
          <w:color w:val="111111"/>
          <w:sz w:val="28"/>
          <w:sz w:val="28"/>
          <w:szCs w:val="28"/>
          <w:rtl w:val="true"/>
          <w:lang w:bidi="fa-IR"/>
        </w:rPr>
        <w:t>بعد از خواندن خطبه، زن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 نَفْسی شَهْرًا هِلالیًّا مُبْتَدَأَةً مِنَ الانِ بِخَمْسِ عَبّاسیّاتٍ جَدیدَة الضَّرْبِ بشَرطِ أنْ لاتَرِثَنی وَ لا اَرَثَکَ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 فاصله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لِنَفْسی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سبیل احتیاط استعمالات دیگر لفظ متعه را نیز خواهد که بگوید، در ذکر مدّت و مهر و شرط و قبول تفاوتی نمی‌کند و تفاوت منحصر است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مفعول آن به این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نَفْسی نَفْسَکَ وَ مَتَّعْتُکَ بنَفْسی وَ مَتَّعْتُ نَفسی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مدّت یکسال باشد، به جای شهرًا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شصت عبّاسی باشد،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عَبّاسِیّاتٍ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بِسِتّینَ عَبّاسیًّا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بر این قیاس مدّت و مهر را تغییر می‌دهد و به قدری که قرار شده باشد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و مرد مربوط به لغت عربی نباشند و قادر نباشند بر اینکه مهر و مدّت را به لفظ عربی گویند، باید به نحوی که سابق بر این مذکور شد، قبل از عقد، مهر و مدّت را تعیین کنند و در وقت</w:t>
      </w:r>
      <w:r>
        <w:rPr>
          <w:rStyle w:val="FootnoteAnchor"/>
          <w:rtl w:val="true"/>
        </w:rPr>
        <w:footnoteReference w:id="468"/>
      </w:r>
      <w:r>
        <w:rPr>
          <w:rFonts w:ascii="IRNazanin" w:hAnsi="IRNazanin" w:eastAsia="IRNazanin"/>
          <w:color w:val="111111"/>
          <w:sz w:val="28"/>
          <w:sz w:val="28"/>
          <w:szCs w:val="28"/>
          <w:rtl w:val="true"/>
          <w:lang w:bidi="fa-IR"/>
        </w:rPr>
        <w:t>خواندن صیغه در خاطر داشته باشند، و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المُدَّةِ المَعْلُومَةِ بِالمَهرِ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نماید به مدت معهوده و مهر معهود؛ و شرط میراث نبردن را اگر خواهند که در عقد مذکور سازند، بعد از تمهید آن در آخر صیغه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بِالشَّرْطِ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معنی صیغه را به تفصیل به لغتی که می‌دانند، قبل از گفتن صیغه به عربی یا بعد از آن بگویند</w:t>
      </w:r>
      <w:r>
        <w:rPr>
          <w:rStyle w:val="FootnoteAnchor"/>
          <w:rtl w:val="true"/>
        </w:rPr>
        <w:footnoteReference w:id="469"/>
      </w:r>
      <w:r>
        <w:rPr>
          <w:rFonts w:ascii="IRNazanin" w:hAnsi="IRNazanin" w:eastAsia="IRNazanin"/>
          <w:color w:val="111111"/>
          <w:sz w:val="28"/>
          <w:sz w:val="28"/>
          <w:szCs w:val="28"/>
          <w:rtl w:val="true"/>
          <w:lang w:bidi="fa-IR"/>
        </w:rPr>
        <w:t>تا صیغه را به لغت خود نیز خوانده باشند، بهتر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امر اشرف اعلی صادر شده است که از یکسال تا چهل سال به تفصیل مرقوم گردد و مهر به جهت هر سال مبلغ دوازده هزار دینار</w:t>
      </w:r>
      <w:r>
        <w:rPr>
          <w:rStyle w:val="FootnoteAnchor"/>
          <w:rtl w:val="true"/>
        </w:rPr>
        <w:footnoteReference w:id="470"/>
      </w:r>
      <w:r>
        <w:rPr>
          <w:rFonts w:ascii="IRNazanin" w:hAnsi="IRNazanin" w:eastAsia="IRNazanin"/>
          <w:color w:val="111111"/>
          <w:sz w:val="28"/>
          <w:sz w:val="28"/>
          <w:szCs w:val="28"/>
          <w:rtl w:val="true"/>
          <w:lang w:bidi="fa-IR"/>
        </w:rPr>
        <w:t>باشد، لهذا به تفصیل معروض</w:t>
      </w:r>
      <w:r>
        <w:rPr>
          <w:rStyle w:val="FootnoteAnchor"/>
          <w:rtl w:val="true"/>
        </w:rPr>
        <w:footnoteReference w:id="471"/>
      </w:r>
      <w:r>
        <w:rPr>
          <w:rFonts w:ascii="IRNazanin" w:hAnsi="IRNazanin" w:eastAsia="IRNazanin"/>
          <w:color w:val="111111"/>
          <w:sz w:val="28"/>
          <w:sz w:val="28"/>
          <w:szCs w:val="28"/>
          <w:rtl w:val="true"/>
          <w:lang w:bidi="fa-IR"/>
        </w:rPr>
        <w:t xml:space="preserve">می‌گردد؛ و چون عبارتی که مرد می‌گوید، در همه این چهل احتمال تفاوتی ندارد، آن را </w:t>
      </w:r>
    </w:p>
    <w:p>
      <w:pPr>
        <w:pStyle w:val="BookText"/>
        <w:rPr/>
      </w:pPr>
      <w:r>
        <w:rPr>
          <w:rFonts w:ascii="IRNazanin" w:hAnsi="IRNazanin" w:eastAsia="IRNazanin"/>
          <w:color w:val="111111"/>
          <w:sz w:val="28"/>
          <w:sz w:val="28"/>
          <w:szCs w:val="28"/>
          <w:rtl w:val="true"/>
          <w:lang w:bidi="fa-IR"/>
        </w:rPr>
        <w:t>تکرار ننمود؛ و چون به هریک از استعمالات، عقد صحیح است، اکتفا به یک 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مدّت یکسال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سَنَةً هِلالیّةً مُبْتَدَأَةً مِن الانِ بِسِتینَ عَبّاسیًّا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لِنَفْسی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دو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سَنَتَیْنِ هِلالِیَّتَیْنِ مُبْتَدَأَتَینِ مِنَ الانِ بِمِائَةِ وَ عشرینَ عَبّاسیًّا جَدیدَ الضَّرْبِ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مدّت سه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ثَلثَ سِنِیْنَ هِلالیَّةٍ مُبْتَدأَةً مِنَ الانِ بِمِائَةٍ وَ ثَمانینَ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چهار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اَرْبَعَ سِنینَ هِلالِیّةٍ</w:t>
      </w:r>
      <w:r>
        <w:rPr>
          <w:rStyle w:val="FootnoteAnchor"/>
          <w:rtl w:val="true"/>
        </w:rPr>
        <w:footnoteReference w:id="473"/>
      </w:r>
      <w:r>
        <w:rPr>
          <w:rFonts w:ascii="Amiri" w:hAnsi="Amiri" w:eastAsia="Amiri" w:cs="Amiri"/>
          <w:color w:val="111111"/>
          <w:sz w:val="28"/>
          <w:sz w:val="28"/>
          <w:szCs w:val="28"/>
          <w:rtl w:val="true"/>
          <w:lang w:bidi="ar-SA"/>
        </w:rPr>
        <w:t>مُبْتَدَأَةً مِنَ الانَ بِمِأَتَیْنِ وَ اَرْبَعینَ 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پنج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خَمْسَ سِنینَ هِلالِیَّةٍ مُبْتَدَأَةً مِنَ الانِ بِثَلاثِمِائَةٍ عبّاسیٍّ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شش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سِتَّ سِنِینَ هِلالِیَّةٍ مُبْتَدَأَةً مِنَ الانِ بِثَلاثِمِائَةٍ و سِتِّینَ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هفت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سَبْعَ سِنِینَ هِلالِیَّةٍ مُبْتَدَأَةٍ مِنَ الانِ بِأَرْبَعِمِائَةٍ وَ عِشْرِیْنَ</w:t>
      </w:r>
      <w:r>
        <w:rPr>
          <w:rStyle w:val="FootnoteAnchor"/>
          <w:rtl w:val="true"/>
        </w:rPr>
        <w:footnoteReference w:id="474"/>
      </w:r>
      <w:r>
        <w:rPr>
          <w:rFonts w:ascii="Amiri" w:hAnsi="Amiri" w:eastAsia="Amiri" w:cs="Amiri"/>
          <w:color w:val="111111"/>
          <w:sz w:val="28"/>
          <w:sz w:val="28"/>
          <w:szCs w:val="28"/>
          <w:rtl w:val="true"/>
          <w:lang w:bidi="ar-SA"/>
        </w:rPr>
        <w:t>وَ ثَمانینَ 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هشت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ثَمانِیَّ سِنینَ هِلالیَّةٍ مُبْتَدأَةً مِنَ الانِ بِأَرْبَعِمِائَةٍ وَ ثَمانِیْنَ</w:t>
      </w:r>
      <w:r>
        <w:rPr>
          <w:rStyle w:val="FootnoteAnchor"/>
          <w:rtl w:val="true"/>
        </w:rPr>
        <w:footnoteReference w:id="475"/>
      </w:r>
      <w:r>
        <w:rPr>
          <w:rFonts w:ascii="Amiri" w:hAnsi="Amiri" w:eastAsia="Amiri" w:cs="Amiri"/>
          <w:color w:val="111111"/>
          <w:sz w:val="28"/>
          <w:sz w:val="28"/>
          <w:szCs w:val="28"/>
          <w:rtl w:val="true"/>
          <w:lang w:bidi="ar-SA"/>
        </w:rPr>
        <w:t>عَبّاسیًّا جَدیدَ الضَّرْبِ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مدّت نه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تِسْعَ سِنینَ هِلالیّةٍ مُبْتَدَأَةً مِنَ الانِ بِخَمْسَمِائَةٍ وَ أَرْبَعینَ عَبّاسیًّا جَدیدَ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مدّت 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عَشَرَ</w:t>
      </w:r>
      <w:r>
        <w:rPr>
          <w:rStyle w:val="FootnoteAnchor"/>
          <w:rtl w:val="true"/>
        </w:rPr>
        <w:footnoteReference w:id="476"/>
      </w:r>
      <w:r>
        <w:rPr>
          <w:rFonts w:ascii="Amiri" w:hAnsi="Amiri" w:eastAsia="Amiri" w:cs="Amiri"/>
          <w:color w:val="111111"/>
          <w:sz w:val="28"/>
          <w:sz w:val="28"/>
          <w:szCs w:val="28"/>
          <w:rtl w:val="true"/>
          <w:lang w:bidi="ar-SA"/>
        </w:rPr>
        <w:t>سِنینَ هِلالیَّةٍ مُبْتَدَأَةً مِنَ الانِ بِسِتَّمِائَةِ عَبّاسیٍ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یازده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إِحْدَی عَشَرَةَ سَنَةً هِلالیَّةً مُبْتَدَأَةً مِن الانِ بِستِّمِائةٍ وَ سِتّینَ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مدّت دوازده سال باشد، زن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إثْنَتَیْ</w:t>
      </w:r>
      <w:r>
        <w:rPr>
          <w:rStyle w:val="FootnoteAnchor"/>
          <w:rtl w:val="true"/>
        </w:rPr>
        <w:footnoteReference w:id="477"/>
      </w:r>
      <w:r>
        <w:rPr>
          <w:rFonts w:ascii="Amiri" w:hAnsi="Amiri" w:eastAsia="Amiri" w:cs="Amiri"/>
          <w:color w:val="111111"/>
          <w:sz w:val="28"/>
          <w:sz w:val="28"/>
          <w:szCs w:val="28"/>
          <w:rtl w:val="true"/>
          <w:lang w:bidi="ar-SA"/>
        </w:rPr>
        <w:t>عَشَرَةَ سَنَةً هِلالِیَّةً مُبْتَدَأَةً مِنَ الانِ بِسَبْعِمائَةٍ</w:t>
      </w:r>
      <w:r>
        <w:rPr>
          <w:rStyle w:val="FootnoteAnchor"/>
          <w:rtl w:val="true"/>
        </w:rPr>
        <w:footnoteReference w:id="478"/>
      </w:r>
      <w:r>
        <w:rPr>
          <w:rFonts w:ascii="Amiri" w:hAnsi="Amiri" w:eastAsia="Amiri" w:cs="Amiri"/>
          <w:color w:val="111111"/>
          <w:sz w:val="28"/>
          <w:sz w:val="28"/>
          <w:szCs w:val="28"/>
          <w:rtl w:val="true"/>
          <w:lang w:bidi="ar-SA"/>
        </w:rPr>
        <w:t>وَ عِشْرینَ 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سیزده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ثَلثَ عَشَرَةَ سَنَةً هِلالیَّةً مُبْتَدَأَةً مِنَ الانِ بِسَبْعِمائَةٍ وَ ثَمانینَ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چهارده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أَرْبَعَ عَشَرَةَ سَنَةً هِلالیَّةً مُبْتَدَأَةً مِنَ الانِ بِثَمانِمِائَةٍ وَ أَرْبَعِینَ</w:t>
      </w:r>
      <w:r>
        <w:rPr>
          <w:rStyle w:val="FootnoteAnchor"/>
          <w:rtl w:val="true"/>
        </w:rPr>
        <w:footnoteReference w:id="479"/>
      </w:r>
      <w:r>
        <w:rPr>
          <w:rFonts w:ascii="Amiri" w:hAnsi="Amiri" w:eastAsia="Amiri" w:cs="Amiri"/>
          <w:color w:val="111111"/>
          <w:sz w:val="28"/>
          <w:sz w:val="28"/>
          <w:szCs w:val="28"/>
          <w:rtl w:val="true"/>
          <w:lang w:bidi="ar-SA"/>
        </w:rPr>
        <w:t>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پانزده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خَمْسَ عَشَرَةَ سَنَةً هِلالیَّةً مُبْتَدَأَةً مِنَ الانِ بِتِسْعِمِائَةٍ عَبّاسیٍّ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شانزده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سِتَّ عَشَرَةَ سَنَةً</w:t>
      </w:r>
      <w:r>
        <w:rPr>
          <w:rStyle w:val="FootnoteAnchor"/>
          <w:rtl w:val="true"/>
        </w:rPr>
        <w:footnoteReference w:id="480"/>
      </w:r>
      <w:r>
        <w:rPr>
          <w:rFonts w:ascii="Amiri" w:hAnsi="Amiri" w:eastAsia="Amiri" w:cs="Amiri"/>
          <w:color w:val="111111"/>
          <w:sz w:val="28"/>
          <w:sz w:val="28"/>
          <w:szCs w:val="28"/>
          <w:rtl w:val="true"/>
          <w:lang w:bidi="ar-SA"/>
        </w:rPr>
        <w:t>هِلالیَّةً مُبْتَدَأَةً مِنَ الانِ بِتِسْعَمائَةٍ وَ سِتِّینَ</w:t>
      </w:r>
      <w:r>
        <w:rPr>
          <w:rStyle w:val="FootnoteAnchor"/>
          <w:rtl w:val="true"/>
        </w:rPr>
        <w:footnoteReference w:id="481"/>
      </w:r>
      <w:r>
        <w:rPr>
          <w:rFonts w:ascii="Amiri" w:hAnsi="Amiri" w:eastAsia="Amiri" w:cs="Amiri"/>
          <w:color w:val="111111"/>
          <w:sz w:val="28"/>
          <w:sz w:val="28"/>
          <w:szCs w:val="28"/>
          <w:rtl w:val="true"/>
          <w:lang w:bidi="ar-SA"/>
        </w:rPr>
        <w:t>عَبّاسیٍّ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هفده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سَبْعَ عَشَرَةَ سَنَةً هِلالیَّةً مُبْتَدَأَةً مِنَ الانِ بِاَلْفٍ وَ عِشْرینَ عَبّاسیًّا جَدیدَ الضَّرْبِ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مدت هیجده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ثَمانِیَ</w:t>
      </w:r>
      <w:r>
        <w:rPr>
          <w:rStyle w:val="FootnoteAnchor"/>
          <w:rtl w:val="true"/>
        </w:rPr>
        <w:footnoteReference w:id="482"/>
      </w:r>
      <w:r>
        <w:rPr>
          <w:rFonts w:ascii="Amiri" w:hAnsi="Amiri" w:eastAsia="Amiri" w:cs="Amiri"/>
          <w:color w:val="111111"/>
          <w:sz w:val="28"/>
          <w:sz w:val="28"/>
          <w:szCs w:val="28"/>
          <w:rtl w:val="true"/>
          <w:lang w:bidi="ar-SA"/>
        </w:rPr>
        <w:t>عَشَرَةَ سَنَةً هِلالیّةً مُبْتَدَأَةً مِن الانِ بِأَلْفٍ وَ ثَمانینَ عَبّاسیًّا جَدیدَ الضَّرْبِ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مدّت نوزده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تِسْعَ عَشَرَةَ سَنَةً هِلالیَّةً مُبْتَدَأَةً مِن الانِ بِأَلْفٍ وَ مِائةٍ وَ أَرْبَعینَ عَبّاسیًّا جَدیدَ الضَّرْبِ</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اگر مدّت بیست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عِشْرینَ سَنَةً هِلالیَّةً مُبْتَدَأَةً مِنَ الانِ بِأَلْفٍ وَ مِأَتَیْ عَبّاسیٍّ جَدیدَ الضَّرْب</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بیست و یک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اِحْدی وَ عِشْرینَ سَنَةً هِلالیَّةً مُبْتَدَأَةً مِنَ الانِ بِأَلْفٍ وَ مِأَتَیْن وَ سِتّینَ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بیست و دو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اِثْنَتَیْنِ وَ عِشْرینَ سَنَةً هِلالِیَّةً مُبْتَدَأَةً مِنَ الانِ</w:t>
      </w:r>
      <w:r>
        <w:rPr>
          <w:rStyle w:val="FootnoteAnchor"/>
          <w:rtl w:val="true"/>
        </w:rPr>
        <w:footnoteReference w:id="484"/>
      </w:r>
      <w:r>
        <w:rPr>
          <w:rFonts w:ascii="Amiri" w:hAnsi="Amiri" w:eastAsia="Amiri" w:cs="Amiri"/>
          <w:color w:val="111111"/>
          <w:sz w:val="28"/>
          <w:sz w:val="28"/>
          <w:szCs w:val="28"/>
          <w:rtl w:val="true"/>
          <w:lang w:bidi="ar-SA"/>
        </w:rPr>
        <w:t>بِاَلْفٍ وَ ثَلثِماَةٍ وَ عِشْرینَ 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بیست و سه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ثَلثًا وَ عِشْرینَ سَنَةً هِلالیَّةً مُبْتَدَأَةً مِنَ الانِ بِاَلْفٍ وَ ثَلاثِمِائَةٍ وَ ثَمانِیْنَ</w:t>
      </w:r>
      <w:r>
        <w:rPr>
          <w:rStyle w:val="FootnoteAnchor"/>
          <w:rtl w:val="true"/>
        </w:rPr>
        <w:footnoteReference w:id="485"/>
      </w:r>
      <w:r>
        <w:rPr>
          <w:rFonts w:ascii="Amiri" w:hAnsi="Amiri" w:eastAsia="Amiri" w:cs="Amiri"/>
          <w:color w:val="111111"/>
          <w:sz w:val="28"/>
          <w:sz w:val="28"/>
          <w:szCs w:val="28"/>
          <w:rtl w:val="true"/>
          <w:lang w:bidi="ar-SA"/>
        </w:rPr>
        <w:t>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بیست و چهار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أَرْبَعًا وَ عِشْرینَ سَنَةً هِلالیّةً مُبْتَدَأَةً مِن الانِ بِاَلْفٍ وَ أَرْبَعَمائَةٍ وَ أَرْبَعینَ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بیست و پنج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خَمْسًا وَ عِشْرینَ سَنَةً هِلالیَّةً مُبْتَدَأَةً مِنَ الانِ بِأَلْفٍ وَ خَمْسِمِائَةِ عَبّاسیٍّ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بیست و شش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ستًّا وَ عِشْرینَ سَنَةً هِلالیَّةً مُبْتَدَأَةً مِنَ الانِ بِأَلْفٍ وَ خَمْسمِائةٍ وَ سِتّینَ عَبّاسیًّا جَدیدَ الضَّرْبِ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مدّت بیست و هفت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سَبْعًا وَ عِشْرینَ سَنَةً</w:t>
      </w:r>
      <w:r>
        <w:rPr>
          <w:rStyle w:val="FootnoteAnchor"/>
          <w:rtl w:val="true"/>
        </w:rPr>
        <w:footnoteReference w:id="486"/>
      </w:r>
      <w:r>
        <w:rPr>
          <w:rFonts w:ascii="Amiri" w:hAnsi="Amiri" w:eastAsia="Amiri" w:cs="Amiri"/>
          <w:color w:val="111111"/>
          <w:sz w:val="28"/>
          <w:sz w:val="28"/>
          <w:szCs w:val="28"/>
          <w:rtl w:val="true"/>
          <w:lang w:bidi="ar-SA"/>
        </w:rPr>
        <w:t>هِلالیَّةً مُبْتَدَأَةً مِنَ الانِ بِاَلْفٍ وَ سِتِّمِائَةٍ وَ عِشْرِیْنَ</w:t>
      </w:r>
      <w:r>
        <w:rPr>
          <w:rStyle w:val="FootnoteAnchor"/>
          <w:rtl w:val="true"/>
        </w:rPr>
        <w:footnoteReference w:id="487"/>
      </w:r>
      <w:r>
        <w:rPr>
          <w:rFonts w:ascii="Amiri" w:hAnsi="Amiri" w:eastAsia="Amiri" w:cs="Amiri"/>
          <w:color w:val="111111"/>
          <w:sz w:val="28"/>
          <w:sz w:val="28"/>
          <w:szCs w:val="28"/>
          <w:rtl w:val="true"/>
          <w:lang w:bidi="ar-SA"/>
        </w:rPr>
        <w:t>عَبّاسیًّا جَدیدَ الضَّرْبِ</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اگر مدّت بیست و هشت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ثَمانٍ وَ عِشْرینَ سَنَةً هِلالیَّةً مُبْتَدَأَةً مِنَ الانِ بِأَلْفٍ وَ سِتّمِائَةٍ وَ ثَمانینَ</w:t>
      </w:r>
      <w:r>
        <w:rPr>
          <w:rStyle w:val="FootnoteAnchor"/>
          <w:rtl w:val="true"/>
        </w:rPr>
        <w:footnoteReference w:id="489"/>
      </w:r>
      <w:r>
        <w:rPr>
          <w:rFonts w:ascii="Amiri" w:hAnsi="Amiri" w:eastAsia="Amiri" w:cs="Amiri"/>
          <w:color w:val="111111"/>
          <w:sz w:val="28"/>
          <w:sz w:val="28"/>
          <w:szCs w:val="28"/>
          <w:rtl w:val="true"/>
          <w:lang w:bidi="ar-SA"/>
        </w:rPr>
        <w:t xml:space="preserve">عَبّاسیًّا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بیست و نه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تِسْعًا</w:t>
      </w:r>
      <w:r>
        <w:rPr>
          <w:rStyle w:val="FootnoteAnchor"/>
          <w:rtl w:val="true"/>
        </w:rPr>
        <w:footnoteReference w:id="490"/>
      </w:r>
      <w:r>
        <w:rPr>
          <w:rFonts w:ascii="Amiri" w:hAnsi="Amiri" w:eastAsia="Amiri" w:cs="Amiri"/>
          <w:color w:val="111111"/>
          <w:sz w:val="28"/>
          <w:sz w:val="28"/>
          <w:szCs w:val="28"/>
          <w:rtl w:val="true"/>
          <w:lang w:bidi="ar-SA"/>
        </w:rPr>
        <w:t>وَ عِشْرینَ سَنَةً هِلالیَّةً مُبْتَدَأَةً مِنَ الانِ بِأَلْفٍ وَ سَبْعِمِائَةٍ وَ أَرْبَعِینَ</w:t>
      </w:r>
      <w:r>
        <w:rPr>
          <w:rStyle w:val="FootnoteAnchor"/>
          <w:rtl w:val="true"/>
        </w:rPr>
        <w:footnoteReference w:id="491"/>
      </w:r>
      <w:r>
        <w:rPr>
          <w:rFonts w:ascii="Amiri" w:hAnsi="Amiri" w:eastAsia="Amiri" w:cs="Amiri"/>
          <w:color w:val="111111"/>
          <w:sz w:val="28"/>
          <w:sz w:val="28"/>
          <w:szCs w:val="28"/>
          <w:rtl w:val="true"/>
          <w:lang w:bidi="ar-SA"/>
        </w:rPr>
        <w:t>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سی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ثَلاثینَ سَنَةً هِلالیَّةً مُبْتَدَأَةً مِنَ الانِ بِأَلْفٍ وَ ثَمانِمِائَةِ عَبّاسیٍّ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سی و یک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اِحْدی وَ ثلثینَ سَنَةً هِلالیَّةً مُبْتَدَأَةً مِنَ الانِ بِاَلْفٍ وَ ثَمانِمِائَةٍ وَ ستِّینَ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سی و دو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اثْنَتَیْنَ وَ ثَلثینَ</w:t>
      </w:r>
      <w:r>
        <w:rPr>
          <w:rStyle w:val="FootnoteAnchor"/>
          <w:rtl w:val="true"/>
        </w:rPr>
        <w:footnoteReference w:id="492"/>
      </w:r>
      <w:r>
        <w:rPr>
          <w:rFonts w:ascii="Amiri" w:hAnsi="Amiri" w:eastAsia="Amiri" w:cs="Amiri"/>
          <w:color w:val="111111"/>
          <w:sz w:val="28"/>
          <w:sz w:val="28"/>
          <w:szCs w:val="28"/>
          <w:rtl w:val="true"/>
          <w:lang w:bidi="ar-SA"/>
        </w:rPr>
        <w:t>سَنَةً هِلالیَّةً مُبْتَدَأَةً مِنَ الانِ بِأَلْفٍ وَ تِسْعِمِائَةٍ وَ عِشْرینَ عبّاسیًّا جَدیدَ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مدت سی و سه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ثَلثًا وَ ثَلثینَ سَنَةً هِلالیَّةً مُبتَدَأَةً مِنَ الانِ بِأَلْفٍ وَ تِسْعِمِائَةٍ وَ ثَمانینَ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سی و چهار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أَرْبَعًا وَ ثَلثینَ سَنَةً هِلالیَّةً مُبْتَدَأَةً مِنَ الانِ بِأَلْفَیْنِ وَ أَرْبَعینَ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سی و پنج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خمسًا وَ ثَلثینَ سَنَةَ هِلالیَّةً مُبْتَدَأَةً مِنَ الانِ بِأَلْفَیْنِ وَ مِائَةِ عَبّاسیٍّ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سی و شش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سِتّاً وَ ثَلاثِینَ سَنَةً هِلالِیَّةً مُبْتَدَأَةً مِنَ الاْنِ بِأَلْفَینَ وَ مِائَةٍ وَ سِتِّیْنَ عَبّاسِیّاً جَدیدَ الضَّرْبِ</w:t>
      </w:r>
      <w:r>
        <w:rPr>
          <w:rFonts w:eastAsia="IRNazanin" w:cs="IRNazanin"/>
          <w:color w:val="111111"/>
          <w:sz w:val="28"/>
          <w:szCs w:val="28"/>
          <w:rtl w:val="true"/>
          <w:lang w:bidi="fa-IR"/>
        </w:rPr>
        <w:t>».</w:t>
      </w:r>
      <w:r>
        <w:rPr>
          <w:rStyle w:val="FootnoteAnchor"/>
          <w:rtl w:val="true"/>
        </w:rPr>
        <w:footnoteReference w:id="49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مدت سی و هفت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سَبْعًا وَ ثَلاثینَ سَنَةً هِلالیَّةً مُبْتَدَأَةً مِنَ الانِ بِأَلْفَیْنِ وَ مِأَتَیْنِ وَ عِشْرینَ عبّاسیًّا جَدیدَ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مدّت سی و هشت سال باشد، زن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ثَمانٍ وَ ثَلثینَ سَنَةً هِلالیَّةً مُبْتَدَأَةً مِنَ الانِ بِأَلْفَیْنِ وَ مِأَتَیْنِ وَ ثَمانینَ عبّاسیًّا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سی و نه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تِسْعًا وَ ثَلاثینَ سَنَةً هِلالیَّةً مُبْتَدَأَةً مِنَ الانِ بِأَلْفَیْنِ وَ ثَلاثِمِائَةٍ وَ أَرْبَعینَ عبّاسیًّا جَدیدَ الضَّرْبِ</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اگر مدّت چهل سال باشد،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أَرْبَعینَ سَنَةً هِلالیَّةً مُبْتَدَأَةً مِنَ الانِ بِأَلْفَیْنِ وَ أَرْبَعِمِائَةِ عبّاسیٍ جَدیدَ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صیغه گوید و اذن ولیّ باید، و</w:t>
      </w:r>
      <w:r>
        <w:rPr>
          <w:rStyle w:val="FootnoteAnchor"/>
          <w:rtl w:val="true"/>
        </w:rPr>
        <w:footnoteReference w:id="495"/>
      </w:r>
      <w:r>
        <w:rPr>
          <w:rFonts w:ascii="IRNazanin" w:hAnsi="IRNazanin" w:eastAsia="IRNazanin"/>
          <w:color w:val="111111"/>
          <w:sz w:val="28"/>
          <w:sz w:val="28"/>
          <w:szCs w:val="28"/>
          <w:rtl w:val="true"/>
          <w:lang w:bidi="fa-IR"/>
        </w:rPr>
        <w:t>ولیّ زن را وکیل نموده باشد، در این قسم زن</w:t>
      </w:r>
      <w:r>
        <w:rPr>
          <w:rStyle w:val="FootnoteAnchor"/>
          <w:rtl w:val="true"/>
        </w:rPr>
        <w:footnoteReference w:id="496"/>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وَ وِکالَةً عَنْ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پدر او را وکیل نموده باشد؛ و می‌گوید</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وَ وِکالَةً عَنْ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جد او را وکیل نموده باشد و باقی صیغه را چنانکه در قسم اوّل گذشت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مدّت یکسال</w:t>
      </w:r>
      <w:r>
        <w:rPr>
          <w:rStyle w:val="FootnoteAnchor"/>
          <w:rtl w:val="true"/>
        </w:rPr>
        <w:footnoteReference w:id="499"/>
      </w:r>
      <w:r>
        <w:rPr>
          <w:rFonts w:ascii="IRNazanin" w:hAnsi="IRNazanin" w:eastAsia="IRNazanin"/>
          <w:color w:val="111111"/>
          <w:sz w:val="28"/>
          <w:sz w:val="28"/>
          <w:szCs w:val="28"/>
          <w:rtl w:val="true"/>
          <w:lang w:bidi="fa-IR"/>
        </w:rPr>
        <w:t>باشد و پدر او را وکیل نموده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وَ وِکالَةً عَنْ أَبی مَتَّعْتُکَ نَفْسی سَنَةً هِلالیَّةً مُبْتَدَأَةً مِنَ الانِ بستّینَ عَبّاسیًّا جَدیدَ الضَّرْبِ</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پس بی‌فاصله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لِنَفْسی هکَذا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قیاس در باقی</w:t>
      </w:r>
      <w:r>
        <w:rPr>
          <w:rStyle w:val="FootnoteAnchor"/>
          <w:rtl w:val="true"/>
        </w:rPr>
        <w:footnoteReference w:id="501"/>
      </w:r>
      <w:r>
        <w:rPr>
          <w:rFonts w:ascii="IRNazanin" w:hAnsi="IRNazanin" w:eastAsia="IRNazanin"/>
          <w:color w:val="111111"/>
          <w:sz w:val="28"/>
          <w:sz w:val="28"/>
          <w:szCs w:val="28"/>
          <w:rtl w:val="true"/>
          <w:lang w:bidi="fa-IR"/>
        </w:rPr>
        <w:t xml:space="preserve">استعمالات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رعایت احتیاط خواندن</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صیغه را به طریق انفراد خواهد، می‌خواند</w:t>
      </w:r>
      <w:r>
        <w:rPr>
          <w:rStyle w:val="FootnoteAnchor"/>
          <w:rtl w:val="true"/>
        </w:rPr>
        <w:footnoteReference w:id="503"/>
      </w:r>
      <w:r>
        <w:rPr>
          <w:rFonts w:ascii="IRNazanin" w:hAnsi="IRNazanin" w:eastAsia="IRNazanin"/>
          <w:color w:val="111111"/>
          <w:sz w:val="28"/>
          <w:sz w:val="28"/>
          <w:szCs w:val="28"/>
          <w:rtl w:val="true"/>
          <w:lang w:bidi="fa-IR"/>
        </w:rPr>
        <w:t>نیز آنچه را که در قسم اوّل گذشت و</w:t>
      </w:r>
      <w:r>
        <w:rPr>
          <w:rStyle w:val="FootnoteAnchor"/>
          <w:rtl w:val="true"/>
        </w:rPr>
        <w:footnoteReference w:id="504"/>
      </w:r>
      <w:r>
        <w:rPr>
          <w:rFonts w:ascii="IRNazanin" w:hAnsi="IRNazanin" w:eastAsia="IRNazanin"/>
          <w:color w:val="111111"/>
          <w:sz w:val="28"/>
          <w:sz w:val="28"/>
          <w:szCs w:val="28"/>
          <w:rtl w:val="true"/>
          <w:lang w:bidi="fa-IR"/>
        </w:rPr>
        <w:t>می‌خواند نیز آنچه را که در این قسم گذشت</w:t>
      </w:r>
      <w:r>
        <w:rPr>
          <w:rStyle w:val="FootnoteAnchor"/>
          <w:rtl w:val="true"/>
        </w:rPr>
        <w:footnoteReference w:id="505"/>
      </w:r>
      <w:r>
        <w:rPr>
          <w:rFonts w:ascii="Amiri" w:hAnsi="Amiri" w:eastAsia="Amiri" w:cs="Amiri"/>
          <w:color w:val="111111"/>
          <w:sz w:val="28"/>
          <w:sz w:val="28"/>
          <w:szCs w:val="28"/>
          <w:rtl w:val="true"/>
          <w:lang w:bidi="ar-SA"/>
        </w:rPr>
        <w:t xml:space="preserve">بی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را مرد با وکیل زن می‌گوید و اذن ولیّ نباید، در این صورت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مَتَّعْتُکَ نَفْسَ مُوَکِّلَتی سَنَةً هِلالیَّةً مُبْتَدَأَةً مِنَ الانِ بِسِتّیْنَ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 جَدیدَ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همان را می‌گوید</w:t>
      </w:r>
      <w:r>
        <w:rPr>
          <w:rStyle w:val="FootnoteAnchor"/>
          <w:rtl w:val="true"/>
        </w:rPr>
        <w:footnoteReference w:id="506"/>
      </w:r>
      <w:r>
        <w:rPr>
          <w:rFonts w:ascii="IRNazanin" w:hAnsi="IRNazanin" w:eastAsia="IRNazanin"/>
          <w:color w:val="111111"/>
          <w:sz w:val="28"/>
          <w:sz w:val="28"/>
          <w:szCs w:val="28"/>
          <w:rtl w:val="true"/>
          <w:lang w:bidi="fa-IR"/>
        </w:rPr>
        <w:t>که در قسم اوّل گذشت و بر این منوال است استعمالات دیگر</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قسم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ولیّ زن صیغه گوید و اذن ولیّ باید و زن ولیّ را وکیل نموده باشد، در این قسم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وَ وِکالَةً عَنْ مُوَکّلَتِی مَتَّعْتُکَها سَنَةً هِلالیَّةً مُبْتَدَأَةً مِنَ الانِ بِستّینَ عَبّاسیًّا جَدیدَالضَّرب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 همان را می‌گوید که گذشت؛ و بر این دستور در استعمالات دیگر، مثلا در استعمال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وَ وِکَالَةً عَنْ مُوَکّلَتِی مَتَّعْتُهَا مِنْکَ سَنَةً 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صیغه را می‌گوید و اگر احتیاط صیغه انفراد نماید، هر آنچه در قسم سیّم گذشت</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مَتَّعْتُکَ بِنْتِی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تتمّه صیغه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را مرد با وکیل زن گوید و اذن ولیّ باید، و ولیّ وکیل زن را وکیل نموده باشد، در این قسم اگر پدر ولیّ</w:t>
      </w:r>
      <w:r>
        <w:rPr>
          <w:rStyle w:val="FootnoteAnchor"/>
          <w:rtl w:val="true"/>
        </w:rPr>
        <w:footnoteReference w:id="510"/>
      </w:r>
      <w:r>
        <w:rPr>
          <w:rFonts w:ascii="IRNazanin" w:hAnsi="IRNazanin" w:eastAsia="IRNazanin"/>
          <w:color w:val="111111"/>
          <w:sz w:val="28"/>
          <w:sz w:val="28"/>
          <w:szCs w:val="28"/>
          <w:rtl w:val="true"/>
          <w:lang w:bidi="fa-IR"/>
        </w:rPr>
        <w:t>باشد، وکیل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 عَنْ أَبیها مَتَّعْتُکَهَا سَنَةً هِلالِیّةً مُبْتَدَأَةً مِنَ الانِ بِسّتِینَ عَبّاسِیّاً جَدِیدَ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مرد به عبارتی که گذشت قبول می‌کند و بر این قیاس باقی استعمالات، مثلا در استعمال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 عَنْ أَبیها مَتَّعْتُکَ بها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احتیاط صیغه انفراد نماید، هر آنچه در قسم سیّم گذشت نیز می‌گوید 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مُوَکِّلِی</w:t>
      </w:r>
      <w:r>
        <w:rPr>
          <w:rStyle w:val="FootnoteAnchor"/>
          <w:rtl w:val="true"/>
        </w:rPr>
        <w:footnoteReference w:id="511"/>
      </w:r>
      <w:r>
        <w:rPr>
          <w:rFonts w:ascii="IRNazanin" w:hAnsi="IRNazanin" w:eastAsia="IRNazanin"/>
          <w:color w:val="111111"/>
          <w:sz w:val="28"/>
          <w:sz w:val="28"/>
          <w:szCs w:val="28"/>
          <w:rtl w:val="true"/>
          <w:lang w:bidi="fa-IR"/>
        </w:rPr>
        <w:t>مَتَّعْتُکَ بِنْتهُ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تتمّه صیغه و مرد همان را می‌گوید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وکیل مرد صیغه گوید و اذن ولیّ نباید، در این قسم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مَوَکِّلَکَ نَفْسی سَنَةً هِلالیَّةً مُبْتَدَأَةً مِنَ الانِ بِستّینَ عَبّاسیًّا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بی‌فاصله</w:t>
      </w:r>
      <w:r>
        <w:rPr>
          <w:rStyle w:val="FootnoteAnchor"/>
          <w:rtl w:val="true"/>
        </w:rPr>
        <w:footnoteReference w:id="512"/>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منوال است استعمالات دیگر، مثلاً در استعمال</w:t>
      </w:r>
      <w:r>
        <w:rPr>
          <w:rStyle w:val="FootnoteAnchor"/>
          <w:rtl w:val="true"/>
        </w:rPr>
        <w:footnoteReference w:id="513"/>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نَفْسی مِن مُوکِّلِکَ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صیغه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قسم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وکیل</w:t>
      </w:r>
      <w:r>
        <w:rPr>
          <w:rStyle w:val="FootnoteAnchor"/>
          <w:rtl w:val="true"/>
        </w:rPr>
        <w:footnoteReference w:id="515"/>
      </w:r>
      <w:r>
        <w:rPr>
          <w:rFonts w:ascii="IRNazanin" w:hAnsi="IRNazanin" w:eastAsia="IRNazanin"/>
          <w:color w:val="111111"/>
          <w:sz w:val="28"/>
          <w:sz w:val="28"/>
          <w:szCs w:val="28"/>
          <w:rtl w:val="true"/>
          <w:lang w:bidi="fa-IR"/>
        </w:rPr>
        <w:t>مرد صیغه گوید و اذن ولیّ باید، و ولیّ زن را وکیل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می‌گوید زن</w:t>
      </w:r>
      <w:r>
        <w:rPr>
          <w:rStyle w:val="FootnoteAnchor"/>
          <w:rtl w:val="true"/>
        </w:rPr>
        <w:footnoteReference w:id="516"/>
      </w:r>
      <w:r>
        <w:rPr>
          <w:rFonts w:ascii="IRNazanin" w:hAnsi="IRNazanin" w:eastAsia="IRNazanin"/>
          <w:color w:val="111111"/>
          <w:sz w:val="28"/>
          <w:sz w:val="28"/>
          <w:szCs w:val="28"/>
          <w:rtl w:val="true"/>
          <w:lang w:bidi="fa-IR"/>
        </w:rPr>
        <w:t>هر آنچه را که در قسم سابق گذشت</w:t>
      </w:r>
      <w:r>
        <w:rPr>
          <w:rStyle w:val="FootnoteAnchor"/>
          <w:rtl w:val="true"/>
        </w:rPr>
        <w:footnoteReference w:id="517"/>
      </w:r>
      <w:r>
        <w:rPr>
          <w:rFonts w:ascii="IRNazanin" w:hAnsi="IRNazanin" w:eastAsia="IRNazanin"/>
          <w:color w:val="111111"/>
          <w:sz w:val="28"/>
          <w:sz w:val="28"/>
          <w:szCs w:val="28"/>
          <w:rtl w:val="true"/>
          <w:lang w:bidi="fa-IR"/>
        </w:rPr>
        <w:t xml:space="preserve">، لیکن در اوّل آن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وَ وِکالَةً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ولیّ پدر</w:t>
      </w:r>
      <w:r>
        <w:rPr>
          <w:rStyle w:val="FootnoteAnchor"/>
          <w:rtl w:val="true"/>
        </w:rPr>
        <w:footnoteReference w:id="518"/>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ولیّ جد باشد؛ و وکیل مرد همان را می‌گوید که در قسم سابق گذشت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احتیاط صیغه انفراد نماید، هر آنچه در قسم سابق مذکور شد</w:t>
      </w:r>
      <w:r>
        <w:rPr>
          <w:rStyle w:val="FootnoteAnchor"/>
          <w:rtl w:val="true"/>
        </w:rPr>
        <w:footnoteReference w:id="519"/>
      </w:r>
      <w:r>
        <w:rPr>
          <w:rFonts w:ascii="IRNazanin" w:hAnsi="IRNazanin" w:eastAsia="IRNazanin"/>
          <w:color w:val="111111"/>
          <w:sz w:val="28"/>
          <w:sz w:val="28"/>
          <w:szCs w:val="28"/>
          <w:rtl w:val="true"/>
          <w:lang w:bidi="fa-IR"/>
        </w:rPr>
        <w:t>نیز می‌گوید بی زیاده</w:t>
      </w:r>
      <w:r>
        <w:rPr>
          <w:rStyle w:val="FootnoteAnchor"/>
          <w:rtl w:val="true"/>
        </w:rPr>
        <w:footnoteReference w:id="520"/>
      </w:r>
      <w:r>
        <w:rPr>
          <w:rFonts w:ascii="Amiri" w:hAnsi="Amiri" w:eastAsia="Amiri" w:cs="Amiri"/>
          <w:color w:val="111111"/>
          <w:sz w:val="28"/>
          <w:sz w:val="28"/>
          <w:szCs w:val="28"/>
          <w:rtl w:val="true"/>
          <w:lang w:bidi="ar-SA"/>
        </w:rPr>
        <w:t xml:space="preserve">و نیز زیاد می‌کند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وِکالَةً عَنْ أبی یا 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زن با وکیل مرد صیغه گوید</w:t>
      </w:r>
      <w:r>
        <w:rPr>
          <w:rStyle w:val="FootnoteAnchor"/>
          <w:rtl w:val="true"/>
        </w:rPr>
        <w:footnoteReference w:id="521"/>
      </w:r>
      <w:r>
        <w:rPr>
          <w:rFonts w:ascii="IRNazanin" w:hAnsi="IRNazanin" w:eastAsia="IRNazanin"/>
          <w:color w:val="111111"/>
          <w:sz w:val="28"/>
          <w:sz w:val="28"/>
          <w:szCs w:val="28"/>
          <w:rtl w:val="true"/>
          <w:lang w:bidi="fa-IR"/>
        </w:rPr>
        <w:t>و اذن ولیّ نباید، در این صورت وکیل زن می‌گوید</w:t>
      </w:r>
      <w:r>
        <w:rPr>
          <w:rStyle w:val="FootnoteAnchor"/>
          <w:rtl w:val="true"/>
        </w:rPr>
        <w:footnoteReference w:id="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مُوَکِّلَکَ مُوَکِّلَتِی سَنَةً هِلالیَّةً مُبْتَدَأَةً مِنَ الانِ بِسِتّینِ عَبّاسیًّا جَدیدَ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بی‌فاصله 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قیاس است استعمالات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زن با وکیل مرد صیغه گوید و اذن ولیّ باید و ولیّ وکیل زن را وکیل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وکیل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عَنْ مُوکِّلَتِی وَ عَنْ أَبیها مَتَّعْتُها مُوَکِّلَکَ سَنَةً هِلالیَّةً مُبْتَدَأَةً مِنَ الانِ بِستّینَ عَبّاسیًّا جَدیدَ الضَّرْبِ</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وکیل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احتیاط صیغه انفراد نماید، وکیل زن آن را که در قسم سابق گذشت نیز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نیز می‌گوید</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عَنْ مُوَکِّلِی مَتَّعْتُ بِنْتَهُ زَیْنَبَ مِنْ مُوَکِّلِکَ سَنَةً هِلالیَّةً مُبْتَدَأَةً مِنَ الانِ بِسِتّینَ عَبّاسیًّا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دستور است باقی استعمالات؛ و بباید دانست که چنانکه در مطلب اوّل گذشت، صیغه‌های</w:t>
      </w:r>
      <w:r>
        <w:rPr>
          <w:rStyle w:val="FootnoteAnchor"/>
          <w:rtl w:val="true"/>
        </w:rPr>
        <w:footnoteReference w:id="525"/>
      </w:r>
      <w:r>
        <w:rPr>
          <w:rFonts w:ascii="IRNazanin" w:hAnsi="IRNazanin" w:eastAsia="IRNazanin"/>
          <w:color w:val="111111"/>
          <w:sz w:val="28"/>
          <w:sz w:val="28"/>
          <w:szCs w:val="28"/>
          <w:rtl w:val="true"/>
          <w:lang w:bidi="fa-IR"/>
        </w:rPr>
        <w:t>مزبوره را به عبارات دیگر نیز ادا می‌توان نمود، هرگاه شروطی که سابق تفصیل یافت در آنها یافت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مناسب است ختم این مباحث به ذکر دو فصل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236" w:name="pg17288_199587"/>
    </w:p>
    <w:p>
      <w:pPr>
        <w:pStyle w:val="Heading4"/>
        <w:numPr>
          <w:ilvl w:val="3"/>
          <w:numId w:val="1"/>
        </w:numPr>
        <w:rPr/>
      </w:pPr>
      <w:bookmarkStart w:id="237" w:name="__RefHeading___Toc4413660_3224264995"/>
      <w:bookmarkStart w:id="238" w:name="_Toc91"/>
      <w:bookmarkEnd w:id="236"/>
      <w:bookmarkEnd w:id="237"/>
      <w:r>
        <w:rPr>
          <w:rtl w:val="true"/>
        </w:rPr>
        <w:t>فصل اوّل</w:t>
      </w:r>
      <w:r>
        <w:rPr>
          <w:rtl w:val="true"/>
        </w:rPr>
        <w:t xml:space="preserve">: </w:t>
      </w:r>
      <w:r>
        <w:rPr>
          <w:rtl w:val="true"/>
        </w:rPr>
        <w:t>در آداب زفاف کردن</w:t>
      </w:r>
      <w:bookmarkEnd w:id="238"/>
    </w:p>
    <w:p>
      <w:pPr>
        <w:pStyle w:val="Heading5"/>
        <w:numPr>
          <w:ilvl w:val="4"/>
          <w:numId w:val="1"/>
        </w:numPr>
        <w:rPr/>
      </w:pPr>
      <w:bookmarkStart w:id="239" w:name="__RefHeading___Toc4413662_3224264995"/>
      <w:bookmarkStart w:id="240" w:name="_Toc9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سنّت است که مردمان در وقت بردن عروس به خانه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گویند و از جمله وصیّتهای حضرت سیّدالمرسلین صلی الله علیه و آله به حضرت امیرالمؤمنین صلوات اللّه علیه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عروس بر تو داخل شود، موزه‌های</w:t>
      </w:r>
      <w:r>
        <w:rPr>
          <w:rStyle w:val="FootnoteAnchor"/>
          <w:rtl w:val="true"/>
        </w:rPr>
        <w:footnoteReference w:id="527"/>
      </w:r>
      <w:r>
        <w:rPr>
          <w:rFonts w:ascii="IRNazanin" w:hAnsi="IRNazanin" w:eastAsia="IRNazanin"/>
          <w:color w:val="111111"/>
          <w:sz w:val="28"/>
          <w:sz w:val="28"/>
          <w:szCs w:val="28"/>
          <w:rtl w:val="true"/>
          <w:lang w:bidi="fa-IR"/>
        </w:rPr>
        <w:t>او را بیرون کن و پاهای</w:t>
      </w:r>
      <w:r>
        <w:rPr>
          <w:rStyle w:val="FootnoteAnchor"/>
          <w:rtl w:val="true"/>
        </w:rPr>
        <w:footnoteReference w:id="528"/>
      </w:r>
      <w:r>
        <w:rPr>
          <w:rFonts w:ascii="IRNazanin" w:hAnsi="IRNazanin" w:eastAsia="IRNazanin"/>
          <w:color w:val="111111"/>
          <w:sz w:val="28"/>
          <w:sz w:val="28"/>
          <w:szCs w:val="28"/>
          <w:rtl w:val="true"/>
          <w:lang w:bidi="fa-IR"/>
        </w:rPr>
        <w:t>او را در طشتی بشوی و بپاش آن آب را تا آخر خانه</w:t>
      </w:r>
      <w:r>
        <w:rPr>
          <w:rStyle w:val="FootnoteAnchor"/>
          <w:rtl w:val="true"/>
        </w:rPr>
        <w:footnoteReference w:id="529"/>
      </w:r>
      <w:r>
        <w:rPr>
          <w:rFonts w:ascii="IRNazanin" w:hAnsi="IRNazanin" w:eastAsia="IRNazanin"/>
          <w:color w:val="111111"/>
          <w:sz w:val="28"/>
          <w:sz w:val="28"/>
          <w:szCs w:val="28"/>
          <w:rtl w:val="true"/>
          <w:lang w:bidi="fa-IR"/>
        </w:rPr>
        <w:t>خود که خدای تعالی بیرون می‌کند از خانه تو هفتاد هزار نوع از فقر را و نازل می‌کند بر تو هفتاد هزار نوع از برکت را که بر سر عروس فرود می‌آید، تا آنکه می‌رسد برکت آنها به هر گوشه از خانه تو و ایمن می‌شود عروس از دیوانگی و خوره و پیسی تا در خانه تو باشد، و منع کن عروس را تا هفت روز</w:t>
      </w:r>
      <w:r>
        <w:rPr>
          <w:rStyle w:val="FootnoteAnchor"/>
          <w:rtl w:val="true"/>
        </w:rPr>
        <w:footnoteReference w:id="530"/>
      </w:r>
      <w:r>
        <w:rPr>
          <w:rFonts w:ascii="IRNazanin" w:hAnsi="IRNazanin" w:eastAsia="IRNazanin"/>
          <w:color w:val="111111"/>
          <w:sz w:val="28"/>
          <w:sz w:val="28"/>
          <w:szCs w:val="28"/>
          <w:rtl w:val="true"/>
          <w:lang w:bidi="fa-IR"/>
        </w:rPr>
        <w:t>از خوردن شیر و سرکه</w:t>
      </w:r>
      <w:r>
        <w:rPr>
          <w:rStyle w:val="FootnoteAnchor"/>
          <w:rtl w:val="true"/>
        </w:rPr>
        <w:footnoteReference w:id="531"/>
      </w:r>
      <w:r>
        <w:rPr>
          <w:rFonts w:ascii="IRNazanin" w:hAnsi="IRNazanin" w:eastAsia="IRNazanin"/>
          <w:color w:val="111111"/>
          <w:sz w:val="28"/>
          <w:sz w:val="28"/>
          <w:szCs w:val="28"/>
          <w:rtl w:val="true"/>
          <w:lang w:bidi="fa-IR"/>
        </w:rPr>
        <w:t>و گشنیز و سیب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علیه‌السلام سؤال نمود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منع کنم عروس را از خوردن چهار چیز؟ حضرت پیغمبر صلی الله علیه و 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سبب خوردن این چهار چیز، رحم سرد</w:t>
      </w:r>
      <w:r>
        <w:rPr>
          <w:rStyle w:val="FootnoteAnchor"/>
          <w:rtl w:val="true"/>
        </w:rPr>
        <w:footnoteReference w:id="532"/>
      </w:r>
      <w:r>
        <w:rPr>
          <w:rFonts w:ascii="IRNazanin" w:hAnsi="IRNazanin" w:eastAsia="IRNazanin"/>
          <w:color w:val="111111"/>
          <w:sz w:val="28"/>
          <w:sz w:val="28"/>
          <w:szCs w:val="28"/>
          <w:rtl w:val="true"/>
          <w:lang w:bidi="fa-IR"/>
        </w:rPr>
        <w:t xml:space="preserve">و عقیم می‌شود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حصیری که در کنار خانه افتاده باشد، بهتر است از زنی که عقیم و نازا باشد</w:t>
      </w:r>
      <w:r>
        <w:rPr>
          <w:rFonts w:eastAsia="IRNazanin" w:cs="IRNazanin"/>
          <w:color w:val="111111"/>
          <w:sz w:val="28"/>
          <w:szCs w:val="28"/>
          <w:rtl w:val="true"/>
          <w:lang w:bidi="fa-IR"/>
        </w:rPr>
        <w:t>.</w:t>
      </w:r>
      <w:r>
        <w:rPr>
          <w:rStyle w:val="FootnoteAnchor"/>
          <w:rtl w:val="true"/>
        </w:rPr>
        <w:footnoteReference w:id="5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محمّدباقر صلوات اللّه علیه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عروس را به نزد تو آورند، امر کن که وضو کند و تو نیز وضو کن و دو رکعت نماز بگذار و امر کن که او نیز دو رکعت نماز بگذارد و حمد خدا بگو</w:t>
      </w:r>
      <w:r>
        <w:rPr>
          <w:rStyle w:val="FootnoteAnchor"/>
          <w:rtl w:val="true"/>
        </w:rPr>
        <w:footnoteReference w:id="534"/>
      </w:r>
      <w:r>
        <w:rPr>
          <w:rFonts w:ascii="IRNazanin" w:hAnsi="IRNazanin" w:eastAsia="IRNazanin"/>
          <w:color w:val="111111"/>
          <w:sz w:val="28"/>
          <w:sz w:val="28"/>
          <w:szCs w:val="28"/>
          <w:rtl w:val="true"/>
          <w:lang w:bidi="fa-IR"/>
        </w:rPr>
        <w:t>و صلوات بر محمد و آل او بفرست و این دعا را بخوان و بگو به زنانی که با عروس آمده‌اند آمین 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ارْزُقْنی إلْفَها وَ وُدَّها وَ رضاها و أَرْضِنی بِها وَاجْمَعْ بَیْنَنا بِأَحْسَنِ اجْتماعٍ وَ انِسِ ائتِلافٍ</w:t>
      </w:r>
      <w:r>
        <w:rPr>
          <w:rStyle w:val="FootnoteAnchor"/>
          <w:rtl w:val="true"/>
        </w:rPr>
        <w:footnoteReference w:id="535"/>
      </w:r>
      <w:r>
        <w:rPr>
          <w:rFonts w:ascii="Amiri" w:hAnsi="Amiri" w:eastAsia="Amiri" w:cs="Amiri"/>
          <w:color w:val="111111"/>
          <w:sz w:val="28"/>
          <w:sz w:val="28"/>
          <w:szCs w:val="28"/>
          <w:rtl w:val="true"/>
          <w:lang w:bidi="ar-SA"/>
        </w:rPr>
        <w:t>، فَإِنّکَ تُحِبُّ الحَلالَ وَ تَکْرَهُ الحَرامَ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از حضرت صادق صلوات اللّه علیه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زفاف به نزد عروس روی، موی پیشانی او را بگیر و رو به قبله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بِأَمانَتِکَ أَخَذْتُها وَ بِکَلِماتِکَ أَسْتَحْلَلْتُها فَإِنْ قَضَیْتَ لِی مِنْها وَلَداً، فَاجعَلْهُ</w:t>
      </w:r>
      <w:r>
        <w:rPr>
          <w:rStyle w:val="FootnoteAnchor"/>
          <w:rtl w:val="true"/>
        </w:rPr>
        <w:footnoteReference w:id="537"/>
      </w:r>
      <w:r>
        <w:rPr>
          <w:rFonts w:ascii="Amiri" w:hAnsi="Amiri" w:eastAsia="Amiri" w:cs="Amiri"/>
          <w:color w:val="111111"/>
          <w:sz w:val="28"/>
          <w:sz w:val="28"/>
          <w:szCs w:val="28"/>
          <w:rtl w:val="true"/>
          <w:lang w:bidi="ar-SA"/>
        </w:rPr>
        <w:t>تَقیًّا مِنْ شیعَةِ الِ مُحمَّدٍ صَلَواتُکَ عَلَیْهِم وَ لاتَجْعَلْ لِلشّیطانِ فیهِ شِرْکاً وَ لا نَصیبًا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نیز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ملاقات تو با زن دست بر بالای پیشانی او</w:t>
      </w:r>
      <w:r>
        <w:rPr>
          <w:rStyle w:val="FootnoteAnchor"/>
          <w:rtl w:val="true"/>
        </w:rPr>
        <w:footnoteReference w:id="539"/>
      </w:r>
      <w:r>
        <w:rPr>
          <w:rFonts w:ascii="IRNazanin" w:hAnsi="IRNazanin" w:eastAsia="IRNazanin"/>
          <w:color w:val="111111"/>
          <w:sz w:val="28"/>
          <w:sz w:val="28"/>
          <w:szCs w:val="28"/>
          <w:rtl w:val="true"/>
          <w:lang w:bidi="fa-IR"/>
        </w:rPr>
        <w:t>گذار</w:t>
      </w:r>
      <w:r>
        <w:rPr>
          <w:rStyle w:val="FootnoteAnchor"/>
          <w:rtl w:val="true"/>
        </w:rPr>
        <w:footnoteReference w:id="540"/>
      </w:r>
      <w:r>
        <w:rPr>
          <w:rFonts w:ascii="IRNazanin" w:hAnsi="IRNazanin" w:eastAsia="IRNazanin"/>
          <w:color w:val="111111"/>
          <w:sz w:val="28"/>
          <w:sz w:val="28"/>
          <w:szCs w:val="28"/>
          <w:rtl w:val="true"/>
          <w:lang w:bidi="fa-IR"/>
        </w:rPr>
        <w:t>و این دعا را</w:t>
      </w:r>
      <w:r>
        <w:rPr>
          <w:rStyle w:val="FootnoteAnchor"/>
          <w:rtl w:val="true"/>
        </w:rPr>
        <w:footnoteReference w:id="541"/>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عَلی کِتابِکَ</w:t>
      </w:r>
      <w:r>
        <w:rPr>
          <w:rStyle w:val="FootnoteAnchor"/>
          <w:rtl w:val="true"/>
        </w:rPr>
        <w:footnoteReference w:id="542"/>
      </w:r>
      <w:r>
        <w:rPr>
          <w:rFonts w:ascii="Amiri" w:hAnsi="Amiri" w:eastAsia="Amiri" w:cs="Amiri"/>
          <w:color w:val="111111"/>
          <w:sz w:val="28"/>
          <w:sz w:val="28"/>
          <w:szCs w:val="28"/>
          <w:rtl w:val="true"/>
          <w:lang w:bidi="ar-SA"/>
        </w:rPr>
        <w:t>تَزَوَّجْتُها وَ فی أَمانَتِکَ أَخَذْتُها وَ بِکَلِماتِکَ اسْتَحلَلْتُ فَرْجَها، فَإِنْ قَضَیْتَ لِی فِی رَحِمِها شَیْئًا، فَاجْعَلْهُ</w:t>
      </w:r>
      <w:r>
        <w:rPr>
          <w:rStyle w:val="FootnoteAnchor"/>
          <w:rtl w:val="true"/>
        </w:rPr>
        <w:footnoteReference w:id="543"/>
      </w:r>
      <w:r>
        <w:rPr>
          <w:rFonts w:ascii="Amiri" w:hAnsi="Amiri" w:eastAsia="Amiri" w:cs="Amiri"/>
          <w:color w:val="111111"/>
          <w:sz w:val="28"/>
          <w:sz w:val="28"/>
          <w:szCs w:val="28"/>
          <w:rtl w:val="true"/>
          <w:lang w:bidi="ar-SA"/>
        </w:rPr>
        <w:t>مُسْلِماً سَویّاً</w:t>
      </w:r>
      <w:r>
        <w:rPr>
          <w:rStyle w:val="FootnoteAnchor"/>
          <w:rtl w:val="true"/>
        </w:rPr>
        <w:footnoteReference w:id="544"/>
      </w:r>
      <w:r>
        <w:rPr>
          <w:rFonts w:ascii="Amiri" w:hAnsi="Amiri" w:eastAsia="Amiri" w:cs="Amiri"/>
          <w:color w:val="111111"/>
          <w:sz w:val="28"/>
          <w:sz w:val="28"/>
          <w:szCs w:val="28"/>
          <w:rtl w:val="true"/>
          <w:lang w:bidi="ar-SA"/>
        </w:rPr>
        <w:t>وَ لا تَجْعَلْهُ شِرْکَ شَیطانٍ</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مکروه است زفاف کردن در وقتی که قمر در عقرب یا در تحت الشّعاع باشد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547"/>
      </w:r>
      <w:r>
        <w:rPr>
          <w:rFonts w:ascii="IRNazanin" w:hAnsi="IRNazanin" w:eastAsia="IRNazanin"/>
          <w:color w:val="111111"/>
          <w:sz w:val="28"/>
          <w:sz w:val="28"/>
          <w:szCs w:val="28"/>
          <w:rtl w:val="true"/>
          <w:lang w:bidi="fa-IR"/>
        </w:rPr>
        <w:t>و هنوز غسل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حرام</w:t>
      </w:r>
      <w:r>
        <w:rPr>
          <w:rStyle w:val="FootnoteAnchor"/>
          <w:rtl w:val="true"/>
        </w:rPr>
        <w:footnoteReference w:id="548"/>
      </w:r>
      <w:r>
        <w:rPr>
          <w:rFonts w:ascii="IRNazanin" w:hAnsi="IRNazanin" w:eastAsia="IRNazanin"/>
          <w:color w:val="111111"/>
          <w:sz w:val="28"/>
          <w:sz w:val="28"/>
          <w:szCs w:val="28"/>
          <w:rtl w:val="true"/>
          <w:lang w:bidi="fa-IR"/>
        </w:rPr>
        <w:t>و بعضی مکروه دانسته‌اند</w:t>
      </w:r>
      <w:r>
        <w:rPr>
          <w:rStyle w:val="FootnoteAnchor"/>
          <w:rtl w:val="true"/>
        </w:rPr>
        <w:footnoteReference w:id="549"/>
      </w:r>
      <w:r>
        <w:rPr>
          <w:rFonts w:ascii="IRNazanin" w:hAnsi="IRNazanin" w:eastAsia="IRNazanin"/>
          <w:color w:val="111111"/>
          <w:sz w:val="28"/>
          <w:sz w:val="28"/>
          <w:szCs w:val="28"/>
          <w:rtl w:val="true"/>
          <w:lang w:bidi="fa-IR"/>
        </w:rPr>
        <w:t>و احوط ترک جماع است در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زن خون استحاضه بیند و غسلی را</w:t>
      </w:r>
      <w:r>
        <w:rPr>
          <w:rStyle w:val="FootnoteAnchor"/>
          <w:rtl w:val="true"/>
        </w:rPr>
        <w:footnoteReference w:id="550"/>
      </w:r>
      <w:r>
        <w:rPr>
          <w:rFonts w:ascii="IRNazanin" w:hAnsi="IRNazanin" w:eastAsia="IRNazanin"/>
          <w:color w:val="111111"/>
          <w:sz w:val="28"/>
          <w:sz w:val="28"/>
          <w:szCs w:val="28"/>
          <w:rtl w:val="true"/>
          <w:lang w:bidi="fa-IR"/>
        </w:rPr>
        <w:t>که به سبب استحاضه لازم باشد به عمل آورد، جماع کردن با او جایز است و اگر تقصیر کند و غسل را به عمل</w:t>
      </w:r>
      <w:r>
        <w:rPr>
          <w:rStyle w:val="FootnoteAnchor"/>
          <w:rtl w:val="true"/>
        </w:rPr>
        <w:footnoteReference w:id="551"/>
      </w:r>
      <w:r>
        <w:rPr>
          <w:rFonts w:ascii="IRNazanin" w:hAnsi="IRNazanin" w:eastAsia="IRNazanin"/>
          <w:color w:val="111111"/>
          <w:sz w:val="28"/>
          <w:sz w:val="28"/>
          <w:szCs w:val="28"/>
          <w:rtl w:val="true"/>
          <w:lang w:bidi="fa-IR"/>
        </w:rPr>
        <w:t>نیاورد، اکثر علما برآنند که جماع کردن با او جایز است نیز</w:t>
      </w:r>
      <w:r>
        <w:rPr>
          <w:rFonts w:eastAsia="IRNazanin" w:cs="IRNazanin"/>
          <w:color w:val="111111"/>
          <w:sz w:val="28"/>
          <w:szCs w:val="28"/>
          <w:rtl w:val="true"/>
          <w:lang w:bidi="fa-IR"/>
        </w:rPr>
        <w:t>.</w:t>
      </w:r>
      <w:r>
        <w:rPr>
          <w:rStyle w:val="FootnoteAnchor"/>
          <w:rtl w:val="true"/>
        </w:rPr>
        <w:footnoteReference w:id="55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علماء جماع کردن را</w:t>
      </w:r>
      <w:r>
        <w:rPr>
          <w:rStyle w:val="FootnoteAnchor"/>
          <w:rtl w:val="true"/>
        </w:rPr>
        <w:footnoteReference w:id="553"/>
      </w:r>
      <w:r>
        <w:rPr>
          <w:rFonts w:ascii="IRNazanin" w:hAnsi="IRNazanin" w:eastAsia="IRNazanin"/>
          <w:color w:val="111111"/>
          <w:sz w:val="28"/>
          <w:sz w:val="28"/>
          <w:szCs w:val="28"/>
          <w:rtl w:val="true"/>
          <w:lang w:bidi="fa-IR"/>
        </w:rPr>
        <w:t>با زن در دبر حرام</w:t>
      </w:r>
      <w:r>
        <w:rPr>
          <w:rStyle w:val="FootnoteAnchor"/>
          <w:rtl w:val="true"/>
        </w:rPr>
        <w:footnoteReference w:id="554"/>
      </w:r>
      <w:r>
        <w:rPr>
          <w:rFonts w:ascii="IRNazanin" w:hAnsi="IRNazanin" w:eastAsia="IRNazanin"/>
          <w:color w:val="111111"/>
          <w:sz w:val="28"/>
          <w:sz w:val="28"/>
          <w:szCs w:val="28"/>
          <w:rtl w:val="true"/>
          <w:lang w:bidi="fa-IR"/>
        </w:rPr>
        <w:t xml:space="preserve">و بعضی دیگر مکروه </w:t>
      </w:r>
    </w:p>
    <w:p>
      <w:pPr>
        <w:pStyle w:val="BookText"/>
        <w:rPr/>
      </w:pPr>
      <w:r>
        <w:rPr>
          <w:rFonts w:ascii="IRNazanin" w:hAnsi="IRNazanin" w:eastAsia="IRNazanin"/>
          <w:color w:val="111111"/>
          <w:sz w:val="28"/>
          <w:sz w:val="28"/>
          <w:szCs w:val="28"/>
          <w:rtl w:val="true"/>
          <w:lang w:bidi="fa-IR"/>
        </w:rPr>
        <w:t>دانسته‌اند</w:t>
      </w:r>
      <w:r>
        <w:rPr>
          <w:rStyle w:val="FootnoteAnchor"/>
          <w:rtl w:val="true"/>
        </w:rPr>
        <w:footnoteReference w:id="555"/>
      </w:r>
      <w:r>
        <w:rPr>
          <w:rFonts w:ascii="IRNazanin" w:hAnsi="IRNazanin" w:eastAsia="IRNazanin"/>
          <w:color w:val="111111"/>
          <w:sz w:val="28"/>
          <w:sz w:val="28"/>
          <w:szCs w:val="28"/>
          <w:rtl w:val="true"/>
          <w:lang w:bidi="fa-IR"/>
        </w:rPr>
        <w:t>و احوط مرتکب نشدن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است که جایز نیست جماع کردن با زن هرگاه سنّ او کمتر از نه سال باشد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هرگاه مرد با کنیز خود جماع کند جایز است که چنین کند که منی داخل فرج نشود و بیرون بریزد و اگر چه کنیز راضی نباشد، و در زوجه احوط آن است که بی رضای او مرد چنین نکند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حرام است جماع کردن در وقتی که مرد یا زن یا هر دو، روزه‌دار باشند که افطار آن</w:t>
      </w:r>
      <w:r>
        <w:rPr>
          <w:rStyle w:val="FootnoteAnchor"/>
          <w:rtl w:val="true"/>
        </w:rPr>
        <w:footnoteReference w:id="558"/>
      </w:r>
      <w:r>
        <w:rPr>
          <w:rFonts w:ascii="IRNazanin" w:hAnsi="IRNazanin" w:eastAsia="IRNazanin"/>
          <w:color w:val="111111"/>
          <w:sz w:val="28"/>
          <w:sz w:val="28"/>
          <w:szCs w:val="28"/>
          <w:rtl w:val="true"/>
          <w:lang w:bidi="fa-IR"/>
        </w:rPr>
        <w:t xml:space="preserve">جایز نباشد و در وقتی که وقت نماز واجب، مضیّق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سبب جماع نماز فوت شود و در شبی که صباح آن شب روزه بر یکی از ایشان واجب</w:t>
      </w:r>
      <w:r>
        <w:rPr>
          <w:rStyle w:val="FootnoteAnchor"/>
          <w:rtl w:val="true"/>
        </w:rPr>
        <w:footnoteReference w:id="559"/>
      </w:r>
      <w:r>
        <w:rPr>
          <w:rFonts w:ascii="IRNazanin" w:hAnsi="IRNazanin" w:eastAsia="IRNazanin"/>
          <w:color w:val="111111"/>
          <w:sz w:val="28"/>
          <w:sz w:val="28"/>
          <w:szCs w:val="28"/>
          <w:rtl w:val="true"/>
          <w:lang w:bidi="fa-IR"/>
        </w:rPr>
        <w:t>یا بر هر دو واجب معیّن باشد و بعد از جماع تا صبح زمانی باقی نمانده باشد که گنجایش غسل و مقدّمات آن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از علماء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جماع کردن بر کسی که برای غسل آب نیابد</w:t>
      </w:r>
      <w:r>
        <w:rPr>
          <w:rStyle w:val="FootnoteAnchor"/>
          <w:rtl w:val="true"/>
        </w:rPr>
        <w:footnoteReference w:id="560"/>
      </w:r>
      <w:r>
        <w:rPr>
          <w:rFonts w:ascii="IRNazanin" w:hAnsi="IRNazanin" w:eastAsia="IRNazanin"/>
          <w:color w:val="111111"/>
          <w:sz w:val="28"/>
          <w:sz w:val="28"/>
          <w:szCs w:val="28"/>
          <w:rtl w:val="true"/>
          <w:lang w:bidi="fa-IR"/>
        </w:rPr>
        <w:t>و جمعی</w:t>
      </w:r>
      <w:r>
        <w:rPr>
          <w:rStyle w:val="FootnoteAnchor"/>
          <w:rtl w:val="true"/>
        </w:rPr>
        <w:footnoteReference w:id="561"/>
      </w:r>
      <w:r>
        <w:rPr>
          <w:rFonts w:ascii="IRNazanin" w:hAnsi="IRNazanin" w:eastAsia="IRNazanin"/>
          <w:color w:val="111111"/>
          <w:sz w:val="28"/>
          <w:sz w:val="28"/>
          <w:szCs w:val="28"/>
          <w:rtl w:val="true"/>
          <w:lang w:bidi="fa-IR"/>
        </w:rPr>
        <w:t>از علماء جماع را در این حال مکروه دانسته‌اند</w:t>
      </w:r>
      <w:r>
        <w:rPr>
          <w:rStyle w:val="FootnoteAnchor"/>
          <w:rtl w:val="true"/>
        </w:rPr>
        <w:footnoteReference w:id="562"/>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نیابد جماع جایز است و بدل غسل، تیمّم می‌کند؛ و قول دویّم اقوی است و قول اوّل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است جماع کردن در وقتی که جماع، ضرری معتدبه به بدن رساند؛ و در وقتی که احرام بسته باشد؛ و در مکانی که عورت منکشف شود بر کسی که دیدن عورت بر او حرام باشد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حرام است جماع کردن در مساجد و اولی و احوط اجتناب است از جماع کردن در اماکن مشرفه، مانند نزدیک ضرایح</w:t>
      </w:r>
      <w:r>
        <w:rPr>
          <w:rStyle w:val="FootnoteAnchor"/>
          <w:rtl w:val="true"/>
        </w:rPr>
        <w:footnoteReference w:id="564"/>
      </w:r>
      <w:r>
        <w:rPr>
          <w:rFonts w:ascii="IRNazanin" w:hAnsi="IRNazanin" w:eastAsia="IRNazanin"/>
          <w:color w:val="111111"/>
          <w:sz w:val="28"/>
          <w:sz w:val="28"/>
          <w:szCs w:val="28"/>
          <w:rtl w:val="true"/>
          <w:lang w:bidi="fa-IR"/>
        </w:rPr>
        <w:t>مقدّسه معصومین صلوات اللّه علیهم و در وقتی که جماع کردن در آن وقت منافی احترام امامی باشد، مثل جماع کردن در روز عاشورا؛ و در غیر احوال و اوقاتی که مذکور شد، جماع کردن حلال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احادیث و اخبار مستفاد می‌شود که بعضی از احوال و اوقات برای جماع بهتر است و باعث زیادتی خیر و خوبی است برای جماع کننده و برای فرزندی که به سبب آن جماع به وجود آید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از اوقات و احوال برای جماع کردن، مکروه است و ممکن است که جماع کننده یا فرزند به سبب آن جماع مبتلا شوند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مرضی یا به چیزی که ناخوش باشد، و گاه باشد که پروردگار جلّ شأنه حفظ کند و اثری بد بر آن</w:t>
      </w:r>
      <w:r>
        <w:rPr>
          <w:rStyle w:val="FootnoteAnchor"/>
          <w:rtl w:val="true"/>
        </w:rPr>
        <w:footnoteReference w:id="565"/>
      </w:r>
      <w:r>
        <w:rPr>
          <w:rFonts w:ascii="Amiri" w:hAnsi="Amiri" w:eastAsia="Amiri" w:cs="Amiri"/>
          <w:color w:val="111111"/>
          <w:sz w:val="28"/>
          <w:sz w:val="28"/>
          <w:szCs w:val="28"/>
          <w:rtl w:val="true"/>
          <w:lang w:bidi="ar-SA"/>
        </w:rPr>
        <w:t xml:space="preserve">جماع مترتّب </w:t>
      </w:r>
    </w:p>
    <w:p>
      <w:pPr>
        <w:pStyle w:val="BookText"/>
        <w:rPr/>
      </w:pPr>
      <w:r>
        <w:rPr>
          <w:rFonts w:ascii="IRNazanin" w:hAnsi="IRNazanin" w:eastAsia="IRNazanin"/>
          <w:color w:val="111111"/>
          <w:sz w:val="28"/>
          <w:sz w:val="28"/>
          <w:szCs w:val="28"/>
          <w:rtl w:val="true"/>
          <w:lang w:bidi="fa-IR"/>
        </w:rPr>
        <w:t>نشود به تخصیص وقتی که توکّل آن شخص بر جناب اقدس</w:t>
      </w:r>
      <w:r>
        <w:rPr>
          <w:rStyle w:val="FootnoteAnchor"/>
          <w:rtl w:val="true"/>
        </w:rPr>
        <w:footnoteReference w:id="566"/>
      </w:r>
      <w:r>
        <w:rPr>
          <w:rFonts w:ascii="IRNazanin" w:hAnsi="IRNazanin" w:eastAsia="IRNazanin"/>
          <w:color w:val="111111"/>
          <w:sz w:val="28"/>
          <w:sz w:val="28"/>
          <w:szCs w:val="28"/>
          <w:rtl w:val="true"/>
          <w:lang w:bidi="fa-IR"/>
        </w:rPr>
        <w:t>الهی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جزم حاصل نیست که با وجود آنکه در حدیث بیان کراهت شده پروردگار تعالی شأنه البتّه حفظ خواهد نمود، بهتر آن است که به مقتضای آن</w:t>
      </w:r>
      <w:r>
        <w:rPr>
          <w:rStyle w:val="FootnoteAnchor"/>
          <w:rtl w:val="true"/>
        </w:rPr>
        <w:footnoteReference w:id="567"/>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بعضی از</w:t>
      </w:r>
      <w:r>
        <w:rPr>
          <w:rStyle w:val="FootnoteAnchor"/>
          <w:rtl w:val="true"/>
        </w:rPr>
        <w:footnoteReference w:id="568"/>
      </w:r>
      <w:r>
        <w:rPr>
          <w:rFonts w:ascii="IRNazanin" w:hAnsi="IRNazanin" w:eastAsia="IRNazanin"/>
          <w:color w:val="111111"/>
          <w:sz w:val="28"/>
          <w:sz w:val="28"/>
          <w:szCs w:val="28"/>
          <w:rtl w:val="true"/>
          <w:lang w:bidi="fa-IR"/>
        </w:rPr>
        <w:t>احادیث که در این باب وارد شده است، اگرچه ضعیف است، لیکن چون علما رضوان اللّه تعالی علیهم نقل آن احادیث کرده‌اند و در مؤلّفات خود نوشته‌اند، مجملی از آنها در این رساله مختصر، ذکر می‌شود،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ایدک اللّه تعالی که سنت است در وقت جماع کردن، بردن نام خدا و پناه بردن از شرّ شیطان، و در حدیث وارد شده است که اگر نام خدا برده نشود، شیطان با مرد شریک می‌شود در جماع و فرزند از جماع هر دو حاصل می‌شود</w:t>
      </w:r>
      <w:r>
        <w:rPr>
          <w:rStyle w:val="FootnoteAnchor"/>
          <w:rtl w:val="true"/>
        </w:rPr>
        <w:footnoteReference w:id="569"/>
      </w:r>
      <w:r>
        <w:rPr>
          <w:rFonts w:ascii="IRNazanin" w:hAnsi="IRNazanin" w:eastAsia="IRNazanin"/>
          <w:color w:val="111111"/>
          <w:sz w:val="28"/>
          <w:sz w:val="28"/>
          <w:szCs w:val="28"/>
          <w:rtl w:val="true"/>
          <w:lang w:bidi="fa-IR"/>
        </w:rPr>
        <w:t>، و چون خواهد کسی</w:t>
      </w:r>
      <w:r>
        <w:rPr>
          <w:rStyle w:val="FootnoteAnchor"/>
          <w:rtl w:val="true"/>
        </w:rPr>
        <w:footnoteReference w:id="570"/>
      </w:r>
      <w:r>
        <w:rPr>
          <w:rFonts w:ascii="IRNazanin" w:hAnsi="IRNazanin" w:eastAsia="IRNazanin"/>
          <w:color w:val="111111"/>
          <w:sz w:val="28"/>
          <w:sz w:val="28"/>
          <w:szCs w:val="28"/>
          <w:rtl w:val="true"/>
          <w:lang w:bidi="fa-IR"/>
        </w:rPr>
        <w:t>که شیطان شریک نشود، در وقت جماع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برد به خدا از شرّ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علیه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جماع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وَلَداً وَ اجعَلْهُ تَقِیّاً زَکِیّاً لَیْسَ فِی خَلْقِهِ زِیادَةٌ وَ لا نُقْصانٌ وَ اجْعَلْ عاقِبَتَهُ إلی خَیْرٍ</w:t>
      </w:r>
      <w:r>
        <w:rPr>
          <w:rFonts w:eastAsia="IRNazanin" w:cs="IRNazanin"/>
          <w:color w:val="111111"/>
          <w:sz w:val="28"/>
          <w:szCs w:val="28"/>
          <w:rtl w:val="true"/>
          <w:lang w:bidi="fa-IR"/>
        </w:rPr>
        <w:t>».</w:t>
      </w:r>
      <w:r>
        <w:rPr>
          <w:rStyle w:val="FootnoteAnchor"/>
          <w:rtl w:val="true"/>
        </w:rPr>
        <w:footnoteReference w:id="5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مکروه است در وقت جماع</w:t>
      </w:r>
      <w:r>
        <w:rPr>
          <w:rStyle w:val="FootnoteAnchor"/>
          <w:rtl w:val="true"/>
        </w:rPr>
        <w:footnoteReference w:id="572"/>
      </w:r>
      <w:r>
        <w:rPr>
          <w:rFonts w:ascii="IRNazanin" w:hAnsi="IRNazanin" w:eastAsia="IRNazanin"/>
          <w:color w:val="111111"/>
          <w:sz w:val="28"/>
          <w:sz w:val="28"/>
          <w:szCs w:val="28"/>
          <w:rtl w:val="true"/>
          <w:lang w:bidi="fa-IR"/>
        </w:rPr>
        <w:t>سخن گفتن، مگر به ذکر خدا؛ و مروی است که سخن گفتن در وقت جماع، سبب آن می‌شود که فرزند لال 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مکروه است جماع کردن رو به قبله و پشت به قبله</w:t>
      </w:r>
      <w:r>
        <w:rPr>
          <w:rStyle w:val="FootnoteAnchor"/>
          <w:rtl w:val="true"/>
        </w:rPr>
        <w:footnoteReference w:id="574"/>
      </w:r>
      <w:r>
        <w:rPr>
          <w:rFonts w:ascii="IRNazanin" w:hAnsi="IRNazanin" w:eastAsia="IRNazanin"/>
          <w:color w:val="111111"/>
          <w:sz w:val="28"/>
          <w:sz w:val="28"/>
          <w:szCs w:val="28"/>
          <w:rtl w:val="true"/>
          <w:lang w:bidi="fa-IR"/>
        </w:rPr>
        <w:t>و جماع کردن با زن یا کنیز در خانه‌ای که طفلی باشد، و هرگاه چنین کنند آن طفل یا طفلی که از ایشان حاصل شود زناکار باشد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منقول است که حضرت رسول صلی الله علیه و آله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جانم در قبضه قدرت او است که اگر شخصی با زن خود جماع کند و در آن خانه شخصی بیدار باشد و ایشان را بیند</w:t>
      </w:r>
      <w:r>
        <w:rPr>
          <w:rStyle w:val="FootnoteAnchor"/>
          <w:rtl w:val="true"/>
        </w:rPr>
        <w:footnoteReference w:id="576"/>
      </w:r>
      <w:r>
        <w:rPr>
          <w:rFonts w:ascii="IRNazanin" w:hAnsi="IRNazanin" w:eastAsia="IRNazanin"/>
          <w:color w:val="111111"/>
          <w:sz w:val="28"/>
          <w:sz w:val="28"/>
          <w:szCs w:val="28"/>
          <w:rtl w:val="true"/>
          <w:lang w:bidi="fa-IR"/>
        </w:rPr>
        <w:t>و سخن گفتن و نفس کشیدن ایشان را شنود، فرزندی که از ایشان حاصل شود، زناکار شود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حضرت امام محمدباقر صلوات اللّه علیه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برابر زن دیگر جماع مکن، اما کنیز را در برابر کنیز دیگر جماع کردن باکی نیست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w:t>
      </w:r>
      <w:r>
        <w:rPr>
          <w:rStyle w:val="FootnoteAnchor"/>
          <w:rtl w:val="true"/>
        </w:rPr>
        <w:footnoteReference w:id="579"/>
      </w:r>
      <w:r>
        <w:rPr>
          <w:rFonts w:ascii="IRNazanin" w:hAnsi="IRNazanin" w:eastAsia="IRNazanin"/>
          <w:color w:val="111111"/>
          <w:sz w:val="28"/>
          <w:sz w:val="28"/>
          <w:szCs w:val="28"/>
          <w:rtl w:val="true"/>
          <w:lang w:bidi="fa-IR"/>
        </w:rPr>
        <w:t>است که مراد حضرت آن باشد که کراهت</w:t>
      </w:r>
      <w:r>
        <w:rPr>
          <w:rStyle w:val="FootnoteAnchor"/>
          <w:rtl w:val="true"/>
        </w:rPr>
        <w:footnoteReference w:id="580"/>
      </w:r>
      <w:r>
        <w:rPr>
          <w:rFonts w:ascii="IRNazanin" w:hAnsi="IRNazanin" w:eastAsia="IRNazanin"/>
          <w:color w:val="111111"/>
          <w:sz w:val="28"/>
          <w:sz w:val="28"/>
          <w:szCs w:val="28"/>
          <w:rtl w:val="true"/>
          <w:lang w:bidi="fa-IR"/>
        </w:rPr>
        <w:t>اینکه کنیز را در برابر کنیز دیگر جماع کند کمتر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 حضرت امام زین‌العابدین علیه الصّلوة و السّلام هرگاه اراده مقاربت زنان می‌نمود، خدمت‌کاران را دور می‌نمود</w:t>
      </w:r>
      <w:r>
        <w:rPr>
          <w:rStyle w:val="FootnoteAnchor"/>
          <w:rtl w:val="true"/>
        </w:rPr>
        <w:footnoteReference w:id="581"/>
      </w:r>
      <w:r>
        <w:rPr>
          <w:rFonts w:ascii="IRNazanin" w:hAnsi="IRNazanin" w:eastAsia="IRNazanin"/>
          <w:color w:val="111111"/>
          <w:sz w:val="28"/>
          <w:sz w:val="28"/>
          <w:szCs w:val="28"/>
          <w:rtl w:val="true"/>
          <w:lang w:bidi="fa-IR"/>
        </w:rPr>
        <w:t>و درها را می‌بست و پرده‌ها را می‌انداخت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مکروه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حالی که مرد و زن عریان باشند</w:t>
      </w:r>
      <w:r>
        <w:rPr>
          <w:rStyle w:val="FootnoteAnchor"/>
          <w:rtl w:val="true"/>
        </w:rPr>
        <w:footnoteReference w:id="583"/>
      </w:r>
      <w:r>
        <w:rPr>
          <w:rFonts w:ascii="IRNazanin" w:hAnsi="IRNazanin" w:eastAsia="IRNazanin"/>
          <w:color w:val="111111"/>
          <w:sz w:val="28"/>
          <w:sz w:val="28"/>
          <w:szCs w:val="28"/>
          <w:rtl w:val="true"/>
          <w:lang w:bidi="fa-IR"/>
        </w:rPr>
        <w:t>و اگر چنین کنند، ملائکه از ایشان دور می‌شوند</w:t>
      </w:r>
      <w:r>
        <w:rPr>
          <w:rStyle w:val="FootnoteAnchor"/>
          <w:rtl w:val="true"/>
        </w:rPr>
        <w:footnoteReference w:id="584"/>
      </w:r>
      <w:r>
        <w:rPr>
          <w:rFonts w:ascii="IRNazanin" w:hAnsi="IRNazanin" w:eastAsia="IRNazanin"/>
          <w:color w:val="111111"/>
          <w:sz w:val="28"/>
          <w:sz w:val="28"/>
          <w:szCs w:val="28"/>
          <w:rtl w:val="true"/>
          <w:lang w:bidi="fa-IR"/>
        </w:rPr>
        <w:t>و در حالی که مرد با</w:t>
      </w:r>
      <w:r>
        <w:rPr>
          <w:rStyle w:val="FootnoteAnchor"/>
          <w:rtl w:val="true"/>
        </w:rPr>
        <w:footnoteReference w:id="585"/>
      </w:r>
      <w:r>
        <w:rPr>
          <w:rFonts w:ascii="IRNazanin" w:hAnsi="IRNazanin" w:eastAsia="IRNazanin"/>
          <w:color w:val="111111"/>
          <w:sz w:val="28"/>
          <w:sz w:val="28"/>
          <w:szCs w:val="28"/>
          <w:rtl w:val="true"/>
          <w:lang w:bidi="fa-IR"/>
        </w:rPr>
        <w:t>زن خضاب به حنا داشته باشند</w:t>
      </w:r>
      <w:r>
        <w:rPr>
          <w:rStyle w:val="FootnoteAnchor"/>
          <w:rtl w:val="true"/>
        </w:rPr>
        <w:footnoteReference w:id="586"/>
      </w:r>
      <w:r>
        <w:rPr>
          <w:rFonts w:ascii="IRNazanin" w:hAnsi="IRNazanin" w:eastAsia="IRNazanin"/>
          <w:color w:val="111111"/>
          <w:sz w:val="28"/>
          <w:sz w:val="28"/>
          <w:szCs w:val="28"/>
          <w:rtl w:val="true"/>
          <w:lang w:bidi="fa-IR"/>
        </w:rPr>
        <w:t>و در حال جماع مکروه است نظر کردن مرد به فرج زن و مروی است که نظر کردن سبب کور شدن فرزند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مکروه است ایستاده جماع کردن که سبب آن می‌شود که فرزند در میان رخت‌و خواب بول</w:t>
      </w:r>
      <w:r>
        <w:rPr>
          <w:rStyle w:val="FootnoteAnchor"/>
          <w:rtl w:val="true"/>
        </w:rPr>
        <w:footnoteReference w:id="588"/>
      </w:r>
      <w:r>
        <w:rPr>
          <w:rFonts w:ascii="IRNazanin" w:hAnsi="IRNazanin" w:eastAsia="IRNazanin"/>
          <w:color w:val="111111"/>
          <w:sz w:val="28"/>
          <w:sz w:val="28"/>
          <w:szCs w:val="28"/>
          <w:rtl w:val="true"/>
          <w:lang w:bidi="fa-IR"/>
        </w:rPr>
        <w:t>کند</w:t>
      </w:r>
      <w:r>
        <w:rPr>
          <w:rStyle w:val="FootnoteAnchor"/>
          <w:rtl w:val="true"/>
        </w:rPr>
        <w:footnoteReference w:id="589"/>
      </w:r>
      <w:r>
        <w:rPr>
          <w:rFonts w:ascii="IRNazanin" w:hAnsi="IRNazanin" w:eastAsia="IRNazanin"/>
          <w:color w:val="111111"/>
          <w:sz w:val="28"/>
          <w:sz w:val="28"/>
          <w:szCs w:val="28"/>
          <w:rtl w:val="true"/>
          <w:lang w:bidi="fa-IR"/>
        </w:rPr>
        <w:t>و در برابر آفتاب به نحوی که حایلی در میان نباشد که سبب آن می‌شود که فرزندی که به وجود آید، محتاج و فقیر باشد تا بمیرد</w:t>
      </w:r>
      <w:r>
        <w:rPr>
          <w:rFonts w:eastAsia="IRNazanin" w:cs="IRNazanin"/>
          <w:color w:val="111111"/>
          <w:sz w:val="28"/>
          <w:szCs w:val="28"/>
          <w:rtl w:val="true"/>
          <w:lang w:bidi="fa-IR"/>
        </w:rPr>
        <w:t>.</w:t>
      </w:r>
      <w:r>
        <w:rPr>
          <w:rStyle w:val="FootnoteAnchor"/>
          <w:rtl w:val="true"/>
        </w:rPr>
        <w:footnoteReference w:id="59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مکروه است جماع کردن بر کسی که محتلم شده باشد، پیش از آنکه غسل کند </w:t>
      </w:r>
    </w:p>
    <w:p>
      <w:pPr>
        <w:pStyle w:val="BookText"/>
        <w:rPr/>
      </w:pPr>
      <w:r>
        <w:rPr>
          <w:rFonts w:ascii="IRNazanin" w:hAnsi="IRNazanin" w:eastAsia="IRNazanin"/>
          <w:color w:val="111111"/>
          <w:sz w:val="28"/>
          <w:sz w:val="28"/>
          <w:szCs w:val="28"/>
          <w:rtl w:val="true"/>
          <w:lang w:bidi="fa-IR"/>
        </w:rPr>
        <w:t>و منقول است که اگر کسی چنین کند و فرزندی بهم رسد</w:t>
      </w:r>
      <w:r>
        <w:rPr>
          <w:rStyle w:val="FootnoteAnchor"/>
          <w:rtl w:val="true"/>
        </w:rPr>
        <w:footnoteReference w:id="591"/>
      </w:r>
      <w:r>
        <w:rPr>
          <w:rFonts w:ascii="IRNazanin" w:hAnsi="IRNazanin" w:eastAsia="IRNazanin"/>
          <w:color w:val="111111"/>
          <w:sz w:val="28"/>
          <w:sz w:val="28"/>
          <w:szCs w:val="28"/>
          <w:rtl w:val="true"/>
          <w:lang w:bidi="fa-IR"/>
        </w:rPr>
        <w:t>، دور نیست که دیوانه باشد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از حضرت صادق صلوات اللّه علیه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جماع و پیش از غسل، هرگاه اراده جماع دیگر می‌نموده وضو می‌ساخت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مکروه است جماع کردن در پشت بام، و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کند و فرزندی بهم رسد،</w:t>
      </w:r>
      <w:r>
        <w:rPr>
          <w:rStyle w:val="FootnoteAnchor"/>
          <w:rtl w:val="true"/>
        </w:rPr>
        <w:footnoteReference w:id="594"/>
      </w:r>
      <w:r>
        <w:rPr>
          <w:rFonts w:ascii="IRNazanin" w:hAnsi="IRNazanin" w:eastAsia="IRNazanin"/>
          <w:color w:val="111111"/>
          <w:sz w:val="28"/>
          <w:sz w:val="28"/>
          <w:szCs w:val="28"/>
          <w:rtl w:val="true"/>
          <w:lang w:bidi="fa-IR"/>
        </w:rPr>
        <w:t>منافق و ریاکار و صاحب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مکروه است جماع کردن در زیر آسمان</w:t>
      </w:r>
      <w:r>
        <w:rPr>
          <w:rStyle w:val="FootnoteAnchor"/>
          <w:rtl w:val="true"/>
        </w:rPr>
        <w:footnoteReference w:id="595"/>
      </w:r>
      <w:r>
        <w:rPr>
          <w:rFonts w:ascii="IRNazanin" w:hAnsi="IRNazanin" w:eastAsia="IRNazanin"/>
          <w:color w:val="111111"/>
          <w:sz w:val="28"/>
          <w:sz w:val="28"/>
          <w:szCs w:val="28"/>
          <w:rtl w:val="true"/>
          <w:lang w:bidi="fa-IR"/>
        </w:rPr>
        <w:t>و در میان راه</w:t>
      </w:r>
      <w:r>
        <w:rPr>
          <w:rStyle w:val="FootnoteAnchor"/>
          <w:rtl w:val="true"/>
        </w:rPr>
        <w:footnoteReference w:id="596"/>
      </w:r>
      <w:r>
        <w:rPr>
          <w:rFonts w:ascii="IRNazanin" w:hAnsi="IRNazanin" w:eastAsia="IRNazanin"/>
          <w:color w:val="111111"/>
          <w:sz w:val="28"/>
          <w:sz w:val="28"/>
          <w:szCs w:val="28"/>
          <w:rtl w:val="true"/>
          <w:lang w:bidi="fa-IR"/>
        </w:rPr>
        <w:t>و در زیر درخت میوه دار که اگر فرزندی بهم رسد، جلاّد و رئیس</w:t>
      </w:r>
      <w:r>
        <w:rPr>
          <w:rStyle w:val="FootnoteAnchor"/>
          <w:rtl w:val="true"/>
        </w:rPr>
        <w:footnoteReference w:id="597"/>
      </w:r>
      <w:r>
        <w:rPr>
          <w:rFonts w:ascii="IRNazanin" w:hAnsi="IRNazanin" w:eastAsia="IRNazanin"/>
          <w:color w:val="111111"/>
          <w:sz w:val="28"/>
          <w:sz w:val="28"/>
          <w:szCs w:val="28"/>
          <w:rtl w:val="true"/>
          <w:lang w:bidi="fa-IR"/>
        </w:rPr>
        <w:t>ظلمه باشد و در میان اذان و اقامه که اگر فرزندی بهم رسد، راغب باشد به خون ریختن؛ و در وقتی که زن حامله باشد که اگر فرزندی حاصل شود، در روی او نشان سیاهی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 اگر انگشتری در دست باشد که نام خدا بر آن نقش کرده باشد، با آن جماع نکند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مکروه است جماع کردن با زن خود، به شهوت زن دیگری؛ و مروی است که شبی که به سفر بیرون</w:t>
      </w:r>
      <w:r>
        <w:rPr>
          <w:rStyle w:val="FootnoteAnchor"/>
          <w:rtl w:val="true"/>
        </w:rPr>
        <w:footnoteReference w:id="599"/>
      </w:r>
      <w:r>
        <w:rPr>
          <w:rFonts w:ascii="IRNazanin" w:hAnsi="IRNazanin" w:eastAsia="IRNazanin"/>
          <w:color w:val="111111"/>
          <w:sz w:val="28"/>
          <w:sz w:val="28"/>
          <w:szCs w:val="28"/>
          <w:rtl w:val="true"/>
          <w:lang w:bidi="fa-IR"/>
        </w:rPr>
        <w:t>می‌روی، جماع مکن که اگر فرزندی حاصل شود، مال تو را به ناحق 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سفری بیرون روی که سه روز راه باشد، جماع مکن که اگر فرزندی به وجود آید، یاور ظالمان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ساعت اوّل شب جماع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اگر فرزندی حاصل شود، ایمن نیستی که ساحر باشد و دنیا را بر آخرت اختیار نماید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01"/>
      </w:r>
      <w:r>
        <w:rPr>
          <w:rFonts w:ascii="IRNazanin" w:hAnsi="IRNazanin" w:eastAsia="IRNazanin"/>
          <w:color w:val="111111"/>
          <w:sz w:val="28"/>
          <w:sz w:val="28"/>
          <w:szCs w:val="28"/>
          <w:rtl w:val="true"/>
          <w:lang w:bidi="fa-IR"/>
        </w:rPr>
        <w:t>جماع مکن بعد از پیشین که اگر فرزندی بهم رسد، احول</w:t>
      </w:r>
      <w:r>
        <w:rPr>
          <w:rStyle w:val="FootnoteAnchor"/>
          <w:rtl w:val="true"/>
        </w:rPr>
        <w:footnoteReference w:id="602"/>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مکروه است جماع کردن میان طلوع صبح تا طلوع آفتاب و از وقت غروب آفتاب</w:t>
      </w:r>
      <w:r>
        <w:rPr>
          <w:rStyle w:val="FootnoteAnchor"/>
          <w:rtl w:val="true"/>
        </w:rPr>
        <w:footnoteReference w:id="603"/>
      </w:r>
      <w:r>
        <w:rPr>
          <w:rFonts w:ascii="IRNazanin" w:hAnsi="IRNazanin" w:eastAsia="IRNazanin"/>
          <w:color w:val="111111"/>
          <w:sz w:val="28"/>
          <w:sz w:val="28"/>
          <w:szCs w:val="28"/>
          <w:rtl w:val="true"/>
          <w:lang w:bidi="fa-IR"/>
        </w:rPr>
        <w:t>تا برطرف شدن</w:t>
      </w:r>
      <w:r>
        <w:rPr>
          <w:rStyle w:val="FootnoteAnchor"/>
          <w:rtl w:val="true"/>
        </w:rPr>
        <w:footnoteReference w:id="604"/>
      </w:r>
      <w:r>
        <w:rPr>
          <w:rFonts w:ascii="IRNazanin" w:hAnsi="IRNazanin" w:eastAsia="IRNazanin"/>
          <w:color w:val="111111"/>
          <w:sz w:val="28"/>
          <w:sz w:val="28"/>
          <w:szCs w:val="28"/>
          <w:rtl w:val="true"/>
          <w:lang w:bidi="fa-IR"/>
        </w:rPr>
        <w:t>سرخی جانب مغرب و در روزی که آفتاب بگیرد و در شبی که ماه بگیرد و در شبی یا روزی که باد سرخ یا سیاه یا زرد بوزد و در</w:t>
      </w:r>
      <w:r>
        <w:rPr>
          <w:rStyle w:val="FootnoteAnchor"/>
          <w:rtl w:val="true"/>
        </w:rPr>
        <w:footnoteReference w:id="605"/>
      </w:r>
      <w:r>
        <w:rPr>
          <w:rFonts w:ascii="IRNazanin" w:hAnsi="IRNazanin" w:eastAsia="IRNazanin"/>
          <w:color w:val="111111"/>
          <w:sz w:val="28"/>
          <w:sz w:val="28"/>
          <w:szCs w:val="28"/>
          <w:rtl w:val="true"/>
          <w:lang w:bidi="fa-IR"/>
        </w:rPr>
        <w:t>شبی یا روزی که زلزله حادث 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در وقتی که قمر در عقرب یا تحت‌الشعاع باشد و در اول و وسط و آخر ماه سوای ماه مبارک رمضان که در شب اوّل آن جماع کردن سنت است</w:t>
      </w:r>
      <w:r>
        <w:rPr>
          <w:rFonts w:eastAsia="IRNazanin" w:cs="IRNazanin"/>
          <w:color w:val="111111"/>
          <w:sz w:val="28"/>
          <w:szCs w:val="28"/>
          <w:rtl w:val="true"/>
          <w:lang w:bidi="fa-IR"/>
        </w:rPr>
        <w:t>.</w:t>
      </w:r>
      <w:r>
        <w:rPr>
          <w:rStyle w:val="FootnoteAnchor"/>
          <w:rtl w:val="true"/>
        </w:rPr>
        <w:footnoteReference w:id="60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که جماع کردن در اوّل و وسط و آخر ماه، سبب آن می‌شود که اگر </w:t>
      </w:r>
    </w:p>
    <w:p>
      <w:pPr>
        <w:pStyle w:val="BookText"/>
        <w:rPr/>
      </w:pPr>
      <w:r>
        <w:rPr>
          <w:rFonts w:ascii="IRNazanin" w:hAnsi="IRNazanin" w:eastAsia="IRNazanin"/>
          <w:color w:val="111111"/>
          <w:sz w:val="28"/>
          <w:sz w:val="28"/>
          <w:szCs w:val="28"/>
          <w:rtl w:val="true"/>
          <w:lang w:bidi="fa-IR"/>
        </w:rPr>
        <w:t>فرزندی بهم رسد، ساقط می‌شود</w:t>
      </w:r>
      <w:r>
        <w:rPr>
          <w:rStyle w:val="FootnoteAnchor"/>
          <w:rtl w:val="true"/>
        </w:rPr>
        <w:footnoteReference w:id="608"/>
      </w:r>
      <w:r>
        <w:rPr>
          <w:rFonts w:ascii="IRNazanin" w:hAnsi="IRNazanin" w:eastAsia="IRNazanin"/>
          <w:color w:val="111111"/>
          <w:sz w:val="28"/>
          <w:sz w:val="28"/>
          <w:szCs w:val="28"/>
          <w:rtl w:val="true"/>
          <w:lang w:bidi="fa-IR"/>
        </w:rPr>
        <w:t>و اگر بماند دور نیست که دیوانه شود یا به مرض صرع</w:t>
      </w:r>
      <w:r>
        <w:rPr>
          <w:rStyle w:val="FootnoteAnchor"/>
          <w:rtl w:val="true"/>
        </w:rPr>
        <w:footnoteReference w:id="609"/>
      </w:r>
      <w:r>
        <w:rPr>
          <w:rFonts w:ascii="IRNazanin" w:hAnsi="IRNazanin" w:eastAsia="IRNazanin"/>
          <w:color w:val="111111"/>
          <w:sz w:val="28"/>
          <w:sz w:val="28"/>
          <w:szCs w:val="28"/>
          <w:rtl w:val="true"/>
          <w:lang w:bidi="fa-IR"/>
        </w:rPr>
        <w:t>مبتلا شود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مکروه است جماع کردن در شب چهارشنبه از هر ماه</w:t>
      </w:r>
      <w:r>
        <w:rPr>
          <w:rStyle w:val="FootnoteAnchor"/>
          <w:rtl w:val="true"/>
        </w:rPr>
        <w:footnoteReference w:id="611"/>
      </w:r>
      <w:r>
        <w:rPr>
          <w:rFonts w:ascii="IRNazanin" w:hAnsi="IRNazanin" w:eastAsia="IRNazanin"/>
          <w:color w:val="111111"/>
          <w:sz w:val="28"/>
          <w:sz w:val="28"/>
          <w:szCs w:val="28"/>
          <w:rtl w:val="true"/>
          <w:lang w:bidi="fa-IR"/>
        </w:rPr>
        <w:t>و در شب عید قربان که اگر فرزندی حاصل شود، شش انگشت یا چهار انگشت خواهد بود و در شب عید فطر که</w:t>
      </w:r>
      <w:r>
        <w:rPr>
          <w:rStyle w:val="FootnoteAnchor"/>
          <w:rtl w:val="true"/>
        </w:rPr>
        <w:footnoteReference w:id="612"/>
      </w:r>
      <w:r>
        <w:rPr>
          <w:rFonts w:ascii="IRNazanin" w:hAnsi="IRNazanin" w:eastAsia="IRNazanin"/>
          <w:color w:val="111111"/>
          <w:sz w:val="28"/>
          <w:sz w:val="28"/>
          <w:szCs w:val="28"/>
          <w:rtl w:val="true"/>
          <w:lang w:bidi="fa-IR"/>
        </w:rPr>
        <w:t>اگر فرزندی به وجود آید، شر بسیار از او به ظهور رسد و در روز آخر ماه شعبان که اگر فرزندی حاصل شود، عشار و یاور ظالمان خواهد بود و بسیاری از مردمان بر دست او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 به حضرت امیرالمؤمنین صلوات اللّه علیه</w:t>
      </w:r>
      <w:r>
        <w:rPr>
          <w:rStyle w:val="FootnoteAnchor"/>
          <w:rtl w:val="true"/>
        </w:rPr>
        <w:footnoteReference w:id="613"/>
      </w:r>
      <w:r>
        <w:rPr>
          <w:rFonts w:ascii="IRNazanin" w:hAnsi="IRNazanin" w:eastAsia="IRNazanin"/>
          <w:color w:val="111111"/>
          <w:sz w:val="28"/>
          <w:sz w:val="28"/>
          <w:szCs w:val="28"/>
          <w:rtl w:val="true"/>
          <w:lang w:bidi="fa-IR"/>
        </w:rPr>
        <w:t>وصیّت نموده که یا علی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کن</w:t>
      </w:r>
      <w:r>
        <w:rPr>
          <w:rStyle w:val="FootnoteAnchor"/>
          <w:rtl w:val="true"/>
        </w:rPr>
        <w:footnoteReference w:id="614"/>
      </w:r>
      <w:r>
        <w:rPr>
          <w:rFonts w:ascii="IRNazanin" w:hAnsi="IRNazanin" w:eastAsia="IRNazanin"/>
          <w:color w:val="111111"/>
          <w:sz w:val="28"/>
          <w:sz w:val="28"/>
          <w:szCs w:val="28"/>
          <w:rtl w:val="true"/>
          <w:lang w:bidi="fa-IR"/>
        </w:rPr>
        <w:t xml:space="preserve">در شب دوشنبه که اگر فرزندی به وجود آید، حافظ قرآن و راضی به قسمت خدا باشد؛ و اگر جماع کنی در شب سه شنبه و فرزندی میان شما بهم رسد، نصیب شود او را مرتبه شهادت، بعد از آنکه قائل شده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عذاب نکند او را با مشرکان، و باشد دهانش خوشبو</w:t>
      </w:r>
      <w:r>
        <w:rPr>
          <w:rStyle w:val="FootnoteAnchor"/>
          <w:rtl w:val="true"/>
        </w:rPr>
        <w:footnoteReference w:id="615"/>
      </w:r>
      <w:r>
        <w:rPr>
          <w:rFonts w:ascii="IRNazanin" w:hAnsi="IRNazanin" w:eastAsia="IRNazanin"/>
          <w:color w:val="111111"/>
          <w:sz w:val="28"/>
          <w:sz w:val="28"/>
          <w:szCs w:val="28"/>
          <w:rtl w:val="true"/>
          <w:lang w:bidi="fa-IR"/>
        </w:rPr>
        <w:t>و زبانش از غیبت و بهتان پاک و دستش بخشنده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 کنی با اهل خود در شب پنجشنبه، فرزندی که به وجود آید، حاکمی باشد از حکّام شرع یا عالمی باشد از علما؛ و اگر در روز پنجشنبه با اهل خود </w:t>
      </w:r>
    </w:p>
    <w:p>
      <w:pPr>
        <w:pStyle w:val="BookText"/>
        <w:rPr/>
      </w:pPr>
      <w:r>
        <w:rPr>
          <w:rFonts w:ascii="IRNazanin" w:hAnsi="IRNazanin" w:eastAsia="IRNazanin"/>
          <w:color w:val="111111"/>
          <w:sz w:val="28"/>
          <w:sz w:val="28"/>
          <w:szCs w:val="28"/>
          <w:rtl w:val="true"/>
          <w:lang w:bidi="fa-IR"/>
        </w:rPr>
        <w:t>جماع کنی در وقتی که آفتاب در میان آسمان باشد</w:t>
      </w:r>
      <w:r>
        <w:rPr>
          <w:rStyle w:val="FootnoteAnchor"/>
          <w:rtl w:val="true"/>
        </w:rPr>
        <w:footnoteReference w:id="616"/>
      </w:r>
      <w:r>
        <w:rPr>
          <w:rFonts w:ascii="IRNazanin" w:hAnsi="IRNazanin" w:eastAsia="IRNazanin"/>
          <w:color w:val="111111"/>
          <w:sz w:val="28"/>
          <w:sz w:val="28"/>
          <w:szCs w:val="28"/>
          <w:rtl w:val="true"/>
          <w:lang w:bidi="fa-IR"/>
        </w:rPr>
        <w:t>، فرزندی که بهم رسد، شیطان نزدیک او نشود تا پیر شود و خدا روزی کند او را سلامتی در دنیا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 کنی در شب جمعه و فرزندی بهم رسد، خطیب گویا باشد؛ و اگر در روز جمعه بعد از نماز عصر جماع کنی و فرزندی بهم رسد، مشهور و معروف و از دانایان زمان باشد؛ و اگر جماع کنی در شب جمعه</w:t>
      </w:r>
      <w:r>
        <w:rPr>
          <w:rStyle w:val="FootnoteAnchor"/>
          <w:rtl w:val="true"/>
        </w:rPr>
        <w:footnoteReference w:id="617"/>
      </w:r>
      <w:r>
        <w:rPr>
          <w:rFonts w:ascii="IRNazanin" w:hAnsi="IRNazanin" w:eastAsia="IRNazanin"/>
          <w:color w:val="111111"/>
          <w:sz w:val="28"/>
          <w:sz w:val="28"/>
          <w:szCs w:val="28"/>
          <w:rtl w:val="true"/>
          <w:lang w:bidi="fa-IR"/>
        </w:rPr>
        <w:t>بعد از نماز خفتن، امید هست که فرزندی که</w:t>
      </w:r>
      <w:r>
        <w:rPr>
          <w:rStyle w:val="FootnoteAnchor"/>
          <w:rtl w:val="true"/>
        </w:rPr>
        <w:footnoteReference w:id="618"/>
      </w:r>
      <w:r>
        <w:rPr>
          <w:rFonts w:ascii="IRNazanin" w:hAnsi="IRNazanin" w:eastAsia="IRNazanin"/>
          <w:color w:val="111111"/>
          <w:sz w:val="28"/>
          <w:sz w:val="28"/>
          <w:szCs w:val="28"/>
          <w:rtl w:val="true"/>
          <w:lang w:bidi="fa-IR"/>
        </w:rPr>
        <w:t>بهم رسد از ابدال باشد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لأیّ شیء أمنعها من هذه الأشیاء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الرحم تعقم و تبرد من هذه الأربعة أشیاء عن الولد، و الحصیر فی ناحیة البیت خیر من امرأة لا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الخل تمنع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علی الخل لم تطهر أبدا طهرا بتمام، و الکزبرة تثیر الحیض فی بطنها، و تشدد علیها الولادة، و التفاح الحامض یقطع حیضها فیصیر داء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فی أول الشهر و وسطه و آخره، فإن الجنون و الجذام و الخبل یسرع إلیها و إلی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بعد الظهر، فإنّه إن قضی بینکما ولد فی ذلک الوقت یکون أحول العین، و الشیطان یفرح بالحول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عند الجماع فإنّه إن قضی بینکما ولد لا یؤمن أن یکون أخرس، و لا ینظرون أحدکم إلی فرج امرأته، و لیغض بصره عند الجماع، فإنّ النظر إلی الفرج یورث العمی 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بشهوة امرأة غیرک، فإنّی أخشی إن قضی بینکما ولد أن یکون مخنثا مؤنثا مخبلا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جنبا فی الفراش مع امرأته فلا یقرأ القرآن، فإنّی أخشی أن تنزل علیهما نار من السماء فتحرقهما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إلاّ و معک خرقة و مع أهلک خرقة، و لا تمسحا بخرقة واحدة فتقع الشهوة علی الشهوة، فإنّ ذلک یعقب العداوة بینکما، ثم یردکما إلی الفرقة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من قیام، فإنّ ذلک من فعل الحمیر، و إن قضی بینکما ولد کان بوّالا فی الفراش کالحمیر البوّالة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فی لیلة الفطر، فإنّه إن قضی بینکما ولد لم یکن ذلک الولد إلاّ کثیر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فی لیلة الأضحی، فإنّه إن قضی بینکما ولد یکون له ستّ أصابع أو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امرأتک تحت شجرة مثمرة، فإنّه إن قضی بینکما ولد یکون جلادا قتالا عریفا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أهلک فی وجه الشمس و تلألؤها إلاّ أن یرخی ستر فیسترکما، فإنّه إن قضی بینکما ولد لا یزال فی بوس و فقر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بین الأذان و الإقامة، فإنّه إن قضی بینکما ولد یکون حریصا علی إهراق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حملت امرأتک، فلا تجامعها إلاّ و أنت علی وضوء، فإنّه إن قضی بینکما ولد یکون أعمی القلب بخیل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أهلک فی النصف من شعبان، فإنّه إن قضی بینکما ولد یکون مشؤوما ذا شامة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أهلک فی آخر درجة منه ـ إذا بقی منه یومان ـ فإنّه إن قضی بینکما ولد یکون عشارا أو عونا للظالم، و یکون هلاک فئام من الناس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أهلک علی سقوف البنیان، فإنّه إن قضی بینکما ولد یکون منافقا مرائیا مبتدعا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خرجت فی سفر، فلا تجامع أهلک تلک اللیلة، فإنّه إن قضی بینکما ولد ینفق ماله فی غیر حق، و قرأ رسول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اسراء،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أهلک إذا خرجت إلی سفر مسیرة ثلاثة أیام و لیالیهن، فإنّه إن قضی بینکما ولد یکون عونا لکل ظالم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بالجماع لیلة الإثنین، فإنّه إن قضی بینکما ولد یکون حافظا لکتاب اللّه، راضیا بما قسم اللّه عز و جل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جامعت أهلک فی لیلة الثلاثاء، فقضی بینکما ولد، فإنّه یرزق الشهادة بعد شهادة أن لا إله إلا اللّه و أنّ محمدا رسول اللّه، و لا یعذبه اللّه مع المشرکین، و یکون طیب النکهة من الفم، رحیم القلب، سخی الید، طاهر اللسان من الغیبة و الکذب و 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جامعت أهلک لیلة الخمیس فقضی بینکما ولد، فإنّه یکون حاکما من الحکام أو عالما من العلماء، و إن جامعتها یوم الخمیس عند زوال الشمس عن کبد السماء فقضی بینکما ولد، فإن الشیطان لا یقربه حتی یشیب، و یکون فهما، و یرزقه اللّه السلامة فی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جامعتها لیلة الجمعة، و کان بینکما ولد، فإنّه یکون خطیبا قوالا مفوها، و إن جامعتها یوم الجمعة بعد العصر، فقضی بینکما ولد، فإنّه یکون معروفا مشهورا عالما، و إن جامعتها فی لیلة الجمعة بعد صلاة العشاء الآخرة، فإنّه یرجی أن یکون لکما ولد من الأبدال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أهلک فی أول ساعة من اللیل، فإنّه إن قضی بینکما ولد لا یؤمن أن یکون ساحرا مؤثر للدنیا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وصیتی هذه کما حفظتها عن جبرئیل صلی اللّه‌علیهم أجمعین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241" w:name="pg17288_199603"/>
    </w:p>
    <w:p>
      <w:pPr>
        <w:pStyle w:val="BookText"/>
        <w:rPr/>
      </w:pPr>
      <w:bookmarkEnd w:id="241"/>
      <w:r>
        <w:rPr>
          <w:rFonts w:ascii="IRNazanin" w:hAnsi="IRNazanin" w:eastAsia="IRNazanin"/>
          <w:color w:val="111111"/>
          <w:sz w:val="28"/>
          <w:sz w:val="28"/>
          <w:szCs w:val="28"/>
          <w:rtl w:val="true"/>
          <w:lang w:bidi="fa-IR"/>
        </w:rPr>
        <w:t>و در این حدیث مذکور است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مکن با زن خود مگر آنکه تو دستمالی به جهت خود داشته باشی و زن دستمالی به جهت خود داشته باشد</w:t>
      </w:r>
      <w:r>
        <w:rPr>
          <w:rStyle w:val="FootnoteAnchor"/>
          <w:rtl w:val="true"/>
        </w:rPr>
        <w:footnoteReference w:id="620"/>
      </w:r>
      <w:r>
        <w:rPr>
          <w:rFonts w:ascii="IRNazanin" w:hAnsi="IRNazanin" w:eastAsia="IRNazanin"/>
          <w:color w:val="111111"/>
          <w:sz w:val="28"/>
          <w:sz w:val="28"/>
          <w:szCs w:val="28"/>
          <w:rtl w:val="true"/>
          <w:lang w:bidi="fa-IR"/>
        </w:rPr>
        <w:t>و هر دو خود را به یک دستمال پاک مکنید که دشمنی در میان شما بهم رسد و آخر به جدائی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 هرگاه مرد اراده جماع نماید</w:t>
      </w:r>
      <w:r>
        <w:rPr>
          <w:rStyle w:val="FootnoteAnchor"/>
          <w:rtl w:val="true"/>
        </w:rPr>
        <w:footnoteReference w:id="621"/>
      </w:r>
      <w:r>
        <w:rPr>
          <w:rFonts w:ascii="IRNazanin" w:hAnsi="IRNazanin" w:eastAsia="IRNazanin"/>
          <w:color w:val="111111"/>
          <w:sz w:val="28"/>
          <w:sz w:val="28"/>
          <w:szCs w:val="28"/>
          <w:rtl w:val="true"/>
          <w:lang w:bidi="fa-IR"/>
        </w:rPr>
        <w:t xml:space="preserve">باید اوّل با زن ملاعبه و دست بازی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سخنان نشاط‌انگیز مذکور سازد تا شهوت زن نیز به حرکت آید و بعد از آن شروع در مقاربت نماید</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242" w:name="__RefHeading___Toc4413664_3224264995"/>
      <w:bookmarkStart w:id="243" w:name="_Toc93"/>
      <w:bookmarkEnd w:id="242"/>
      <w:r>
        <w:rPr>
          <w:rtl w:val="true"/>
        </w:rPr>
        <w:t>مطلب سوم</w:t>
      </w:r>
      <w:r>
        <w:rPr>
          <w:rtl w:val="true"/>
        </w:rPr>
        <w:t xml:space="preserve">: </w:t>
      </w:r>
      <w:r>
        <w:rPr>
          <w:rtl w:val="true"/>
        </w:rPr>
        <w:t>در بیان مجملی از احکام افطار روزه ماه مبارک رمضان</w:t>
      </w:r>
      <w:bookmarkEnd w:id="243"/>
    </w:p>
    <w:p>
      <w:pPr>
        <w:pStyle w:val="Heading5"/>
        <w:numPr>
          <w:ilvl w:val="4"/>
          <w:numId w:val="1"/>
        </w:numPr>
        <w:rPr/>
      </w:pPr>
      <w:bookmarkStart w:id="244" w:name="__RefHeading___Toc4413666_3224264995"/>
      <w:bookmarkStart w:id="245" w:name="_Toc9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کسی که روزه ماه مبارک</w:t>
      </w:r>
      <w:r>
        <w:rPr>
          <w:rStyle w:val="FootnoteAnchor"/>
          <w:rtl w:val="true"/>
        </w:rPr>
        <w:footnoteReference w:id="623"/>
      </w:r>
      <w:r>
        <w:rPr>
          <w:rFonts w:ascii="IRNazanin" w:hAnsi="IRNazanin" w:eastAsia="IRNazanin"/>
          <w:color w:val="111111"/>
          <w:sz w:val="28"/>
          <w:sz w:val="28"/>
          <w:szCs w:val="28"/>
          <w:rtl w:val="true"/>
          <w:lang w:bidi="fa-IR"/>
        </w:rPr>
        <w:t>رمضان بر او واجب باشد و در حالت اختیار در روزِ</w:t>
      </w:r>
      <w:r>
        <w:rPr>
          <w:rStyle w:val="FootnoteAnchor"/>
          <w:rtl w:val="true"/>
        </w:rPr>
        <w:footnoteReference w:id="624"/>
      </w:r>
      <w:r>
        <w:rPr>
          <w:rFonts w:ascii="IRNazanin" w:hAnsi="IRNazanin" w:eastAsia="IRNazanin"/>
          <w:color w:val="111111"/>
          <w:sz w:val="28"/>
          <w:sz w:val="28"/>
          <w:szCs w:val="28"/>
          <w:rtl w:val="true"/>
          <w:lang w:bidi="fa-IR"/>
        </w:rPr>
        <w:t>روزه چیزی بخورد یا</w:t>
      </w:r>
      <w:r>
        <w:rPr>
          <w:rStyle w:val="FootnoteAnchor"/>
          <w:rtl w:val="true"/>
        </w:rPr>
        <w:footnoteReference w:id="625"/>
      </w:r>
      <w:r>
        <w:rPr>
          <w:rFonts w:ascii="IRNazanin" w:hAnsi="IRNazanin" w:eastAsia="IRNazanin"/>
          <w:color w:val="111111"/>
          <w:sz w:val="28"/>
          <w:sz w:val="28"/>
          <w:szCs w:val="28"/>
          <w:rtl w:val="true"/>
          <w:lang w:bidi="fa-IR"/>
        </w:rPr>
        <w:t>بیاشامد یا جماع کند؛ یا آن است که روزه داشتن را فراموش نموده و از روی غفلت منافی روزه را مرتکب شده است؛ یا جاهل به مسئله بوده و نمی‌دانسته است که روزه دار باید</w:t>
      </w:r>
      <w:r>
        <w:rPr>
          <w:rStyle w:val="FootnoteAnchor"/>
          <w:rtl w:val="true"/>
        </w:rPr>
        <w:footnoteReference w:id="626"/>
      </w:r>
      <w:r>
        <w:rPr>
          <w:rFonts w:ascii="IRNazanin" w:hAnsi="IRNazanin" w:eastAsia="IRNazanin"/>
          <w:color w:val="111111"/>
          <w:sz w:val="28"/>
          <w:sz w:val="28"/>
          <w:szCs w:val="28"/>
          <w:rtl w:val="true"/>
          <w:lang w:bidi="fa-IR"/>
        </w:rPr>
        <w:t>ترک این کار کند؛ یا آنکه با وجود دانستن</w:t>
      </w:r>
      <w:r>
        <w:rPr>
          <w:rStyle w:val="FootnoteAnchor"/>
          <w:rtl w:val="true"/>
        </w:rPr>
        <w:footnoteReference w:id="627"/>
      </w:r>
      <w:r>
        <w:rPr>
          <w:rFonts w:ascii="IRNazanin" w:hAnsi="IRNazanin" w:eastAsia="IRNazanin"/>
          <w:color w:val="111111"/>
          <w:sz w:val="28"/>
          <w:sz w:val="28"/>
          <w:szCs w:val="28"/>
          <w:rtl w:val="true"/>
          <w:lang w:bidi="fa-IR"/>
        </w:rPr>
        <w:t>، از روی قصد مرتکب شده و روزه خود را باطل نموده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46" w:name="pg17288_199604"/>
    </w:p>
    <w:p>
      <w:pPr>
        <w:pStyle w:val="BookText"/>
        <w:rPr/>
      </w:pPr>
      <w:bookmarkEnd w:id="246"/>
      <w:r>
        <w:rPr>
          <w:rFonts w:ascii="IRNazanin" w:hAnsi="IRNazanin" w:eastAsia="IRNazanin"/>
          <w:color w:val="111111"/>
          <w:sz w:val="28"/>
          <w:sz w:val="28"/>
          <w:szCs w:val="28"/>
          <w:rtl w:val="true"/>
          <w:lang w:bidi="fa-IR"/>
        </w:rPr>
        <w:t>و ظاهر است که چون روزه بر او واجب است، پس مرتکب شدن کاری که منافی روزه باشد، بر او حرام است؛ لیکن با قطع نظر از روزه داشتن نموده؛ یا آن کار بر او حلال است، مانند خوردن نانی که ملک او باشد، یا آشامیدن آبی که غصبی نباشد، یا جماع کردن با حلال خود؛ یا آن کار بر او حرام است، مثل خوردن نانی که به ظلم از مؤمنی</w:t>
      </w:r>
      <w:r>
        <w:rPr>
          <w:rStyle w:val="FootnoteAnchor"/>
          <w:rtl w:val="true"/>
        </w:rPr>
        <w:footnoteReference w:id="628"/>
      </w:r>
      <w:r>
        <w:rPr>
          <w:rFonts w:ascii="IRNazanin" w:hAnsi="IRNazanin" w:eastAsia="IRNazanin"/>
          <w:color w:val="111111"/>
          <w:sz w:val="28"/>
          <w:sz w:val="28"/>
          <w:szCs w:val="28"/>
          <w:rtl w:val="true"/>
          <w:lang w:bidi="fa-IR"/>
        </w:rPr>
        <w:t>گرفته باشد، یا آشامیدن مسکری، یا جماع کردن با زنی به حرام؛ و حکم این اقسام در چهار احتمال ذکر می‌شود</w:t>
      </w:r>
      <w:r>
        <w:rPr>
          <w:rFonts w:eastAsia="IRNazanin" w:cs="IRNazanin"/>
          <w:color w:val="111111"/>
          <w:sz w:val="28"/>
          <w:szCs w:val="28"/>
          <w:rtl w:val="true"/>
          <w:lang w:bidi="fa-IR"/>
        </w:rPr>
        <w:t>.</w:t>
      </w:r>
    </w:p>
    <w:p>
      <w:pPr>
        <w:pStyle w:val="Heading5"/>
        <w:numPr>
          <w:ilvl w:val="4"/>
          <w:numId w:val="1"/>
        </w:numPr>
        <w:rPr/>
      </w:pPr>
      <w:bookmarkStart w:id="247" w:name="__RefHeading___Toc4413668_3224264995"/>
      <w:bookmarkStart w:id="248" w:name="_Toc95"/>
      <w:bookmarkEnd w:id="247"/>
      <w:r>
        <w:rPr>
          <w:rtl w:val="true"/>
        </w:rPr>
        <w:t>[</w:t>
      </w:r>
      <w:r>
        <w:rPr>
          <w:rtl w:val="true"/>
        </w:rPr>
        <w:t>احتمالات روزه</w:t>
      </w:r>
      <w:r>
        <w:rPr>
          <w:rtl w:val="true"/>
        </w:rPr>
        <w:t>]</w:t>
      </w:r>
      <w:bookmarkEnd w:id="248"/>
    </w:p>
    <w:p>
      <w:pPr>
        <w:pStyle w:val="BookText"/>
        <w:rPr/>
      </w:pPr>
      <w:r>
        <w:rPr>
          <w:rFonts w:ascii="IRNazanin" w:hAnsi="IRNazanin" w:eastAsia="IRNazanin"/>
          <w:color w:val="111111"/>
          <w:sz w:val="28"/>
          <w:sz w:val="28"/>
          <w:szCs w:val="28"/>
          <w:rtl w:val="true"/>
          <w:lang w:bidi="fa-IR"/>
        </w:rPr>
        <w:t>احتمال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فراموش کرده و از روی نسیان افطار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قضا و کفاره هیچ یک واجب نیست و در حدیث وارد شده است</w:t>
      </w:r>
      <w:r>
        <w:rPr>
          <w:rStyle w:val="FootnoteAnchor"/>
          <w:rtl w:val="true"/>
        </w:rPr>
        <w:footnoteReference w:id="62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خورده است، رزقی است که پروردگار تعالی شأنه روزی او کرده بوده</w:t>
      </w:r>
      <w:r>
        <w:rPr>
          <w:rStyle w:val="FootnoteAnchor"/>
          <w:rtl w:val="true"/>
        </w:rPr>
        <w:footnoteReference w:id="6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احتمال 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که روزه است و جاهل به این مسئله باشد که این کار را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w:t>
      </w:r>
      <w:r>
        <w:rPr>
          <w:rStyle w:val="FootnoteAnchor"/>
          <w:rtl w:val="true"/>
        </w:rPr>
        <w:footnoteReference w:id="632"/>
      </w:r>
      <w:r>
        <w:rPr>
          <w:rFonts w:ascii="IRNazanin" w:hAnsi="IRNazanin" w:eastAsia="IRNazanin"/>
          <w:color w:val="111111"/>
          <w:sz w:val="28"/>
          <w:sz w:val="28"/>
          <w:szCs w:val="28"/>
          <w:rtl w:val="true"/>
          <w:lang w:bidi="fa-IR"/>
        </w:rPr>
        <w:t>باید ترک نمود و علما در حکم او خلاف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حکم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قصد افطار کرده باشد و چنانکه گفته خواهد شد، قضا و کفاره هر دو بر او واجب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دارد که روزه داشتن را فراموش کرده باشد و قضا و کفاره</w:t>
      </w:r>
      <w:r>
        <w:rPr>
          <w:rStyle w:val="FootnoteAnchor"/>
          <w:rtl w:val="true"/>
        </w:rPr>
        <w:footnoteReference w:id="634"/>
      </w:r>
      <w:r>
        <w:rPr>
          <w:rFonts w:ascii="IRNazanin" w:hAnsi="IRNazanin" w:eastAsia="IRNazanin"/>
          <w:color w:val="111111"/>
          <w:sz w:val="28"/>
          <w:sz w:val="28"/>
          <w:szCs w:val="28"/>
          <w:rtl w:val="true"/>
          <w:lang w:bidi="fa-IR"/>
        </w:rPr>
        <w:t>هیچ یک بر او واجب نیست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این شخص واجب است و کفّاره بر او واجب نیست</w:t>
      </w:r>
      <w:r>
        <w:rPr>
          <w:rStyle w:val="FootnoteAnchor"/>
          <w:rtl w:val="true"/>
        </w:rPr>
        <w:footnoteReference w:id="63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قول راجح است، لیکن احوط آن است که کفاره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روزه است و داند نیز که این کار را در روزه باید ترک کرد و از روی قصد افطار کرده باشد و با قطع نظر از روزه آن کار بر او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قضا و کفاره هر دو بر آن شخص واجب است، مثل جماع کردن با حلال خود یا ملاعبه نمودن با حلال خود به قصد انزال منی یا ملاعبه نمودن به نحوی که موافق عادت</w:t>
      </w:r>
      <w:r>
        <w:rPr>
          <w:rStyle w:val="FootnoteAnchor"/>
          <w:rtl w:val="true"/>
        </w:rPr>
        <w:footnoteReference w:id="637"/>
      </w:r>
      <w:r>
        <w:rPr>
          <w:rFonts w:ascii="IRNazanin" w:hAnsi="IRNazanin" w:eastAsia="IRNazanin"/>
          <w:color w:val="111111"/>
          <w:sz w:val="28"/>
          <w:sz w:val="28"/>
          <w:szCs w:val="28"/>
          <w:rtl w:val="true"/>
          <w:lang w:bidi="fa-IR"/>
        </w:rPr>
        <w:t>باعث انزال باشد و انزال واقع شود و اگرچه قصد انزال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ملاعبه کند به نحوی که موافق معتاد باعث انزال نباشد</w:t>
      </w:r>
      <w:r>
        <w:rPr>
          <w:rStyle w:val="FootnoteAnchor"/>
          <w:rtl w:val="true"/>
        </w:rPr>
        <w:footnoteReference w:id="638"/>
      </w:r>
      <w:r>
        <w:rPr>
          <w:rFonts w:ascii="IRNazanin" w:hAnsi="IRNazanin" w:eastAsia="IRNazanin"/>
          <w:color w:val="111111"/>
          <w:sz w:val="28"/>
          <w:sz w:val="28"/>
          <w:szCs w:val="28"/>
          <w:rtl w:val="true"/>
          <w:lang w:bidi="fa-IR"/>
        </w:rPr>
        <w:t>و قصد انزال نداشته باشد، لیکن برخلاف معتاد انزال واقع شود، کفّاره بر او واجب نیست، و احوط آن است که قضا کند آن روز را؛ و کفاره افطار به حلال بنابر مشهور میان علما آن است که</w:t>
      </w:r>
      <w:r>
        <w:rPr>
          <w:rStyle w:val="FootnoteAnchor"/>
          <w:rtl w:val="true"/>
        </w:rPr>
        <w:footnoteReference w:id="639"/>
      </w:r>
      <w:r>
        <w:rPr>
          <w:rFonts w:ascii="IRNazanin" w:hAnsi="IRNazanin" w:eastAsia="IRNazanin"/>
          <w:color w:val="111111"/>
          <w:sz w:val="28"/>
          <w:sz w:val="28"/>
          <w:szCs w:val="28"/>
          <w:rtl w:val="true"/>
          <w:lang w:bidi="fa-IR"/>
        </w:rPr>
        <w:t>یا بنده آزاد کند یا دو ماه پی در پی روزه بدارد یا شصت مسکین را طعام دهد و آن شخص مختار است هریک از این سه چیز را که اختیار نماید، به عمل آورد مجزی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بعضی از علماء</w:t>
      </w:r>
      <w:r>
        <w:rPr>
          <w:rStyle w:val="FootnoteAnchor"/>
          <w:rtl w:val="true"/>
        </w:rPr>
        <w:footnoteReference w:id="641"/>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را بنده آزاد کردن مقدور باشد، واجب است که</w:t>
      </w:r>
      <w:r>
        <w:rPr>
          <w:rStyle w:val="FootnoteAnchor"/>
          <w:rtl w:val="true"/>
        </w:rPr>
        <w:footnoteReference w:id="642"/>
      </w:r>
      <w:r>
        <w:rPr>
          <w:rFonts w:ascii="IRNazanin" w:hAnsi="IRNazanin" w:eastAsia="IRNazanin"/>
          <w:color w:val="111111"/>
          <w:sz w:val="28"/>
          <w:sz w:val="28"/>
          <w:szCs w:val="28"/>
          <w:rtl w:val="true"/>
          <w:lang w:bidi="fa-IR"/>
        </w:rPr>
        <w:t xml:space="preserve">بنده آزاد کند و مجزی نیست او را دو ماه پی در پی روزه داشتن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مسکین طعام دادن؛ و اگر او را آزاد کردن بنده مقدور نباشد ـ یعنی بنده نداشته باشد یا داشته باشد، لیکن اگر</w:t>
      </w:r>
      <w:r>
        <w:rPr>
          <w:rStyle w:val="FootnoteAnchor"/>
          <w:rtl w:val="true"/>
        </w:rPr>
        <w:footnoteReference w:id="643"/>
      </w:r>
      <w:r>
        <w:rPr>
          <w:rFonts w:ascii="IRNazanin" w:hAnsi="IRNazanin" w:eastAsia="IRNazanin"/>
          <w:color w:val="111111"/>
          <w:sz w:val="28"/>
          <w:sz w:val="28"/>
          <w:szCs w:val="28"/>
          <w:rtl w:val="true"/>
          <w:lang w:bidi="fa-IR"/>
        </w:rPr>
        <w:t>او را آزاد کند، کارهای ضرور او که بدون آنها بر آن شخص زیستن دشوار است معطل شود و مالی نیز نداشته باشد که زاید بر معاش گذار او</w:t>
      </w:r>
      <w:r>
        <w:rPr>
          <w:rStyle w:val="FootnoteAnchor"/>
          <w:rtl w:val="true"/>
        </w:rPr>
        <w:footnoteReference w:id="644"/>
      </w:r>
      <w:r>
        <w:rPr>
          <w:rFonts w:ascii="IRNazanin" w:hAnsi="IRNazanin" w:eastAsia="IRNazanin"/>
          <w:color w:val="111111"/>
          <w:sz w:val="28"/>
          <w:sz w:val="28"/>
          <w:szCs w:val="28"/>
          <w:rtl w:val="true"/>
          <w:lang w:bidi="fa-IR"/>
        </w:rPr>
        <w:t>و واجب النفقه او باشد و راهی به تحصیل مالی که به قیمت بنده وفا کند و زاید بر معاش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 او باشد نیز نداشته باشد ـ در این صورت بر او واجب است که دو ماه پی در پی روزه بدارد و مجزی نیست او را شصت مسکین طعام دادن</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اگر قادر بر دو ماه پی در پی روزه داشتن نیز نباشد ـ مثل آنکه پیر باشد به حدی که نتواند روزه داشت یا مرضی داشته باشد که مانع از روزه داشتن باشد و گمان چاق شدن از آن مرض</w:t>
      </w:r>
      <w:r>
        <w:rPr>
          <w:rStyle w:val="FootnoteAnchor"/>
          <w:rtl w:val="true"/>
        </w:rPr>
        <w:footnoteReference w:id="646"/>
      </w:r>
      <w:r>
        <w:rPr>
          <w:rFonts w:ascii="IRNazanin" w:hAnsi="IRNazanin" w:eastAsia="IRNazanin"/>
          <w:color w:val="111111"/>
          <w:sz w:val="28"/>
          <w:sz w:val="28"/>
          <w:szCs w:val="28"/>
          <w:rtl w:val="true"/>
          <w:lang w:bidi="fa-IR"/>
        </w:rPr>
        <w:t>نداشته باشد ـ در این صورت واجب است بر او شصت مسکین طعام دادن، و دلیل</w:t>
      </w:r>
      <w:r>
        <w:rPr>
          <w:rStyle w:val="FootnoteAnchor"/>
          <w:rtl w:val="true"/>
        </w:rPr>
        <w:footnoteReference w:id="647"/>
      </w:r>
      <w:r>
        <w:rPr>
          <w:rFonts w:ascii="IRNazanin" w:hAnsi="IRNazanin" w:eastAsia="IRNazanin"/>
          <w:color w:val="111111"/>
          <w:sz w:val="28"/>
          <w:sz w:val="28"/>
          <w:szCs w:val="28"/>
          <w:rtl w:val="true"/>
          <w:lang w:bidi="fa-IR"/>
        </w:rPr>
        <w:t>قول دویم اگرچه ضعیف است، لیکن رعایت آن به احتیاط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شخصی در یک روز</w:t>
      </w:r>
      <w:r>
        <w:rPr>
          <w:rStyle w:val="FootnoteAnchor"/>
          <w:rtl w:val="true"/>
        </w:rPr>
        <w:footnoteReference w:id="648"/>
      </w:r>
      <w:r>
        <w:rPr>
          <w:rFonts w:ascii="IRNazanin" w:hAnsi="IRNazanin" w:eastAsia="IRNazanin"/>
          <w:color w:val="111111"/>
          <w:sz w:val="28"/>
          <w:sz w:val="28"/>
          <w:szCs w:val="28"/>
          <w:rtl w:val="true"/>
          <w:lang w:bidi="fa-IR"/>
        </w:rPr>
        <w:t>دو مرتبه</w:t>
      </w:r>
      <w:r>
        <w:rPr>
          <w:rStyle w:val="FootnoteAnchor"/>
          <w:rtl w:val="true"/>
        </w:rPr>
        <w:footnoteReference w:id="649"/>
      </w:r>
      <w:r>
        <w:rPr>
          <w:rFonts w:ascii="IRNazanin" w:hAnsi="IRNazanin" w:eastAsia="IRNazanin"/>
          <w:color w:val="111111"/>
          <w:sz w:val="28"/>
          <w:sz w:val="28"/>
          <w:szCs w:val="28"/>
          <w:rtl w:val="true"/>
          <w:lang w:bidi="fa-IR"/>
        </w:rPr>
        <w:t>یا زیاده افطار به حلال</w:t>
      </w:r>
      <w:r>
        <w:rPr>
          <w:rStyle w:val="FootnoteAnchor"/>
          <w:rtl w:val="true"/>
        </w:rPr>
        <w:footnoteReference w:id="650"/>
      </w:r>
      <w:r>
        <w:rPr>
          <w:rFonts w:ascii="IRNazanin" w:hAnsi="IRNazanin" w:eastAsia="IRNazanin"/>
          <w:color w:val="111111"/>
          <w:sz w:val="28"/>
          <w:sz w:val="28"/>
          <w:szCs w:val="28"/>
          <w:rtl w:val="true"/>
          <w:lang w:bidi="fa-IR"/>
        </w:rPr>
        <w:t>نماید، قضای آن روز بر او مکرر واجب نیست</w:t>
      </w:r>
      <w:r>
        <w:rPr>
          <w:rStyle w:val="FootnoteAnchor"/>
          <w:rtl w:val="true"/>
        </w:rPr>
        <w:footnoteReference w:id="651"/>
      </w:r>
      <w:r>
        <w:rPr>
          <w:rFonts w:ascii="IRNazanin" w:hAnsi="IRNazanin" w:eastAsia="IRNazanin"/>
          <w:color w:val="111111"/>
          <w:sz w:val="28"/>
          <w:sz w:val="28"/>
          <w:szCs w:val="28"/>
          <w:rtl w:val="true"/>
          <w:lang w:bidi="fa-IR"/>
        </w:rPr>
        <w:t>و در مکرر شدن کفاره علماء خلاف نموده‌اند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جمعی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مکرر نمی‌شود و به یک کفّاره اکتفا می‌نماید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خصوص جماع در یک روز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مکرّر واقع شود کفّاره نیز واجب است که مکرر 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منافی روزه از چند جنس باشد، مثل چیز خوردن و جماع کردن، کفاره مکرر می‌شود</w:t>
      </w:r>
      <w:r>
        <w:rPr>
          <w:rStyle w:val="FootnoteAnchor"/>
          <w:rtl w:val="true"/>
        </w:rPr>
        <w:footnoteReference w:id="655"/>
      </w:r>
      <w:r>
        <w:rPr>
          <w:rFonts w:ascii="IRNazanin" w:hAnsi="IRNazanin" w:eastAsia="IRNazanin"/>
          <w:color w:val="111111"/>
          <w:sz w:val="28"/>
          <w:sz w:val="28"/>
          <w:szCs w:val="28"/>
          <w:rtl w:val="true"/>
          <w:lang w:bidi="fa-IR"/>
        </w:rPr>
        <w:t>و اگر از یک جنس باشد، مثل جماع کردن، هرگاه مکرر شود،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خوردن و آشامیدن، و آشامیدن</w:t>
      </w:r>
      <w:r>
        <w:rPr>
          <w:rStyle w:val="FootnoteAnchor"/>
          <w:rtl w:val="true"/>
        </w:rPr>
        <w:footnoteReference w:id="656"/>
      </w:r>
      <w:r>
        <w:rPr>
          <w:rFonts w:ascii="IRNazanin" w:hAnsi="IRNazanin" w:eastAsia="IRNazanin"/>
          <w:color w:val="111111"/>
          <w:sz w:val="28"/>
          <w:sz w:val="28"/>
          <w:szCs w:val="28"/>
          <w:rtl w:val="true"/>
          <w:lang w:bidi="fa-IR"/>
        </w:rPr>
        <w:t>بدون خوردن و جماع کردن، کفاره مکرر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منافی روزه را به عمل آورده و کفّاره آن را داده و بعد از کفاره دادن در همان روز بار دویم منافی روزه را به عمل آورده باشد، کفاره مکرر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دادن در میان واقع نشده باشد، مکرر نمی‌شود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از کلام بعضی ظاهر می‌شود که به عددی که منافی روزه از کسی به عمل آید</w:t>
      </w:r>
      <w:r>
        <w:rPr>
          <w:rStyle w:val="FootnoteAnchor"/>
          <w:rtl w:val="true"/>
        </w:rPr>
        <w:footnoteReference w:id="659"/>
      </w:r>
      <w:r>
        <w:rPr>
          <w:rFonts w:ascii="IRNazanin" w:hAnsi="IRNazanin" w:eastAsia="IRNazanin"/>
          <w:color w:val="111111"/>
          <w:sz w:val="28"/>
          <w:sz w:val="28"/>
          <w:szCs w:val="28"/>
          <w:rtl w:val="true"/>
          <w:lang w:bidi="fa-IR"/>
        </w:rPr>
        <w:t>، کفّاره مکرر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هر دفعه که در خوردن و آشامیدن چیزی را</w:t>
      </w:r>
      <w:r>
        <w:rPr>
          <w:rStyle w:val="FootnoteAnchor"/>
          <w:rtl w:val="true"/>
        </w:rPr>
        <w:footnoteReference w:id="660"/>
      </w:r>
      <w:r>
        <w:rPr>
          <w:rFonts w:ascii="IRNazanin" w:hAnsi="IRNazanin" w:eastAsia="IRNazanin"/>
          <w:color w:val="111111"/>
          <w:sz w:val="28"/>
          <w:sz w:val="28"/>
          <w:szCs w:val="28"/>
          <w:rtl w:val="true"/>
          <w:lang w:bidi="fa-IR"/>
        </w:rPr>
        <w:t>فرو برده باشد، کفّاره مکرّر می‌شود و در جماع هر دفعه که بعد از اخراج، ادخال کرده باشد، کفاره مکرّر می‌شود؛ اگرچه در یک جماع باشد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و ابن حمزة بعدم التکرر مطلقا و استشبه المحقق و جمع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الشیخ أخیرا عن بعض الأصحاب من تکررها بتکرر الموجب مطلقا و اختاره المحقق الثانی و مال إلی تصحیحه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من قول ابن الجنید و هو التکرر مع تخلل التکفیر و عدم التکرر إن لم یتخلل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السید بتکررها مع تکرر الوطئ دون غیره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 رحمه‌الله بالتکرر مع تکرر الوطئ أو تغایر الجنس أو تخلل التکفیر و عدم التکرر فی غیر الوطئ مع اتحاد الجنس و عدم تخلل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العلاّمة فی بعض کتبه بالتکرر مع اختلاف جنس المفطر و الاتحاد مع اتحاده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المختلف بالتکرر مع تغایر الجنس مطلقا و مع اتحاده و تخلل التکفیر و عدم التکرر مع اتحاده و عدم التخلل؛ و لعل الأظهر بحسب الدلیل قول الشیخ رحمه‌الله للأصل و عدم وجدان ما یوجب الخروج عن حکمه لأنّ أکثر الأخبار الواردة فی باب الکفارة کما تقدم ذکرها، تدل علی أ نّها لتکفیر إفطار یوم من الشهر و جزاء إفساده و هتک حرمته و ذلک الأمر لا یتکرر إلا بتکرر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دلیل، قول اوّل قوی‌تر است، لیکن قول اخیر به احتیاط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زوجه دائمیّه یا متعه خود را جبر کند بر جماع و هر دو روزه‌دار باشند در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مبارک رمضان، پس مشهور میان علما آن است که بر مرد دو کفاره واجب می‌شود،</w:t>
      </w:r>
      <w:r>
        <w:rPr>
          <w:rStyle w:val="FootnoteAnchor"/>
          <w:rtl w:val="true"/>
        </w:rPr>
        <w:footnoteReference w:id="662"/>
      </w:r>
      <w:r>
        <w:rPr>
          <w:rFonts w:ascii="IRNazanin" w:hAnsi="IRNazanin" w:eastAsia="IRNazanin"/>
          <w:color w:val="111111"/>
          <w:sz w:val="28"/>
          <w:sz w:val="28"/>
          <w:szCs w:val="28"/>
          <w:rtl w:val="true"/>
          <w:lang w:bidi="fa-IR"/>
        </w:rPr>
        <w:t>یکی به جهت افطار کردن خود؛ و دیگری به جهت جبر نمودن زن بر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واجب است قضا کردن روزه؛ و ظاهر آن است که بر زن قضا واجب نیست و اگر قضا کند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Style w:val="FootnoteAnchor"/>
          <w:rtl w:val="true"/>
        </w:rPr>
        <w:footnoteReference w:id="663"/>
      </w:r>
      <w:r>
        <w:rPr>
          <w:rFonts w:ascii="IRNazanin" w:hAnsi="IRNazanin" w:eastAsia="IRNazanin"/>
          <w:color w:val="111111"/>
          <w:sz w:val="28"/>
          <w:sz w:val="28"/>
          <w:szCs w:val="28"/>
          <w:rtl w:val="true"/>
          <w:lang w:bidi="fa-IR"/>
        </w:rPr>
        <w:t xml:space="preserve">عمدا افطار به حلال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قادر بر بنده آزاد کردن و دو ماه روزه داشتن و شصت مسکین طعام دادن نباشد، بعضی از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هجده روز روزه داشتن و اگر قادر بر آن نیز نباشد، استغفار کند که استغفار، کفاره اوست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کند بر مساکین به قدری که او را مقدور باشد</w:t>
      </w:r>
      <w:r>
        <w:rPr>
          <w:rStyle w:val="FootnoteAnchor"/>
          <w:rtl w:val="true"/>
        </w:rPr>
        <w:footnoteReference w:id="665"/>
      </w:r>
      <w:r>
        <w:rPr>
          <w:rFonts w:ascii="IRNazanin" w:hAnsi="IRNazanin" w:eastAsia="IRNazanin"/>
          <w:color w:val="111111"/>
          <w:sz w:val="28"/>
          <w:sz w:val="28"/>
          <w:szCs w:val="28"/>
          <w:rtl w:val="true"/>
          <w:lang w:bidi="fa-IR"/>
        </w:rPr>
        <w:t>و قول دویم به حسب دلیل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روزه است و داند که این کار را باید که ترک کند و از روی قصد افطار کند به چیزی که قطع نظر از روزه بر او حرام باشد، مثل جماع کردن با زنی که حلال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قضا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جمع نیز بر او واجب است، یعنی باید که بنده آزاد کند و دو ماه پی در پی روزه بدارد و شصت مسکین را طعام دهد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سه کفاره بر او واجب است، و</w:t>
      </w:r>
      <w:r>
        <w:rPr>
          <w:rStyle w:val="FootnoteAnchor"/>
          <w:rtl w:val="true"/>
        </w:rPr>
        <w:footnoteReference w:id="667"/>
      </w:r>
      <w:r>
        <w:rPr>
          <w:rFonts w:ascii="IRNazanin" w:hAnsi="IRNazanin" w:eastAsia="IRNazanin"/>
          <w:color w:val="111111"/>
          <w:sz w:val="28"/>
          <w:sz w:val="28"/>
          <w:szCs w:val="28"/>
          <w:rtl w:val="true"/>
          <w:lang w:bidi="fa-IR"/>
        </w:rPr>
        <w:t>جمع بر او واجب نیست</w:t>
      </w:r>
      <w:r>
        <w:rPr>
          <w:rStyle w:val="FootnoteAnchor"/>
          <w:rtl w:val="true"/>
        </w:rPr>
        <w:footnoteReference w:id="668"/>
      </w:r>
      <w:r>
        <w:rPr>
          <w:rFonts w:ascii="IRNazanin" w:hAnsi="IRNazanin" w:eastAsia="IRNazanin"/>
          <w:color w:val="111111"/>
          <w:sz w:val="28"/>
          <w:sz w:val="28"/>
          <w:szCs w:val="28"/>
          <w:rtl w:val="true"/>
          <w:lang w:bidi="fa-IR"/>
        </w:rPr>
        <w:t>و قول اول اقوی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زنی را بر زنا جبر کند در روز ماه مبارک رمضان و هر دو روزه دار باشند، بر آن مرد واجب است</w:t>
      </w:r>
      <w:r>
        <w:rPr>
          <w:rStyle w:val="FootnoteAnchor"/>
          <w:rtl w:val="true"/>
        </w:rPr>
        <w:footnoteReference w:id="669"/>
      </w:r>
      <w:r>
        <w:rPr>
          <w:rFonts w:ascii="IRNazanin" w:hAnsi="IRNazanin" w:eastAsia="IRNazanin"/>
          <w:color w:val="111111"/>
          <w:sz w:val="28"/>
          <w:sz w:val="28"/>
          <w:szCs w:val="28"/>
          <w:rtl w:val="true"/>
          <w:lang w:bidi="fa-IR"/>
        </w:rPr>
        <w:t>قضا و کفاره جمع به جهت آنکه روزه خود را به حرام باطل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 واجب است سه کفاره دیگر به جهت آنکه زن را جبر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 بر زنا و بسیاری از علما کفاره را به جهت جبر کردن بر مرد واجب ندانسته‌اند</w:t>
      </w:r>
      <w:r>
        <w:rPr>
          <w:rStyle w:val="FootnoteAnchor"/>
          <w:rtl w:val="true"/>
        </w:rPr>
        <w:footnoteReference w:id="670"/>
      </w:r>
      <w:r>
        <w:rPr>
          <w:rFonts w:ascii="IRNazanin" w:hAnsi="IRNazanin" w:eastAsia="IRNazanin"/>
          <w:color w:val="111111"/>
          <w:sz w:val="28"/>
          <w:sz w:val="28"/>
          <w:szCs w:val="28"/>
          <w:rtl w:val="true"/>
          <w:lang w:bidi="fa-IR"/>
        </w:rPr>
        <w:t>و واجب نبودن کفاره دیگر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یعلم و الحمد للّه تعالی أولا و آخرا و صلی اللّه علی محمد و أهل بیته الطاهرین</w:t>
      </w:r>
      <w:r>
        <w:rPr>
          <w:rStyle w:val="FootnoteAnchor"/>
          <w:rtl w:val="true"/>
        </w:rPr>
        <w:footnoteReference w:id="67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49" w:name="pg17288_199610"/>
    </w:p>
    <w:p>
      <w:pPr>
        <w:pStyle w:val="Heading4"/>
        <w:numPr>
          <w:ilvl w:val="3"/>
          <w:numId w:val="1"/>
        </w:numPr>
        <w:rPr/>
      </w:pPr>
      <w:bookmarkStart w:id="250" w:name="__RefHeading___Toc4413670_3224264995"/>
      <w:bookmarkStart w:id="251" w:name="_Toc96"/>
      <w:bookmarkEnd w:id="249"/>
      <w:bookmarkEnd w:id="250"/>
      <w:r>
        <w:rPr>
          <w:rtl w:val="true"/>
        </w:rPr>
        <w:t>منابع تحقیق</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فارسی حسون،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شریف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الفوائد، فخر المحققین حلی، تحقیق، سید حسین موسوی کرمانی، شیخ علی پناه اشتهاردی، شیخ عبدالرحیم بروجردی،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المتعلمین،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شیخ هادی یوسفی، چاپ اول، انتشارات 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الأحکام،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بهادری،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علیه‌السلام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علامه حلی، منشورات مکتبه مرتضویه،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الخلاف و خلاصة الاختلاف، صیمری،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الرائع لمختصر الشرائع، مقداد سیوری،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اللطیف حسینی کوه‌کمری،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الخلاف و الوفاق، علی بن محمد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حسینی بیرجندی، چاپ اول، انتشارات زمینه‌سازان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محقق کرکی،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للشرایع، یحیی بن سعید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اشراف جعفر سبحانی،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سید الشهدا،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الفقه، قاضی ابن براج،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شیخ محمد حسن 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قوچانی،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محقق بحرانی،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الایجاز،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زمانی‌نژاد،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ابن طی الفقعانی،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برکت،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امام عصر، شیراز،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شهید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المعاد، محقق سبزواری،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التسع، محقق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العشر،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شهید ثانی،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فتال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سید حسن خرسان، نشر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ابن ادریس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شرایع الاسلام، محقق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شیرازی، چاپ دوم، انتشارات استقلال،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اللمعة، شهید ثانی، منشورات جامعة النجف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 ابن سابور زیات،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غنیة النزوع، ابن زهره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بهادری تحت اشراف جعفر سبحانی،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علی بن بابویه،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ابوالصلاح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امام امیرالمؤمنین علیه‌السلام ،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الرموز، فاضل آبی،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پناه اشتهاردی و حاج آقا حسین 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 فاضل 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الاحکام، محقق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واعظی اراکی،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شهید اول، چاپ اول، منشورات 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مرتضویه،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محقق اردبیلی،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عراقی و شیخ علی پناه اشتهاردی و آغا حسین یزدی اصفهانی،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النافع، محقق حلی،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الأحکام، سیدمحمد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علی بن جعفر، علی بن جعفر،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علیه‌السلام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الإمام الرضا علیه‌السلام ،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میرزای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الشموس، محقق خوانساری،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علیه‌السلام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مؤسسه امام هادی علیه‌السلام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مجتبی عراقی، نشر 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قاضی بن براج،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الناصریات، شریف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البحوث و الدراسات العلمیة،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ثقافه و علاقات اسلامیه،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فی الجمع بین الاشباه و النظائر،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نورالدین واعظی، چاپخانه آداب،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شیخ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الوسیلة، ابن حمزه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حسون،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السنین و الاعوام، سید عبدالحسین حسینی خاتون‌آبادی،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252" w:name="pg17288_199616"/>
    </w:p>
    <w:p>
      <w:pPr>
        <w:pStyle w:val="Heading2"/>
        <w:numPr>
          <w:ilvl w:val="1"/>
          <w:numId w:val="1"/>
        </w:numPr>
        <w:rPr/>
      </w:pPr>
      <w:bookmarkStart w:id="253" w:name="__RefHeading___Toc4413672_3224264995"/>
      <w:bookmarkStart w:id="254" w:name="_Toc97"/>
      <w:bookmarkEnd w:id="252"/>
      <w:bookmarkEnd w:id="253"/>
      <w:r>
        <w:rPr>
          <w:rtl w:val="true"/>
        </w:rPr>
        <w:t>مباحث اعتقادیه</w:t>
      </w:r>
      <w:bookmarkEnd w:id="254"/>
    </w:p>
    <w:p>
      <w:pPr>
        <w:pStyle w:val="Heading3"/>
        <w:numPr>
          <w:ilvl w:val="2"/>
          <w:numId w:val="1"/>
        </w:numPr>
        <w:rPr/>
      </w:pPr>
      <w:bookmarkStart w:id="255" w:name="__RefHeading___Toc4413674_3224264995"/>
      <w:bookmarkStart w:id="256" w:name="_Toc98"/>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نوری قدس‌سره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مسعود خداوردی</w:t>
      </w:r>
    </w:p>
    <w:p>
      <w:pPr>
        <w:pStyle w:val="Heading3"/>
        <w:numPr>
          <w:ilvl w:val="2"/>
          <w:numId w:val="1"/>
        </w:numPr>
        <w:rPr/>
      </w:pPr>
      <w:bookmarkStart w:id="257" w:name="__RefHeading___Toc4413676_3224264995"/>
      <w:bookmarkStart w:id="258" w:name="_Toc99"/>
      <w:bookmarkEnd w:id="257"/>
      <w:r>
        <w:rPr>
          <w:rtl w:val="true"/>
        </w:rPr>
        <w:t>مقدّمه محقق</w:t>
      </w:r>
      <w:bookmarkEnd w:id="2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لواهب العقل و الحکمة و الصلاة علی محمّد و آله الأئمّة و اللعنة علی أعدائهم الأذلّة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و تردید یکی از اثر گذارترین رجالِ علمیِ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حکیم و عارف سترگ، آخوند ملاّ علی نوری رحمه‌الله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به عدم توجه مناسب به مقام این حکیم عالی مقدار، امروزه موقعیت و منزلت ایشان بر کمتر کسی از اصحاب علم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شاگردانی که هر یک از صاحب نظران فنّ معقول هستند، در کنار تألیفات و تعلیقات متعددِ وی، نشان دهنده جایگاه رفیع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مباحث، موضوع مهم‌تر شناخت طرز تفکّر او، پیوند نا گسستنی آثارش با معارف والای اهل بیت علیهم‌السلام ، و استغراق او در عشق ورزی به حضرات معصومین علیهم‌السلام می‌باشد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احوال این حکیم بزرگ در کتب تراجم و سایر کتب مجملاً و مفصلاً قابل جست و جو می‌باشد، احتیاج به تطویل کلام در این باره نیست، تنها به توضیحی مختصر درباره رساله حاضر از ایشان می‌پردازم</w:t>
      </w:r>
      <w:r>
        <w:rPr>
          <w:rFonts w:eastAsia="IRNazanin" w:cs="IRNazanin"/>
          <w:color w:val="111111"/>
          <w:sz w:val="28"/>
          <w:szCs w:val="28"/>
          <w:rtl w:val="true"/>
          <w:lang w:bidi="fa-IR"/>
        </w:rPr>
        <w:t xml:space="preserve">. </w:t>
      </w:r>
      <w:bookmarkStart w:id="259" w:name="pg17288_199617"/>
    </w:p>
    <w:p>
      <w:pPr>
        <w:pStyle w:val="BookText"/>
        <w:rPr/>
      </w:pPr>
      <w:bookmarkEnd w:id="259"/>
      <w:r>
        <w:rPr>
          <w:rFonts w:ascii="IRNazanin" w:hAnsi="IRNazanin" w:eastAsia="IRNazanin"/>
          <w:color w:val="111111"/>
          <w:sz w:val="28"/>
          <w:sz w:val="28"/>
          <w:szCs w:val="28"/>
          <w:rtl w:val="true"/>
          <w:lang w:bidi="fa-IR"/>
        </w:rPr>
        <w:t>حکیم نوری قدس‌سره در این رساله با متنی عربی فارسی به بیان برخی از مهمّات مباحث اعتقادی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مختصر فاقد نام است، لکن با توجه به موضوعات مطرح شده در متنش به نظر رسید،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به نظر می‌رسد این مباحث مطالب متفرقّه‌ای است که جمع آوری شده، اما با نظر دقیق می‌توان گفت مجموعه حاضر با همین کیفیت توسّط مصنّف نگاشته شده است، و با هم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بیش از این و تحلیل مباحث مطرح شده در رساله موجب خروج از مقصود می‌شود، لکن مخفی نماند که بسیاری از مطالب مطرح شده در رساله همانند دیگر آثار او، در جهتِ شناختِ تفکّرِ حکمی عرفانی شیعی، بدیع و حائز اهمیت است</w:t>
      </w:r>
      <w:r>
        <w:rPr>
          <w:rFonts w:eastAsia="IRNazanin" w:cs="IRNazanin"/>
          <w:color w:val="111111"/>
          <w:sz w:val="28"/>
          <w:szCs w:val="28"/>
          <w:rtl w:val="true"/>
          <w:lang w:bidi="fa-IR"/>
        </w:rPr>
        <w:t>.</w:t>
      </w:r>
    </w:p>
    <w:p>
      <w:pPr>
        <w:pStyle w:val="Heading3"/>
        <w:numPr>
          <w:ilvl w:val="2"/>
          <w:numId w:val="1"/>
        </w:numPr>
        <w:rPr/>
      </w:pPr>
      <w:bookmarkStart w:id="260" w:name="__RefHeading___Toc4413678_3224264995"/>
      <w:bookmarkStart w:id="261" w:name="_Toc100"/>
      <w:bookmarkEnd w:id="260"/>
      <w:r>
        <w:rPr>
          <w:rtl w:val="true"/>
        </w:rPr>
        <w:t>معرفی نسخه و روش تصحیح و تحقیق</w:t>
      </w:r>
      <w:bookmarkEnd w:id="261"/>
    </w:p>
    <w:p>
      <w:pPr>
        <w:pStyle w:val="BookText"/>
        <w:rPr/>
      </w:pPr>
      <w:r>
        <w:rPr>
          <w:rFonts w:ascii="IRNazanin" w:hAnsi="IRNazanin" w:eastAsia="IRNazanin"/>
          <w:color w:val="111111"/>
          <w:sz w:val="28"/>
          <w:sz w:val="28"/>
          <w:szCs w:val="28"/>
          <w:rtl w:val="true"/>
          <w:lang w:bidi="fa-IR"/>
        </w:rPr>
        <w:t>در آخرِ مجموعه‌ای از آخوند صدر المتالّهین قدس‌سره چند برگه نوشتار، بدون نامی از مؤلّف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 و توجّه به نوعِ بیان، همچنین وجود اشعاری با تخلّص نوری، مشخّص شد از مرحوم ملاّ علی نوری قدس‌سره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شماره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نسخ مدرسه صدر بازار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سهولتِ خواندنِ کتاب، همه کلمات به رسم الخط متداول مبدّل شد، همانند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به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آیات، روایات و اشعار تا آنجا که مقدور بود استخراج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خداوند ذو المنّ خواستارم به حقّ معادن علم و حکمت، اهل بیت عصمت و طهارت علیهم‌السلام این بنده را از دُرد نوشان معارف حقّه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مسعود خداوردی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مباحث اعتقادیه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مباحث اعتقادیه </w:t>
      </w:r>
      <w:bookmarkStart w:id="262" w:name="pg17288_199620"/>
    </w:p>
    <w:p>
      <w:pPr>
        <w:pStyle w:val="Heading3"/>
        <w:numPr>
          <w:ilvl w:val="2"/>
          <w:numId w:val="1"/>
        </w:numPr>
        <w:rPr/>
      </w:pPr>
      <w:bookmarkStart w:id="263" w:name="__RefHeading___Toc4413680_3224264995"/>
      <w:bookmarkStart w:id="264" w:name="_Toc101"/>
      <w:bookmarkEnd w:id="262"/>
      <w:bookmarkEnd w:id="263"/>
      <w:r>
        <w:rPr>
          <w:rtl w:val="true"/>
        </w:rPr>
        <w:t>امّا جواب از اشکال حدیث</w:t>
      </w:r>
      <w:r>
        <w:rPr>
          <w:rtl w:val="true"/>
        </w:rPr>
        <w:t>: «</w:t>
      </w:r>
      <w:r>
        <w:rPr>
          <w:rtl w:val="true"/>
        </w:rPr>
        <w:t>خلق الموءمن من طینة الجنّة، و</w:t>
      </w:r>
      <w:r>
        <w:rPr>
          <w:rtl w:val="true"/>
        </w:rPr>
        <w:t>...</w:t>
      </w:r>
      <w:bookmarkEnd w:id="264"/>
    </w:p>
    <w:p>
      <w:pPr>
        <w:pStyle w:val="BookText"/>
        <w:rPr/>
      </w:pPr>
      <w:r>
        <w:rPr>
          <w:rFonts w:ascii="IRNazanin" w:hAnsi="IRNazanin" w:eastAsia="IRNazanin"/>
          <w:color w:val="111111"/>
          <w:sz w:val="28"/>
          <w:sz w:val="28"/>
          <w:szCs w:val="28"/>
          <w:rtl w:val="true"/>
          <w:lang w:bidi="fa-IR"/>
        </w:rPr>
        <w:t>خلق الکافر من طینة النار</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پس بباید دانست که طینت جنّت، طاعت است، و طینت نار، معصیت است،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عقده‌های لا ینحلّ احادیث طینت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p>
    <w:p>
      <w:pPr>
        <w:pStyle w:val="Heading3"/>
        <w:numPr>
          <w:ilvl w:val="2"/>
          <w:numId w:val="1"/>
        </w:numPr>
        <w:rPr/>
      </w:pPr>
      <w:bookmarkStart w:id="265" w:name="__RefHeading___Toc4413682_3224264995"/>
      <w:bookmarkStart w:id="266" w:name="_Toc102"/>
      <w:bookmarkEnd w:id="265"/>
      <w:r>
        <w:rPr>
          <w:rtl w:val="true"/>
        </w:rPr>
        <w:t>سرّ لزوم عصمة الأنبیاء و أوصیائهم</w:t>
      </w:r>
      <w:r>
        <w:rPr>
          <w:rtl w:val="true"/>
        </w:rPr>
        <w:t>...</w:t>
      </w:r>
      <w:bookmarkEnd w:id="266"/>
    </w:p>
    <w:p>
      <w:pPr>
        <w:pStyle w:val="BookText"/>
        <w:rPr/>
      </w:pPr>
      <w:r>
        <w:rPr>
          <w:rFonts w:ascii="Amiri" w:hAnsi="Amiri" w:eastAsia="Amiri" w:cs="Amiri"/>
          <w:color w:val="111111"/>
          <w:sz w:val="28"/>
          <w:sz w:val="28"/>
          <w:szCs w:val="28"/>
          <w:rtl w:val="true"/>
          <w:lang w:bidi="ar-SA"/>
        </w:rPr>
        <w:t>عملاً و حالاً و علماً</w:t>
      </w:r>
    </w:p>
    <w:p>
      <w:pPr>
        <w:pStyle w:val="BookText"/>
        <w:rPr/>
      </w:pPr>
      <w:r>
        <w:rPr>
          <w:rFonts w:ascii="IRNazanin" w:hAnsi="IRNazanin" w:eastAsia="IRNazanin"/>
          <w:color w:val="111111"/>
          <w:sz w:val="28"/>
          <w:sz w:val="28"/>
          <w:szCs w:val="28"/>
          <w:rtl w:val="true"/>
          <w:lang w:bidi="fa-IR"/>
        </w:rPr>
        <w:t>پس بباید دانست که موجود به حسب أصل جوهر ذاتش یا تامّ است یا نیست؛ و مراد از تمامیت این است که در مرتبه جوهر ذاتش آنچه از کمالات که برای سنخ ذاتش ممکن است به امکان عامّ، بالفعل باشد، و کمالی از کمالاتش به هیچ وجه بالقوّة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موجود غیر تامّ آن است که آنچه از کمالاتی که برای سنخ نوعش ممکن باشد در مرتبه بدایت فطرت ذاتش کلّ آنها بالفعل نباشد، و فاقد باشد تمامیت سنخ ذاتش را در بدو فطرت، و مفتور باشد بر قوّه، و امکان وصول و رسیدنش به تمامیت ذاتش به ایصال پروردگارش او را تدریجاً به سر حدّ کمال ذاتش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موجود تامّ یا تامّ است یا فوق التمام؛ و التامّ منه هو المبدعات من المخلوقات، و هم العقول الکلّیّة الإلهیة الموجودة فی عالم الأمر بتفاوت درجاتها فی القرب و البعد من </w:t>
      </w:r>
    </w:p>
    <w:p>
      <w:pPr>
        <w:pStyle w:val="BookText"/>
        <w:rPr/>
      </w:pPr>
      <w:r>
        <w:rPr>
          <w:rFonts w:ascii="Amiri" w:hAnsi="Amiri" w:eastAsia="Amiri" w:cs="Amiri"/>
          <w:color w:val="111111"/>
          <w:sz w:val="28"/>
          <w:sz w:val="28"/>
          <w:szCs w:val="28"/>
          <w:rtl w:val="true"/>
          <w:lang w:bidi="ar-SA"/>
        </w:rPr>
        <w:t xml:space="preserve">حضرة فوق التمام تعالی الذی هو غیر متناهٍ فی قوّة الوجود و شدّة کمالات الوجود، و هو تعالی فوق ما لایتناهی فی عدّة الفعل و الإفاضة و الإیجاد و فی مدّتها بما لایتناهی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الموجود التامّ فهو متناهٍ فی قوّة الوجود و شدّته، و غیر متناهٍ عدّة و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لنرجع إلی الموجود الناقص الذی یمکن أن یستکمل وجوده و یصل إلی التمامیّة التی هی حسب شأن نوعه؛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ناقص یا مستکفی است در رسیدن به کمال نوع ذاتش به ذات خود و به علل وجود نوع ذاتش، بدون احتیاجی به اسباب خارجه از حقیقت علل ذاتش، چون احتیاج خاک مثلاً در رسیدن به کمالی که برای ذاتش ممکن است مثل انسانیت و انسان شدن، به سوی اضداد خود از نار و هوا و آب که همه اینها دست به هم داده مُعین خاک و مُعین یکدیگر نیز بشوند در رسیدن خاک مثلاً به وجود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موجود ملکی عبارت از این قسم موجود ناقص مستکفی است که در رسیدن به کمالات ممکنة الحصول برای ذات نوعش بالقوّة است، و احتیاجی به غیر ذات شخصی خود، و ربّ النوع ذاتی خود که واسطه و شفیع وجود اوست در درگاه حضرت رب الارباب تعالی اصلاً ندارد، و لهذا در فلکیات قسر و دخل و تصرّف خارجی اصلاً راه نتواند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تصرّفات معجزانه چون شقّ القمر و غیر ذلک مبنی بر سرّ تسخیر و مسخر بودن ملائکه مدبّرات سماویات و ارواح کلیه الهیه موکله بر آنها برای انسان کامل ختمی منزلت که جامع الجوامع در منصب معلای والای ولایت است می‌باشد، پس تصرّفات حضرت ولی الاولیای کلّ صلی الله علیه و آله در مطلق علویات و سماوات از بابت قسر نیست، بلکه بر طباق طباع آنهاست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غیر مستکفی است که چنانکه نموده شد محتاج به اسباب خارجه اتفاقیه در رسیدن به کمال و تمامیت خود می باشد، و این معنی، معنی موجود عنصری سفلی است که در مقابل موجود علوی فلکی است و موجودات عنصریات و ارضیات تمامی تا </w:t>
      </w:r>
    </w:p>
    <w:p>
      <w:pPr>
        <w:pStyle w:val="BookText"/>
        <w:rPr/>
      </w:pPr>
      <w:r>
        <w:rPr>
          <w:rFonts w:ascii="IRNazanin" w:hAnsi="IRNazanin" w:eastAsia="IRNazanin"/>
          <w:color w:val="111111"/>
          <w:sz w:val="28"/>
          <w:sz w:val="28"/>
          <w:szCs w:val="28"/>
          <w:rtl w:val="true"/>
          <w:lang w:bidi="fa-IR"/>
        </w:rPr>
        <w:t xml:space="preserve">حیوان حیوانی،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مستکفی در استکمال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حیوان انسانی به حسب بدو فطرت بشریت که در جمله موجودات ناقصه در کمالِ ممکن برای نوعش می‌باشد، پس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قسمی از آن به حسب بدو فطرت با خودِ صاحب نفس کلیه لاهوتیه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بأمّ الکتاب و لوح محفوظ است ـ می‌باشد، و یا به رابطه اختصاصیه تمامی به تفاوت مراتبها که به آن نفس کلیه الهیه دارد، موءیّد به آن روح کلی الهی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به روح القدس ادنی است ـ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دیگر از انسان بشری پس آن صاحبان نفوس ناطقه جزئیه قدسیه غیر مستکفی می‌باشد در رسیدن به کمالات نوع انسانی به تفاوت درجات کمالات انسانیت، و در سیر و سلوک به قرب حضرت ربّ العزّة محتاج و مضطرّ به هدایت و ارشاد انسان مستکفی در بدو فطرت چون نبیّ و ولیّ وصیّ نبیّ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مستکفی بودنِ قسمی از انسان بشری در سیر و سلوک الی الله تعالی بر صراط توحید و استقامت، سرّ عصمت اوست علماً و حالاً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مستکفی بودنِ آن قسم دیگر علت احتیاج و اضطرار اوست در طریق هدی و اهتداء به اقتدای به مستکفی که معصوم است به حسب فطرت از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ارض هرگز خالی از حجت خدا ـ که وجود انسان مستکفی است، و نبیّ یا وصیّ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نمی‌تواند بود؛ چه غیر مستکفی از عباد اللّه مضطرّ به وجود مستکفی در سیر به قرب حضرت 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فائض الجودِ مستکفی انسانی که صاحب نفس کلیه الهیه لاهوتیه و عین اللّه الناظرة، و ید اللّه الباسطة، و عیبت علم خدا، و خازن خزائن حضرت حقّ تعالی، و باب الابواب، و مفتاح المفاتیح خزائن فیوضات و فتوحات و برکات و خیرات نامتناهی حضرت الهی در بین جمیع خلائق از سماویات روحانیات و ارضیات جسمانیات است، واسطه و شفیع وجود کلّ است از ملائکه مقرّبین و سائر انبیاء و اولیاء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ملائکه مدبّرات سماویه و ارضیه تمامی مستظهر به توجه و التفات و شفاعت و وساطت آن جناب می‌باشد، و آن جناب غایت و مقصود از ایجاد کلّ است، </w:t>
      </w:r>
    </w:p>
    <w:p>
      <w:pPr>
        <w:pStyle w:val="BookText"/>
        <w:rPr/>
      </w:pPr>
      <w:r>
        <w:rPr>
          <w:rFonts w:ascii="IRNazanin" w:hAnsi="IRNazanin" w:eastAsia="IRNazanin"/>
          <w:color w:val="111111"/>
          <w:sz w:val="28"/>
          <w:sz w:val="28"/>
          <w:szCs w:val="28"/>
          <w:rtl w:val="true"/>
          <w:lang w:bidi="fa-IR"/>
        </w:rPr>
        <w:t>و در ولایت و نبوت ختم است، و کلیه انبیا و امم و اولیاء و اوصیاء از آدم تا عیسی بن مریم تمامی مجالی و مظاهر استکمالات و استتمامات او می‌باشد، و عبادت او جامع جوامع عبادات، و مجمع مجامع جمله طاعات و تقرّبات می‌باشد، چون ختم در ولایت و نبوت، و عبادت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در عبدیت و عبودیت شد، و ختم در عبودیت و بندگی لازم دارد ختم در عصمت و معصوم بودن را، که سایر معصومین علیهم‌السلام از انبیا و اولیا چه از ملائکه مقرّبین و مدبّرین،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عصمت او می‌باشند، و </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الانبیا و امام الائمه در اشیا است، و این منزلت والا منزلت محمّدیّت بیضاء، و علویّت علیاست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ختم در عبودیت می‌باشد باید معصوم از کلیه لغزشها، و منزّه از جلیه و خفیه شرک‌ها، مبرّا از جمله منقصتهای در عبودیت و بندگی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نمط از سخن این است که حکمتِ عصمت منحصر نیست به این که چون رسول و امام از جانب حق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رسانیدنِ احکام الهی، و در هدایت و رهنمایی، باید معصوم از لغزشهای صوری و معنوی، و جلیّ و خفیّ بوده باشد، بلکه عصمت وانگهی کمال عصمت معتبر در قوام ختم در عبودیت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عبودیت که به فقر و حاجت به ذات یگانه بی همتا مسمّی است، مرتبه والای ولایت است که در رتبه ذات و شرف، مقدّم بر مرتبه علیای نبوت و رسالت است،</w:t>
      </w:r>
      <w:r>
        <w:rPr>
          <w:rStyle w:val="FootnoteAnchor"/>
          <w:rtl w:val="true"/>
        </w:rPr>
        <w:footnoteReference w:id="676"/>
      </w:r>
      <w:r>
        <w:rPr>
          <w:rFonts w:ascii="IRNazanin" w:hAnsi="IRNazanin" w:eastAsia="IRNazanin"/>
          <w:color w:val="111111"/>
          <w:sz w:val="28"/>
          <w:sz w:val="28"/>
          <w:szCs w:val="28"/>
          <w:rtl w:val="true"/>
          <w:lang w:bidi="fa-IR"/>
        </w:rPr>
        <w:t xml:space="preserve">و مرتبه ولایت گنجینه گنج امانت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 امانت نتوانست کشید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آسمان بار امانت نتوانست کشید قرعه فال به نام من دیوانه زدند</w:t>
      </w:r>
    </w:p>
    <w:p>
      <w:pPr>
        <w:pStyle w:val="BookText"/>
        <w:rPr/>
      </w:pPr>
      <w:r>
        <w:rPr>
          <w:rFonts w:ascii="IRNazanin" w:hAnsi="IRNazanin" w:eastAsia="IRNazanin"/>
          <w:color w:val="111111"/>
          <w:sz w:val="28"/>
          <w:sz w:val="28"/>
          <w:szCs w:val="28"/>
          <w:rtl w:val="true"/>
          <w:lang w:bidi="fa-IR"/>
        </w:rPr>
        <w:t>و از اینجا ارباب کمال گفته‌اند و دُرّ تحقیق سفته‌اند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کلّیه عالم، و عالم کلّی به عصمت است، چه حقیقت حقّه عالم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عبودیت تامّه جامعه عامّه کبری خاصّه محمدیت بیضاء و آله الوارثین لکمالها </w:t>
      </w:r>
      <w:bookmarkStart w:id="267" w:name="pg17288_199624"/>
    </w:p>
    <w:p>
      <w:pPr>
        <w:pStyle w:val="BookText"/>
        <w:rPr/>
      </w:pPr>
      <w:bookmarkEnd w:id="267"/>
      <w:r>
        <w:rPr>
          <w:rFonts w:ascii="IRNazanin" w:hAnsi="IRNazanin" w:eastAsia="IRNazanin"/>
          <w:color w:val="111111"/>
          <w:sz w:val="28"/>
          <w:sz w:val="28"/>
          <w:szCs w:val="28"/>
          <w:rtl w:val="true"/>
          <w:lang w:bidi="fa-IR"/>
        </w:rPr>
        <w:t>صلّی اللّه علیها و علی آلها است؛ فهم الکلّ فی الکلّ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محصول و حاصل سخن در بیان معنی، عصمتْ مصحاح و ملاکِ تصحیح نسبتِ عبودیت است، چه نبوت و رسالت و خلافت و امامت مبعوث باشد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p>
    <w:p>
      <w:pPr>
        <w:pStyle w:val="Heading3"/>
        <w:numPr>
          <w:ilvl w:val="2"/>
          <w:numId w:val="1"/>
        </w:numPr>
        <w:rPr/>
      </w:pPr>
      <w:bookmarkStart w:id="268" w:name="__RefHeading___Toc4413684_3224264995"/>
      <w:bookmarkStart w:id="269" w:name="_Toc103"/>
      <w:bookmarkEnd w:id="268"/>
      <w:r>
        <w:rPr>
          <w:rtl w:val="true"/>
        </w:rPr>
        <w:t xml:space="preserve">جواب از منافات حدیث </w:t>
      </w:r>
      <w:r>
        <w:rPr>
          <w:rtl w:val="true"/>
        </w:rPr>
        <w:t>«</w:t>
      </w:r>
      <w:r>
        <w:rPr>
          <w:rtl w:val="true"/>
        </w:rPr>
        <w:t>الولد سرّ أبیه</w:t>
      </w:r>
      <w:r>
        <w:rPr>
          <w:rtl w:val="true"/>
        </w:rPr>
        <w:t xml:space="preserve">» </w:t>
      </w:r>
      <w:r>
        <w:rPr>
          <w:rtl w:val="true"/>
        </w:rPr>
        <w:t>با تولّد شقی از سعید، و تولد</w:t>
      </w:r>
      <w:bookmarkEnd w:id="269"/>
    </w:p>
    <w:p>
      <w:pPr>
        <w:pStyle w:val="BookText"/>
        <w:rPr/>
      </w:pP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سعید از شقی</w:t>
      </w:r>
    </w:p>
    <w:p>
      <w:pPr>
        <w:pStyle w:val="BookText"/>
        <w:rPr/>
      </w:pPr>
      <w:r>
        <w:rPr>
          <w:rFonts w:ascii="IRNazanin" w:hAnsi="IRNazanin" w:eastAsia="IRNazanin"/>
          <w:color w:val="111111"/>
          <w:sz w:val="28"/>
          <w:sz w:val="28"/>
          <w:szCs w:val="28"/>
          <w:rtl w:val="true"/>
          <w:lang w:bidi="fa-IR"/>
        </w:rPr>
        <w:t>پس سرّ این معنی هر چند بر چند گونه مصوّر و بر چند وجه متصوّر است و لیکن باید دانست که سرّ همه این وجوه و صور بر اصلی است که در نزد اصحاب دانش، و ارباب بینش به برهان قاطع محقّق، و به اخبار و آثار وارده از معادن حکمت و مخازن عصمت صلوات اللّه علیهم اجمعین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نکته به غایت دقیقِ لطیف ـ و العلم عند اهله ـ به وجهی که اغلب صاحبان درّاکه توانند بهره‌مند شد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دانست که معنی و مراد از حدیث شریف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و اختلاف مقامات محصّل و خلاصه‌اش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اگر چه صورتی است از معنی و سیرت پدر، و عنوان ظاهری است از باطن پدر، و تجسّد و تمثّل و تجسّمی است از روح و روحانیت پدر، و لیکن ولادت و تولّد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جسمانیه معروفه بین العوام و محسوسه خاصّ و عامّ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ولادت دنیویه است که معنی فارسی عام فهم آن تعلّق و دمیده شدن روح نفس ناطقه قدسیه مسمّی به قلب معنوی به بدن شخص انسانی بشری، و حدوث آن لطیفه لاهوتیه در بدن معروف همه است، که بعد از وجود این قلب معنوی که مُدرِک معانی است و صاحب قوت فکریه در انتظام امر معاش، و تمییز دادن میان خیر و شر و نفع و ضر دنیاوی است، در شخص انسانی مکلف به تکلیف شرعی می‌گردد، </w:t>
      </w:r>
    </w:p>
    <w:p>
      <w:pPr>
        <w:pStyle w:val="BookText"/>
        <w:rPr/>
      </w:pPr>
      <w:r>
        <w:rPr>
          <w:rFonts w:ascii="IRNazanin" w:hAnsi="IRNazanin" w:eastAsia="IRNazanin"/>
          <w:color w:val="111111"/>
          <w:sz w:val="28"/>
          <w:sz w:val="28"/>
          <w:szCs w:val="28"/>
          <w:rtl w:val="true"/>
          <w:lang w:bidi="fa-IR"/>
        </w:rPr>
        <w:t>و شایسته سیاسات ناموسیه الهیه در انتظام معاش و اصلاح معاد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ولادت، ولادت معنوی است که به چشم حس ظاهر و حس باطن ادراک آن را نشاید کرد، و از شارع مقدّس علامات حسیّه و نشان های محسوسه برای وقت حدوث و وجود این لطیفه ملکوتیه در شخص مقرّر شده است که در محل خودش چون علم شریف فقه معروف به علم فروع مبیّن و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ولادت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وجهی مختصّ به اهل ایمان چه عامی چه خاصی، و خاصی چه خاص چه اخصی می‌باشد، و به نظری این ولادت سیّم را ولادت ثانیه گویند به ملاحظه این که آن ولادت دنیویه بما هی دنیویه در حقیقت از ولادت جسمانیه حقیقیه خارج نیست، و از این جا حضرت عیسی روح الله تعالی و کلمته العلیا در کشف از سرّ این ولادت ثالثه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السماوات من لم یولد مرتین</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این ولادت همان ولادت و متولّد شدن لطیفه ملکوتیه لاهوتیه قلبِ معنوی است در وجود شخص انسانی که مادرش نفس حساسه امّاره به سوء است، و پدرش عقلی که به روح القدس مسمّی است، و به ربّ النوع انسانی موسومه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ترقی کردنش علماً و عملاً و در زمره ملکوتیین سماویین، چه ملکوت اصحاب یمین، چه ملکوت مقرّبین به تفاوت درجاتهما، محشور شدنش را ولادت دیگر گرفته گفته‌اند، چنانکه سخن و فرموده مذکور حضرت روح اللهی علیه‌السلام متضمن این معنی، و مبنی بر همین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منزلت این لطیفه لاهوتیه، قلب معنوی در عالم معنی از حضرت عقل کلی الهی که آدم حقیقی است، و روح القدس اعلی، و رب النوع انسانی است، منزلت ذریه حضرت آدم ابو البشر علیه‌السلام از آن حضرت در جهان صورت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منزلتش از نفس امّاره منزلت ذریه آدم علیه‌السلام از حضرت حواء علیهاالسلام است، و این لطیفه الهیه لاهوتیه اگر چه به حسب اصل جوهر فطرت از عالم جبروت، و موطنش وادی ایمن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و هبوط و سقوطش به این هاویه سفلی به علت ریختن پر و بالش به عقوبت خطای ورود به عالم غربت و محنت‌کده امتحان و ابتلاست، و لیکن به </w:t>
      </w:r>
    </w:p>
    <w:p>
      <w:pPr>
        <w:pStyle w:val="BookText"/>
        <w:rPr/>
      </w:pPr>
      <w:r>
        <w:rPr>
          <w:rFonts w:ascii="IRNazanin" w:hAnsi="IRNazanin" w:eastAsia="IRNazanin"/>
          <w:color w:val="111111"/>
          <w:sz w:val="28"/>
          <w:sz w:val="28"/>
          <w:szCs w:val="28"/>
          <w:rtl w:val="true"/>
          <w:lang w:bidi="fa-IR"/>
        </w:rPr>
        <w:t xml:space="preserve">جهت طول انس به مادر و محشور شدنش به قبیله مادری، و دور افتادنش از وادی ایمن پدری، و فرو ماندنش در هاویه ناسوت نسیان نسب ما و منی، حسب، در بیرون رفتن از چاه طبیعت، و مسافرت به صوب موطن اصلی فطرت، محتاج نزول رسل و رسائل از سماوات جهان معنی، و رسیدن دعوت از ذروه ولایت و مولویت پدری، و وزیدن نسیم جذبه عطوفت شمیم از مهبّ عنایت مرادی گردیده، خواه مخواه فتح ابواب خزائن غیب نزول وحی، بلا شک و ریب به صورت رسل و رسائل کاشف اسرار غیب از پرده اختفا و احتجاب به منصه ظهور و خطاب بلا نقص و عیب رسیده، قیام به مراسم رسالت و اقدام به وظائف دعوت و رعایت فصاحت و نهایت بلاغت، صورت نزول پذیرفت؛ از اهتزاز نسیم اعجاز شمیم آیات بیّنات و محکمات براهین باهرات غنچه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رحمت بنیاد هدایت، و گلستان حسب آباد ارشاد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ترجمان وافی بیان وحی صریح در رعایت حکمت تابعه، امر به هر معروف و ملیح، و نهی از هر منکر و قبیح در تحقیق بر وجه اتمّ سفت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امر اجابت دعوت داعی حق را به اراده و اختیار فرزند خردمند خود مفوّض داشت، راه عذری و تعذّری، و یا جهت عسری و تعسّری به موجب سبقت رحمت برای او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راه صلاح و صواب اندیشی کوشند و در بوته تأمّل و تدبّر جوشند و خروشند، و مادر و قبیله‌اش را با خود از ورطه ضلالت و غوایت فطری بیرون کشید، و در راه اجابت دعوت به هر نفس قدمی پیش نهاد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روح القدس مولوی، دثار ولایت شعار بر فرستادن مدد و امداد و گشادن سلامت و سداد بر روی ذات </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صفات قدسیه خویش کوشید، به ازای هر قدمش در اجابت قدمهای مزید دعوت بر دعوت و ازدیاد نصرت بر نصرت؛ و اشتداد جذبه جذابه ولایت پیش نهاد در رعایت حالش و اعانت مالش از قبائل شمائل قدسیه، و طوائف فضائل انسیه اعوان و انصار به استقبالش بیش از پیش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هکذا در سیر و سلوک باید به امداد نهاد سعادت بنیادش پرداخت تا او را با مادر مشفقه صالحه و تمامی قبیله مادری به زیارت تامّ شرافت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عیاذاً باللّه به هوای نفس امّاره به فحشاء به مقتضای الفت دیرینه با مادرِ دنائتِ فطرت شرها، و قبیله رذیله قوی و ملکاتش، سر از اطاعت و فرمان‌بری پیچیده، و از جاده مستقیمه عبودیت انحراف ورزیده چشم از حق و حقوق پدری پوشیده، خود در عقوق پدر چون مادر در نشوذ و نفوذ از شوهر قدسی منظر کوشیده،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 تبرّی از توسّل سفینة النجاة ولایت جسته، و بی نیازی از تمسّک به عروة الوثقای متابعت و پیروی سرّ ابوت اظهار نموده به سبب این عملِ طالح مصدوقه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غَیْرُ صَالِحٍ</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امرش به علت نسیان آغاز فطرت به آنجا کشید که در جهان عبرت چنان ضرب المثل گردیده به هر گوشی چه مست چه هشیار چه در خواب چه بیدار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پس محصّل از این طول سخن بیان این معنی که فرزند در تولّد جسمانی بر صورت معنی نوعی پدر جسمانی، و بر هیئت نوع بشریت آدم صوری است، چه أبوت و بنوت متضایفانند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بنای ضابطه و قاعده تضائف به برهان قاطع حکمی بر آن است که متضائفان بما هما متضائفان متّحدان در سنخند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جسمانی مضائف أب جسمانی است، و اگر بنوت ابن بنوت روحانی است ابوت أب نیز از سنخ همان روحانی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اینجا ظاهر و عیان شد که تولّد شقی از سعید و بر عکس، بحسب ولادت جسمانیه بر صورت، مطابقِ معنی نوعی جسمانی پدر جسمانی، منافی با تولّد روحانی </w:t>
      </w:r>
      <w:bookmarkStart w:id="270" w:name="pg17288_199628"/>
    </w:p>
    <w:p>
      <w:pPr>
        <w:pStyle w:val="BookText"/>
        <w:rPr/>
      </w:pPr>
      <w:bookmarkEnd w:id="270"/>
      <w:r>
        <w:rPr>
          <w:rFonts w:ascii="IRNazanin" w:hAnsi="IRNazanin" w:eastAsia="IRNazanin"/>
          <w:color w:val="111111"/>
          <w:sz w:val="28"/>
          <w:sz w:val="28"/>
          <w:szCs w:val="28"/>
          <w:rtl w:val="true"/>
          <w:lang w:bidi="fa-IR"/>
        </w:rPr>
        <w:t>کسبی اختیاری ارادی فرزند در سنخ سعادت یا شقاوت از پدر روحانی عقلانی نورانی یا جهلانی ظلمانی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ولادت فطرت ثانیه بنی آدم که بدایت فطرت روحانی آدمی است، چنانکه مبرهن گذشت، اگر چه تولّد روح ناطقه قدسیه از سنخ معنی روح القدسی است، و لیکن در مرتبه ولادت ثالثه که به زبان حقّانیت ترجمان عیسوی در حق سعدا و پیروان راه هدی چنانکه گذشت ولادت ثانیه است، تولّد کسبی ارادی اختیاری روحانیش بر صورت معنی روحانی پدری عقلانی یا جهلانی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عیان و هویدا گشت که در هر عالمی، چه جهان معنی و چه جهان صورت، چه عالم روحانی چه عالم جسمانی، معنی حدیث شریف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بر مجرای طبیعی خود جاری است، و حاجت به تأویل و توجیه و صرف از ظاهر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معنی براهین عقلی و شواهد نقلی بسیار است که این مجال بیان ما را سعه احصای عشری از آنها چه جای تمامی آنها نیست</w:t>
      </w:r>
      <w:r>
        <w:rPr>
          <w:rFonts w:eastAsia="IRNazanin" w:cs="IRNazanin"/>
          <w:color w:val="111111"/>
          <w:sz w:val="28"/>
          <w:szCs w:val="28"/>
          <w:rtl w:val="true"/>
          <w:lang w:bidi="fa-IR"/>
        </w:rPr>
        <w:t>.</w:t>
      </w:r>
    </w:p>
    <w:p>
      <w:pPr>
        <w:pStyle w:val="Heading3"/>
        <w:numPr>
          <w:ilvl w:val="2"/>
          <w:numId w:val="1"/>
        </w:numPr>
        <w:rPr/>
      </w:pPr>
      <w:bookmarkStart w:id="271" w:name="__RefHeading___Toc4413686_3224264995"/>
      <w:bookmarkStart w:id="272" w:name="_Toc104"/>
      <w:bookmarkEnd w:id="271"/>
      <w:r>
        <w:rPr>
          <w:rtl w:val="true"/>
        </w:rPr>
        <w:t>تتّمة فیها تکملة و تبصرة</w:t>
      </w:r>
      <w:bookmarkEnd w:id="272"/>
    </w:p>
    <w:p>
      <w:pPr>
        <w:pStyle w:val="BookText"/>
        <w:rPr/>
      </w:pPr>
      <w:r>
        <w:rPr>
          <w:rFonts w:ascii="IRNazanin" w:hAnsi="IRNazanin" w:eastAsia="IRNazanin"/>
          <w:color w:val="111111"/>
          <w:sz w:val="28"/>
          <w:sz w:val="28"/>
          <w:szCs w:val="28"/>
          <w:rtl w:val="true"/>
          <w:lang w:bidi="fa-IR"/>
        </w:rPr>
        <w:t xml:space="preserve">ای صاحب بصیرت و طالب حقیقت از بیان همین نکته که در ترجمه عقده حدیث شریف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سفته، و نکته که در کشف سرّ این مرموز مکنوز گفته شد حل عقده حدیث قدیم حقیقت 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در تمهید اسباب حل و عقدش در حقیقت سخن تازه نباید گفت و شنفت، چو اساطین حکمت و سلاطین ملک معرفت بنای ملاک فطرت ابوت را به دیده حق بین بر نهاد فطرت وجود اشیاء دیده‌اند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بنیان مدار فطرت امّیت را بر بنیاد جبلّت ماهیت اشیاء چیده‌اند، و نهاد فطرت وجود را مادّه نامیده‌اند، و بنیاد فطرت ماهیت را صورت گفته‌اند؛ الحق دُرّ تحقیق بر وجه اتمّ سفته‌اند</w:t>
      </w:r>
      <w:r>
        <w:rPr>
          <w:rFonts w:eastAsia="IRNazanin" w:cs="IRNazanin"/>
          <w:color w:val="111111"/>
          <w:sz w:val="28"/>
          <w:szCs w:val="28"/>
          <w:rtl w:val="true"/>
          <w:lang w:bidi="fa-IR"/>
        </w:rPr>
        <w:t xml:space="preserve">. </w:t>
      </w:r>
      <w:bookmarkStart w:id="273" w:name="pg17288_199629"/>
    </w:p>
    <w:p>
      <w:pPr>
        <w:pStyle w:val="BookText"/>
        <w:rPr/>
      </w:pPr>
      <w:bookmarkEnd w:id="273"/>
      <w:r>
        <w:rPr>
          <w:rFonts w:ascii="IRNazanin" w:hAnsi="IRNazanin" w:eastAsia="IRNazanin"/>
          <w:color w:val="111111"/>
          <w:sz w:val="28"/>
          <w:sz w:val="28"/>
          <w:szCs w:val="28"/>
          <w:rtl w:val="true"/>
          <w:lang w:bidi="fa-IR"/>
        </w:rPr>
        <w:t>و پر ظاهر است که طبیعت و ماهیت بشریت بر دو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علّینی، و طینت سجّینی؛ و ملاک علّینت، چنانکه در ترجمه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الموءمن من طینة الجنّة، و خلق الکافر من طینة النار</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اشارت رفت بر طاعت است، و ملاک سجّینت بر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اینجا عیان شد که گردش سعادت و شقاوت بر مدار قطب ماهیت و صورت و طینت علّینت و سجّینیت است، چنانکه حل عقده لا ینحل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بعینه بر همین درایت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مزید توضیح این که پر ظاهر است که فیض رحمت عامّه رحمانیه حق که جود وجود حضرت ذات خیر محض و جواد مطلق عمّت رحمته و وجود تمام اشیاست، به نصّ صریح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خَلْقِ الرَّحْمنِ مِنْ تَفَاوُت</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مزیدِ براهین باهره عقلیه و نقلیه در همه اشیاء از جانب حضرت فیّاض حقّ سبقت رحمته غضبه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تفاوت ها در قرب و بعد اشیاء، و سعادت و شقاوت بنده‌های خدا، ناشی از قبل تفاوت قابلیتهای ماهیات اشیاست، و قابلیت در سعادت و شقاوت منوط و مربوط به ولادت روحانیه اختیاریه، و مستند به حل و عقد در میانه ماهیات عینیه، و به نکاح و تزویج میان ماهیات سجّینیه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ماهیات و طینتهای علّینیت، چنانکه دانسته شد عبارت از عقائد حقّه و معارف یقینیه، و اخلاق و صفات حمیده، و اعمال صالحه، و بر عکس سجّینیه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میزان اصلی سنجیدن سعادت و شقاوت، تقرّر اعیان ثابته سعدا و اشقیاست در صقع علم ازلی حضرت حق اللّه که خاتمه بر طبق فاتحه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p>
    <w:p>
      <w:pPr>
        <w:pStyle w:val="Heading3"/>
        <w:numPr>
          <w:ilvl w:val="2"/>
          <w:numId w:val="1"/>
        </w:numPr>
        <w:rPr/>
      </w:pPr>
      <w:bookmarkStart w:id="274" w:name="__RefHeading___Toc4413688_3224264995"/>
      <w:bookmarkStart w:id="275" w:name="_Toc105"/>
      <w:bookmarkEnd w:id="274"/>
      <w:r>
        <w:rPr>
          <w:rtl w:val="true"/>
        </w:rPr>
        <w:t>جواب از این که الظاهر عنوان الباطن و گاهی خلاف این است</w:t>
      </w:r>
      <w:bookmarkEnd w:id="2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بباید دانست که تخلّف اصلاً نکرد و نمی‌تواند کرد، چه تخلّفی که در صورت </w:t>
      </w:r>
    </w:p>
    <w:p>
      <w:pPr>
        <w:pStyle w:val="BookText"/>
        <w:rPr/>
      </w:pPr>
      <w:r>
        <w:rPr>
          <w:rFonts w:ascii="IRNazanin" w:hAnsi="IRNazanin" w:eastAsia="IRNazanin"/>
          <w:color w:val="111111"/>
          <w:sz w:val="28"/>
          <w:sz w:val="28"/>
          <w:szCs w:val="28"/>
          <w:rtl w:val="true"/>
          <w:lang w:bidi="fa-IR"/>
        </w:rPr>
        <w:t>نفاق مثلاً متوهّم است ظاهرِ منافق سراب آب 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و أنّی الخضاب من الشباب، چه خضابِ شباب نمای در صورت، آیتِ معنی پیری است، و گر نه شابّ را حاجت به خضاب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خلاف نفاق صورت تقیّه نیز مطابق و تابع معنی نور ولایت است و هکذا سائر موارد و مواضعی که ظاهر بر خلاف باطن مبنی بر حکمت و رعایت مصلحت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فی الصناعات البشریة، و أمّا فی الطبیعیات الإلهیة بد ظاهرِ خوش باطن و بالعکس فلکون الظاهر قسریاً غیر ذاتی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 للباطن، کما هو مجری عالم البخت و الاتّفاق و هو عالم العنصریات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درایة هذه النکتة محوّلة إلی أهلها، و لا یتیسّر درکها لأهل جهلها، و اللّه ولی الإفاضة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معنی الولایة فی بیان المراد من 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الاْءَمَانَة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بِالْمُوءْمِنِینَ مِنْ أَنْفُسِهِمْ</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و ولایت حضرت حق را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هر شیئی ـ از ذره بیضاء تا ذره سوداء، و از ذره سوداء تا ذره بیضاء ـ به ذات آن شی‌ء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ذاته تعالی تمام التمامات، و کمال الکمالات، و غایة الغایات، و عنه الأشیاء و منه الأشیاء و به الأشیاء و فیه ـ أی فی کلّیة الأشیاء ـ و له و إلیه الأشیاء، و العلّة محیطة بمعلولها من جمیع جهاته،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بِکُلِّ شَیْ‌ءٍ مُحِیط</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کام وصلت خواهم رسید روزی گفتا که نیک بنگر شاید رسیده باشی</w:t>
      </w:r>
      <w:r>
        <w:rPr>
          <w:rStyle w:val="FootnoteAnchor"/>
          <w:rtl w:val="true"/>
        </w:rPr>
        <w:footnoteReference w:id="69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تدبیر حق است در نظام کلیه عالم، و در انتظام امور مخلوقاتش از آدم اوّل تا خاتمه خاتم، چه کلیات چه جزئیات، چه روحانیات چه جسمانیات، در </w:t>
      </w:r>
    </w:p>
    <w:p>
      <w:pPr>
        <w:pStyle w:val="BookText"/>
        <w:rPr/>
      </w:pPr>
      <w:r>
        <w:rPr>
          <w:rFonts w:ascii="IRNazanin" w:hAnsi="IRNazanin" w:eastAsia="IRNazanin"/>
          <w:color w:val="111111"/>
          <w:sz w:val="28"/>
          <w:sz w:val="28"/>
          <w:szCs w:val="28"/>
          <w:rtl w:val="true"/>
          <w:lang w:bidi="fa-IR"/>
        </w:rPr>
        <w:t>بدایات و نهایات بر وجه احسن و اتمّ، و بر نهج افضل و اشرف و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که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صلاح و سداد، و خردلی که خلاف اولی و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نتواند پذیرفت، شائبه شر و فسادی، و عائبه ضرّ و خلاف صلاح و سدادی در نظام عالم ره نتواند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کس هر چه بایست داد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حقیقت بر روی همه به یکسان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لراقمه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ارکان دشمنی بنیاد دادند به راه دوستی ارشاد دادند</w:t>
      </w:r>
    </w:p>
    <w:p>
      <w:pPr>
        <w:pStyle w:val="BookText"/>
        <w:rPr/>
      </w:pPr>
      <w:r>
        <w:rPr>
          <w:rFonts w:ascii="IRNazanin" w:hAnsi="IRNazanin" w:eastAsia="IRNazanin"/>
          <w:color w:val="111111"/>
          <w:sz w:val="28"/>
          <w:sz w:val="28"/>
          <w:szCs w:val="28"/>
          <w:rtl w:val="true"/>
          <w:lang w:bidi="fa-IR"/>
        </w:rPr>
        <w:t>به شیرین قامت شمشاد دادند که خاک کوهکن بر باد دادند</w:t>
      </w:r>
    </w:p>
    <w:p>
      <w:pPr>
        <w:pStyle w:val="BookText"/>
        <w:rPr/>
      </w:pPr>
      <w:r>
        <w:rPr>
          <w:rFonts w:ascii="IRNazanin" w:hAnsi="IRNazanin" w:eastAsia="IRNazanin"/>
          <w:color w:val="111111"/>
          <w:sz w:val="28"/>
          <w:sz w:val="28"/>
          <w:szCs w:val="28"/>
          <w:rtl w:val="true"/>
          <w:lang w:bidi="fa-IR"/>
        </w:rPr>
        <w:t>به آتش آب را چون عقد بستند نهاد خاک را بر باد دادند</w:t>
      </w:r>
    </w:p>
    <w:p>
      <w:pPr>
        <w:pStyle w:val="BookText"/>
        <w:rPr/>
      </w:pPr>
      <w:r>
        <w:rPr>
          <w:rFonts w:ascii="IRNazanin" w:hAnsi="IRNazanin" w:eastAsia="IRNazanin"/>
          <w:color w:val="111111"/>
          <w:sz w:val="28"/>
          <w:sz w:val="28"/>
          <w:szCs w:val="28"/>
          <w:rtl w:val="true"/>
          <w:lang w:bidi="fa-IR"/>
        </w:rPr>
        <w:t>چون جبلّ انّیّتش اندکاک یافت، کوهکن در کانِ فطرتِ پاکش آنچه می‌خواست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المراد فی الأمانة المعروضة</w:t>
      </w:r>
    </w:p>
    <w:p>
      <w:pPr>
        <w:pStyle w:val="BookText"/>
        <w:rPr/>
      </w:pPr>
      <w:r>
        <w:rPr>
          <w:rFonts w:ascii="IRNazanin" w:hAnsi="IRNazanin" w:eastAsia="IRNazanin"/>
          <w:color w:val="111111"/>
          <w:sz w:val="28"/>
          <w:sz w:val="28"/>
          <w:szCs w:val="28"/>
          <w:rtl w:val="true"/>
          <w:lang w:bidi="fa-IR"/>
        </w:rPr>
        <w:t>فهی حقیقة الإنسانیّة الجامعة لجوامع الکمالات، و المجمع لمجامع التمامات، و مخزن خزائن الأرضین و السماوات کلّها، و مفتاح مفاتح الخیرات و البرکات جلّها و 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الحضرة الجامعة لجوامع کلّیة الحضرات هی حقیقة حقائق الأشیاء المسمّاة بالحقیقة المحمّدیة، و هی الدرة البیضاء فی الدهر الأیمن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الدهر الأیسر الأعلی الدرّة الصفراء المسمّاة بالعلویة العلیا، و بذات اللّه العلیا، و شجرة طوبی، و سدرة المنتهی، و جنّة المأوی، و الدرة الصفرا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النفس الکلّیة الإلهیة اللاهوتیة، المسمّاة باللوح المحفوظ الذی کتب فیه القلم الأعلی بأمر ربّه تعالی کلَّ ما هو کائن إلی یوم القیامة، و هی أمّ الکتاب الذی منها یستنسخ کلّیة الکتب الإلهیة النازلة من عنده تعالی، تکوینیة کانت أو تدوینیة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أصلها تلک الدرّة البیضاء المسمّی بالعقل الکلّی الکلّ الأعلی، و بالحقیقة التمامیة </w:t>
      </w:r>
    </w:p>
    <w:p>
      <w:pPr>
        <w:pStyle w:val="BookText"/>
        <w:rPr/>
      </w:pPr>
      <w:r>
        <w:rPr>
          <w:rFonts w:ascii="Amiri" w:hAnsi="Amiri" w:eastAsia="Amiri" w:cs="Amiri"/>
          <w:color w:val="111111"/>
          <w:sz w:val="28"/>
          <w:sz w:val="28"/>
          <w:szCs w:val="28"/>
          <w:rtl w:val="true"/>
          <w:lang w:bidi="ar-SA"/>
        </w:rPr>
        <w:t xml:space="preserve">المحمّدیة، و إلیها رجعت تلک الدرّة الصفراء و عنها دعت، و إلیها أشارت، و علیها دلّت، و عودها إلیها، و عود کلّیة الموجودات إلی تلک الدرّة الصفراء،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تلک الحقیقة الجامعة بکلا معانیها عند نزولها إلی النشأة الجامعة البشریة مظلومة قد غصب حقّها، مجهولة منزلتها و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ذلک المعنی الکلّی الإلهی بکلا وجهیه توجه إلی عالم الصورة، فتصوّر بصورة التکلیف المطلق، تکوینیاً کان أو 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التکوینی یتعلّق بالمشیئة، و نهیه یتعلّق بالإرادة، و المشیئة بإزاء الکون، و الإرادة بإزاء العین و الماهیة، و فی الصحیفة السجادیة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بمشیئتک دون قولک موءتمرة، و بإرادتک دون نهیک منزجرة</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الکون و الوجود ملاک الاشتراک و الانبساط، و العین و الماهیة ملاک التعیّن و التحدّد و التقیّد الآبی عن الإطلاق و العموم و عن السریان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الوجود ملاک السعة و الفسحة و الانشراح،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الماهیة هی ملاک الضیق و الحصر و القصور عن الشمول و الاتساع، و هی ملاک الوزر الذی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وَضَعْنَا عَنْکَ وِزْرَک</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الوجود ملاک دائرة العقل و النور، و الماهیة ملاک دائرة الجهل و الظلمة فی وجه من 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وجه آخر ینقسم الماهیة إلی العلیینیة و السجینیة، و العلیینیة هی مرکز دائرة العقل و النور، و السجینیة هی مرکز دائرة الجهل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و النهی التشریعیین فمعروفان و کلاهما معاً القطب الذی یدور علیه رحی العلیینیة، و رحی العلویة و الرحیمیة، و هما معاً ملاک السیر و السلوک علی صراط التوحید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إنّ تلک الصورة التکلیفیة المطلقة الجامعة بکلا وجهیها هو الولایة الکلّیة المطلقة الإلهیة العامّة الکاملة و التامّة الشاملة التی هی منزلة المحمّدیة الختمیة البیضاء، و العلویة المولویة العلیا التی هی ذات اللّه تعالی خلافة من الولی الحقّ الحقیقی المطلق </w:t>
      </w:r>
    </w:p>
    <w:p>
      <w:pPr>
        <w:pStyle w:val="BookText"/>
        <w:rPr/>
      </w:pP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سائر انبیا و اولیای اوصیاء بعد النبیّ الختمی و آله الوارثین لکماله صلوات اللّه علیهم اجمعین تمامی مظاهرِ ولایتِ حضرت ختمیه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بقدر منزلته من تلک الحضرة الختمیة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العلویة العلیا و هی خاتمة تلک الولایة الکبری المطلقة فهی الأولی بعد النبی الختمی صلی الله علیه و آله بأنفس سائر الأولیاء من الأنبیاء و الأوصیاء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 و للّه درّ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چون گشتش دخیل و خضر را چون شد دلیل شد چو همدم با خلیل و گشت با موسی چو یار</w:t>
      </w:r>
    </w:p>
    <w:p>
      <w:pPr>
        <w:pStyle w:val="BookText"/>
        <w:rPr/>
      </w:pPr>
      <w:r>
        <w:rPr>
          <w:rFonts w:ascii="IRNazanin" w:hAnsi="IRNazanin" w:eastAsia="IRNazanin"/>
          <w:color w:val="111111"/>
          <w:sz w:val="28"/>
          <w:sz w:val="28"/>
          <w:szCs w:val="28"/>
          <w:rtl w:val="true"/>
          <w:lang w:bidi="fa-IR"/>
        </w:rPr>
        <w:t>کشتی از آبش کشاند آب روان بخشش چشاند زاتشش در گل نشاند از نخلش آتش داد بار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ثمّ للّه درّ قائله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 حقیقت انسانیه جامعه که به حسب هر دو مرتبه خود، امانتِ معروضه است، و در نزد ظهورش به صورت تکلیف مطلق چه تکوینی چه تشریعی، تکوینی چه علوی سماوی چه سفلی ارضی، و تشریعی چه تشریعی ختمی محمّدی چه سائر تشریعات الهیه پیش از تشریع محمدی، به ولایت مطلقه مسمّی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منزلة ولایة العلویة العلیا من ولایة المحمّدیة البیضاء منزلة الضوء من الضوء، و منزلة بدر الدجی من شمس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تلک الولایة العامّة الکبری هی العدل الذی قامت به السماوات و الأرضون، و الولی بهذه الولایة العامّة الجامعة التامّة هو اسم اللّه الذی هو إمام أئمّة الأسماء الحسنی، و هو اسمه الذی أشرقت به السماوات العلی و الأرضون السفلی،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السَّمَوَتِ وَ الاْءَرْضِ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الاْءَمْثَالَ لِلنَّاسِ 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التولّی بولایة العلویة العلیا لهی العروة الوثقی التی من استمسک بها لا انفصام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پس از آنکه انتخابت کردند از بهر خرابی و خرابت کردند</w:t>
      </w:r>
    </w:p>
    <w:p>
      <w:pPr>
        <w:pStyle w:val="BookText"/>
        <w:rPr/>
      </w:pPr>
      <w:r>
        <w:rPr>
          <w:rFonts w:ascii="IRNazanin" w:hAnsi="IRNazanin" w:eastAsia="IRNazanin"/>
          <w:color w:val="111111"/>
          <w:sz w:val="28"/>
          <w:sz w:val="28"/>
          <w:szCs w:val="28"/>
          <w:rtl w:val="true"/>
          <w:lang w:bidi="fa-IR"/>
        </w:rPr>
        <w:t>آباد به مهر بوترابت کردند ویرانه پر ز آفتابت کردند</w:t>
      </w:r>
    </w:p>
    <w:p>
      <w:pPr>
        <w:pStyle w:val="BookText"/>
        <w:rPr/>
      </w:pPr>
      <w:r>
        <w:rPr>
          <w:rFonts w:ascii="IRNazanin" w:hAnsi="IRNazanin" w:eastAsia="IRNazanin"/>
          <w:color w:val="111111"/>
          <w:sz w:val="28"/>
          <w:sz w:val="28"/>
          <w:szCs w:val="28"/>
          <w:rtl w:val="true"/>
          <w:lang w:bidi="fa-IR"/>
        </w:rPr>
        <w:t>آن سینه که سی جزو کتاب است در او این جزو سخن لب لباب است در او</w:t>
      </w:r>
    </w:p>
    <w:p>
      <w:pPr>
        <w:pStyle w:val="BookText"/>
        <w:rPr/>
      </w:pPr>
      <w:r>
        <w:rPr>
          <w:rFonts w:ascii="IRNazanin" w:hAnsi="IRNazanin" w:eastAsia="IRNazanin"/>
          <w:color w:val="111111"/>
          <w:sz w:val="28"/>
          <w:sz w:val="28"/>
          <w:szCs w:val="28"/>
          <w:rtl w:val="true"/>
          <w:lang w:bidi="fa-IR"/>
        </w:rPr>
        <w:t>هر سینه که مهر بوتراب است در او باشد فلکی که آفتاب است در او</w:t>
      </w:r>
    </w:p>
    <w:p>
      <w:pPr>
        <w:pStyle w:val="BookText"/>
        <w:rPr/>
      </w:pPr>
      <w:r>
        <w:rPr>
          <w:rFonts w:ascii="IRNazanin" w:hAnsi="IRNazanin" w:eastAsia="IRNazanin"/>
          <w:color w:val="111111"/>
          <w:sz w:val="28"/>
          <w:sz w:val="28"/>
          <w:szCs w:val="28"/>
          <w:rtl w:val="true"/>
          <w:lang w:bidi="fa-IR"/>
        </w:rPr>
        <w:t>و خلاصة معنی الولایة المطلقة العامّة التامّة، محمّدیة کانت أو علویة، هی صیرورة منزلة المحمّدیة أو العلویة من حضرة ذات اللّه تعالی منزلة معانیه تعالی و صفاته العلیا منه جلّ و علا، بأن یکون عین اللّه الناظرة، و أذنه الواعیة، و یده الباسطة، و لسانه الناطق، و حکمته البالغة، و وجهه المضیء، و جنبه العلی، و اسمه الرضی، و غیر ذلک إلی أن یکون عیبة علمه، و خزینة خزائنه، و باب أبوابه، و مفتاح مفاتیح غیبه طراً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ولایة سائر الأنبیاء و الأولیاء الأوصیاء، فهی کینونتهم و صیرورتهم فی السلوک إلیه تعالی بحیث یتخلقون بأخلاقه تعالی، و یتبدّلون عن صفاتهم البشریة إلی تحقّقهم بالصفات الربّانیة، بأن یصیر ظلمة إنّیّتهم البشریة مستهلکة فی نوره تعالی، و إنّیّتهم مستهلکة مستغرقة فی شهوده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بنوره تعالی یبصرون، و به یسمعون، و به یبطشون، و به ینطقون و یمشون، و بقدرته و قوته تعملون و یفعلون و یتصرّفون فی الموادّ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بون مّا بین أن یصیر السالک العارف عین اللّه الناظرة، و أذنه الواعیة، و یده الباسطة، و غیر ذلک من معانیه تعالی و صفاته العلیا، و بین أن یصیر نوره تعالی عینه الناظرة التی بها یبصر، و یده التی بها یبطش، و غیر ذلک و ببین تفاوت ره از کجاست تا به کجا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منزلة سائر الأولیاء من اللّه تعالی بمنزلة الحدید المجاور للنار المتّصف بصفاتها </w:t>
      </w:r>
    </w:p>
    <w:p>
      <w:pPr>
        <w:pStyle w:val="BookText"/>
        <w:rPr/>
      </w:pPr>
      <w:r>
        <w:rPr>
          <w:rFonts w:ascii="IRNazanin" w:hAnsi="IRNazanin" w:eastAsia="IRNazanin"/>
          <w:color w:val="111111"/>
          <w:sz w:val="28"/>
          <w:sz w:val="28"/>
          <w:szCs w:val="28"/>
          <w:rtl w:val="true"/>
          <w:lang w:bidi="fa-IR"/>
        </w:rPr>
        <w:t>المبائن عنها فی الذات؛ فافهم، فإنّ فیه سرّاً عظیماً لو انکشف للعارف لعرف علیّاً علیه‌السلام بالمعرفة النورانیة التی هی قرّة عین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از این دفتر گفتیم و همین باشد،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فیها تکملة</w:t>
      </w:r>
    </w:p>
    <w:p>
      <w:pPr>
        <w:pStyle w:val="BookText"/>
        <w:rPr/>
      </w:pPr>
      <w:r>
        <w:rPr>
          <w:rFonts w:ascii="IRNazanin" w:hAnsi="IRNazanin" w:eastAsia="IRNazanin"/>
          <w:color w:val="111111"/>
          <w:sz w:val="28"/>
          <w:sz w:val="28"/>
          <w:szCs w:val="28"/>
          <w:rtl w:val="true"/>
          <w:lang w:bidi="fa-IR"/>
        </w:rPr>
        <w:t xml:space="preserve">خلاصه سخن در ولایت آن است که ولایتِ مصطلح در لسانِ عرفان انقطاع از کلیه ما سوی، و محو شدن صورت کلیه أشیاء از لوح فطرت سالک عارف به خدا، و فانی شدن حتی از فنا، و رسیدن به درجه قصوای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معنی عبودیت، و تحقّق به نسبت فقر و حاجت به ذات یگانه حضرت بیچونِ بی همتاست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اشارت به این معنی از محو و فناست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صحو بعد این محو که تحقّق به معنی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حقّ معنی حقیقت امانت است که بارگی عبودیت حمل آنرا شایسته، و محل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شدنش به جای به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علامه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وفا،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عربی، ابن 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عبدالوارث محمدعلی،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المتعالیة، صدرالدین محمد شیرازی،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امام زین العابدین علیه‌السلام ، دفتر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7288_199640"/>
      <w:bookmarkStart w:id="277" w:name="pg17288_199640"/>
      <w:bookmarkEnd w:id="277"/>
    </w:p>
    <w:p>
      <w:pPr>
        <w:pStyle w:val="Heading2"/>
        <w:numPr>
          <w:ilvl w:val="1"/>
          <w:numId w:val="1"/>
        </w:numPr>
        <w:rPr/>
      </w:pPr>
      <w:bookmarkStart w:id="278" w:name="pg17288_199640"/>
      <w:bookmarkStart w:id="279" w:name="__RefHeading___Toc4413690_3224264995"/>
      <w:bookmarkStart w:id="280" w:name="_Toc106"/>
      <w:bookmarkEnd w:id="278"/>
      <w:bookmarkEnd w:id="279"/>
      <w:r>
        <w:rPr>
          <w:rtl w:val="true"/>
        </w:rPr>
        <w:t>حلو التناول و سهل‌التداول فی مسئلة التداخل</w:t>
      </w:r>
      <w:bookmarkEnd w:id="280"/>
    </w:p>
    <w:p>
      <w:pPr>
        <w:pStyle w:val="Heading3"/>
        <w:numPr>
          <w:ilvl w:val="2"/>
          <w:numId w:val="1"/>
        </w:numPr>
        <w:rPr/>
      </w:pPr>
      <w:bookmarkStart w:id="281" w:name="__RefHeading___Toc4413692_3224264995"/>
      <w:bookmarkStart w:id="282" w:name="_Toc107"/>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زین العابدین الموسوی الخوانساری</w:t>
      </w:r>
    </w:p>
    <w:p>
      <w:pPr>
        <w:pStyle w:val="BookText"/>
        <w:rPr/>
      </w:pPr>
      <w:r>
        <w:rPr>
          <w:rFonts w:ascii="IRNazanin" w:hAnsi="IRNazanin" w:eastAsia="IRNazanin"/>
          <w:color w:val="111111"/>
          <w:sz w:val="28"/>
          <w:sz w:val="28"/>
          <w:szCs w:val="28"/>
          <w:rtl w:val="true"/>
          <w:lang w:bidi="fa-IR"/>
        </w:rPr>
        <w:t xml:space="preserve">تصحیح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w:t>
      </w:r>
    </w:p>
    <w:p>
      <w:pPr>
        <w:pStyle w:val="Heading3"/>
        <w:numPr>
          <w:ilvl w:val="2"/>
          <w:numId w:val="1"/>
        </w:numPr>
        <w:rPr/>
      </w:pPr>
      <w:bookmarkStart w:id="283" w:name="__RefHeading___Toc4413694_3224264995"/>
      <w:bookmarkStart w:id="284" w:name="_Toc108"/>
      <w:bookmarkEnd w:id="283"/>
      <w:r>
        <w:rPr>
          <w:rtl w:val="true"/>
        </w:rPr>
        <w:t>مقدمه</w:t>
      </w:r>
      <w:bookmarkEnd w:id="284"/>
    </w:p>
    <w:p>
      <w:pPr>
        <w:pStyle w:val="BookText"/>
        <w:rPr/>
      </w:pPr>
      <w:r>
        <w:rPr>
          <w:rFonts w:ascii="IRNazanin" w:hAnsi="IRNazanin" w:eastAsia="IRNazanin"/>
          <w:color w:val="111111"/>
          <w:sz w:val="28"/>
          <w:sz w:val="28"/>
          <w:szCs w:val="28"/>
          <w:rtl w:val="true"/>
          <w:lang w:bidi="fa-IR"/>
        </w:rPr>
        <w:t xml:space="preserve">یکی از موضوعاتی که از دیرزمان مورد توجه قرار گرفته و در علم اصول فقه به آن پرداخته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کاربرد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پیش رو با نگاهی گذرا به این موضوع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بیشتر با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آن، مطالبی به اختصار تقدیم می‌شود</w:t>
      </w:r>
      <w:r>
        <w:rPr>
          <w:rFonts w:eastAsia="IRNazanin" w:cs="IRNazanin"/>
          <w:color w:val="111111"/>
          <w:sz w:val="28"/>
          <w:szCs w:val="28"/>
          <w:rtl w:val="true"/>
          <w:lang w:bidi="fa-IR"/>
        </w:rPr>
        <w:t>.</w:t>
      </w:r>
    </w:p>
    <w:p>
      <w:pPr>
        <w:pStyle w:val="Heading3"/>
        <w:numPr>
          <w:ilvl w:val="2"/>
          <w:numId w:val="1"/>
        </w:numPr>
        <w:rPr/>
      </w:pPr>
      <w:bookmarkStart w:id="285" w:name="__RefHeading___Toc4413696_3224264995"/>
      <w:bookmarkStart w:id="286" w:name="_Toc109"/>
      <w:bookmarkEnd w:id="285"/>
      <w:r>
        <w:rPr>
          <w:rtl w:val="true"/>
        </w:rPr>
        <w:t>الف</w:t>
      </w:r>
      <w:r>
        <w:rPr>
          <w:rtl w:val="true"/>
        </w:rPr>
        <w:t xml:space="preserve">: </w:t>
      </w:r>
      <w:r>
        <w:rPr>
          <w:rtl w:val="true"/>
        </w:rPr>
        <w:t xml:space="preserve">آشنایی اجمالی با </w:t>
      </w:r>
      <w:r>
        <w:rPr>
          <w:rtl w:val="true"/>
        </w:rPr>
        <w:t>«</w:t>
      </w:r>
      <w:r>
        <w:rPr>
          <w:rtl w:val="true"/>
        </w:rPr>
        <w:t>تداخل اسباب</w:t>
      </w:r>
      <w:r>
        <w:rPr>
          <w:rtl w:val="true"/>
        </w:rPr>
        <w:t>»</w:t>
      </w:r>
      <w:bookmarkEnd w:id="2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تداخل اسباب به معنای اجتماع علل و اسباب متعدد شرعی در ایجاد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واحد است؛ به این معنا که چند سبب شرعی به جای اینکه هر یک مسبب جداگانه‌ای داشته باشند با یکدیگر در تأثیر، تداخل می‌کنند و تنها یک مسبب به آنها نسبت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تداخل اسباب در جایی مطرح می‌شود که یک مسبب دارای چند سبب مستقل و در عرض هم باشد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شاید بتوان گفت اولین بار سید مرتضی، شیخ طوسی، سالار دیلمی و محقق حلی تصریح به این مبحث نموده‌اند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فقیهان شیعه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علامه حلی، ابن فهد حلی، محقق ثانی، شهید ثانی، فاضل هندی و محقق قمی آن را پذیرفته‌اند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برخی نیز مانند یحیی بن سعید حلی، شهید اول، فاضل جواد و محدث بحرانی آن را نپذیرفته‌اند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بسیاری از کتاب‌های اصول فقه، فقه و قواعد فقهیه شیعه به موضوع تداخل اسباب پرداخته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ملا احمد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میر فتاح مراغه‌ای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حسن بجنوردی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مستقل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توضیح پیرامون آن پرداخته‌اند</w:t>
      </w:r>
      <w:r>
        <w:rPr>
          <w:rFonts w:eastAsia="IRNazanin" w:cs="IRNazanin"/>
          <w:color w:val="111111"/>
          <w:sz w:val="28"/>
          <w:szCs w:val="28"/>
          <w:rtl w:val="true"/>
          <w:lang w:bidi="fa-IR"/>
        </w:rPr>
        <w:t>.</w:t>
      </w:r>
      <w:r>
        <w:rPr>
          <w:rStyle w:val="FootnoteAnchor"/>
          <w:rtl w:val="true"/>
        </w:rPr>
        <w:footnoteReference w:id="709"/>
      </w:r>
      <w:bookmarkStart w:id="287" w:name="pg17288_199642"/>
    </w:p>
    <w:p>
      <w:pPr>
        <w:pStyle w:val="BookText"/>
        <w:rPr/>
      </w:pPr>
      <w:bookmarkEnd w:id="287"/>
      <w:r>
        <w:rPr>
          <w:rFonts w:ascii="IRNazanin" w:hAnsi="IRNazanin" w:eastAsia="IRNazanin"/>
          <w:color w:val="111111"/>
          <w:sz w:val="28"/>
          <w:sz w:val="28"/>
          <w:szCs w:val="28"/>
          <w:rtl w:val="true"/>
          <w:lang w:bidi="fa-IR"/>
        </w:rPr>
        <w:t xml:space="preserve">همچنین مرحوم آخوند ملا محمد کاظم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مبحث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داده و دیدگاه خویش را در این باره بیان نموده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الاصول نیز مورد بررسی قرار گرفته است، برای نمونه می‌توان از اصطلاحات الاصول مرحوم آیة اللّه میرزا علی مشکینی نام برد</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288" w:name="__RefHeading___Toc4413698_3224264995"/>
      <w:bookmarkStart w:id="289" w:name="_Toc110"/>
      <w:bookmarkEnd w:id="288"/>
      <w:r>
        <w:rPr>
          <w:rtl w:val="true"/>
        </w:rPr>
        <w:t>ب</w:t>
      </w:r>
      <w:r>
        <w:rPr>
          <w:rtl w:val="true"/>
        </w:rPr>
        <w:t xml:space="preserve">: </w:t>
      </w:r>
      <w:r>
        <w:rPr>
          <w:rtl w:val="true"/>
        </w:rPr>
        <w:t>آشنایی با مؤلّف رساله حلو التناول</w:t>
      </w:r>
      <w:bookmarkEnd w:id="289"/>
    </w:p>
    <w:p>
      <w:pPr>
        <w:pStyle w:val="Heading4"/>
        <w:numPr>
          <w:ilvl w:val="3"/>
          <w:numId w:val="1"/>
        </w:numPr>
        <w:rPr/>
      </w:pPr>
      <w:bookmarkStart w:id="290" w:name="__RefHeading___Toc4413700_3224264995"/>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در این قسمت با نگاهی اجمالی به معرفی مؤلّف این رساله علمی و ارزشمند می‌پردازیم</w:t>
      </w:r>
      <w:r>
        <w:rPr>
          <w:rFonts w:eastAsia="IRNazanin" w:cs="IRNazanin"/>
          <w:color w:val="111111"/>
          <w:sz w:val="28"/>
          <w:szCs w:val="28"/>
          <w:rtl w:val="true"/>
          <w:lang w:bidi="fa-IR"/>
        </w:rPr>
        <w:t>.</w:t>
      </w:r>
    </w:p>
    <w:p>
      <w:pPr>
        <w:pStyle w:val="Heading4"/>
        <w:numPr>
          <w:ilvl w:val="3"/>
          <w:numId w:val="1"/>
        </w:numPr>
        <w:rPr/>
      </w:pPr>
      <w:bookmarkStart w:id="292" w:name="__RefHeading___Toc4413702_3224264995"/>
      <w:bookmarkStart w:id="293" w:name="_Toc112"/>
      <w:bookmarkEnd w:id="292"/>
      <w:r>
        <w:rPr>
          <w:rtl w:val="true"/>
        </w:rPr>
        <w:t>اول</w:t>
      </w:r>
      <w:r>
        <w:rPr>
          <w:rtl w:val="true"/>
        </w:rPr>
        <w:t xml:space="preserve">: </w:t>
      </w:r>
      <w:r>
        <w:rPr>
          <w:rtl w:val="true"/>
        </w:rPr>
        <w:t>ولادت و زادگاه</w:t>
      </w:r>
      <w:bookmarkEnd w:id="293"/>
    </w:p>
    <w:p>
      <w:pPr>
        <w:pStyle w:val="BookText"/>
        <w:rPr/>
      </w:pPr>
      <w:r>
        <w:rPr>
          <w:rFonts w:ascii="IRNazanin" w:hAnsi="IRNazanin" w:eastAsia="IRNazanin"/>
          <w:color w:val="111111"/>
          <w:sz w:val="28"/>
          <w:sz w:val="28"/>
          <w:szCs w:val="28"/>
          <w:rtl w:val="true"/>
          <w:lang w:bidi="fa-IR"/>
        </w:rPr>
        <w:t xml:space="preserve">فقیه، اصولی و اندیشمند فرزانه مرحوم حاج میرزا زین‌العابدین موسوی خوانساری، در روز هشتم ماه ذی قعده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خوانسار چشم به جهان گشود</w:t>
      </w:r>
      <w:r>
        <w:rPr>
          <w:rFonts w:eastAsia="IRNazanin" w:cs="IRNazanin"/>
          <w:color w:val="111111"/>
          <w:sz w:val="28"/>
          <w:szCs w:val="28"/>
          <w:rtl w:val="true"/>
          <w:lang w:bidi="fa-IR"/>
        </w:rPr>
        <w:t>.</w:t>
      </w:r>
    </w:p>
    <w:p>
      <w:pPr>
        <w:pStyle w:val="Heading4"/>
        <w:numPr>
          <w:ilvl w:val="3"/>
          <w:numId w:val="1"/>
        </w:numPr>
        <w:rPr/>
      </w:pPr>
      <w:bookmarkStart w:id="294" w:name="__RefHeading___Toc4413704_3224264995"/>
      <w:bookmarkStart w:id="295" w:name="_Toc113"/>
      <w:bookmarkEnd w:id="294"/>
      <w:r>
        <w:rPr>
          <w:rtl w:val="true"/>
        </w:rPr>
        <w:t>دوم</w:t>
      </w:r>
      <w:r>
        <w:rPr>
          <w:rtl w:val="true"/>
        </w:rPr>
        <w:t xml:space="preserve">: </w:t>
      </w:r>
      <w:r>
        <w:rPr>
          <w:rtl w:val="true"/>
        </w:rPr>
        <w:t>اساتید</w:t>
      </w:r>
      <w:bookmarkEnd w:id="295"/>
    </w:p>
    <w:p>
      <w:pPr>
        <w:pStyle w:val="BookText"/>
        <w:rPr/>
      </w:pPr>
      <w:r>
        <w:rPr>
          <w:rFonts w:ascii="IRNazanin" w:hAnsi="IRNazanin" w:eastAsia="IRNazanin"/>
          <w:color w:val="111111"/>
          <w:sz w:val="28"/>
          <w:sz w:val="28"/>
          <w:szCs w:val="28"/>
          <w:rtl w:val="true"/>
          <w:lang w:bidi="fa-IR"/>
        </w:rPr>
        <w:t xml:space="preserve">مرحوم سید زین العابدین در زادگاه خویش از محضر پدر دانشمندش ـ مرحوم سید ابوالقاسم خوانساری ـ و عموزادگانش ـ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مهدی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برد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برای بهره بردن از محضر عالمان اصفهان به این شهر کوچید؛ برخی از اساتید وی در اصفهان، عبارتند از</w:t>
      </w:r>
      <w:r>
        <w:rPr>
          <w:rFonts w:eastAsia="IRNazanin" w:cs="IRNazanin"/>
          <w:color w:val="111111"/>
          <w:sz w:val="28"/>
          <w:szCs w:val="28"/>
          <w:rtl w:val="true"/>
          <w:lang w:bidi="fa-IR"/>
        </w:rPr>
        <w:t xml:space="preserve">: </w:t>
      </w:r>
      <w:bookmarkStart w:id="296" w:name="pg17288_199643"/>
    </w:p>
    <w:p>
      <w:pPr>
        <w:pStyle w:val="BookText"/>
        <w:rPr/>
      </w:pPr>
      <w:bookmarkEnd w:id="296"/>
      <w:r>
        <w:rPr>
          <w:rFonts w:ascii="IRNazanin" w:hAnsi="IRNazanin" w:eastAsia="IRNazanin"/>
          <w:color w:val="111111"/>
          <w:sz w:val="28"/>
          <w:sz w:val="28"/>
          <w:szCs w:val="28"/>
          <w:rtl w:val="true"/>
          <w:lang w:bidi="fa-IR"/>
        </w:rPr>
        <w:t xml:space="preserve">ـ فقیه فرزانه حاج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منهاج الهدایه و اشارات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عالم ربانی حاج ملا علی اکبر اژه‌ای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زبدة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حکیم متأ لّه حاج ملا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الرقیمة النوریة</w:t>
      </w:r>
      <w:r>
        <w:rPr>
          <w:rFonts w:eastAsia="IRNazanin" w:cs="IRNazanin"/>
          <w:color w:val="111111"/>
          <w:sz w:val="28"/>
          <w:szCs w:val="28"/>
          <w:rtl w:val="true"/>
          <w:lang w:bidi="fa-IR"/>
        </w:rPr>
        <w:t>.</w:t>
      </w:r>
    </w:p>
    <w:p>
      <w:pPr>
        <w:pStyle w:val="Heading4"/>
        <w:numPr>
          <w:ilvl w:val="3"/>
          <w:numId w:val="1"/>
        </w:numPr>
        <w:rPr/>
      </w:pPr>
      <w:bookmarkStart w:id="297" w:name="__RefHeading___Toc4413706_3224264995"/>
      <w:bookmarkStart w:id="298" w:name="_Toc114"/>
      <w:bookmarkEnd w:id="297"/>
      <w:r>
        <w:rPr>
          <w:rtl w:val="true"/>
        </w:rPr>
        <w:t>سوم</w:t>
      </w:r>
      <w:r>
        <w:rPr>
          <w:rtl w:val="true"/>
        </w:rPr>
        <w:t xml:space="preserve">: </w:t>
      </w:r>
      <w:r>
        <w:rPr>
          <w:rtl w:val="true"/>
        </w:rPr>
        <w:t>مشایخ اجازه</w:t>
      </w:r>
      <w:bookmarkEnd w:id="298"/>
    </w:p>
    <w:p>
      <w:pPr>
        <w:pStyle w:val="BookText"/>
        <w:rPr/>
      </w:pPr>
      <w:r>
        <w:rPr>
          <w:rFonts w:ascii="IRNazanin" w:hAnsi="IRNazanin" w:eastAsia="IRNazanin"/>
          <w:color w:val="111111"/>
          <w:sz w:val="28"/>
          <w:sz w:val="28"/>
          <w:szCs w:val="28"/>
          <w:rtl w:val="true"/>
          <w:lang w:bidi="fa-IR"/>
        </w:rPr>
        <w:t>مؤلّف رساله حلوالتناول از برخی از عالمان بزرگ نیز موفق به کسب اجازه نقل حدیث</w:t>
      </w:r>
      <w:r>
        <w:rPr>
          <w:rStyle w:val="FootnoteAnchor"/>
          <w:rtl w:val="true"/>
        </w:rPr>
        <w:footnoteReference w:id="712"/>
      </w:r>
      <w:r>
        <w:rPr>
          <w:rFonts w:ascii="IRNazanin" w:hAnsi="IRNazanin" w:eastAsia="IRNazanin"/>
          <w:color w:val="111111"/>
          <w:sz w:val="28"/>
          <w:sz w:val="28"/>
          <w:szCs w:val="28"/>
          <w:rtl w:val="true"/>
          <w:lang w:bidi="fa-IR"/>
        </w:rPr>
        <w:t>شده است، برخی از مشایخ روایت ایشان عبارتند از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حاج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حاج سید محمدباقر شفتی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میر محمد حسین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سید صدرالدین موسوی عاملی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سید محمد قصیر رضوی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ـ شیخ حسین عصفوری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4"/>
        <w:numPr>
          <w:ilvl w:val="3"/>
          <w:numId w:val="1"/>
        </w:numPr>
        <w:rPr/>
      </w:pPr>
      <w:bookmarkStart w:id="299" w:name="__RefHeading___Toc4413708_3224264995"/>
      <w:bookmarkStart w:id="300" w:name="_Toc115"/>
      <w:bookmarkEnd w:id="299"/>
      <w:r>
        <w:rPr>
          <w:rtl w:val="true"/>
        </w:rPr>
        <w:t>چهارم</w:t>
      </w:r>
      <w:r>
        <w:rPr>
          <w:rtl w:val="true"/>
        </w:rPr>
        <w:t xml:space="preserve">: </w:t>
      </w:r>
      <w:r>
        <w:rPr>
          <w:rtl w:val="true"/>
        </w:rPr>
        <w:t>فرزندان</w:t>
      </w:r>
      <w:bookmarkEnd w:id="300"/>
    </w:p>
    <w:p>
      <w:pPr>
        <w:pStyle w:val="BookText"/>
        <w:rPr/>
      </w:pPr>
      <w:r>
        <w:rPr>
          <w:rFonts w:ascii="IRNazanin" w:hAnsi="IRNazanin" w:eastAsia="IRNazanin"/>
          <w:color w:val="111111"/>
          <w:sz w:val="28"/>
          <w:sz w:val="28"/>
          <w:szCs w:val="28"/>
          <w:rtl w:val="true"/>
          <w:lang w:bidi="fa-IR"/>
        </w:rPr>
        <w:t>مرحوم سید زین العابدین خوانساری دارای هشت فرزند پسر بوده‌اند که دو نفر از آنان شهرت فراوان دارند؛ این دو، عبارتند از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فقیه فاضل و گرانمایه مرحوم میرزا محمد هاشم چهارسوقی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مؤلّف کتاب اصول آل رسول</w:t>
      </w:r>
      <w:r>
        <w:rPr>
          <w:rFonts w:eastAsia="IRNazanin" w:cs="IRNazanin"/>
          <w:color w:val="111111"/>
          <w:sz w:val="28"/>
          <w:szCs w:val="28"/>
          <w:rtl w:val="true"/>
          <w:lang w:bidi="fa-IR"/>
        </w:rPr>
        <w:t xml:space="preserve">. </w:t>
      </w:r>
      <w:bookmarkStart w:id="301" w:name="pg17288_199644"/>
    </w:p>
    <w:p>
      <w:pPr>
        <w:pStyle w:val="BookText"/>
        <w:rPr/>
      </w:pPr>
      <w:bookmarkEnd w:id="301"/>
      <w:r>
        <w:rPr>
          <w:rFonts w:ascii="IRNazanin" w:hAnsi="IRNazanin" w:eastAsia="IRNazanin"/>
          <w:color w:val="111111"/>
          <w:sz w:val="28"/>
          <w:sz w:val="28"/>
          <w:szCs w:val="28"/>
          <w:rtl w:val="true"/>
          <w:lang w:bidi="fa-IR"/>
        </w:rPr>
        <w:t xml:space="preserve">ـ فاضل متتبع مرحوم میرزا محمد باقر چهارسوقی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روضات الجنات و علماء الاسرة</w:t>
      </w:r>
      <w:r>
        <w:rPr>
          <w:rFonts w:eastAsia="IRNazanin" w:cs="IRNazanin"/>
          <w:color w:val="111111"/>
          <w:sz w:val="28"/>
          <w:szCs w:val="28"/>
          <w:rtl w:val="true"/>
          <w:lang w:bidi="fa-IR"/>
        </w:rPr>
        <w:t>.</w:t>
      </w:r>
    </w:p>
    <w:p>
      <w:pPr>
        <w:pStyle w:val="Heading4"/>
        <w:numPr>
          <w:ilvl w:val="3"/>
          <w:numId w:val="1"/>
        </w:numPr>
        <w:rPr/>
      </w:pPr>
      <w:bookmarkStart w:id="302" w:name="__RefHeading___Toc4413710_3224264995"/>
      <w:bookmarkStart w:id="303" w:name="_Toc116"/>
      <w:bookmarkEnd w:id="302"/>
      <w:r>
        <w:rPr>
          <w:rtl w:val="true"/>
        </w:rPr>
        <w:t>پنجم</w:t>
      </w:r>
      <w:r>
        <w:rPr>
          <w:rtl w:val="true"/>
        </w:rPr>
        <w:t xml:space="preserve">: </w:t>
      </w:r>
      <w:r>
        <w:rPr>
          <w:rtl w:val="true"/>
        </w:rPr>
        <w:t>آثار و تألیفات</w:t>
      </w:r>
      <w:bookmarkEnd w:id="303"/>
    </w:p>
    <w:p>
      <w:pPr>
        <w:pStyle w:val="BookText"/>
        <w:rPr/>
      </w:pPr>
      <w:r>
        <w:rPr>
          <w:rFonts w:ascii="IRNazanin" w:hAnsi="IRNazanin" w:eastAsia="IRNazanin"/>
          <w:color w:val="111111"/>
          <w:sz w:val="28"/>
          <w:sz w:val="28"/>
          <w:szCs w:val="28"/>
          <w:rtl w:val="true"/>
          <w:lang w:bidi="fa-IR"/>
        </w:rPr>
        <w:t>برای مرحوم سید زین العابدین خوانساری یازده کتاب و رساله کوچک و بزرگ نام برده‌اند که اسامی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شرح معالم الاصول؛ شرحی مزجی و مفصل که مؤلّف توفیق تکمیل آن را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شرح زبدة الاصول شیخ بهایی؛ این اثر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القواعد النحویه؛ جامع قواعد کلی نحو که صاحب روضات الجنات آن را در موضوع خود بی نظیر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در حقیقت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الطلع النضید و النور الجدید؛ این اثر ردیه‌ای است بر صاحب معالم الاصول و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حلو التناول و سهل التداول؛ توضیح درباره این اثر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در تحقیق مساله 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در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در نوادر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در حکم قرائت ملک و مالک؛ مؤلّف در این رساله قرائت ملک را اقوی دانسته است</w:t>
      </w:r>
      <w:r>
        <w:rPr>
          <w:rFonts w:eastAsia="IRNazanin" w:cs="IRNazanin"/>
          <w:color w:val="111111"/>
          <w:sz w:val="28"/>
          <w:szCs w:val="28"/>
          <w:rtl w:val="true"/>
          <w:lang w:bidi="fa-IR"/>
        </w:rPr>
        <w:t>.</w:t>
      </w:r>
      <w:r>
        <w:rPr>
          <w:rStyle w:val="FootnoteAnchor"/>
          <w:rtl w:val="true"/>
        </w:rPr>
        <w:footnoteReference w:id="71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بهجة الناظر و سرور الخاطر؛ کتابی کشکول مانند و دارای مطالب متنوع می‌باشد</w:t>
      </w:r>
      <w:r>
        <w:rPr>
          <w:rFonts w:eastAsia="IRNazanin" w:cs="IRNazanin"/>
          <w:color w:val="111111"/>
          <w:sz w:val="28"/>
          <w:szCs w:val="28"/>
          <w:rtl w:val="true"/>
          <w:lang w:bidi="fa-IR"/>
        </w:rPr>
        <w:t>.</w:t>
      </w:r>
      <w:r>
        <w:rPr>
          <w:rStyle w:val="FootnoteAnchor"/>
          <w:rtl w:val="true"/>
        </w:rPr>
        <w:footnoteReference w:id="715"/>
      </w:r>
      <w:bookmarkStart w:id="304" w:name="pg17288_199645"/>
    </w:p>
    <w:p>
      <w:pPr>
        <w:pStyle w:val="Heading4"/>
        <w:numPr>
          <w:ilvl w:val="3"/>
          <w:numId w:val="1"/>
        </w:numPr>
        <w:rPr/>
      </w:pPr>
      <w:bookmarkStart w:id="305" w:name="__RefHeading___Toc4413712_3224264995"/>
      <w:bookmarkStart w:id="306" w:name="_Toc117"/>
      <w:bookmarkEnd w:id="304"/>
      <w:bookmarkEnd w:id="305"/>
      <w:r>
        <w:rPr>
          <w:rtl w:val="true"/>
        </w:rPr>
        <w:t>ششم</w:t>
      </w:r>
      <w:r>
        <w:rPr>
          <w:rtl w:val="true"/>
        </w:rPr>
        <w:t xml:space="preserve">: </w:t>
      </w:r>
      <w:r>
        <w:rPr>
          <w:rtl w:val="true"/>
        </w:rPr>
        <w:t>وفات و مدفن</w:t>
      </w:r>
      <w:bookmarkEnd w:id="306"/>
    </w:p>
    <w:p>
      <w:pPr>
        <w:pStyle w:val="BookText"/>
        <w:rPr/>
      </w:pPr>
      <w:r>
        <w:rPr>
          <w:rFonts w:ascii="IRNazanin" w:hAnsi="IRNazanin" w:eastAsia="IRNazanin"/>
          <w:color w:val="111111"/>
          <w:sz w:val="28"/>
          <w:sz w:val="28"/>
          <w:szCs w:val="28"/>
          <w:rtl w:val="true"/>
          <w:lang w:bidi="fa-IR"/>
        </w:rPr>
        <w:t xml:space="preserve">این عالم ربانی پس از یک عمر سراسر تلاش، مجاهدت و دعوت مردم به حضرت حق و اولیای الهی، در نهم ماه جمادی الثانی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افزون بر هشتاد سال، در اصفهان، چشم از جهان فروبست و جسم پاکش در تکیه شیخ محمد تقی رازی ـ 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تخت‌فولاد اصفهان در دل خاک آرام گرفت</w:t>
      </w:r>
      <w:r>
        <w:rPr>
          <w:rFonts w:eastAsia="IRNazanin" w:cs="IRNazanin"/>
          <w:color w:val="111111"/>
          <w:sz w:val="28"/>
          <w:szCs w:val="28"/>
          <w:rtl w:val="true"/>
          <w:lang w:bidi="fa-IR"/>
        </w:rPr>
        <w:t>.</w:t>
      </w:r>
      <w:r>
        <w:rPr>
          <w:rStyle w:val="FootnoteAnchor"/>
          <w:rtl w:val="true"/>
        </w:rPr>
        <w:footnoteReference w:id="716"/>
      </w:r>
    </w:p>
    <w:p>
      <w:pPr>
        <w:pStyle w:val="Heading3"/>
        <w:numPr>
          <w:ilvl w:val="2"/>
          <w:numId w:val="1"/>
        </w:numPr>
        <w:rPr/>
      </w:pPr>
      <w:bookmarkStart w:id="307" w:name="__RefHeading___Toc4413714_3224264995"/>
      <w:bookmarkStart w:id="308" w:name="_Toc118"/>
      <w:bookmarkEnd w:id="307"/>
      <w:r>
        <w:rPr>
          <w:rtl w:val="true"/>
        </w:rPr>
        <w:t>ج</w:t>
      </w:r>
      <w:r>
        <w:rPr>
          <w:rtl w:val="true"/>
        </w:rPr>
        <w:t xml:space="preserve">: </w:t>
      </w:r>
      <w:r>
        <w:rPr>
          <w:rtl w:val="true"/>
        </w:rPr>
        <w:t>آشنایی با رساله حلوالتناول</w:t>
      </w:r>
      <w:bookmarkEnd w:id="308"/>
    </w:p>
    <w:p>
      <w:pPr>
        <w:pStyle w:val="BookText"/>
        <w:rPr/>
      </w:pPr>
      <w:r>
        <w:rPr>
          <w:rFonts w:ascii="IRNazanin" w:hAnsi="IRNazanin" w:eastAsia="IRNazanin"/>
          <w:color w:val="111111"/>
          <w:sz w:val="28"/>
          <w:sz w:val="28"/>
          <w:szCs w:val="28"/>
          <w:rtl w:val="true"/>
          <w:lang w:bidi="fa-IR"/>
        </w:rPr>
        <w:t>بزرگ کتاب‌شناس شیعه مرحوم شیخ آقا بزرگ تهرانی در دو جای الذریعه از این رساله نام برده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نسخه اصل و دستنویس این رساله تا آنجا که اطلاع داریم ابتدا در کتابخانه شخصی حجة‌الاسلام دکتر سید احمد تویسرکانی بوده و ایشان سپس در پی ملاقاتی حضوری و یا تماسی تلفنی نسخه را به مرحوم آیة اللّه سید محمد علی روضاتی می‌دهند و می‌گویند این نسخه از جد شماست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چند سال اخیر که روزهای جمعه توفیق دیدار مرحوم استاد روضاتی در منزل شخصی‌شان دست می‌داد ایشان بارها از این نسخه سخن به میان آورده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ارزشمندی است و لازم است تحقیق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فقید فرزانه در حدود کمتر از شش ماه قبل از وفات، تصویری از این رساله حلو التناول را در اختیار این نویسنده قرار داده و تشویق فرمودند که تحقیق و تصحیح آن را عهده‌دار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نویسنده نیز پس از حروفچینی و اصلاحات اولیه نسخه در چند جلسه ـ که معمولا با همراهی و حضور برادر فاضل و گرامی جناب آقای سید محمدرضا شفتی بود ـ در منزل استاد روضاتی به مقابله با نسخه اصل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توجه این که مرحوم استاد روضاتی برای تسریع در مقابله کتاب، امر فرمودند که در غیر از روزهای جمعه ـ که روز ملاقات دوستان با ایشان بود ـ به خدمتشان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نسخه اصل را در دست داشتند و من باید با صدای بلند از نسخه خویش قرائت نموده و ایشان تصحیح و مقابله می‌نمودند و موارد اشتباه احتمالی را متذکر می‌شدند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قسمت زیادی از امور مربوط به تحقیق و آماده‌سازی این رساله برای نشر انجام شده بود که جامعه علمی و دوستان مرحوم استاد روضاتی با فقدان و ارتحال ایشان روبرو شدند و ادامه امور این رساله برای نشر متوقف گردید تا این که در ماه گذشته به پیشنهاد حجت الاسلام و المسلمین نورمحمدی ـ مسئول محترم مجموعه میراث حوزه اصفهان ـ و توصیه استاد گرامی آیة اللّه حاج آقا هادی نجفی تلاش در جهت آماده‌سازی این اثر برای نشر از سر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مرحله و پس از ارتحال مرحوم استاد روضاتی صورت گرفت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مقدمه، فهرست منابع تحقیق، فصل‌بندی مباحث کتاب، انتخاب عنوان برای سرفصل‌ها و انجام تحقیق، تصحیح و ویرایش نهایی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نسخه‌ای از این رساله نیز در کتابخانه مرحوم آیة اللّه نجفی مرعشی در پنج صفحه </w:t>
      </w:r>
      <w:bookmarkStart w:id="309" w:name="pg17288_199647"/>
    </w:p>
    <w:p>
      <w:pPr>
        <w:pStyle w:val="BookText"/>
        <w:rPr/>
      </w:pPr>
      <w:bookmarkEnd w:id="309"/>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10402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Style w:val="FootnoteAnchor"/>
          <w:rtl w:val="true"/>
        </w:rPr>
        <w:footnoteReference w:id="720"/>
      </w:r>
      <w:r>
        <w:rPr>
          <w:rFonts w:ascii="IRNazanin" w:hAnsi="IRNazanin" w:eastAsia="IRNazanin"/>
          <w:color w:val="111111"/>
          <w:sz w:val="28"/>
          <w:sz w:val="28"/>
          <w:szCs w:val="28"/>
          <w:rtl w:val="true"/>
          <w:lang w:bidi="fa-IR"/>
        </w:rPr>
        <w:t xml:space="preserve">مرحوم استاد روضاتی از این نسخه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مرعشیه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می‌بردند</w:t>
      </w:r>
      <w:r>
        <w:rPr>
          <w:rFonts w:eastAsia="IRNazanin" w:cs="IRNazanin"/>
          <w:color w:val="111111"/>
          <w:sz w:val="28"/>
          <w:szCs w:val="28"/>
          <w:rtl w:val="true"/>
          <w:lang w:bidi="fa-IR"/>
        </w:rPr>
        <w:t>.</w:t>
      </w:r>
    </w:p>
    <w:p>
      <w:pPr>
        <w:pStyle w:val="Heading3"/>
        <w:numPr>
          <w:ilvl w:val="2"/>
          <w:numId w:val="1"/>
        </w:numPr>
        <w:rPr/>
      </w:pPr>
      <w:bookmarkStart w:id="310" w:name="__RefHeading___Toc4413716_3224264995"/>
      <w:bookmarkStart w:id="311" w:name="_Toc119"/>
      <w:bookmarkEnd w:id="310"/>
      <w:r>
        <w:rPr>
          <w:rtl w:val="true"/>
        </w:rPr>
        <w:t>د</w:t>
      </w:r>
      <w:r>
        <w:rPr>
          <w:rtl w:val="true"/>
        </w:rPr>
        <w:t xml:space="preserve">: </w:t>
      </w:r>
      <w:r>
        <w:rPr>
          <w:rtl w:val="true"/>
        </w:rPr>
        <w:t>شیوه تحقیق</w:t>
      </w:r>
      <w:bookmarkEnd w:id="311"/>
    </w:p>
    <w:p>
      <w:pPr>
        <w:pStyle w:val="BookText"/>
        <w:rPr/>
      </w:pPr>
      <w:r>
        <w:rPr>
          <w:rFonts w:ascii="IRNazanin" w:hAnsi="IRNazanin" w:eastAsia="IRNazanin"/>
          <w:color w:val="111111"/>
          <w:sz w:val="28"/>
          <w:sz w:val="28"/>
          <w:szCs w:val="28"/>
          <w:rtl w:val="true"/>
          <w:lang w:bidi="fa-IR"/>
        </w:rPr>
        <w:t>محقق پس از حروفچینی و مقابله آن با نسخه اصل، به تصحیح نسخه پرداخته و پس از آن به تخریج مصادر و بیان اختلافات بین نسخه اصل و نسخه‌ای که در اختیار مصنف بوده، اقدام نموده است</w:t>
      </w:r>
      <w:r>
        <w:rPr>
          <w:rFonts w:eastAsia="IRNazanin" w:cs="IRNazanin"/>
          <w:color w:val="111111"/>
          <w:sz w:val="28"/>
          <w:szCs w:val="28"/>
          <w:rtl w:val="true"/>
          <w:lang w:bidi="fa-IR"/>
        </w:rPr>
        <w:t>.</w:t>
      </w:r>
    </w:p>
    <w:p>
      <w:pPr>
        <w:pStyle w:val="Heading3"/>
        <w:numPr>
          <w:ilvl w:val="2"/>
          <w:numId w:val="1"/>
        </w:numPr>
        <w:rPr/>
      </w:pPr>
      <w:bookmarkStart w:id="312" w:name="__RefHeading___Toc4413718_3224264995"/>
      <w:bookmarkStart w:id="313" w:name="_Toc120"/>
      <w:bookmarkEnd w:id="312"/>
      <w:r>
        <w:rPr>
          <w:rtl w:val="true"/>
        </w:rPr>
        <w:t>هـ</w:t>
      </w:r>
      <w:r>
        <w:rPr>
          <w:rtl w:val="true"/>
        </w:rPr>
        <w:t xml:space="preserve">: </w:t>
      </w:r>
      <w:r>
        <w:rPr>
          <w:rtl w:val="true"/>
        </w:rPr>
        <w:t>تذکر چند نکته</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دستنویس ظاهرا از نسخه مؤلّف توسط کاتبی خوش خط، ولی ناشناس استنساخ شده و به همین جهت اغلاط املایی ـ البته به صورت بسیار محدود ـ در آن وجود دارد که اصلاح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در مقدمه رساله افزون بر این مطلب که بحث تداخل اسباب یا عدم آن از مباحث مهم است و مورد اختلاف نیز می‌باشد؛ متذکر شده که در ابتدا قول به تداخل اسباب را پذیرفته بودم، ولی اکنون از این نظریه عدول نموده و قول به عدم تداخل را صحیح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در ادامه، شش تقریر جهت تبیین مقدمات مطلب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بعد مؤلّف، قسمتی از کلام میرزا محمد شیروانی را نقل و سپس آن را نقد نموده و مباحث پایانی را مطرح و رساله را ختم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اسمی که مرحوم مؤلّف برای این رساله انتخاب نموده </w:t>
      </w:r>
      <w:r>
        <w:rPr>
          <w:rFonts w:eastAsia="IRNazanin" w:cs="IRNazanin"/>
          <w:color w:val="111111"/>
          <w:sz w:val="28"/>
          <w:szCs w:val="28"/>
          <w:rtl w:val="true"/>
          <w:lang w:bidi="fa-IR"/>
        </w:rPr>
        <w:t>«</w:t>
      </w:r>
    </w:p>
    <w:p>
      <w:pPr>
        <w:pStyle w:val="Heading3"/>
        <w:numPr>
          <w:ilvl w:val="2"/>
          <w:numId w:val="1"/>
        </w:numPr>
        <w:rPr/>
      </w:pPr>
      <w:bookmarkStart w:id="314" w:name="__RefHeading___Toc4413720_3224264995"/>
      <w:bookmarkStart w:id="315" w:name="_Toc121"/>
      <w:bookmarkEnd w:id="314"/>
      <w:r>
        <w:rPr>
          <w:rtl w:val="true"/>
        </w:rPr>
        <w:t>حلو التناول</w:t>
      </w:r>
      <w:bookmarkEnd w:id="315"/>
    </w:p>
    <w:p>
      <w:pPr>
        <w:pStyle w:val="Heading4"/>
        <w:numPr>
          <w:ilvl w:val="3"/>
          <w:numId w:val="1"/>
        </w:numPr>
        <w:rPr/>
      </w:pPr>
      <w:bookmarkStart w:id="316" w:name="__RefHeading___Toc4413722_3224264995"/>
      <w:bookmarkStart w:id="317" w:name="_Toc122"/>
      <w:bookmarkEnd w:id="316"/>
      <w:r>
        <w:rPr>
          <w:rtl w:val="true"/>
        </w:rPr>
        <w:t>اشاره</w:t>
      </w:r>
      <w:bookmarkEnd w:id="3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سهل التداول فی مسئلة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بیان مرحوم مدقق شیروانی به عربی است و هنوز چاپ نشده، محقق موفق به دستیابی به نسخه خطی آن نگردید؛ اگر چنانچه در اصطلاحات نهایی قبل از چاپ به نسخه اصل آن دست یافت، متن اصلی را جهت تتمیم فایده در پاورقی ذکر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محترم در ابتدای رساله و مجزای از بحث اصلی، قسمتی از متن مشارق الشموس محقق خوانساری ـ که درباره تداخل اسباب می‌باشد ـ را نقل نموده است؛ پرسشی که اینجا مطرح می‌شود این است که مؤلّف پس از اتمام رساله به این قسمت از بیان مرحوم محقق خوانساری برخورد نموده یا این که دیدن این عبارت، انگیزه‌ای برای پیدایش رساله حاضر شده است؟</w:t>
      </w:r>
    </w:p>
    <w:p>
      <w:pPr>
        <w:pStyle w:val="BookText"/>
        <w:rPr/>
      </w:pPr>
      <w:r>
        <w:rPr>
          <w:rFonts w:ascii="IRNazanin" w:hAnsi="IRNazanin" w:eastAsia="IRNazanin"/>
          <w:color w:val="111111"/>
          <w:sz w:val="28"/>
          <w:sz w:val="28"/>
          <w:szCs w:val="28"/>
          <w:rtl w:val="true"/>
          <w:lang w:bidi="fa-IR"/>
        </w:rPr>
        <w:t>با استفاده از برخی قرائن احتمال اول تقویت می‌شود و به همین جهت عبارت مرحوم محقق خوانساری را در انتهای رساله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به تصحیح رساله مشغول بودم، پرسش فوق را از مرحوم استاد سید محمدعلی روضاتی پرسیدم و ایشان نیز اظهار بی اطلاعی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استاد روضاتی فرزند ایشان آقای دکتر سید امیر حسن روضاتی به نویسنده خبر دادند که در بین یادداشت‌های مرحوم والد، یادداشتی به نام شما وجود دارد، مرحوم استاد روضاتی در این یادداشت،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نحو مرحوم جد اعلی و عکس رساله حلو التناول 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است نسخه عکسی و نسخه زیراکسی به آقای شیخ مهدی باقری سیانی بدهیم برای تحقیق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استاد روضاتی چند مرتبه به این نویسنده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مایلم تا زنده‌ام چاپ شده این رساله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حیات علمی مرحوم استاد سید محمد علی روضاتی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مرحوم استاد آیة اللّه سید محمدعلی روضاتی نقشی بسیار چشم‌گیر در </w:t>
      </w:r>
    </w:p>
    <w:p>
      <w:pPr>
        <w:pStyle w:val="BookText"/>
        <w:rPr/>
      </w:pPr>
      <w:r>
        <w:rPr>
          <w:rFonts w:ascii="IRNazanin" w:hAnsi="IRNazanin" w:eastAsia="IRNazanin"/>
          <w:color w:val="111111"/>
          <w:sz w:val="28"/>
          <w:sz w:val="28"/>
          <w:szCs w:val="28"/>
          <w:rtl w:val="true"/>
          <w:lang w:bidi="fa-IR"/>
        </w:rPr>
        <w:t>احیای این اثر ارزشمند داشته و در جای جای این مقدمه نام ایشان ذکر شده، به این مناسبت شرح حالی مختصر از ایشان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فرزانه، کتابشناس و رجالی، مرحوم استاد سید محمدعلی روضاتی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همگی عالمان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خردسالی پدر را از دست داد و زیر سرپرستی پدر بزرگ مادری خویش ـ مرحوم آیة اللّه میرزا حسن چارسوقی اصفهانی ـ رشد نمود و پس از تحصیل در اصفهان برای بهره بردن از محضر عالمان شهر قم به این شهر کوچید و در خدمت آیة اللّه العظمی حاج آقا حسین طباطبائی بروجردی و برخی از اساتید بزرگ آن شهر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سفرهای علمی و زیارتی متعددی که به حجاز، و عراق و نیز شهرهای مختلف ایران داشت از بسیاری از عالمان بزرگ شیعه و نیز اهل سنت موفق به کسب اجازه نقل 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روایی استاد روضاتی افزون بر سی نفر می‌باشند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همچنین استاد روضاتی در عرصه نشر میراث مکتوب و احیای آثار پیشینیان تلاشی بسیار داشت که نتیجه آن تقدیم حدود سی اثر ارزشمند به جامعه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فرزانه در پنج‌شنبه بیست و نهم تیرماه هزار و سیصد و نود و یک، برابر با بیست و نهم شعبان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و چهار سالگی، چشم از جهان فرو بست و جسمش در همان روز در تکیه صاحب روضات الجنات تخت‌فولاد اصفهان آرام گرفت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پایانی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سال گذشته جامعه علمی اصفهان با ضایعه ارتحال مرحوم آیة اللّه سید </w:t>
      </w:r>
    </w:p>
    <w:p>
      <w:pPr>
        <w:pStyle w:val="BookText"/>
        <w:rPr/>
      </w:pPr>
      <w:r>
        <w:rPr>
          <w:rFonts w:ascii="IRNazanin" w:hAnsi="IRNazanin" w:eastAsia="IRNazanin"/>
          <w:color w:val="111111"/>
          <w:sz w:val="28"/>
          <w:sz w:val="28"/>
          <w:szCs w:val="28"/>
          <w:rtl w:val="true"/>
          <w:lang w:bidi="fa-IR"/>
        </w:rPr>
        <w:t xml:space="preserve">محمدعلی روضاتی و مرحوم حجت الاسلام والمسلمین شیخ احمد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گردید؛ اگر خدای مهربان بر انجام این تحقیق ثوابی مترتب نموده، نویسنده آن را به محضر این دو فقید فرزانه و راحل تقدیم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حلو التناول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حلوالتناول </w:t>
      </w:r>
      <w:bookmarkStart w:id="318" w:name="pg17288_199656"/>
    </w:p>
    <w:p>
      <w:pPr>
        <w:pStyle w:val="BookText"/>
        <w:rPr/>
      </w:pPr>
      <w:bookmarkEnd w:id="318"/>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نحمدک اللهمّ یا میسّر الصعاب من دون تداخل الأسباب، و نصلّی علی نبیّک محمّد المستطاب و نجیّک المراد من الخطاب، و آله النجباء الأطیاب، الامناء الأقطاب</w:t>
      </w:r>
      <w:r>
        <w:rPr>
          <w:rFonts w:eastAsia="IRNazanin" w:cs="IRNazanin"/>
          <w:color w:val="111111"/>
          <w:sz w:val="28"/>
          <w:szCs w:val="28"/>
          <w:rtl w:val="true"/>
          <w:lang w:bidi="fa-IR"/>
        </w:rPr>
        <w:t>.</w:t>
      </w:r>
    </w:p>
    <w:p>
      <w:pPr>
        <w:pStyle w:val="Heading4"/>
        <w:numPr>
          <w:ilvl w:val="3"/>
          <w:numId w:val="1"/>
        </w:numPr>
        <w:rPr/>
      </w:pPr>
      <w:bookmarkStart w:id="319" w:name="__RefHeading___Toc4413724_3224264995"/>
      <w:bookmarkStart w:id="320" w:name="_Toc123"/>
      <w:bookmarkEnd w:id="319"/>
      <w:r>
        <w:rPr>
          <w:rtl w:val="true"/>
        </w:rPr>
        <w:t>[</w:t>
      </w:r>
      <w:r>
        <w:rPr>
          <w:rtl w:val="true"/>
        </w:rPr>
        <w:t>المقدمة</w:t>
      </w:r>
      <w:r>
        <w:rPr>
          <w:rtl w:val="true"/>
        </w:rPr>
        <w:t>]</w:t>
      </w:r>
      <w:bookmarkEnd w:id="320"/>
    </w:p>
    <w:p>
      <w:pPr>
        <w:pStyle w:val="BookText"/>
        <w:rPr/>
      </w:pPr>
      <w:r>
        <w:rPr>
          <w:rFonts w:ascii="IRNazanin" w:hAnsi="IRNazanin" w:eastAsia="IRNazanin"/>
          <w:color w:val="111111"/>
          <w:sz w:val="28"/>
          <w:sz w:val="28"/>
          <w:szCs w:val="28"/>
          <w:rtl w:val="true"/>
          <w:lang w:bidi="fa-IR"/>
        </w:rPr>
        <w:t>أمّا بعد؛ فیقول طالب صراط اللّه السوی، المفتقر إلی عفو ربّه الباری، إبن السیّد أبیالقاسم الموسوی، زین العابدین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طالعت کتب الفقه و الاُصول للمحقّقین الأجلاء الفحول، و لم أقف فیها علی تحقیق کافٍ، و لا تحریر وافٍ، لمسئلة تداخل الأسباب الشرعیّة، مع أنّها من المطالب الدقیقة النظریّة، وضعت لتحریرها هذه الرسالة، کافیة الدلالة، شافیة المقالة، حاویة لنکات خفیّة، و حجج جلیّة، و براهین مرضیّة، و دلائل مرعیّة، فناهیک بها کتابا جامعا للأقوال، بالغا إلی غایة الاستدلال، علی کلّ من طرفی الجدال، و عسی أن یذکر فی الأثناء تحقیقات آخر، متینة أنیقة، کثیرة الثمر، رزینة رشیقة، فجمع دقائق مهمّة و فوائد جمّة، و عوائد مهمّة،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التناول و سهل التداول فی مسئلة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أشرع فی المقصود، مستعینا بربی المعبود، فإنّه الفیّاض الودود</w:t>
      </w:r>
      <w:r>
        <w:rPr>
          <w:rFonts w:eastAsia="IRNazanin" w:cs="IRNazanin"/>
          <w:color w:val="111111"/>
          <w:sz w:val="28"/>
          <w:szCs w:val="28"/>
          <w:rtl w:val="true"/>
          <w:lang w:bidi="fa-IR"/>
        </w:rPr>
        <w:t>.</w:t>
      </w:r>
    </w:p>
    <w:p>
      <w:pPr>
        <w:pStyle w:val="Heading4"/>
        <w:numPr>
          <w:ilvl w:val="3"/>
          <w:numId w:val="1"/>
        </w:numPr>
        <w:rPr/>
      </w:pPr>
      <w:bookmarkStart w:id="321" w:name="__RefHeading___Toc4413726_3224264995"/>
      <w:bookmarkStart w:id="322" w:name="_Toc124"/>
      <w:bookmarkEnd w:id="321"/>
      <w:r>
        <w:rPr>
          <w:rtl w:val="true"/>
        </w:rPr>
        <w:t>[</w:t>
      </w:r>
      <w:r>
        <w:rPr>
          <w:rtl w:val="true"/>
        </w:rPr>
        <w:t>الأقوال حول مسئلة التداخل</w:t>
      </w:r>
      <w:r>
        <w:rPr>
          <w:rtl w:val="true"/>
        </w:rPr>
        <w:t>]</w:t>
      </w:r>
      <w:bookmarkEnd w:id="32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الخلاف الواقع بین الأصحاب فی هذه المسئلة کثیر الفائدة، جلیل العائدة، قد عمّت بها البلوی، و اضطربت لها الفتوی، فلهذا مسّت الحاجة إلی تحقیقها و تنقیحها، و تزییف الآراء و تصحیحها، </w:t>
      </w:r>
      <w:bookmarkStart w:id="323" w:name="pg17288_199658"/>
    </w:p>
    <w:p>
      <w:pPr>
        <w:pStyle w:val="BookText"/>
        <w:rPr/>
      </w:pPr>
      <w:bookmarkEnd w:id="323"/>
      <w:r>
        <w:rPr>
          <w:rFonts w:ascii="IRNazanin" w:hAnsi="IRNazanin" w:eastAsia="IRNazanin"/>
          <w:color w:val="111111"/>
          <w:sz w:val="28"/>
          <w:sz w:val="28"/>
          <w:szCs w:val="28"/>
          <w:rtl w:val="true"/>
          <w:lang w:bidi="fa-IR"/>
        </w:rPr>
        <w:t xml:space="preserve">و من هنا تری الفقهآء قد اختلفوا فی إجزاء تکبیرة واحدة للمأموم ینوی بها للإحرام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الرکوع معا،</w:t>
      </w:r>
    </w:p>
    <w:p>
      <w:pPr>
        <w:pStyle w:val="BookText"/>
        <w:rPr/>
      </w:pPr>
      <w:r>
        <w:rPr>
          <w:rFonts w:ascii="IRNazanin" w:hAnsi="IRNazanin" w:eastAsia="IRNazanin"/>
          <w:color w:val="111111"/>
          <w:sz w:val="28"/>
          <w:sz w:val="28"/>
          <w:szCs w:val="28"/>
          <w:rtl w:val="true"/>
          <w:lang w:bidi="fa-IR"/>
        </w:rPr>
        <w:t>و فی إجزاء رکعتین من صلوة ینوی بها تحیة المسجد و النافلة و المنذورة،</w:t>
      </w:r>
    </w:p>
    <w:p>
      <w:pPr>
        <w:pStyle w:val="BookText"/>
        <w:rPr/>
      </w:pPr>
      <w:r>
        <w:rPr>
          <w:rFonts w:ascii="IRNazanin" w:hAnsi="IRNazanin" w:eastAsia="IRNazanin"/>
          <w:color w:val="111111"/>
          <w:sz w:val="28"/>
          <w:sz w:val="28"/>
          <w:szCs w:val="28"/>
          <w:rtl w:val="true"/>
          <w:lang w:bidi="fa-IR"/>
        </w:rPr>
        <w:t>و فی الاکتفاء بسجدة واحدة لمن هو قارئ للسجدة العزیمة و مستمع أیضا،</w:t>
      </w:r>
    </w:p>
    <w:p>
      <w:pPr>
        <w:pStyle w:val="BookText"/>
        <w:rPr/>
      </w:pPr>
      <w:r>
        <w:rPr>
          <w:rFonts w:ascii="IRNazanin" w:hAnsi="IRNazanin" w:eastAsia="IRNazanin"/>
          <w:color w:val="111111"/>
          <w:sz w:val="28"/>
          <w:sz w:val="28"/>
          <w:szCs w:val="28"/>
          <w:rtl w:val="true"/>
          <w:lang w:bidi="fa-IR"/>
        </w:rPr>
        <w:t>و فی براءة ذمة من أتی بسجدتی السهو مرّة مع تعدّد موجبات السجود له فی الصلاة،</w:t>
      </w:r>
    </w:p>
    <w:p>
      <w:pPr>
        <w:pStyle w:val="BookText"/>
        <w:rPr/>
      </w:pPr>
      <w:r>
        <w:rPr>
          <w:rFonts w:ascii="IRNazanin" w:hAnsi="IRNazanin" w:eastAsia="IRNazanin"/>
          <w:color w:val="111111"/>
          <w:sz w:val="28"/>
          <w:sz w:val="28"/>
          <w:szCs w:val="28"/>
          <w:rtl w:val="true"/>
          <w:lang w:bidi="fa-IR"/>
        </w:rPr>
        <w:t>و فی براءة المسلّم علیه سلام واحد إذا قصد به ردّ سلام جماعة أو قصد به السلام علی أحد و الردّ علی آخر،</w:t>
      </w:r>
    </w:p>
    <w:p>
      <w:pPr>
        <w:pStyle w:val="BookText"/>
        <w:rPr/>
      </w:pPr>
      <w:r>
        <w:rPr>
          <w:rFonts w:ascii="IRNazanin" w:hAnsi="IRNazanin" w:eastAsia="IRNazanin"/>
          <w:color w:val="111111"/>
          <w:sz w:val="28"/>
          <w:sz w:val="28"/>
          <w:szCs w:val="28"/>
          <w:rtl w:val="true"/>
          <w:lang w:bidi="fa-IR"/>
        </w:rPr>
        <w:t>و فی جواز الاکتفاء فی الغسل بارتماسة واحدة ینوی بها رفع الحدث و الخبث،</w:t>
      </w:r>
    </w:p>
    <w:p>
      <w:pPr>
        <w:pStyle w:val="BookText"/>
        <w:rPr/>
      </w:pPr>
      <w:r>
        <w:rPr>
          <w:rFonts w:ascii="IRNazanin" w:hAnsi="IRNazanin" w:eastAsia="IRNazanin"/>
          <w:color w:val="111111"/>
          <w:sz w:val="28"/>
          <w:sz w:val="28"/>
          <w:szCs w:val="28"/>
          <w:rtl w:val="true"/>
          <w:lang w:bidi="fa-IR"/>
        </w:rPr>
        <w:t>و کذا فی صورة تداخل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الفروع الکثیرة، فإنّ کلّها مبتنیة علی تحقیق المسئلة المذکورة</w:t>
      </w:r>
      <w:r>
        <w:rPr>
          <w:rFonts w:eastAsia="IRNazanin" w:cs="IRNazanin"/>
          <w:color w:val="111111"/>
          <w:sz w:val="28"/>
          <w:szCs w:val="28"/>
          <w:rtl w:val="true"/>
          <w:lang w:bidi="fa-IR"/>
        </w:rPr>
        <w:t>.</w:t>
      </w:r>
    </w:p>
    <w:p>
      <w:pPr>
        <w:pStyle w:val="Heading4"/>
        <w:numPr>
          <w:ilvl w:val="3"/>
          <w:numId w:val="1"/>
        </w:numPr>
        <w:rPr/>
      </w:pPr>
      <w:bookmarkStart w:id="324" w:name="__RefHeading___Toc4413728_3224264995"/>
      <w:bookmarkStart w:id="325" w:name="_Toc125"/>
      <w:bookmarkEnd w:id="324"/>
      <w:r>
        <w:rPr>
          <w:rtl w:val="true"/>
        </w:rPr>
        <w:t>[</w:t>
      </w:r>
      <w:r>
        <w:rPr>
          <w:rtl w:val="true"/>
        </w:rPr>
        <w:t>المشهور عدم التداخل مطلقاً</w:t>
      </w:r>
      <w:r>
        <w:rPr>
          <w:rtl w:val="true"/>
        </w:rPr>
        <w:t>]</w:t>
      </w:r>
      <w:bookmarkEnd w:id="32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فقهائنا رضی اللّه عنهم أنّ الأصل عدم تداخل الأسباب الشرعیّة مطلقا</w:t>
      </w:r>
      <w:r>
        <w:rPr>
          <w:rStyle w:val="FootnoteAnchor"/>
          <w:rtl w:val="true"/>
        </w:rPr>
        <w:footnoteReference w:id="723"/>
      </w:r>
      <w:r>
        <w:rPr>
          <w:rFonts w:ascii="IRNazanin" w:hAnsi="IRNazanin" w:eastAsia="IRNazanin"/>
          <w:color w:val="111111"/>
          <w:sz w:val="28"/>
          <w:sz w:val="28"/>
          <w:szCs w:val="28"/>
          <w:rtl w:val="true"/>
          <w:lang w:bidi="fa-IR"/>
        </w:rPr>
        <w:t>بمعنی أنّها إذا تعدّدت و اجتمعت للمکلّف لایجوز له الاکتفاء بمسبّب واحد ینوی به الجمیع، فلایحصل به الامتثال و لایخرج عن عهدة التکلیف، بل یقتضی کلّ سبب سبب مسبّبا علیحدة، فعلیه أن یعیّن و یقصد لکلّ منها فعلاً بانفراده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تکلّم ساهیا مثلاً و سلّم سهوا و نسی سجدة أیضا کلّها فی صلاة واحدة، وجب علیه بازاء کلّ منها سجدتا السهو و ینوی لکلّ منها بخصوصه سجدتین، فعلیه قصد التعیین و الخصوصیة لاتشریک الجمیع و الاکتفاء بفعل واحد</w:t>
      </w:r>
      <w:r>
        <w:rPr>
          <w:rFonts w:eastAsia="IRNazanin" w:cs="IRNazanin"/>
          <w:color w:val="111111"/>
          <w:sz w:val="28"/>
          <w:szCs w:val="28"/>
          <w:rtl w:val="true"/>
          <w:lang w:bidi="fa-IR"/>
        </w:rPr>
        <w:t>.</w:t>
      </w:r>
      <w:r>
        <w:rPr>
          <w:rStyle w:val="FootnoteAnchor"/>
          <w:rtl w:val="true"/>
        </w:rPr>
        <w:footnoteReference w:id="724"/>
      </w:r>
      <w:bookmarkStart w:id="326" w:name="pg17288_199660"/>
    </w:p>
    <w:p>
      <w:pPr>
        <w:pStyle w:val="BookText"/>
        <w:rPr/>
      </w:pPr>
      <w:bookmarkEnd w:id="326"/>
      <w:r>
        <w:rPr>
          <w:rFonts w:ascii="IRNazanin" w:hAnsi="IRNazanin" w:eastAsia="IRNazanin"/>
          <w:color w:val="111111"/>
          <w:sz w:val="28"/>
          <w:sz w:val="28"/>
          <w:szCs w:val="28"/>
          <w:rtl w:val="true"/>
          <w:lang w:bidi="fa-IR"/>
        </w:rPr>
        <w:t>و بالجملة، فیستفاد من کلام الأکثرین أ نّه یترتّب علی القول بعدم تداخل الأسباب، وجوب قصد التعیین و نیّة خصوص کلّ سبب سبب</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أنّ الإبهام و الإجمال و تشریک الکلّ بفعل واحد لایجزی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بهذا الفاضل المحقّق المدقّق الشیروانی أیضا، هذا</w:t>
      </w:r>
      <w:r>
        <w:rPr>
          <w:rFonts w:eastAsia="IRNazanin" w:cs="IRNazanin"/>
          <w:color w:val="111111"/>
          <w:sz w:val="28"/>
          <w:szCs w:val="28"/>
          <w:rtl w:val="true"/>
          <w:lang w:bidi="fa-IR"/>
        </w:rPr>
        <w:t>.</w:t>
      </w:r>
    </w:p>
    <w:p>
      <w:pPr>
        <w:pStyle w:val="Heading4"/>
        <w:numPr>
          <w:ilvl w:val="3"/>
          <w:numId w:val="1"/>
        </w:numPr>
        <w:rPr/>
      </w:pPr>
      <w:bookmarkStart w:id="327" w:name="__RefHeading___Toc4413730_3224264995"/>
      <w:bookmarkStart w:id="328" w:name="_Toc126"/>
      <w:bookmarkEnd w:id="327"/>
      <w:r>
        <w:rPr>
          <w:rtl w:val="true"/>
        </w:rPr>
        <w:t>[</w:t>
      </w:r>
      <w:r>
        <w:rPr>
          <w:rtl w:val="true"/>
        </w:rPr>
        <w:t>القائلین بالتداخل مطلقا</w:t>
      </w:r>
      <w:r>
        <w:rPr>
          <w:rtl w:val="true"/>
        </w:rPr>
        <w:t>]</w:t>
      </w:r>
      <w:bookmarkEnd w:id="328"/>
    </w:p>
    <w:p>
      <w:pPr>
        <w:pStyle w:val="BookText"/>
        <w:rPr/>
      </w:pPr>
      <w:r>
        <w:rPr>
          <w:rFonts w:ascii="IRNazanin" w:hAnsi="IRNazanin" w:eastAsia="IRNazanin"/>
          <w:color w:val="111111"/>
          <w:sz w:val="28"/>
          <w:sz w:val="28"/>
          <w:szCs w:val="28"/>
          <w:rtl w:val="true"/>
          <w:lang w:bidi="fa-IR"/>
        </w:rPr>
        <w:t>و ذهب جماعة من أعاظم المتأخّرین إلی التداخل مطلقا،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المقدّس النحریر، المحقّق الأردبیلی</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السیّد السند، صاحب المدارک</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الفاضل الکامل، مولینا محمّدباقر السبزواری</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استاد الکلّ فی الکلّ، آقاحسین الخوانساری</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العلاّمة المحدّث الطاهر، مولینا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الفاضل المشار إلیه مولانا میرزا محمّد الشیروانی</w:t>
      </w:r>
      <w:r>
        <w:rPr>
          <w:rStyle w:val="FootnoteAnchor"/>
          <w:rtl w:val="true"/>
        </w:rPr>
        <w:footnoteReference w:id="730"/>
      </w:r>
      <w:r>
        <w:rPr>
          <w:rFonts w:ascii="Amiri" w:hAnsi="Amiri" w:eastAsia="Amiri" w:cs="Amiri"/>
          <w:color w:val="111111"/>
          <w:sz w:val="28"/>
          <w:sz w:val="28"/>
          <w:szCs w:val="28"/>
          <w:rtl w:val="true"/>
          <w:lang w:bidi="ar-SA"/>
        </w:rPr>
        <w:t>قدّس اللّه أسرارهم، و جعل الجنّة قرارهم</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413732_3224264995"/>
      <w:bookmarkStart w:id="330" w:name="_Toc127"/>
      <w:bookmarkEnd w:id="329"/>
      <w:r>
        <w:rPr>
          <w:rtl w:val="true"/>
        </w:rPr>
        <w:t>[</w:t>
      </w:r>
      <w:r>
        <w:rPr>
          <w:rtl w:val="true"/>
        </w:rPr>
        <w:t>قول ابن ادریس فی المسألة</w:t>
      </w:r>
      <w:r>
        <w:rPr>
          <w:rtl w:val="true"/>
        </w:rPr>
        <w:t>]</w:t>
      </w:r>
      <w:bookmarkEnd w:id="3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المحقّق الرئیس محمّد بن إدریس إلی التفصیل، فاختار فی صورة تجانس الأسباب تداخلها، و فی صورة تخالفها فی المهیة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عدم التداخل،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تکلّم </w:t>
      </w:r>
      <w:bookmarkStart w:id="331" w:name="pg17288_199662"/>
    </w:p>
    <w:p>
      <w:pPr>
        <w:pStyle w:val="BookText"/>
        <w:rPr/>
      </w:pPr>
      <w:bookmarkEnd w:id="331"/>
      <w:r>
        <w:rPr>
          <w:rFonts w:ascii="IRNazanin" w:hAnsi="IRNazanin" w:eastAsia="IRNazanin"/>
          <w:color w:val="111111"/>
          <w:sz w:val="28"/>
          <w:sz w:val="28"/>
          <w:szCs w:val="28"/>
          <w:rtl w:val="true"/>
          <w:lang w:bidi="fa-IR"/>
        </w:rPr>
        <w:t>المصلّی فی موضعین من صلاته یأتی بسجدتی السهو مرّة، بخلاف ما إذا سلّم و نسی سجدة، فإنّه یجب علیه سجدتا السهو لکلٍّ بخصوصه، فهذه مذاهب أصحابنا الأعلام فی هذا المقام</w:t>
      </w:r>
      <w:r>
        <w:rPr>
          <w:rFonts w:eastAsia="IRNazanin" w:cs="IRNazanin"/>
          <w:color w:val="111111"/>
          <w:sz w:val="28"/>
          <w:szCs w:val="28"/>
          <w:rtl w:val="true"/>
          <w:lang w:bidi="fa-IR"/>
        </w:rPr>
        <w:t>».</w:t>
      </w:r>
      <w:r>
        <w:rPr>
          <w:rStyle w:val="FootnoteAnchor"/>
          <w:rtl w:val="true"/>
        </w:rPr>
        <w:footnoteReference w:id="731"/>
      </w:r>
    </w:p>
    <w:p>
      <w:pPr>
        <w:pStyle w:val="Heading4"/>
        <w:numPr>
          <w:ilvl w:val="3"/>
          <w:numId w:val="1"/>
        </w:numPr>
        <w:rPr/>
      </w:pPr>
      <w:bookmarkStart w:id="332" w:name="__RefHeading___Toc4413734_3224264995"/>
      <w:bookmarkStart w:id="333" w:name="_Toc128"/>
      <w:bookmarkEnd w:id="332"/>
      <w:r>
        <w:rPr>
          <w:rtl w:val="true"/>
        </w:rPr>
        <w:t>[</w:t>
      </w:r>
      <w:r>
        <w:rPr>
          <w:rtl w:val="true"/>
        </w:rPr>
        <w:t>نقل الأقوال حول المسألة</w:t>
      </w:r>
      <w:r>
        <w:rPr>
          <w:rtl w:val="true"/>
        </w:rPr>
        <w:t>]</w:t>
      </w:r>
      <w:bookmarkEnd w:id="333"/>
    </w:p>
    <w:p>
      <w:pPr>
        <w:pStyle w:val="Heading4"/>
        <w:numPr>
          <w:ilvl w:val="3"/>
          <w:numId w:val="1"/>
        </w:numPr>
        <w:rPr/>
      </w:pPr>
      <w:bookmarkStart w:id="334" w:name="__RefHeading___Toc4413736_3224264995"/>
      <w:bookmarkStart w:id="335" w:name="_Toc129"/>
      <w:bookmarkEnd w:id="334"/>
      <w:r>
        <w:rPr>
          <w:rtl w:val="true"/>
        </w:rPr>
        <w:t>[</w:t>
      </w:r>
      <w:r>
        <w:rPr>
          <w:rtl w:val="true"/>
        </w:rPr>
        <w:t>کلام صاحب المدارک</w:t>
      </w:r>
      <w:r>
        <w:rPr>
          <w:rtl w:val="true"/>
        </w:rPr>
        <w:t>]</w:t>
      </w:r>
      <w:bookmarkEnd w:id="335"/>
    </w:p>
    <w:p>
      <w:pPr>
        <w:pStyle w:val="BookText"/>
        <w:rPr/>
      </w:pPr>
      <w:r>
        <w:rPr>
          <w:rFonts w:ascii="IRNazanin" w:hAnsi="IRNazanin" w:eastAsia="IRNazanin"/>
          <w:color w:val="111111"/>
          <w:sz w:val="28"/>
          <w:sz w:val="28"/>
          <w:szCs w:val="28"/>
          <w:rtl w:val="true"/>
          <w:lang w:bidi="fa-IR"/>
        </w:rPr>
        <w:t>و الآن نشرع فی نقل الأقوال، فقال السیّد السند فی المدارک فی جواب القائلین بعدم التداخل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العرف یحکم بکفایة مسمّی واحد، إذ الغرض حصول حقیقة المسبّب و قدحصل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32"/>
      </w:r>
    </w:p>
    <w:p>
      <w:pPr>
        <w:pStyle w:val="Heading4"/>
        <w:numPr>
          <w:ilvl w:val="3"/>
          <w:numId w:val="1"/>
        </w:numPr>
        <w:rPr/>
      </w:pPr>
      <w:bookmarkStart w:id="336" w:name="__RefHeading___Toc4413738_3224264995"/>
      <w:bookmarkStart w:id="337" w:name="_Toc130"/>
      <w:bookmarkEnd w:id="336"/>
      <w:r>
        <w:rPr>
          <w:rtl w:val="true"/>
        </w:rPr>
        <w:t>[</w:t>
      </w:r>
      <w:r>
        <w:rPr>
          <w:rtl w:val="true"/>
        </w:rPr>
        <w:t>کلام المحقق السبزواری</w:t>
      </w:r>
      <w:r>
        <w:rPr>
          <w:rtl w:val="true"/>
        </w:rPr>
        <w:t>]</w:t>
      </w:r>
      <w:bookmarkEnd w:id="337"/>
    </w:p>
    <w:p>
      <w:pPr>
        <w:pStyle w:val="BookText"/>
        <w:rPr/>
      </w:pPr>
      <w:r>
        <w:rPr>
          <w:rFonts w:ascii="IRNazanin" w:hAnsi="IRNazanin" w:eastAsia="IRNazanin"/>
          <w:color w:val="111111"/>
          <w:sz w:val="28"/>
          <w:sz w:val="28"/>
          <w:szCs w:val="28"/>
          <w:rtl w:val="true"/>
          <w:lang w:bidi="fa-IR"/>
        </w:rPr>
        <w:t>و قال صاحب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لانسلّم أنّ الأصل عدم التداخل و قد تحقّق عندی فی الأنظار الاُصولیّة بطلان التمسّک بأمثال هذه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علی تقدیر التسلیم معارض بأصل عدم تعلّق التکلیف بالأمر الزائد علی مسمّی یکون مصداقا لجمیع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33"/>
      </w:r>
    </w:p>
    <w:p>
      <w:pPr>
        <w:pStyle w:val="Heading4"/>
        <w:numPr>
          <w:ilvl w:val="3"/>
          <w:numId w:val="1"/>
        </w:numPr>
        <w:rPr/>
      </w:pPr>
      <w:bookmarkStart w:id="338" w:name="__RefHeading___Toc4413740_3224264995"/>
      <w:bookmarkStart w:id="339" w:name="_Toc131"/>
      <w:bookmarkEnd w:id="338"/>
      <w:r>
        <w:rPr>
          <w:rtl w:val="true"/>
        </w:rPr>
        <w:t>[</w:t>
      </w:r>
      <w:r>
        <w:rPr>
          <w:rtl w:val="true"/>
        </w:rPr>
        <w:t>بیان العلامة المجلسی</w:t>
      </w:r>
      <w:r>
        <w:rPr>
          <w:rtl w:val="true"/>
        </w:rPr>
        <w:t>]</w:t>
      </w:r>
      <w:bookmarkEnd w:id="3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القدّوسی العلاّمة المجلسی فی بحارالأنوار فی کتاب الصلاة فی باب تعدّد أسباب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مع عدم تخلل السجود، فالحکم بتعدّد السجود مشکل، إذ لانسلّم أنّ الأصل عدم التداخل، بل یدلّ أخبار کثیرة علی أ نّه إذا اجتمعت للّه علیک حقوق، کفاک حق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34"/>
      </w:r>
      <w:bookmarkStart w:id="340" w:name="pg17288_199664"/>
    </w:p>
    <w:p>
      <w:pPr>
        <w:pStyle w:val="Heading4"/>
        <w:numPr>
          <w:ilvl w:val="3"/>
          <w:numId w:val="1"/>
        </w:numPr>
        <w:rPr/>
      </w:pPr>
      <w:bookmarkStart w:id="341" w:name="__RefHeading___Toc4413742_3224264995"/>
      <w:bookmarkStart w:id="342" w:name="_Toc132"/>
      <w:bookmarkEnd w:id="340"/>
      <w:bookmarkEnd w:id="341"/>
      <w:r>
        <w:rPr>
          <w:rtl w:val="true"/>
        </w:rPr>
        <w:t>[</w:t>
      </w:r>
      <w:r>
        <w:rPr>
          <w:rtl w:val="true"/>
        </w:rPr>
        <w:t>بیان المحقق الخوانساری</w:t>
      </w:r>
      <w:r>
        <w:rPr>
          <w:rtl w:val="true"/>
        </w:rPr>
        <w:t>]</w:t>
      </w:r>
      <w:bookmarkEnd w:id="342"/>
    </w:p>
    <w:p>
      <w:pPr>
        <w:pStyle w:val="BookText"/>
        <w:rPr/>
      </w:pPr>
      <w:r>
        <w:rPr>
          <w:rFonts w:ascii="IRNazanin" w:hAnsi="IRNazanin" w:eastAsia="IRNazanin"/>
          <w:color w:val="111111"/>
          <w:sz w:val="28"/>
          <w:sz w:val="28"/>
          <w:szCs w:val="28"/>
          <w:rtl w:val="true"/>
          <w:lang w:bidi="fa-IR"/>
        </w:rPr>
        <w:t>و قال المحقّق الخوانساری فی شرح الدروس فی بحث تداخل الأغسال ببیان مأنوس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المراد من الأصل هو الظاهر ـ کما فی بعض الاصطلاحات ـ فیصیر حاصل الدلیل أنّ کلاّ من هذه الأسباب سبب مستقل و الظاهر استدعاء کلّ منها مسبّبا بانفراده، فجوابه منع الظهور، بل الظاهر اقتضاء کلّ منها مسمّی المسبّب المتحقّق فی ضمن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الاستصحاب ـ کما یقولون الأصل عدم الحادث ـ ففساده ظاهر و إنّما الاشتباه من شیوع أنّ الأصل العدم بینهم، فلم یحقّقوا معناه و استعملوه فی غیر موضعه مع أنّه فی موضعه أیضا محلّ کلام لیس هذا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الغلبة و الکثرة فهو أیضا باطل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35"/>
      </w:r>
    </w:p>
    <w:p>
      <w:pPr>
        <w:pStyle w:val="Heading4"/>
        <w:numPr>
          <w:ilvl w:val="3"/>
          <w:numId w:val="1"/>
        </w:numPr>
        <w:rPr/>
      </w:pPr>
      <w:bookmarkStart w:id="343" w:name="__RefHeading___Toc4413744_3224264995"/>
      <w:bookmarkStart w:id="344" w:name="_Toc133"/>
      <w:bookmarkEnd w:id="343"/>
      <w:r>
        <w:rPr>
          <w:rtl w:val="true"/>
        </w:rPr>
        <w:t>[</w:t>
      </w:r>
      <w:r>
        <w:rPr>
          <w:rtl w:val="true"/>
        </w:rPr>
        <w:t>قول المصنّف قدس‌سره قبل تألیف الرسالة</w:t>
      </w:r>
      <w:r>
        <w:rPr>
          <w:rtl w:val="true"/>
        </w:rPr>
        <w:t>]</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قد کان السانح بخاطری الفاتر فیما مضی من الأیّام، رجحان القول بالتداخل وفاقا لهؤلاء الأعاظم نظرا إلی أنّ عدم التداخل أصل غیر أصیل، إذ غرض الآمر لیس إلاّ حصول مسمّی السبب و قد حصل بمصداق واحد، فإنّه لمّا کان له جهات متعدّدة و حیثیّات مختلفة فی قصد المکلّف، صدق علیه أنّ فعله مسبّب لکلّ من الأسباب المجتمعة و أ نّه لأجل جمیعها إذا صدر من المکلّف قصد الجمع ثمّ أتی بالفعل المأمور به و هذا القدر کافٍ فی برائة الذمّة و الخروج من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کما أنّ الأصل عدم التداخل فلیأت لکلّ سبب مسبّبا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معنا أصالة عدم التکلیف الوجوبی بالزائد علی حصول المسمّی، فإنّ اقتضاء کلّ سبب سبب مسبّبا زیادة فی التکلیف و الأصل عدمها و الأصل برائة الذمّة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الأخبار الدالّة علی التداخل،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المیّت إذا کان جنبا غسل غسلاً </w:t>
      </w:r>
      <w:bookmarkStart w:id="345" w:name="pg17288_199666"/>
    </w:p>
    <w:p>
      <w:pPr>
        <w:pStyle w:val="BookText"/>
        <w:rPr/>
      </w:pPr>
      <w:bookmarkEnd w:id="345"/>
      <w:r>
        <w:rPr>
          <w:rFonts w:ascii="IRNazanin" w:hAnsi="IRNazanin" w:eastAsia="IRNazanin"/>
          <w:color w:val="111111"/>
          <w:sz w:val="28"/>
          <w:sz w:val="28"/>
          <w:szCs w:val="28"/>
          <w:rtl w:val="true"/>
          <w:lang w:bidi="fa-IR"/>
        </w:rPr>
        <w:t>واحدا لأنّهما حرمتان اجتمعتا فی حرمة واحدة</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أی لأنّ الغسلین حقّان واجبان اجتمعتا فی مادّة واحدة، فإنّ دلالة هذا الخبر علی کفایة مجرّد المسمّی فی غایة الظهور و الجلاء، إذ الإمام علیه‌السلام نصّ علی علّة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القیاس المنصوص العلّه حجّة یشهد به الفهم العرفی أیضا کما اختاره أکثر الأصحاب فهذه عبارات ما سنح لی فی الأیّام الماضیة</w:t>
      </w:r>
      <w:r>
        <w:rPr>
          <w:rFonts w:eastAsia="IRNazanin" w:cs="IRNazanin"/>
          <w:color w:val="111111"/>
          <w:sz w:val="28"/>
          <w:szCs w:val="28"/>
          <w:rtl w:val="true"/>
          <w:lang w:bidi="fa-IR"/>
        </w:rPr>
        <w:t>.</w:t>
      </w:r>
    </w:p>
    <w:p>
      <w:pPr>
        <w:pStyle w:val="Heading4"/>
        <w:numPr>
          <w:ilvl w:val="3"/>
          <w:numId w:val="1"/>
        </w:numPr>
        <w:rPr/>
      </w:pPr>
      <w:bookmarkStart w:id="346" w:name="__RefHeading___Toc4413746_3224264995"/>
      <w:bookmarkStart w:id="347" w:name="_Toc134"/>
      <w:bookmarkEnd w:id="346"/>
      <w:r>
        <w:rPr>
          <w:rtl w:val="true"/>
        </w:rPr>
        <w:t>[</w:t>
      </w:r>
      <w:r>
        <w:rPr>
          <w:rtl w:val="true"/>
        </w:rPr>
        <w:t>قول المصنف حین تألیف الرسالة</w:t>
      </w:r>
      <w:r>
        <w:rPr>
          <w:rtl w:val="true"/>
        </w:rPr>
        <w:t>]</w:t>
      </w:r>
      <w:bookmarkEnd w:id="347"/>
    </w:p>
    <w:p>
      <w:pPr>
        <w:pStyle w:val="BookText"/>
        <w:rPr/>
      </w:pPr>
      <w:r>
        <w:rPr>
          <w:rFonts w:ascii="IRNazanin" w:hAnsi="IRNazanin" w:eastAsia="IRNazanin"/>
          <w:color w:val="111111"/>
          <w:sz w:val="28"/>
          <w:sz w:val="28"/>
          <w:szCs w:val="28"/>
          <w:rtl w:val="true"/>
          <w:lang w:bidi="fa-IR"/>
        </w:rPr>
        <w:t>و لکن الذی یقوی عندی فی هذا الأوان و یرجّح لدیّ فی هذا الزمان خلافه وفاقا للأکثر، فالآن عندی من أدلّة عدم التداخل وجوه من التقریر بها یظهر أنواع الخلل و الفساد فی کلام الفضلاء المذکورین الذین نقلنا عین عباراتهم</w:t>
      </w:r>
      <w:r>
        <w:rPr>
          <w:rFonts w:eastAsia="IRNazanin" w:cs="IRNazanin"/>
          <w:color w:val="111111"/>
          <w:sz w:val="28"/>
          <w:szCs w:val="28"/>
          <w:rtl w:val="true"/>
          <w:lang w:bidi="fa-IR"/>
        </w:rPr>
        <w:t>.</w:t>
      </w:r>
    </w:p>
    <w:p>
      <w:pPr>
        <w:pStyle w:val="Heading3"/>
        <w:numPr>
          <w:ilvl w:val="2"/>
          <w:numId w:val="1"/>
        </w:numPr>
        <w:rPr/>
      </w:pPr>
      <w:bookmarkStart w:id="348" w:name="__RefHeading___Toc4413748_3224264995"/>
      <w:bookmarkStart w:id="349" w:name="_Toc135"/>
      <w:bookmarkEnd w:id="348"/>
      <w:r>
        <w:rPr>
          <w:rtl w:val="true"/>
        </w:rPr>
        <w:t>[</w:t>
      </w:r>
      <w:r>
        <w:rPr>
          <w:rtl w:val="true"/>
        </w:rPr>
        <w:t>التقاریر الستة</w:t>
      </w:r>
      <w:r>
        <w:rPr>
          <w:rtl w:val="true"/>
        </w:rPr>
        <w:t>]</w:t>
      </w:r>
      <w:bookmarkEnd w:id="349"/>
    </w:p>
    <w:p>
      <w:pPr>
        <w:pStyle w:val="Heading4"/>
        <w:numPr>
          <w:ilvl w:val="3"/>
          <w:numId w:val="1"/>
        </w:numPr>
        <w:rPr/>
      </w:pPr>
      <w:bookmarkStart w:id="350" w:name="__RefHeading___Toc4413750_3224264995"/>
      <w:bookmarkStart w:id="351" w:name="_Toc136"/>
      <w:bookmarkEnd w:id="350"/>
      <w:r>
        <w:rPr>
          <w:rtl w:val="true"/>
        </w:rPr>
        <w:t>[</w:t>
      </w:r>
      <w:r>
        <w:rPr>
          <w:rtl w:val="true"/>
        </w:rPr>
        <w:t>قول المصنف حین تألیف الرسالة</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لاریب أنّ کلّ سبب سبب بلغنا من الشارع صلی الله علیه و آله إذا لاحظناه فی حدّ ذاته مع قطع النظر عن جمع المکلف إیّاه مع سبب آخر فی زمان واحد، فإنّه یقتضی مسبّبا بانفراده مختصّا به و الأصل بقاؤه علی هذه</w:t>
      </w:r>
      <w:r>
        <w:rPr>
          <w:rStyle w:val="FootnoteAnchor"/>
          <w:rtl w:val="true"/>
        </w:rPr>
        <w:footnoteReference w:id="737"/>
      </w:r>
      <w:r>
        <w:rPr>
          <w:rFonts w:ascii="IRNazanin" w:hAnsi="IRNazanin" w:eastAsia="IRNazanin"/>
          <w:color w:val="111111"/>
          <w:sz w:val="28"/>
          <w:sz w:val="28"/>
          <w:szCs w:val="28"/>
          <w:rtl w:val="true"/>
          <w:lang w:bidi="fa-IR"/>
        </w:rPr>
        <w:t>الحال فی صورة الاجتماع أیضا و الأصل هاهنا بمعنی الاستصحاب و هو حجّة البتة</w:t>
      </w:r>
      <w:r>
        <w:rPr>
          <w:rFonts w:eastAsia="IRNazanin" w:cs="IRNazanin"/>
          <w:color w:val="111111"/>
          <w:sz w:val="28"/>
          <w:szCs w:val="28"/>
          <w:rtl w:val="true"/>
          <w:lang w:bidi="fa-IR"/>
        </w:rPr>
        <w:t>.</w:t>
      </w:r>
    </w:p>
    <w:p>
      <w:pPr>
        <w:pStyle w:val="Heading3"/>
        <w:numPr>
          <w:ilvl w:val="2"/>
          <w:numId w:val="1"/>
        </w:numPr>
        <w:rPr/>
      </w:pPr>
      <w:bookmarkStart w:id="352" w:name="__RefHeading___Toc4413752_3224264995"/>
      <w:bookmarkStart w:id="353" w:name="_Toc137"/>
      <w:bookmarkEnd w:id="352"/>
      <w:r>
        <w:rPr>
          <w:rtl w:val="true"/>
        </w:rPr>
        <w:t>[</w:t>
      </w:r>
      <w:r>
        <w:rPr>
          <w:rtl w:val="true"/>
        </w:rPr>
        <w:t>التقاریر الستة</w:t>
      </w:r>
      <w:r>
        <w:rPr>
          <w:rtl w:val="true"/>
        </w:rPr>
        <w:t>]</w:t>
      </w:r>
      <w:bookmarkEnd w:id="353"/>
    </w:p>
    <w:p>
      <w:pPr>
        <w:pStyle w:val="Heading4"/>
        <w:numPr>
          <w:ilvl w:val="3"/>
          <w:numId w:val="1"/>
        </w:numPr>
        <w:rPr/>
      </w:pPr>
      <w:bookmarkStart w:id="354" w:name="__RefHeading___Toc4413754_3224264995"/>
      <w:bookmarkStart w:id="355" w:name="_Toc138"/>
      <w:bookmarkEnd w:id="354"/>
      <w:r>
        <w:rPr>
          <w:rtl w:val="true"/>
        </w:rPr>
        <w:t>اشاره</w:t>
      </w:r>
      <w:bookmarkEnd w:id="35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جعل الشارع شیئا شیئا سبب لأمر و أطلق فیه السببیة، فلا شکّ إنّا نفهم من لفظه صلی الله علیه و آله أن یقتضی کلّ من تلک الأسباب مسبّبا مخصوصا به، فإنّه صلی الله علیه و آله حینئذٍ لم‌یبیّن لنا کیفیّة سببیّة کلّ سبب، و کلامه مطلق لیس فیه 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قال لنا إذا اجتمع أحد تلک الأسباب مع آخر تکفیک مسبّب واحد و إلاّ فلکلّ مسبّب علیحدة لکان الحقّ مع القائلین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فموضع النزاع إنّما إذا أطلق الشارع سببیّة الأسباب من دون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قیّدها بحال دون حال و فرّق بین اقتضائها منفردا و مجتمعا، فلیس ممّا نحن فیه و نحن نقول بالتداخل و لکن لاینقدح به القاعدة ـ أعنی أصالة عدم التداخل ـ إذ خرج ما خرج بالدلیل و هو نصّ الشارع فبقی الباقی تحت الأصل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تبیّن أنّ العرف أیضا ـ أعنی المتفاهم العرفی ـ من ألفاظ القرآن و الحدیث فی مقام ذکر الأسباب الشرعیّة و مسبّباتها مع من یری عدم التداخل لا مع الذین یرون التداخل کما توهّم القائلون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دلّ الشرع بقرینة أو أمارة علی أنّ المناط مجرّد الإتیان بالمسمّی، فنقول حینئذ بالتداخل کما أنّ أهل العرف أیضا قد یفهمون کفایة مجرّد المسمّی و أ نّه مجزٍ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بعض الموارد و لکنّ الإشکال فی عموم المناط المذکور، بل و فی کثرته و اغلبیته أیضا و دون إثباتهما خرط القتاد، فکفایة المسمّی فی خصوص بعض المقامات فی الشرع الأنور لایجدی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مجرّد کون نبذ من الأسباب العرفیّة متداخلة لایقتضی اطراد التداخل فی الأسباب الشرعیة، بل و علی تقدیر کفایة المسمّی فی جمیع المقامات العرفیة أیضا لایطرد تداخل الأسباب الشرعیّة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 نّه ظاهر بلا التباس أنّ عرض أحکام الشرع علی العرف مجرّد قیاس فاسد الأساس إذ فی أکثر الاُمور الشرعیّة و الأحکام الدینیّة خصوصیات و نکات و خفایا لایعلمها إلاّ الشارع و الأئمة المعصومون علیهم‌السلام و لایفهمها سائر البشر و لذا منعنا عن إتباع الظنون و الأهواء و الأقیسة و الآراء و من هنا صار عندنا العمل بالقیاس حراما باجماع أهل البیت علیهم‌السلام مع أ نّه یستفاد منه أقوی الظنون کما یشهد به العرف و الوجدان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هب أنّ العرف یحکم بالتداخل ولکن کیف یکون حاکما علی الشرع غالبا، فثبت عدم کون فهم العرف و وجدانهم مناط امتثال الأوامر الشرعیّة فی أغلب المواضع، فلو کانت</w:t>
      </w:r>
      <w:r>
        <w:rPr>
          <w:rStyle w:val="FootnoteAnchor"/>
          <w:rtl w:val="true"/>
        </w:rPr>
        <w:footnoteReference w:id="738"/>
      </w:r>
      <w:r>
        <w:rPr>
          <w:rFonts w:ascii="IRNazanin" w:hAnsi="IRNazanin" w:eastAsia="IRNazanin"/>
          <w:color w:val="111111"/>
          <w:sz w:val="28"/>
          <w:sz w:val="28"/>
          <w:szCs w:val="28"/>
          <w:rtl w:val="true"/>
          <w:lang w:bidi="fa-IR"/>
        </w:rPr>
        <w:t>القاعدة کون العرف مناط کذلک لزم أن یکون تارک أقلّ أجزاء الصلاة بحیث لایصحّ بعدمها سلب إسم الصلاة عرفا ممتثلاً شرعا و أن تکون صلاته هذه مجزیة لأنّ أهل العرف یحکمون قطعا حقیقة بأنّه یصلّی، لکنّ اللازم باطل قطعا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الصلاة الکذائیة باطلة إلاّ باعتبار أنّ معیار الصحّة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البطلان فی العبادات و أحکامها هو الشرع لا غیره من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أهل العرف و اللغة لم یفهموا ما الصلاة و لا أحکامها و لا مبطلاتها و لا أنّها تصدق علی أیّ عمل ما لم یبیّنه الرسول صلی الله علیه و آله ، فإذن أغلب مسائل الشرع و أحکامها و ألفاظها الموضوعة للمعانی الشرعیّة توقیفیّة فما لم یوقفنا الشارع و یعلمنا إیّاها لانفهم شیئا منها فالعبادات معالجات و أدویة و مقویات للنفوس و الأرواح و الشارع طبیبها فکما أنّ مجموع أسماء الأدویة المرکبة و المفردة و صدقها علی تلک الحقائق و معرفتها و أحکامها و آثارها و منافیاتها توقیفیّة مبتنیة علی مطابقة متن الواقع و نفس الأمر و لایکفی فیها مجرّد الصدق العرفی و لایتطرق إلیها التسامحات العرفیّة و اللغویّة، بل لیس أهل الخبرة فی جمیع ما ذکر إلاّ الأطباء الجسدانیّة، فکذلک المعیار فی صدق الألفاظ الشرعیّة علی معانیها من العبادات و أحکامها و آثارها؛ و معرفة طرق صحّتها و بطلانها، هو طبیب الأرواح ـ أعنی الشارع صلی الله علیه و آله ـ فلاتنوط تلک الأمور بصدق العرف فإذا لایبرأ ذمّة المکلّف إلاّ إذا فعل ما یصدق علیه الإسم شرعا و یطابق الواقع و لایتأتی هذا إلاّ بأن یؤتی لکلّ سبب سبب بمسبّب علی حدّة، فإنّ بهذا تحصل البراءة الیقینیّة و الخروج من عهدة التکلیف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التفصیل و التحقیق ظهر أنّ الأصل عدم المتداخل بمعنی اللاستصحاب و أ نّه </w:t>
      </w:r>
      <w:bookmarkStart w:id="356" w:name="pg17288_199672"/>
    </w:p>
    <w:p>
      <w:pPr>
        <w:pStyle w:val="BookText"/>
        <w:rPr/>
      </w:pPr>
      <w:bookmarkEnd w:id="356"/>
      <w:r>
        <w:rPr>
          <w:rFonts w:ascii="IRNazanin" w:hAnsi="IRNazanin" w:eastAsia="IRNazanin"/>
          <w:color w:val="111111"/>
          <w:sz w:val="28"/>
          <w:sz w:val="28"/>
          <w:szCs w:val="28"/>
          <w:rtl w:val="true"/>
          <w:lang w:bidi="fa-IR"/>
        </w:rPr>
        <w:t>ممّا یصحّ بل یحسن إجراؤه فی هذا المقام فلایصغی إلی قول المحقّق الخوانساری حیث زعم أ نّه لایتّجه هاهنا</w:t>
      </w:r>
      <w:r>
        <w:rPr>
          <w:rFonts w:eastAsia="IRNazanin" w:cs="IRNazanin"/>
          <w:color w:val="111111"/>
          <w:sz w:val="28"/>
          <w:szCs w:val="28"/>
          <w:rtl w:val="true"/>
          <w:lang w:bidi="fa-IR"/>
        </w:rPr>
        <w:t>.</w:t>
      </w:r>
    </w:p>
    <w:p>
      <w:pPr>
        <w:pStyle w:val="Heading4"/>
        <w:numPr>
          <w:ilvl w:val="3"/>
          <w:numId w:val="1"/>
        </w:numPr>
        <w:rPr/>
      </w:pPr>
      <w:bookmarkStart w:id="357" w:name="__RefHeading___Toc4413756_3224264995"/>
      <w:bookmarkStart w:id="358" w:name="_Toc139"/>
      <w:bookmarkEnd w:id="357"/>
      <w:r>
        <w:rPr>
          <w:rtl w:val="true"/>
        </w:rPr>
        <w:t>التقریر الثالث</w:t>
      </w:r>
      <w:bookmarkEnd w:id="358"/>
    </w:p>
    <w:p>
      <w:pPr>
        <w:pStyle w:val="Heading5"/>
        <w:numPr>
          <w:ilvl w:val="4"/>
          <w:numId w:val="1"/>
        </w:numPr>
        <w:rPr/>
      </w:pPr>
      <w:bookmarkStart w:id="359" w:name="__RefHeading___Toc4413758_3224264995"/>
      <w:bookmarkStart w:id="360" w:name="_Toc140"/>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إذا ورد خبر بأنّ السلام یوجب سجود السهو،</w:t>
      </w:r>
      <w:r>
        <w:rPr>
          <w:rStyle w:val="FootnoteAnchor"/>
          <w:rtl w:val="true"/>
        </w:rPr>
        <w:footnoteReference w:id="739"/>
      </w:r>
      <w:r>
        <w:rPr>
          <w:rFonts w:ascii="IRNazanin" w:hAnsi="IRNazanin" w:eastAsia="IRNazanin"/>
          <w:color w:val="111111"/>
          <w:sz w:val="28"/>
          <w:sz w:val="28"/>
          <w:szCs w:val="28"/>
          <w:rtl w:val="true"/>
          <w:lang w:bidi="fa-IR"/>
        </w:rPr>
        <w:t>و حدیث آخر أیضا بأنّ الکلام یوجب السهو</w:t>
      </w:r>
      <w:r>
        <w:rPr>
          <w:rStyle w:val="FootnoteAnchor"/>
          <w:rtl w:val="true"/>
        </w:rPr>
        <w:footnoteReference w:id="740"/>
      </w:r>
      <w:r>
        <w:rPr>
          <w:rFonts w:ascii="IRNazanin" w:hAnsi="IRNazanin" w:eastAsia="IRNazanin"/>
          <w:color w:val="111111"/>
          <w:sz w:val="28"/>
          <w:sz w:val="28"/>
          <w:szCs w:val="28"/>
          <w:rtl w:val="true"/>
          <w:lang w:bidi="fa-IR"/>
        </w:rPr>
        <w:t>، و روایة اُخری أیضا بأنّ حکم شکّ الأربع و الخمس یوجب السجود</w:t>
      </w:r>
      <w:r>
        <w:rPr>
          <w:rStyle w:val="FootnoteAnchor"/>
          <w:rtl w:val="true"/>
        </w:rPr>
        <w:footnoteReference w:id="741"/>
      </w:r>
      <w:r>
        <w:rPr>
          <w:rFonts w:ascii="IRNazanin" w:hAnsi="IRNazanin" w:eastAsia="IRNazanin"/>
          <w:color w:val="111111"/>
          <w:sz w:val="28"/>
          <w:sz w:val="28"/>
          <w:szCs w:val="28"/>
          <w:rtl w:val="true"/>
          <w:lang w:bidi="fa-IR"/>
        </w:rPr>
        <w:t>فلا ریب إنّا إذا لاحظنا کلاًّ من تلک الأخبار فی حدّ ذاتها بدون مقایسة بعضها مع بعض یکون معانیها اقتضاء کلّ من الأسباب المذکورة سجودا علی حدة مختصّا به ولو فی صورة تعدد تلک الأسباب للشخص المصلّی علی التعاقب، بل و لو فی حال صدورها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کذلک باعتبار أصالة عدم التفاوت و التغایر فی دلالة الأخبار المذکورة فکما تدلّ کلّ منها فی صورة وحدة السبب علی کونه سببا تاما مقتضیا لمسبب مختص به، فکذلک فی صورة انضمام بعضها مع بعض سواء کانت متعاقبة أو مجتمعة</w:t>
      </w:r>
      <w:r>
        <w:rPr>
          <w:rFonts w:eastAsia="IRNazanin" w:cs="IRNazanin"/>
          <w:color w:val="111111"/>
          <w:sz w:val="28"/>
          <w:szCs w:val="28"/>
          <w:rtl w:val="true"/>
          <w:lang w:bidi="fa-IR"/>
        </w:rPr>
        <w:t>.</w:t>
      </w:r>
    </w:p>
    <w:p>
      <w:pPr>
        <w:pStyle w:val="Heading5"/>
        <w:numPr>
          <w:ilvl w:val="4"/>
          <w:numId w:val="1"/>
        </w:numPr>
        <w:rPr/>
      </w:pPr>
      <w:bookmarkStart w:id="361" w:name="__RefHeading___Toc4413760_3224264995"/>
      <w:bookmarkStart w:id="362" w:name="_Toc141"/>
      <w:bookmarkEnd w:id="361"/>
      <w:r>
        <w:rPr>
          <w:rtl w:val="true"/>
        </w:rPr>
        <w:t>[</w:t>
      </w:r>
      <w:r>
        <w:rPr>
          <w:rtl w:val="true"/>
        </w:rPr>
        <w:t>توهم القائلون بالتداخل</w:t>
      </w:r>
      <w:r>
        <w:rPr>
          <w:rtl w:val="true"/>
        </w:rPr>
        <w:t>]</w:t>
      </w:r>
      <w:bookmarkEnd w:id="362"/>
    </w:p>
    <w:p>
      <w:pPr>
        <w:pStyle w:val="BookText"/>
        <w:rPr/>
      </w:pPr>
      <w:r>
        <w:rPr>
          <w:rFonts w:ascii="IRNazanin" w:hAnsi="IRNazanin" w:eastAsia="IRNazanin"/>
          <w:color w:val="111111"/>
          <w:sz w:val="28"/>
          <w:sz w:val="28"/>
          <w:szCs w:val="28"/>
          <w:rtl w:val="true"/>
          <w:lang w:bidi="fa-IR"/>
        </w:rPr>
        <w:t>و إنّما توهّم القائلون بالتداخل کفایة مجرّد المسمّی باعتبار ملاحظة اجتماع تلک الأسباب فی بعض الأوقات فی الخارج و خصوصا إذا کانت متماثلة أی من أفراد نوع واحد، فصارت علیهم شبهة و ترآی فی نظرهم أنّ دلالة اللفظ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 نّه لیس کذلک، بل کل من تلک الأخبار قول علیحدة یدل علی مدلول منفرد یقتضی وجوب سجود مختص به</w:t>
      </w:r>
      <w:r>
        <w:rPr>
          <w:rFonts w:eastAsia="IRNazanin" w:cs="IRNazanin"/>
          <w:color w:val="111111"/>
          <w:sz w:val="28"/>
          <w:szCs w:val="28"/>
          <w:rtl w:val="true"/>
          <w:lang w:bidi="fa-IR"/>
        </w:rPr>
        <w:t>.</w:t>
      </w:r>
    </w:p>
    <w:p>
      <w:pPr>
        <w:pStyle w:val="Heading5"/>
        <w:numPr>
          <w:ilvl w:val="4"/>
          <w:numId w:val="1"/>
        </w:numPr>
        <w:rPr/>
      </w:pPr>
      <w:bookmarkStart w:id="363" w:name="__RefHeading___Toc4413762_3224264995"/>
      <w:bookmarkStart w:id="364" w:name="_Toc142"/>
      <w:bookmarkEnd w:id="363"/>
      <w:r>
        <w:rPr>
          <w:rtl w:val="true"/>
        </w:rPr>
        <w:t>[</w:t>
      </w:r>
      <w:r>
        <w:rPr>
          <w:rtl w:val="true"/>
        </w:rPr>
        <w:t>دفع التوهم</w:t>
      </w:r>
      <w:r>
        <w:rPr>
          <w:rtl w:val="true"/>
        </w:rPr>
        <w:t>]</w:t>
      </w:r>
      <w:bookmarkEnd w:id="3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فلا یخفی سهولة اندفاع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هذا التوهّم بملاحظة کلّ دلیل دلیل یفید </w:t>
      </w:r>
    </w:p>
    <w:p>
      <w:pPr>
        <w:pStyle w:val="BookText"/>
        <w:rPr/>
      </w:pPr>
      <w:r>
        <w:rPr>
          <w:rFonts w:ascii="IRNazanin" w:hAnsi="IRNazanin" w:eastAsia="IRNazanin"/>
          <w:color w:val="111111"/>
          <w:sz w:val="28"/>
          <w:sz w:val="28"/>
          <w:szCs w:val="28"/>
          <w:rtl w:val="true"/>
          <w:lang w:bidi="fa-IR"/>
        </w:rPr>
        <w:t>سببیة سبب سبب فإنّک إذا لاحظت فی کلّ منها فی حدّ ذاتها مع قطع النظر عن انضمامه إلی آخر، تجد أنّ مدلول کلّ وجوب مسبب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 إذا استمع المکلّف آیة السجدة مثلاً تعلّق بذمّته سجود مخصوص هو مسبّب عن خصوص الاستماع، ثمّ إذا قرأها فعلیه سجود آخر أیضا إذ المفروض أنّ القراءة أیضا سبب علیحدة فیقتضی مسبّبا علیحدة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فی صورة تخلل السجود بین وجوه هذین السببین یجب علیه سجودان لظاهر الدلیلین ـ أی الأمرین الواردین فی الشرع ـ کذلک یجب علیه سجودان فی صورة عدم التخلل و هو حال اجتماع السببین ـ أعنی بعد وجودهما ـ لأنّ الأصل عدم التغایر و التفاوت فی دلالة اللفظ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 هنا أیضا ظهر أنّ جریان الأصل بمعنی الاستصحاب صحیح متین و إلاّ لأصالة عدم التداخل معنی محصلاًّ فلاتصغ إلی قول الفاضل السبزواری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فنحن لمّا کنّا فی مقام المنع فینفعنا و یکفینا إنکار تفاوت دلالة اللفظ بین صورتی الانفراد و الانضمام بخلاف القائلین بالتداخل، فإنّ علیهم بإثبات التفاوت و التغییر و یلزم تجشم الاستدلال و هو عسیر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لنا أیضا توجیه الأصل بمعنی الظاهر، بل هو فی غایة الجودة و بمعنی الکثرة و الغلبة أیضا، و بمعنی القاعدة الشرعیة أیضا و إن کان مال الکلّ واحد، أو الظهور الذی ادعیناه و إن لم یکن تامّا باعتبار کثرة الشبهات فی المسئلة، إلاّ أنّه یصلح للتعویل علیه عند الأذهان الصافیة الغیر المشوبة بها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بیانه أنّه إذا سلّم علیک جماعة مثلاً ولو دفعة بدون تعاقب و رددت السلام علیهم بصیغة واحدة قاصدا بها الکلّ، اعترضوا علیک البتة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الداعی و ما السبب حیث اقتصرت علی ردّ واحد و نحن جمع کثیر و هلاّ رددت علی کلّ منّا بسلام علیحدة؛ فأنظر یا أخی هل هذا الاعتراض و المطالبة إلاّ لأجل حکم العرف و ظهور عدم التداخل فی أذهان الناس؛ و قس علی هذا المثال نظائره فإن جعلت هذا المثال مخدوشا </w:t>
      </w:r>
    </w:p>
    <w:p>
      <w:pPr>
        <w:pStyle w:val="BookText"/>
        <w:rPr/>
      </w:pPr>
      <w:r>
        <w:rPr>
          <w:rFonts w:ascii="IRNazanin" w:hAnsi="IRNazanin" w:eastAsia="IRNazanin"/>
          <w:color w:val="111111"/>
          <w:sz w:val="28"/>
          <w:sz w:val="28"/>
          <w:szCs w:val="28"/>
          <w:rtl w:val="true"/>
          <w:lang w:bidi="fa-IR"/>
        </w:rPr>
        <w:t>فلیس إلاّ مناقشة فی المثال و لا یخلّ بأصل المطلب، فإنّ لنا أمثلة کثیرة فوق حدّ الإحصاء لایرتضی العرف فیها الاکتفاء بمجرّد المسمّی و الاتیان بمصداق واحدٍ، فثبت أنّ مقتضی القاعدة و العرف و الأعمّ الأغلب هو الإتیان لکلّ سبب سبب بمسبّب علیحدة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تبیّن أنّ لیس محض وجود المسمّی فی العرف مرضیّا فما ظنّک بخطابات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لایکون المتفاهم العرفی فیها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 نّه ما أرسل من رسول إلاّ بلسان قومه فالعرف إن لم یکن معنا فلیس علینا ألبتة فأین یذهب القائلون بالتداخل حائرین یمینا و شمالاً یزعمون أنّ العرف دلیلهم هذا؟</w:t>
      </w:r>
    </w:p>
    <w:p>
      <w:pPr>
        <w:pStyle w:val="BookText"/>
        <w:rPr/>
      </w:pPr>
      <w:r>
        <w:rPr>
          <w:rFonts w:ascii="IRNazanin" w:hAnsi="IRNazanin" w:eastAsia="IRNazanin"/>
          <w:color w:val="111111"/>
          <w:sz w:val="28"/>
          <w:sz w:val="28"/>
          <w:szCs w:val="28"/>
          <w:rtl w:val="true"/>
          <w:lang w:bidi="fa-IR"/>
        </w:rPr>
        <w:t>و ظنّی أنّ منشأ توهّمهم و سبب اشتباههم هو ملاحظة خصوص بعض المقامات النادرة التی یحکم العرف فیها بکفایة المسمّی، فلذا تعدّوا عنها و زعموا التداخل مقتضی العرف و قاعدة أغلبیّة و نحن أیضا لاتنکرها و لکنّها فی غایة الندور و ما یخالفها أکثر و أشیع، فهو أحق بأن یجعل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تدقیق النظر یظهر أنّ حکم العرف فی تلک المواضع النادرة إنّما هو باعتبار مانع و خصوصیة لاتوجد فی أغلب المقامات لا باعتبارها فی حدّ ذاتها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فلهذا یتراآی فی بادی النظر و أوّل الوهلة حکما عرفیّا مطّردا و إلاّ فلیس بمقتضی العرف من حیث هو عرف،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 ما بیّنا، ظهر فساد ما ذکره صاحب المدارک من أن العرف یحکم بالتداخل</w:t>
      </w:r>
      <w:r>
        <w:rPr>
          <w:rFonts w:eastAsia="IRNazanin" w:cs="IRNazanin"/>
          <w:color w:val="111111"/>
          <w:sz w:val="28"/>
          <w:szCs w:val="28"/>
          <w:rtl w:val="true"/>
          <w:lang w:bidi="fa-IR"/>
        </w:rPr>
        <w:t>.</w:t>
      </w:r>
      <w:r>
        <w:rPr>
          <w:rStyle w:val="FootnoteAnchor"/>
          <w:rtl w:val="true"/>
        </w:rPr>
        <w:footnoteReference w:id="74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بعد اطلاعک علی ما تقرّر فی علم الاُصول و الاستدلالات الفقهیّة من أنّ الاستصحاب و الظاهر المستفادین من الألفاظ و المحاورات، حجّة إجماعا؛ بل علیها مدار التفهّم و التفهیم، بل أرجح من أکثر الأدلّة الظنیّة العقلیّة المعارضة بمثلها غالبا، تجد أ نّه لایتّجه للقائلین بالتداخل أن یتمسّکوا بأصالة عدم زیادة التکلیف، کما فعله صاحب الذخیرة رحمه‌الله </w:t>
      </w:r>
      <w:r>
        <w:rPr>
          <w:rStyle w:val="FootnoteAnchor"/>
          <w:rtl w:val="true"/>
        </w:rPr>
        <w:footnoteReference w:id="743"/>
      </w:r>
      <w:r>
        <w:rPr>
          <w:rFonts w:ascii="IRNazanin" w:hAnsi="IRNazanin" w:eastAsia="IRNazanin"/>
          <w:color w:val="111111"/>
          <w:sz w:val="28"/>
          <w:sz w:val="28"/>
          <w:szCs w:val="28"/>
          <w:rtl w:val="true"/>
          <w:lang w:bidi="fa-IR"/>
        </w:rPr>
        <w:t xml:space="preserve">فإنّها علی تقدیر حجیّتها إنّما تفید إذا لم یعارضها الظواهر و الظنون اللفظیّة </w:t>
      </w:r>
      <w:bookmarkStart w:id="365" w:name="pg17288_199678"/>
    </w:p>
    <w:p>
      <w:pPr>
        <w:pStyle w:val="BookText"/>
        <w:rPr/>
      </w:pPr>
      <w:bookmarkEnd w:id="365"/>
      <w:r>
        <w:rPr>
          <w:rFonts w:ascii="IRNazanin" w:hAnsi="IRNazanin" w:eastAsia="IRNazanin"/>
          <w:color w:val="111111"/>
          <w:sz w:val="28"/>
          <w:sz w:val="28"/>
          <w:szCs w:val="28"/>
          <w:rtl w:val="true"/>
          <w:lang w:bidi="fa-IR"/>
        </w:rPr>
        <w:t>التی هی أقوی منها بمراتب، و أما مع وجودها فیتعیّن العمل بها و لایقاومها تلک الظنون العقلیّة ألبتة</w:t>
      </w:r>
      <w:r>
        <w:rPr>
          <w:rFonts w:eastAsia="IRNazanin" w:cs="IRNazanin"/>
          <w:color w:val="111111"/>
          <w:sz w:val="28"/>
          <w:szCs w:val="28"/>
          <w:rtl w:val="true"/>
          <w:lang w:bidi="fa-IR"/>
        </w:rPr>
        <w:t>.</w:t>
      </w:r>
    </w:p>
    <w:p>
      <w:pPr>
        <w:pStyle w:val="Heading4"/>
        <w:numPr>
          <w:ilvl w:val="3"/>
          <w:numId w:val="1"/>
        </w:numPr>
        <w:rPr/>
      </w:pPr>
      <w:bookmarkStart w:id="366" w:name="__RefHeading___Toc4413764_3224264995"/>
      <w:bookmarkStart w:id="367" w:name="_Toc143"/>
      <w:bookmarkEnd w:id="366"/>
      <w:r>
        <w:rPr>
          <w:rtl w:val="true"/>
        </w:rPr>
        <w:t>التقریر الرابع</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نّه علی الظاهر و إن کان التداخل عدمیّا و أصالة عدم التداخل وجودیّة باعتبار استلزامه زیادة التکلیف و الأصل عدمها کما تمسّک به صاحب الذخیرة و اخترناه سابقا قبل رجوعنا عنه، إلاّ أ نّه عند تدقیق النظر و التأمّل ینکشف کون الأمر بالعکس، فإنّ تداخل الأسباب و جواز الاکتفاء بمجرّد الإتیان بالمسمّی، أمر وجودی فعلی من یدّعیه تجشّم الاستدلال و نحن فی مقام النفی یکفینا أصل العدم، و الضرورة قاضیة بأنّ التداخل حکم وجودی، و إن کان ما یلزمه إعداما و حینئذٍ فنتمسّک بعدم التداخل و لاحاجة بنا فی هذا الإدعاء إلی دلیل، فمجرّد عدم الدلیل علی التداخل یکون لنا دلیلاً علی عدم التداخل و کون عدم شیء مستلزما لوجودات کثیرة لایوجب رفع الاعتماد عن استصحاب العدم السابق،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4413766_3224264995"/>
      <w:bookmarkStart w:id="369" w:name="_Toc144"/>
      <w:bookmarkEnd w:id="368"/>
      <w:r>
        <w:rPr>
          <w:rtl w:val="true"/>
        </w:rPr>
        <w:t>التقریر الخامس</w:t>
      </w:r>
      <w:bookmarkEnd w:id="369"/>
    </w:p>
    <w:p>
      <w:pPr>
        <w:pStyle w:val="Heading5"/>
        <w:numPr>
          <w:ilvl w:val="4"/>
          <w:numId w:val="1"/>
        </w:numPr>
        <w:rPr/>
      </w:pPr>
      <w:bookmarkStart w:id="370" w:name="__RefHeading___Toc4413768_3224264995"/>
      <w:bookmarkStart w:id="371" w:name="_Toc14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کما أنّ من الأخبار ما یدلّ علی أصالة التداخل و لهذا ذهب إلیه العلاّمة المجلسی رحمه‌الله کما سبق، کذلک یستفاد من کثیر منها، بل أکثرها أصالة عدم التداخل و هذه أقوی لاعتضادها بالشهرة و انجبارها بعمل أکثر الأصحاب بخلاف ما یدلّ</w:t>
      </w:r>
    </w:p>
    <w:p>
      <w:pPr>
        <w:pStyle w:val="Heading5"/>
        <w:numPr>
          <w:ilvl w:val="4"/>
          <w:numId w:val="1"/>
        </w:numPr>
        <w:rPr/>
      </w:pPr>
      <w:bookmarkStart w:id="372" w:name="__RefHeading___Toc4413770_3224264995"/>
      <w:bookmarkStart w:id="373" w:name="_Toc146"/>
      <w:bookmarkEnd w:id="372"/>
      <w:r>
        <w:rPr>
          <w:rtl w:val="true"/>
        </w:rPr>
        <w:t>[</w:t>
      </w:r>
      <w:r>
        <w:rPr>
          <w:rtl w:val="true"/>
        </w:rPr>
        <w:t>بعض الأخبار الدالة علی عدم التداخل</w:t>
      </w:r>
      <w:r>
        <w:rPr>
          <w:rtl w:val="true"/>
        </w:rPr>
        <w:t>]</w:t>
      </w:r>
      <w:bookmarkEnd w:id="373"/>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علماء الأخبار فی کتاب الظهار عن رجل مظاهر وقع علی إمرأته قبل أن یکفّر،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أخری</w:t>
      </w:r>
      <w:r>
        <w:rPr>
          <w:rFonts w:eastAsia="IRNazanin" w:cs="IRNazanin"/>
          <w:color w:val="111111"/>
          <w:sz w:val="28"/>
          <w:szCs w:val="28"/>
          <w:rtl w:val="true"/>
          <w:lang w:bidi="fa-IR"/>
        </w:rPr>
        <w:t>.</w:t>
      </w:r>
      <w:r>
        <w:rPr>
          <w:rStyle w:val="FootnoteAnchor"/>
          <w:rtl w:val="true"/>
        </w:rPr>
        <w:footnoteReference w:id="7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رجل ظاهر من إمرأته خمس مرّات أو أکثر،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کلّ مرة</w:t>
      </w:r>
      <w:r>
        <w:rPr>
          <w:rStyle w:val="FootnoteAnchor"/>
          <w:rtl w:val="true"/>
        </w:rPr>
        <w:footnoteReference w:id="745"/>
      </w:r>
      <w:r>
        <w:rPr>
          <w:rFonts w:ascii="Amiri" w:hAnsi="Amiri" w:eastAsia="Amiri" w:cs="Amiri"/>
          <w:color w:val="111111"/>
          <w:sz w:val="28"/>
          <w:sz w:val="28"/>
          <w:szCs w:val="28"/>
          <w:rtl w:val="true"/>
          <w:lang w:bidi="ar-SA"/>
        </w:rPr>
        <w:t>کفّارة</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عن آخر ظاهر من إمرأته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ثلاث مرّات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عن رجل ظاهر من أربع نسوة،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واحدة منهنّ کفارة</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عن رجل قال لإمرأته أنت علیّ کظهر أمّی مائة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مائة کفارة</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إلی غیر ذلک من الأخبار الدالّة علی عدم التداخل المذکورة فی تضاعیف کتب الفقهاء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تلک الأخبار المذکورة لمکان وقوعها جوابا للسؤالات المذکورة فی حکم القیاس المنصوص العلّة و لاریب فی کونها حجّة، و خصوصیة المورد فی السؤال لایقدح فی عموم الجواب</w:t>
      </w:r>
      <w:r>
        <w:rPr>
          <w:rFonts w:eastAsia="IRNazanin" w:cs="IRNazanin"/>
          <w:color w:val="111111"/>
          <w:sz w:val="28"/>
          <w:szCs w:val="28"/>
          <w:rtl w:val="true"/>
          <w:lang w:bidi="fa-IR"/>
        </w:rPr>
        <w:t xml:space="preserve">. </w:t>
      </w:r>
      <w:bookmarkStart w:id="374" w:name="pg17288_199682"/>
    </w:p>
    <w:p>
      <w:pPr>
        <w:pStyle w:val="BookText"/>
        <w:rPr/>
      </w:pPr>
      <w:bookmarkEnd w:id="374"/>
      <w:r>
        <w:rPr>
          <w:rFonts w:ascii="IRNazanin" w:hAnsi="IRNazanin" w:eastAsia="IRNazanin"/>
          <w:color w:val="111111"/>
          <w:sz w:val="28"/>
          <w:sz w:val="28"/>
          <w:szCs w:val="28"/>
          <w:rtl w:val="true"/>
          <w:lang w:bidi="fa-IR"/>
        </w:rPr>
        <w:t>و بما حقّقنا ببرکات الأئمة المعصومین ظهر أنّ مختار العلاّمة القمقام المجلسی غیر متین، فإنّ من البیّن عند العارف الخبیر أنّ لا سبب لحکمهم علیهم‌السلام بتکرّر الکفارة إلاّ باعتبار تکرّر موجبها، فلیتدبّر</w:t>
      </w:r>
      <w:r>
        <w:rPr>
          <w:rFonts w:eastAsia="IRNazanin" w:cs="IRNazanin"/>
          <w:color w:val="111111"/>
          <w:sz w:val="28"/>
          <w:szCs w:val="28"/>
          <w:rtl w:val="true"/>
          <w:lang w:bidi="fa-IR"/>
        </w:rPr>
        <w:t>.</w:t>
      </w:r>
    </w:p>
    <w:p>
      <w:pPr>
        <w:pStyle w:val="Heading4"/>
        <w:numPr>
          <w:ilvl w:val="3"/>
          <w:numId w:val="1"/>
        </w:numPr>
        <w:rPr/>
      </w:pPr>
      <w:bookmarkStart w:id="375" w:name="__RefHeading___Toc4413772_3224264995"/>
      <w:bookmarkStart w:id="376" w:name="_Toc147"/>
      <w:bookmarkEnd w:id="375"/>
      <w:r>
        <w:rPr>
          <w:rtl w:val="true"/>
        </w:rPr>
        <w:t>التقریر السادس</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التتبّع و الاستقراء و ممارسة کتب الفقهاء و حقّ الملاحظة فی علم الفقه من کتاب الطهارة إلی نهایة الدیات و تفحّص کلّ مورد مورد منها، أنّ الأصل عدم التداخل و أنّ عادتهم و قواعدهم عدم إجراء التداخل إلاّ فی مواضع خاصة دلّت الدلیل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البیّن أنّ المستفاد من الاستقراء و التتبّع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لم یکن علما یقینیّا فلا أقلّ من أقوی الظنون، و هذا التقریر قریب من التقریر الخامس و إن کان یغایره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وهن ما ذکرناه عن العلاّمة الخوانساری من عدم تسلیم أصالة عدم التداخل بمعنی الکثرة و الغلبة، إذ ما لم یکن الشیء أغلبیّا أکثریّا لایصیر عند معظم الفقهاء قاعدة مسلّمة شرعیّة</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بالجملة، فظهر أنّ التتبّع و الممارسة و الاستقراء کاشف عن أنّ بنائهم فی أکثر الموارد فی صورة تعدّد الأسباب علی عدم التداخل، ففیما وقع فیه الخلاف و التشاجر یقوی التمسّک بأصالة عدم التداخل نظرا إلی إلحاق الظنّ الشیء المجهول الحال بالأعمّ الأغلب، هذا</w:t>
      </w:r>
      <w:r>
        <w:rPr>
          <w:rFonts w:eastAsia="IRNazanin" w:cs="IRNazanin"/>
          <w:color w:val="111111"/>
          <w:sz w:val="28"/>
          <w:szCs w:val="28"/>
          <w:rtl w:val="true"/>
          <w:lang w:bidi="fa-IR"/>
        </w:rPr>
        <w:t>.</w:t>
      </w:r>
    </w:p>
    <w:p>
      <w:pPr>
        <w:pStyle w:val="Heading3"/>
        <w:numPr>
          <w:ilvl w:val="2"/>
          <w:numId w:val="1"/>
        </w:numPr>
        <w:rPr/>
      </w:pPr>
      <w:bookmarkStart w:id="377" w:name="__RefHeading___Toc4413774_3224264995"/>
      <w:bookmarkStart w:id="378" w:name="_Toc148"/>
      <w:bookmarkEnd w:id="377"/>
      <w:r>
        <w:rPr>
          <w:rtl w:val="true"/>
        </w:rPr>
        <w:t>[</w:t>
      </w:r>
      <w:r>
        <w:rPr>
          <w:rtl w:val="true"/>
        </w:rPr>
        <w:t>نقل کلام المحقق الشیروانی و نقده مجملاً</w:t>
      </w:r>
      <w:r>
        <w:rPr>
          <w:rtl w:val="true"/>
        </w:rPr>
        <w:t>]</w:t>
      </w:r>
      <w:bookmarkEnd w:id="37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المناسب نقل عبارة الفاضل المحقّق الشیروانی فی مسئلة التداخل، فإنّ لی وجوه النظر فی کلامه بتمامه و سأشیر إلی موارد الخلل فی کل جزءٍ جزءٍ من استدلاله و اُبیّن ما هو الحق عندی فی ذلک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رحمه‌الله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الشک و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تعدّد موجبات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الصواب مختار الشیخ رحمه‌الله من التداخل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یعطیه الأخبار الدالّة علی وجوب السجود بسبب الأسباب المعیّنة المعهودة، إنّما هو وجوب فعل سجدتین علی المکلّف مطلقا، فإذا فعل مرّة فقد امتثل تلک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مغایرة السجود المسبّب عن أحد تلک الأسباب للمسبّب الآخر فی حین المنع، فلا یخالف ما یمتثل به أحد تلک الأوامر لما یجب فی امتثال الأمر الآخر و لایتبادر ذلک التغایر و المخالفة من عبارة النصوص، بل یحتاج ثبوته إلی الدلیل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یقل أحد فی باب الأحداث الموجبة للوضوء، أنّ من العبارات و الألفاظ الواردة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ذلک الباب یتبادر تغایر الطهارات، بل قد انصرفوا عن ذلک الادعاء علی تبادر ظاهر فی خلافه بدلیل أقوی بحیث یقطع عذر منکریه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لم یدّع أحد منهم إلی تبادر تغایر تلک الطهارات و ظهوره من اللفظ، بل الکلّ ذهبوا إلی تبادر خلافه أی إلی ظهور اتحاد تلک الطهارات من النصوص، فکما أنّ تلک الطهارات تتداخل مع تعدّد موجباتها، فکذا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الأسباب المذکورة علل السجود و قد تقرّر فی المباحث العقلیّة أنّ العلل المتعدّدة تستدعی معلولات متعدّدة، و توارد العلل المتعدّدة علی معلول واحد شخصی محال</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المذکورة، لیست من قبیل العلل الحقیقیه، بل من باب العلامات و المعرّفات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تکون للحالة المقتضیة لسجود السهو علامات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 نّها علل حقیقیّة، لکن نقول کلّ منها علّة مستقلّة بشرط انتفاء الآخر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اجتماعها فی الحدوث، فیزول استقلال کلّ منها و یصیر العلّة المستقلّة هو مجموعها، و فی صورة تلاحقها و تعاقبها، فالأول علّة دون البواقی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استفیدت علّیّة من النصوص، فلاتنافی ما قلناه، إذ یجوز أن تکون مشروطة بشرط و ذلک الاشتراط لاتنافی ظواهر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 استقلال تلک الأسباب مشروطة بشروط آخر وجودیّة أو عدمیّة و یکون دوران تلک الشروط مع هذه الاُمور التی جعلناها شروط الاستقلال و أن یکون محیطا بذلک الدوران علم علاّم الغیوب و لاینافی ظواهر النصوص مع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رحمه‌الله فی هذا الباب ذکر دلیلاً عقلیّا یستفاد جوابه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هو أیضا عنه، ثمّ دفعه بعد ذلک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صحّح دلیله المذکور و لمّا لم‌یکن لإیراد تلک الکلمات و تبیین مواقع الخلل فیها کثیر فائدة ترکناه و اغمضنا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موضع الحاجة من کلام الفاضل الشیروانی باللغة الفارسیّة و قد ترجمنا عین عبارته بالعربیّة مع مزید توضیح بدون تصرف فی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الاحتمالات و الدقائق التی بیّنها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لها تطرّق علی أدلّة القائلین بعدم التداخل، إلاّ أ نّها احتمالات بعیدة من قبیل الدقائق الفلسفیّة لاینافی الظهور و الظنون التی علیها مدار الاستدلالات الفقهیّة، فإن الفقیه یکفیه الظواهر و الاحتمالات البعیدة المرجوحة له 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أ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الاحتمال، بطل الاستدلال</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فلابدّ و أن یراد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الاحتمال القوی فی جانب الخلاف بحیث یوجب الشک و التحیّر فی جانبی الإثبات و النفی؛</w:t>
      </w:r>
    </w:p>
    <w:p>
      <w:pPr>
        <w:pStyle w:val="BookText"/>
        <w:rPr/>
      </w:pPr>
      <w:r>
        <w:rPr>
          <w:rFonts w:ascii="IRNazanin" w:hAnsi="IRNazanin" w:eastAsia="IRNazanin"/>
          <w:color w:val="111111"/>
          <w:sz w:val="28"/>
          <w:sz w:val="28"/>
          <w:szCs w:val="28"/>
          <w:rtl w:val="true"/>
          <w:lang w:bidi="fa-IR"/>
        </w:rPr>
        <w:t>أو ضعف الظنّ بحیث لایجوز التعویل علیه؛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یکون المسئلة المتنازع فیها من العلوم العقلیّة و الفلسفیّة التی زعموا أنّ مبناها علی الجزم و الیقین، فإنّ استدلالاتها یخدش بتطرّق أدنی احتمال ولو فی غایة البعد، و أنت خبیر بأنّ ما نحن فیه لیس بشیء من تلک الأقسام الثلاثة</w:t>
      </w:r>
      <w:r>
        <w:rPr>
          <w:rFonts w:eastAsia="IRNazanin" w:cs="IRNazanin"/>
          <w:color w:val="111111"/>
          <w:sz w:val="28"/>
          <w:szCs w:val="28"/>
          <w:rtl w:val="true"/>
          <w:lang w:bidi="fa-IR"/>
        </w:rPr>
        <w:t xml:space="preserve">. </w:t>
      </w:r>
      <w:bookmarkStart w:id="379" w:name="pg17288_199688"/>
    </w:p>
    <w:p>
      <w:pPr>
        <w:pStyle w:val="BookText"/>
        <w:rPr/>
      </w:pPr>
      <w:bookmarkEnd w:id="379"/>
      <w:r>
        <w:rPr>
          <w:rFonts w:ascii="IRNazanin" w:hAnsi="IRNazanin" w:eastAsia="IRNazanin"/>
          <w:color w:val="111111"/>
          <w:sz w:val="28"/>
          <w:sz w:val="28"/>
          <w:szCs w:val="28"/>
          <w:rtl w:val="true"/>
          <w:lang w:bidi="fa-IR"/>
        </w:rPr>
        <w:t xml:space="preserve">و بالجملة، فالفرق بین العلوم الشرعیّة و العلوم الحقیقیّة العقلیّة جلی واضح، فربّ أمر لأحدهما ملائم و للاُخری قادح و لکلّ خواصّ و أحکام، و مقتضی کلّ مغایر للآخر، فانّه یکفی مجرّد صدق الإسم عرفا فی موضوعات الأحکام الشرعیّة و کذا للحیل الشرعیّة، و أنواع التسامح فی علم الفقه طریقا واضحا و منهجا لائحا؛ و مع ذلک فأحکامه تقبل النسخ و الزوال و التبدّل و الانتقال، و التفاوت بین آحاد المکلفین و معظمها مبتن علی الأدلّة النقلیّة کالأخبار و الإجماعات بخلاف العلوم العقلیّة فهی تغایر الشرعیات فی کلّ ما ذکر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فلکلٍّ من العلوم أهلٌ، و لکلٍّ مقتضیات علی حدّة، و لکلٍّ اصطلاحات مخصوصَةٌ، فلا ینبغی خبط علم فی علم و خلط اصطلاح فی اصطلاح آخر، کما فعله هذا الفاضل القمقام، فإنّ أکثر ما وجدته من المفاسد و الشبهات فی العلوم، إنّما نشأ من خلط الاصطلاحات کلاًّ فی آخر،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من الکلام فی ردّ مقال ذلک القمقام</w:t>
      </w:r>
      <w:r>
        <w:rPr>
          <w:rFonts w:eastAsia="IRNazanin" w:cs="IRNazanin"/>
          <w:color w:val="111111"/>
          <w:sz w:val="28"/>
          <w:szCs w:val="28"/>
          <w:rtl w:val="true"/>
          <w:lang w:bidi="fa-IR"/>
        </w:rPr>
        <w:t>.</w:t>
      </w:r>
    </w:p>
    <w:p>
      <w:pPr>
        <w:pStyle w:val="Heading3"/>
        <w:numPr>
          <w:ilvl w:val="2"/>
          <w:numId w:val="1"/>
        </w:numPr>
        <w:rPr/>
      </w:pPr>
      <w:bookmarkStart w:id="380" w:name="__RefHeading___Toc4413776_3224264995"/>
      <w:bookmarkStart w:id="381" w:name="_Toc149"/>
      <w:bookmarkEnd w:id="380"/>
      <w:r>
        <w:rPr>
          <w:rtl w:val="true"/>
        </w:rPr>
        <w:t>[</w:t>
      </w:r>
      <w:r>
        <w:rPr>
          <w:rtl w:val="true"/>
        </w:rPr>
        <w:t>نقل کلام المحقق الشیروانی و نقده مفصلا</w:t>
      </w:r>
      <w:r>
        <w:rPr>
          <w:rtl w:val="true"/>
        </w:rPr>
        <w:t>]</w:t>
      </w:r>
      <w:bookmarkEnd w:id="381"/>
    </w:p>
    <w:p>
      <w:pPr>
        <w:pStyle w:val="BookText"/>
        <w:rPr/>
      </w:pPr>
      <w:r>
        <w:rPr>
          <w:rFonts w:ascii="IRNazanin" w:hAnsi="IRNazanin" w:eastAsia="IRNazanin"/>
          <w:color w:val="111111"/>
          <w:sz w:val="28"/>
          <w:sz w:val="28"/>
          <w:szCs w:val="28"/>
          <w:rtl w:val="true"/>
          <w:lang w:bidi="fa-IR"/>
        </w:rPr>
        <w:t>و أمّا الجواب عنه مفصّلا،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الأخبار الدالّة علی وجوب سجود السهو للأسباب المعهودة مجرّد فعل السجود ولو مرّة، فإذا صدق الإسم، حصل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تقریراتنا الستة الماضیة أنّ ظاهر تلک الأخبار و المتفاهم العرفی منها وجوب السجود لکلّ من الأسباب علی حدة، فالحکم فی تعدّد الأسباب تکرارها بظاهر الخطاب؛ مع أ نّا قد بیّنا أنّ الصدق العرفی لیس بحجّة فی هذه المقامات و لا مناطا للتکالیف الشرعیّة، فظهر أنّ مقتضی الأخبار أن یکون بإزاء کلّ سبب سجود علیحدّة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نمنع تغایر السجودات المسببة عن تلک الأسباب، فإنّ الکلّ متحدّة فالجمیع عبادة واحدة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بیّنا أنّ مقتضی تلک الأخبار تعدّد السجودات، فلابدّ لکلّ منها من نیّة علیحدّة </w:t>
      </w:r>
    </w:p>
    <w:p>
      <w:pPr>
        <w:pStyle w:val="BookText"/>
        <w:rPr/>
      </w:pPr>
      <w:r>
        <w:rPr>
          <w:rFonts w:ascii="IRNazanin" w:hAnsi="IRNazanin" w:eastAsia="IRNazanin"/>
          <w:color w:val="111111"/>
          <w:sz w:val="28"/>
          <w:sz w:val="28"/>
          <w:szCs w:val="28"/>
          <w:rtl w:val="true"/>
          <w:lang w:bidi="fa-IR"/>
        </w:rPr>
        <w:t xml:space="preserve">تختص به فبقصد الخصوصیة فی کلّ منها یمتاز کلّ من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فبالنیّات تتمایز العبادات و إن کانت متحدة لولاها، کما أنّ لطم الیتیم واجبة بنیّة التعزیر؛ مندوبة بقصد التأدیب، حرام بإرادة الظلم، فإنّ تمایزها بحسب النیّات، و مع قطع النظر عنها یکون الکلّ واحدا بلا تعدّد، فثبت أنّ امتثال کلّ من الأوامر الواردة فی أسباب السجود مغایر للآخر، فظهر فساد کلامه من أ نّه لایتبادر تغایر سجودات من عبارة النصوص و لابدّ لدعوی التغایر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یقل أحد فی صورة تعدّد الأحداث الموجبة للوضوء بتغایر تلک الطهارات، بل أجمعوا علی أ نّها تتداخل، فلو کان أصالة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عدم التداخل قاعدة حقّة لاقتضت وقوع التشاجر فی تلک المسئلة و لکان بعدم تداخل تلک الطهارات أیضا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التمثیل قیاس باطل یحکم به استقراء الأفاضل لظهور وجود الفارق کما لایخفی علی المتتبّع الماهر و ذلک أنّ المسئلة المفروضة ممّا خرج عن تلک القاعدة بالدلیل القطعی و هو إجماع الأصحاب فلولاه لقلنا بتعدّد تلک الوضوءات أیضا بمقتضی عدم تداخلها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لایمکن أن یمثّل الفاضل المعترض لإثبات مطلوبه بالأغسال، فإنّ التشاجر و الاختلاف فی تداخلها عظیم، فلمّا رأی حکم الأغسال محلّ الجدال و موضع الإشکال أعرض عنه من باب التغافل و تعلّق بحکم الوضوءات و لم یلتفت إلی أ نّه أیضا لایجدیه نفعا، إذ لو خرج ألف صورة من هذا القبیل عن تلک القاعدة الشرعیّة المعهودة لم یحصل فی کونها قاعدة فتور و لا فی حجیّتها شائبة قصور، فإنّ مناط حجیّة أمثال هذا القواعد هو حال الأعمّ الأغلب فما هو الأعمّ الأغلب یصیر قاعدة و یحمل الأمر المجهول الحال علیه و یندرج فیه بحکم الظنّ القوی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فظاهر أنّ معظم القواعد الشرعیّة و الضوابط الفقهیّة کأغلب القوانین العربیّة، بل جمیعها لیست کلیّة و لا دلالتها قطعیّة، بل إنّما هی أغلبیّة ظنیّة،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فالجواب أنّ الأسباب الشرعیّة علامات و معرّفات لا علل حقیقیّة، فیجوز أن تتوارد علی معلول واحد شخصی بأن تکون للحالة المقتضیة لسجود السهو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علامات متعدّدة تجتمع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بکونها مجرّد علامات باعتبار إنّا کثیرا ما نری اجتماعها ظاهرا فی مورد معیّن فی کثیر من المسائل الشرعیّة، فلا یلزم من هذا کونها معرّفات فإنّ العلل الحقیقیّة الناقصة أیضا تتوارد علی معلول شخصی فإنّه جائز، بل وا قع کما لایخفی، و قد تفطّن به أیضا الفاضل المعترض نفسه بعد کلامه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بکونها علامات لا من هذه الجهة، بل باعتبار آخر فلایتجه أصلاً فنطالب المدعی بدلیله،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مخالف لظاهر النصوص و الأدلّة الآخر القائمة علی أنّ کلاًّ من الأسباب الشرعیّة أسباب حقیقیّة مستقلّة کلّ منها فی التأثیر، فإنّ المتبادر من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المسبب لذاک، أو فلان علّة لکذا، أو الأمر الفلانی موجب لکذا و کذا، إلی غیر ذلک ممّا أشبه هذه العبارات هو السببیة المستقلة و الإیجاب التام و أنّ لها تأثیرات واقعیة لا أنّها مجرّد علامات بدون تأثیر، فإنّه مجاز بعید لابدّ لانفهامه من ألفاظ تلک الروایات المتظافرة من قرینة جلیّة ظاهرة، و لیست موجودة أصلاً، بل و القرینة الخفیّة أیضا علی ذلک مفقودة، فثبت أنّ الالتزام بکون تلک الأسباب محض علامات، غفلة أو تغافل و إن ذهب إلیه الأکثرون و لکن ما تلقّاه الأعاظم الفحول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تری العلاّمة رحمه‌الله فی المختلف و غیره قد صرّح بأ نّها علل حقیقیّة و سننقل عبارته رحمه‌الله بعد ذلک إن شاء اللّه تعالی، هذا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فقد تظافرت الأخبار المرویّة عن الأئمة الأطهار فی خصوص علل الشرائع و الأحکام بأنّ أکثر تلک الأسباب، بل جمیعها علل حقیقیّة واقعیّة تترتّب علیها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و خواص و لوازم و أحکام حتّی من غیر المکلفین کالأطفال و المجانین و ذلک مثل الإیمان ـ مثلاً ـ فإنّه سبب لاستحقاق الجنّة؛ و حرمة الدماء و الأموال و الفروج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الکفر، فانّه یقتضی خلود النار و إباحة الاُمور الثلاثة؛</w:t>
      </w:r>
    </w:p>
    <w:p>
      <w:pPr>
        <w:pStyle w:val="BookText"/>
        <w:rPr/>
      </w:pPr>
      <w:r>
        <w:rPr>
          <w:rFonts w:ascii="IRNazanin" w:hAnsi="IRNazanin" w:eastAsia="IRNazanin"/>
          <w:color w:val="111111"/>
          <w:sz w:val="28"/>
          <w:sz w:val="28"/>
          <w:szCs w:val="28"/>
          <w:rtl w:val="true"/>
          <w:lang w:bidi="fa-IR"/>
        </w:rPr>
        <w:t>و کالکبائر الآخر، فإنّها توجب الفسق و دخول النار؛</w:t>
      </w:r>
    </w:p>
    <w:p>
      <w:pPr>
        <w:pStyle w:val="BookText"/>
        <w:rPr/>
      </w:pPr>
      <w:r>
        <w:rPr>
          <w:rFonts w:ascii="IRNazanin" w:hAnsi="IRNazanin" w:eastAsia="IRNazanin"/>
          <w:color w:val="111111"/>
          <w:sz w:val="28"/>
          <w:sz w:val="28"/>
          <w:szCs w:val="28"/>
          <w:rtl w:val="true"/>
          <w:lang w:bidi="fa-IR"/>
        </w:rPr>
        <w:t>و کالقتل و سائر الجنایات، فإنّها علّةٌ للقصاص و الدیات؛</w:t>
      </w:r>
    </w:p>
    <w:p>
      <w:pPr>
        <w:pStyle w:val="BookText"/>
        <w:rPr/>
      </w:pPr>
      <w:r>
        <w:rPr>
          <w:rFonts w:ascii="IRNazanin" w:hAnsi="IRNazanin" w:eastAsia="IRNazanin"/>
          <w:color w:val="111111"/>
          <w:sz w:val="28"/>
          <w:sz w:val="28"/>
          <w:szCs w:val="28"/>
          <w:rtl w:val="true"/>
          <w:lang w:bidi="fa-IR"/>
        </w:rPr>
        <w:t>و کالزنا و شرب الخمر و نظائرها، فإنّها تستدعی الحدّ و التعزیر؛</w:t>
      </w:r>
    </w:p>
    <w:p>
      <w:pPr>
        <w:pStyle w:val="BookText"/>
        <w:rPr/>
      </w:pPr>
      <w:r>
        <w:rPr>
          <w:rFonts w:ascii="IRNazanin" w:hAnsi="IRNazanin" w:eastAsia="IRNazanin"/>
          <w:color w:val="111111"/>
          <w:sz w:val="28"/>
          <w:sz w:val="28"/>
          <w:szCs w:val="28"/>
          <w:rtl w:val="true"/>
          <w:lang w:bidi="fa-IR"/>
        </w:rPr>
        <w:t>و کالحنث و الإفطار و قتل الخطأ، فإنّها تقتضی وجوب الکفارات؛</w:t>
      </w:r>
    </w:p>
    <w:p>
      <w:pPr>
        <w:pStyle w:val="BookText"/>
        <w:rPr/>
      </w:pPr>
      <w:r>
        <w:rPr>
          <w:rFonts w:ascii="IRNazanin" w:hAnsi="IRNazanin" w:eastAsia="IRNazanin"/>
          <w:color w:val="111111"/>
          <w:sz w:val="28"/>
          <w:sz w:val="28"/>
          <w:szCs w:val="28"/>
          <w:rtl w:val="true"/>
          <w:lang w:bidi="fa-IR"/>
        </w:rPr>
        <w:t>و کالأحداث، فإنّها توجب الطهارة؛</w:t>
      </w:r>
    </w:p>
    <w:p>
      <w:pPr>
        <w:pStyle w:val="BookText"/>
        <w:rPr/>
      </w:pPr>
      <w:r>
        <w:rPr>
          <w:rFonts w:ascii="IRNazanin" w:hAnsi="IRNazanin" w:eastAsia="IRNazanin"/>
          <w:color w:val="111111"/>
          <w:sz w:val="28"/>
          <w:sz w:val="28"/>
          <w:szCs w:val="28"/>
          <w:rtl w:val="true"/>
          <w:lang w:bidi="fa-IR"/>
        </w:rPr>
        <w:t>و کالرضاع و المصاهرة، فإنّهما سببان لحرمة النکاح؛</w:t>
      </w:r>
    </w:p>
    <w:p>
      <w:pPr>
        <w:pStyle w:val="BookText"/>
        <w:rPr/>
      </w:pPr>
      <w:r>
        <w:rPr>
          <w:rFonts w:ascii="IRNazanin" w:hAnsi="IRNazanin" w:eastAsia="IRNazanin"/>
          <w:color w:val="111111"/>
          <w:sz w:val="28"/>
          <w:sz w:val="28"/>
          <w:szCs w:val="28"/>
          <w:rtl w:val="true"/>
          <w:lang w:bidi="fa-IR"/>
        </w:rPr>
        <w:t>إلی غیر ذلک ممّا لاتعدّ و لاتحصی و تظافرت به أخبار لاتستقصی، هذا؛ بل و من اللوازم أن تکون الأسباب المذکورة کذلک أعنی أ نّها مؤثرات واقعیّة لا أ نّها مجرّد معرّفات و دلالات من دون تأثیر و إلاّ لزم أن یکون وضع تلک الأسباب و شرع الأحکام محض العبث أو الجبر، تعالی الشارع الحکیم عن ذلک علوا کبیرا، فإنّه خلاف ضرورة العقول و ما علیه العدلیة و یدلّ علیه اُصول المذهب من الحسن و 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فإنّی اُطالب جناب الفاضل المعظّم ببیان الأسباب الواقعیّة للأحکام الشرعیّة فلیقل لی إن کان الأمر کما زعم من أنّ الإیمان مثلاً لیس سببا حقیقیّا لحفظ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الدم و دخول الجنّة و إنّما هی مجرّد معرّف لهما فما سببهما الواقعی و لأیّ غایة شرع الإیمان؛ إن هذا إلاّ لغو محض العیاذ باللّه تعالی؛</w:t>
      </w:r>
    </w:p>
    <w:p>
      <w:pPr>
        <w:pStyle w:val="BookText"/>
        <w:rPr/>
      </w:pPr>
      <w:r>
        <w:rPr>
          <w:rFonts w:ascii="IRNazanin" w:hAnsi="IRNazanin" w:eastAsia="IRNazanin"/>
          <w:color w:val="111111"/>
          <w:sz w:val="28"/>
          <w:sz w:val="28"/>
          <w:szCs w:val="28"/>
          <w:rtl w:val="true"/>
          <w:lang w:bidi="fa-IR"/>
        </w:rPr>
        <w:t>و إن کان کفر الکافر مجرّد علامة و دلالة علی الخلود فی النار و استحقاق القتل من دون تأثیر منه فیهما فبأیّ سبب یعاقب و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ذنبه و تقصیره و لِمَ یباح ماله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جبر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القتل أو الجنایة أو الزنا أو شرب الخمر مجرّد علامات بدون تأثیر من الفاعل فی شیء أصلاً فلِمَ یُقتل الفاعل أو یُحدّ أو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إلاّ محض الجبر القبیح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یوجب صدور الحدث خباثة معنویّة باطنیّة منافیة للتقرّب إلی المعبود فبأیّ سبب یجب الوضوء أو الغسل لرفعها؟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النکاح مجرّد علامة لوجوب الإنفاق و إعطاء حقوق الزوجیّة من دون تأثیر فَلِمَ وجب الإنفاق و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حینئذٍ إلاّ مجرّد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فکیف یرضی قلب عاقل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المذکورة لیست مسببّة عن الأسباب المعهودة فی الحقیقة و إنّما هی مجرّد معرّفات من باب العلامات لیس لها سوی دلالة، بل إنّما هی محض نکات و مناسبات کالعوامل النحویّة و الأسباب العربیّة بالنسبة إلی معمولاتها؛ إن هذا إلاّ مستلزم للعبث و الجبر فی أفعال الشارع الحکیم؛ إن هذا إلاّ مجرد اللغو فی وضع الشارع للأسباب؛ إن هذا إلاّ التلاعب بالدین المبین؛ إن هذا إلاّ خلاف مقتضی العقل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إذا تقرّر ما ذکرناه فی صحیفة الخاطر، فاعلم أنّ فی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تکون للحالة المقتضیة لسجود السهو علامات متعدّدة تتوارد علیها و هی المسماة بالأسباب الشرعیّة أنّ کونها علامات لایحسم مادّة الإشکال، بل فی حکم القول بعدم التداخل، أو علی هذا التقدیر فلکلّ من تلک العلامات ذو علامة بخصوصه، فإنّ تلک الأسباب و إن کانت مسماة بالعلامات باصطلاح الخصم إلاّ أ نّها باعتبار استلزام کلّ منها فی حالة الوحدة لتلک الحالة المقتضیة التی هی العلّة الحقیقیّة ـ کما اعترف به الخصم ـ فی قوّة الأسباب الواقعیّة و إلاّ فَلِمَ یحکمون بوجوب سجود السهو بعد صدور أیّ منها کان علی سبیل الانفراد؛ فهل هذا إلاّ باعتبار استلزام کلّ منها تلک الحالة المقتضیة، فإذا ثبت تعدّد تلک الحالة و هی السبب الحقیقی علی تقدیر وحدة کلّ من تلک العلامات، فهکذا نقول فی صورة انضمامها متلاحقة کانت أو مجتمعة من دون فرق إذ من المستبعد، بل و فی غایة البعد حصول التفاوت بین صورتی الوحدة و التعدّد لتلک العلامات، فکیف ما کان فتسمیة تلک الأسباب علامات لا یُجدی الخصم نفعا، فإنّ المعیار هو تلک الحالة المقتضیة للسجود المترتبة علیها اللازمة لها و ظاهر أ نّها متعدّدة متواردة علی معلول واحد علی حسب تعدّد العلامات المعهودة، فتدبّر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فإذا طالبنا الفاضل المعترض ببیان العلّة الحقیقیّة للحالة المقتضیة للسجود </w:t>
      </w:r>
    </w:p>
    <w:p>
      <w:pPr>
        <w:pStyle w:val="BookText"/>
        <w:rPr/>
      </w:pPr>
      <w:r>
        <w:rPr>
          <w:rFonts w:ascii="IRNazanin" w:hAnsi="IRNazanin" w:eastAsia="IRNazanin"/>
          <w:color w:val="111111"/>
          <w:sz w:val="28"/>
          <w:sz w:val="28"/>
          <w:szCs w:val="28"/>
          <w:rtl w:val="true"/>
          <w:lang w:bidi="fa-IR"/>
        </w:rPr>
        <w:t>التی هی السبب الواقعی لتعلّق التکلیف به فلیس له إلاّ الالتزام بکون العلّة هی تلک الأسباب المعهودة ولو من حیث لایشعر لا أجد له مفرّا آخر کما یظهر بالتدبّر، تدبّر فی هذا المقام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یکون استقلال کلّ من تلک الأسباب فی العلیّة مشروطا بعدم السبب الآخر و أمّا حین اجتماعها یزول وصف استقلالها، و العلة المستقلّة حینئذٍ هو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احتمال بعید فی غایة البعد لایقدح فیما الفقیه بصدده من الظنون الظاهرة الحجیّة و الظنون و الأمارات اللفظیة، فالظاهر و المستفاد من الأدلّة القویّة التی ذکرناها مفصّلاً عدم الفرق بین تلک الأسباب منفردة و مجتمعة، فکما أنّ فی حال الوحدة لایزول وصف الاستقلال کذلک فی حال اجتماعها، فإنّ الأصل و الظاهر بقاؤه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صورة تلاحقها و تعاقبها، فیجوز کون الأوّل علّة دون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و إن کان محتملاً عقلاً إلاّ أ نّه بعید جدّا لایخدش به وجه الاستدلال، فالأصل و الظاهر أنّ غیر الأوّل أیضا من الأسباب یبقی علی صفته العلیّة و أیضا فکما أنّ الثانی و الثالث کانا فی حدّ ذاتهما قبل صیرورتهما ثانیا و ثالثا علتین، فکذلک فی تلک الحالة إذ الأصل عدم وجود مانع جدید یزیل وصف 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فقوله هذا معارض بأصالة عدم طروّ مانع یزیل علیّة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استفادة علیّة من النصوص، فلاینافی ما ذکرناه لجواز کونها مشروطة بشرط و هذا الاشتراط لاینافی ظواهر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بوجوه شتّی أنّ ظواهر النصوص عدم اشتراطها بشرط أصلاً فإنّ عباراتها مطلقة، و لیس فیها تقیید بحالٍ دون حال أصلاً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فمن البیّن أنّ قوله علیه‌السلام فلان علة لکذا، أو موجب للأمر الفلانی، أو سبب یفید بظاهر السببیّة المطلقة، فمن العجب العجاب حکم الفاضل المعترض بعدم منافاة الاشتراط للظواهر النصوص</w:t>
      </w:r>
      <w:r>
        <w:rPr>
          <w:rFonts w:eastAsia="IRNazanin" w:cs="IRNazanin"/>
          <w:color w:val="111111"/>
          <w:sz w:val="28"/>
          <w:szCs w:val="28"/>
          <w:rtl w:val="true"/>
          <w:lang w:bidi="fa-IR"/>
        </w:rPr>
        <w:t xml:space="preserve">. </w:t>
      </w:r>
      <w:bookmarkStart w:id="382" w:name="pg17288_199700"/>
    </w:p>
    <w:p>
      <w:pPr>
        <w:pStyle w:val="BookText"/>
        <w:rPr/>
      </w:pPr>
      <w:bookmarkEnd w:id="382"/>
      <w:r>
        <w:rPr>
          <w:rFonts w:ascii="IRNazanin" w:hAnsi="IRNazanin" w:eastAsia="IRNazanin"/>
          <w:color w:val="111111"/>
          <w:sz w:val="28"/>
          <w:sz w:val="28"/>
          <w:szCs w:val="28"/>
          <w:rtl w:val="true"/>
          <w:lang w:bidi="fa-IR"/>
        </w:rPr>
        <w:t>نعم، غایة الأمر أن لایحصل القطع بعدم اشتراطها بشرط فی نفس الأمر و أن یجوز اشتراطها به فی الواقع و لکنّه غیر قادح فی الاستدلال الفقهیّة و الظنون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الجائز اشتراط استقلال تلک الأسباب بشروط وجودیّة أو عدمیّة و تکون تلک الشروط دائرة مع هذه الاُمور التی جعلناها شروط الاستقلال و أن یکون علم علاّم الغیوب محیطا بذلک الدوران و لاینافی هذا أیضا ظواهر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غیر سدید و مجرّد احتمال بعید لإطلاق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لفظ النصوص بدون تقیید و مجرّد احتمال ذلک الدوران و کون الشروط فی مرتبة الإمکان لایقدح فیما الفقیه بصدده کیف کان، فحجیّة ما له من الظنون فی الجلاء و الظهور کالنور علی شاهق 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فسیاق الأدلّة الفقهیّة و المسائل الدینیّة یأبی عن مثل هذه الدقائق الحکمیّة، فتلک الدقائق فیها غیر قادح و لا مخلّ و لا جارح، و الحمد للّه علی وضوح الحجّة و ظهور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إنّ العلاّمة رحمه‌الله و إن ذهب علی ما اخترناه من عدم التداخل و أصاب فی القول بکون الأسباب الشرعیّة عللاً واقعیّة إلاّ أنّ ما حقّقه فی هذا الباب و أطال الکلام فی الأطباب</w:t>
      </w:r>
      <w:r>
        <w:rPr>
          <w:rStyle w:val="FootnoteAnchor"/>
          <w:rtl w:val="true"/>
        </w:rPr>
        <w:footnoteReference w:id="754"/>
      </w:r>
      <w:r>
        <w:rPr>
          <w:rFonts w:ascii="IRNazanin" w:hAnsi="IRNazanin" w:eastAsia="IRNazanin"/>
          <w:color w:val="111111"/>
          <w:sz w:val="28"/>
          <w:sz w:val="28"/>
          <w:szCs w:val="28"/>
          <w:rtl w:val="true"/>
          <w:lang w:bidi="fa-IR"/>
        </w:rPr>
        <w:t>لا یخلو من أنظار کما یظهر علی اُولی الألباب، فعندی وجوه من النظر متوجهة علی کلامه واردة علی مراده و مرامه و بالتأمل فیها یلوح أنّ فی الزوایا خبایا و أ نّه لمن الفضائل و المزایا و اللّه العالم بالخفایا و لکنی مع هذا لا اُبرّی نفسی من الخطایا</w:t>
      </w:r>
      <w:r>
        <w:rPr>
          <w:rFonts w:eastAsia="IRNazanin" w:cs="IRNazanin"/>
          <w:color w:val="111111"/>
          <w:sz w:val="28"/>
          <w:szCs w:val="28"/>
          <w:rtl w:val="true"/>
          <w:lang w:bidi="fa-IR"/>
        </w:rPr>
        <w:t>.</w:t>
      </w:r>
    </w:p>
    <w:p>
      <w:pPr>
        <w:pStyle w:val="Heading3"/>
        <w:numPr>
          <w:ilvl w:val="2"/>
          <w:numId w:val="1"/>
        </w:numPr>
        <w:rPr/>
      </w:pPr>
      <w:bookmarkStart w:id="383" w:name="__RefHeading___Toc4413778_3224264995"/>
      <w:bookmarkStart w:id="384" w:name="_Toc150"/>
      <w:bookmarkEnd w:id="383"/>
      <w:r>
        <w:rPr>
          <w:rtl w:val="true"/>
        </w:rPr>
        <w:t>[</w:t>
      </w:r>
      <w:r>
        <w:rPr>
          <w:rtl w:val="true"/>
        </w:rPr>
        <w:t>کلام العلامة فی مختلف الشیعة</w:t>
      </w:r>
      <w:r>
        <w:rPr>
          <w:rtl w:val="true"/>
        </w:rPr>
        <w:t>]</w:t>
      </w:r>
      <w:bookmarkEnd w:id="3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رحمه‌الله فی المختلف فی بحث تعدد أسباب سجود السهو بعد اختیار عدم التداخل مطلقا ـ أعنی متجانسة کانت تلک الأسباب أم مختلفة فی المهیّة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أنّ التداخل ملزوم لأحد محالات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خرق الإجماع، أو تخلّف المعلول عن علّته التامّة لغیر مانع، أو تعدّد العلل المستقلّة علی المعلول الواحد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منها محال، فالملزوم محال</w:t>
      </w:r>
      <w:r>
        <w:rPr>
          <w:rFonts w:eastAsia="IRNazanin" w:cs="IRNazanin"/>
          <w:color w:val="111111"/>
          <w:sz w:val="28"/>
          <w:szCs w:val="28"/>
          <w:rtl w:val="true"/>
          <w:lang w:bidi="fa-IR"/>
        </w:rPr>
        <w:t xml:space="preserve">. </w:t>
      </w:r>
      <w:bookmarkStart w:id="385" w:name="pg17288_199702"/>
    </w:p>
    <w:p>
      <w:pPr>
        <w:pStyle w:val="BookText"/>
        <w:rPr/>
      </w:pPr>
      <w:bookmarkEnd w:id="385"/>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السهو الأوّل إمّا أن لا یوجب السجدتین أو یوجبهما؛</w:t>
      </w:r>
    </w:p>
    <w:p>
      <w:pPr>
        <w:pStyle w:val="BookText"/>
        <w:rPr/>
      </w:pPr>
      <w:r>
        <w:rPr>
          <w:rFonts w:ascii="IRNazanin" w:hAnsi="IRNazanin" w:eastAsia="IRNazanin"/>
          <w:color w:val="111111"/>
          <w:sz w:val="28"/>
          <w:sz w:val="28"/>
          <w:szCs w:val="28"/>
          <w:rtl w:val="true"/>
          <w:lang w:bidi="fa-IR"/>
        </w:rPr>
        <w:t>فإن کان الأوّل لزم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فالثانی إمّا أن لا یوجب شیئا، و هو خرق الإجماع و قول بالترجیح من غیر مرجّح لتساوی الأوّل و الثانی فرضا، و المتساویان المتشارکان فی الأحکام و اللوازم و قول بمخالفة الاستصحاب؛ و قد ثبت کونه دلیلاً لإفادته الظنّ و هو الواجب العمل به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الثانی قبل وجود الأوّل قد کان سببا، فیستصحب الحکم بعد وجود الثانی و قول بکون الاُوصاف ـ العرضیّة أعنی کون الثانی بعد الأوّل ـ مزیلا للصفات اللازمة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للمهیّة من الإیجاب، و کلّ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یوجب؛</w:t>
      </w:r>
    </w:p>
    <w:p>
      <w:pPr>
        <w:pStyle w:val="BookText"/>
        <w:rPr/>
      </w:pPr>
      <w:r>
        <w:rPr>
          <w:rFonts w:ascii="IRNazanin" w:hAnsi="IRNazanin" w:eastAsia="IRNazanin"/>
          <w:color w:val="111111"/>
          <w:sz w:val="28"/>
          <w:sz w:val="28"/>
          <w:szCs w:val="28"/>
          <w:rtl w:val="true"/>
          <w:lang w:bidi="fa-IR"/>
        </w:rPr>
        <w:t>فإن کان هو ما أوجبه الأوّل لزم استناد المعلول الشخصی علی علّتین مستقلتین بالتأثیر و هو محال، فبقی أن یکون الثانی غیر الأوّل و هو المطلوب</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هذا تمام حجّة العلاّمة رحمه‌الله نقلتها بعین عبارته</w:t>
      </w:r>
      <w:r>
        <w:rPr>
          <w:rFonts w:eastAsia="IRNazanin" w:cs="IRNazanin"/>
          <w:color w:val="111111"/>
          <w:sz w:val="28"/>
          <w:szCs w:val="28"/>
          <w:rtl w:val="true"/>
          <w:lang w:bidi="fa-IR"/>
        </w:rPr>
        <w:t>.</w:t>
      </w:r>
    </w:p>
    <w:p>
      <w:pPr>
        <w:pStyle w:val="Heading3"/>
        <w:numPr>
          <w:ilvl w:val="2"/>
          <w:numId w:val="1"/>
        </w:numPr>
        <w:rPr/>
      </w:pPr>
      <w:bookmarkStart w:id="386" w:name="__RefHeading___Toc4413780_3224264995"/>
      <w:bookmarkStart w:id="387" w:name="_Toc151"/>
      <w:bookmarkEnd w:id="386"/>
      <w:r>
        <w:rPr>
          <w:rtl w:val="true"/>
        </w:rPr>
        <w:t>[</w:t>
      </w:r>
      <w:r>
        <w:rPr>
          <w:rtl w:val="true"/>
        </w:rPr>
        <w:t>نقل کلام العلامة</w:t>
      </w:r>
      <w:r>
        <w:rPr>
          <w:rtl w:val="true"/>
        </w:rPr>
        <w:t>]</w:t>
      </w:r>
      <w:bookmarkEnd w:id="387"/>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مدّعاه صحیح جلیل لکنّ الدلیل علیل و سیظهر لک سرّه إن شاء اللّه، و کیف کان فهذه العبارات منه رحمه‌الله صریح فی کون الأسباب الشرعیّة عللاً حقیقیّة لاُمور، لا أ نّها علامات کما هو المشهور</w:t>
      </w:r>
      <w:r>
        <w:rPr>
          <w:rFonts w:eastAsia="IRNazanin" w:cs="IRNazanin"/>
          <w:color w:val="111111"/>
          <w:sz w:val="28"/>
          <w:szCs w:val="28"/>
          <w:rtl w:val="true"/>
          <w:lang w:bidi="fa-IR"/>
        </w:rPr>
        <w:t>.</w:t>
      </w:r>
    </w:p>
    <w:p>
      <w:pPr>
        <w:pStyle w:val="Heading3"/>
        <w:numPr>
          <w:ilvl w:val="2"/>
          <w:numId w:val="1"/>
        </w:numPr>
        <w:rPr/>
      </w:pPr>
      <w:bookmarkStart w:id="388" w:name="__RefHeading___Toc4413782_3224264995"/>
      <w:bookmarkStart w:id="389" w:name="_Toc152"/>
      <w:bookmarkEnd w:id="388"/>
      <w:r>
        <w:rPr>
          <w:rtl w:val="true"/>
        </w:rPr>
        <w:t>[</w:t>
      </w:r>
      <w:r>
        <w:rPr>
          <w:rtl w:val="true"/>
        </w:rPr>
        <w:t>عود إلی کلام المحقق الشیروانی و نقده</w:t>
      </w:r>
      <w:r>
        <w:rPr>
          <w:rtl w:val="true"/>
        </w:rPr>
        <w:t>]</w:t>
      </w:r>
      <w:bookmarkEnd w:id="38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قاله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التداخل قول بمخالفة الاستصحاب ـ إلی قوله ـ و قول بکون</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الأوصاف یصلح ردّا علی العلاّمة الخوانساری حیث أنکر جریان الاستصحاب دلیلاً علی عدم التداخل، فإنّ بالتأمّل فیه یظهر أنّ مقتضی الاستصحاب عدم التداخل و أ نّه حجّة شرعیّة</w:t>
      </w:r>
      <w:r>
        <w:rPr>
          <w:rStyle w:val="FootnoteAnchor"/>
          <w:rtl w:val="true"/>
        </w:rPr>
        <w:footnoteReference w:id="757"/>
      </w:r>
      <w:r>
        <w:rPr>
          <w:rFonts w:ascii="IRNazanin" w:hAnsi="IRNazanin" w:eastAsia="IRNazanin"/>
          <w:color w:val="111111"/>
          <w:sz w:val="28"/>
          <w:sz w:val="28"/>
          <w:szCs w:val="28"/>
          <w:rtl w:val="true"/>
          <w:lang w:bidi="fa-IR"/>
        </w:rPr>
        <w:t xml:space="preserve">أیضا لإفادته الظنّ الاجتهادی المعلوم حجیّته بأدلّة العقل و النقل فلاتصغ إلی ما نقلنا منه رحمه‌الله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نّهم إن أرادوا بأصالة عدم التداخل أصل العدم، فلم یحققوا معناه و استعملوا فی غیر موضعه مع أ نّه فی موضعه أیضا محل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هذا ما سنح لی فی سالف الأیّام و لکنی أقول الآن بعد أن تأمّلت فی کلام العلاّمة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هاهنا أیضا مشکل جدّا إذ للمحقق الخوانساری رحمه‌الله أن یقول لا نسلّم کون السبب الثانی حین جعله بعد السبب الأوّل متّصفا بالاستقلال فی حال من الأحوال لا حین اتصافه بقبلیّة وجود السبب الأوّل و لا فی آن بعدیّته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رحمه‌الله </w:t>
      </w:r>
      <w:r>
        <w:rPr>
          <w:rStyle w:val="FootnoteAnchor"/>
          <w:rtl w:val="true"/>
        </w:rPr>
        <w:footnoteReference w:id="759"/>
      </w:r>
      <w:r>
        <w:rPr>
          <w:rFonts w:ascii="IRNazanin" w:hAnsi="IRNazanin" w:eastAsia="IRNazanin"/>
          <w:color w:val="111111"/>
          <w:sz w:val="28"/>
          <w:sz w:val="28"/>
          <w:szCs w:val="28"/>
          <w:rtl w:val="true"/>
          <w:lang w:bidi="fa-IR"/>
        </w:rPr>
        <w:t>من أنّ الثانی قبل وجود الأوّل قد کان سببا، فیستصحب حکم سببیته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به السببیّة التامة، فلا نسلّمها علی إطلاقها، بل هی مختصة بحالة انفراده بالسببیّة و لایتناول حالة انضمامه علی السبب الأوّل کما هو المفروض حتّی یلزم انسحاب حکم فیما بعد وجوده فإذن لا 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به السببیة فی الجملة ـ ولو ناقصة ـ فهو و إن کان یجری فیه الاستصحاب و کان له وجه صحّة، لکن لا یجدی نفعا للمستدل رحمه‌الله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لانسلّم اتصاف کلّ سبب سبب فی مرتبة ذاته بالاستقلال حتّی ینسحب حکمه بعد وجوده، فمناط الاستصحاب هنا غیر موجود؛ </w:t>
      </w:r>
      <w:bookmarkStart w:id="390" w:name="pg17288_199706"/>
    </w:p>
    <w:p>
      <w:pPr>
        <w:pStyle w:val="BookText"/>
        <w:rPr/>
      </w:pPr>
      <w:bookmarkEnd w:id="390"/>
      <w:r>
        <w:rPr>
          <w:rFonts w:ascii="IRNazanin" w:hAnsi="IRNazanin" w:eastAsia="IRNazanin"/>
          <w:color w:val="111111"/>
          <w:sz w:val="28"/>
          <w:sz w:val="28"/>
          <w:szCs w:val="28"/>
          <w:rtl w:val="true"/>
          <w:lang w:bidi="fa-IR"/>
        </w:rPr>
        <w:t xml:space="preserve">أقصی ما فی الباب أن نسلّم کونه سببا تامّا إذا انفرد و لم ینضمّ إلی سبب آخر، فلیتأمل فی هذا المقام و لیتدبّر، هذا غایة الحمایة و الانتصار للعلاّمة الخوانساری رحمه‌الله </w:t>
      </w:r>
      <w:r>
        <w:rPr>
          <w:rFonts w:eastAsia="IRNazanin" w:cs="IRNazanin"/>
          <w:color w:val="111111"/>
          <w:sz w:val="28"/>
          <w:szCs w:val="28"/>
          <w:rtl w:val="true"/>
          <w:lang w:bidi="fa-IR"/>
        </w:rPr>
        <w:t>.</w:t>
      </w:r>
    </w:p>
    <w:p>
      <w:pPr>
        <w:pStyle w:val="Heading3"/>
        <w:numPr>
          <w:ilvl w:val="2"/>
          <w:numId w:val="1"/>
        </w:numPr>
        <w:rPr/>
      </w:pPr>
      <w:bookmarkStart w:id="391" w:name="__RefHeading___Toc4413784_3224264995"/>
      <w:bookmarkStart w:id="392" w:name="_Toc153"/>
      <w:bookmarkEnd w:id="391"/>
      <w:r>
        <w:rPr>
          <w:rtl w:val="true"/>
        </w:rPr>
        <w:t>[</w:t>
      </w:r>
      <w:r>
        <w:rPr>
          <w:rtl w:val="true"/>
        </w:rPr>
        <w:t>بیان سائر وجوه النظر فی کلام العلاّمة</w:t>
      </w:r>
      <w:r>
        <w:rPr>
          <w:rtl w:val="true"/>
        </w:rPr>
        <w:t>]</w:t>
      </w:r>
      <w:bookmarkEnd w:id="392"/>
    </w:p>
    <w:p>
      <w:pPr>
        <w:pStyle w:val="BookText"/>
        <w:rPr/>
      </w:pPr>
      <w:r>
        <w:rPr>
          <w:rFonts w:ascii="IRNazanin" w:hAnsi="IRNazanin" w:eastAsia="IRNazanin"/>
          <w:color w:val="111111"/>
          <w:sz w:val="28"/>
          <w:sz w:val="28"/>
          <w:szCs w:val="28"/>
          <w:rtl w:val="true"/>
          <w:lang w:bidi="fa-IR"/>
        </w:rPr>
        <w:t>رجعنا إلی بیان سائر وجوه النظر فی کلام العلاّمة رحمه‌الله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للخصم أن لایسلّم أنّ السبب الأوّل حین اجتماعه مع الثانی مقتض لمسبّب منفرد مختصّ به و ما ادعاه من الإجماع لایقطع دابر النزاع، بل هو حری بالامتناع فإنّ المسئلة خلافیة و مع ذلک فهو من مباحث الأصول و ما تلقّاه</w:t>
      </w:r>
      <w:r>
        <w:rPr>
          <w:rStyle w:val="FootnoteAnchor"/>
          <w:rtl w:val="true"/>
        </w:rPr>
        <w:footnoteReference w:id="760"/>
      </w:r>
      <w:r>
        <w:rPr>
          <w:rFonts w:ascii="IRNazanin" w:hAnsi="IRNazanin" w:eastAsia="IRNazanin"/>
          <w:color w:val="111111"/>
          <w:sz w:val="28"/>
          <w:sz w:val="28"/>
          <w:szCs w:val="28"/>
          <w:rtl w:val="true"/>
          <w:lang w:bidi="fa-IR"/>
        </w:rPr>
        <w:t>الفحول بالقبول، فادعاء الاتفاق لعلّه لیس حجة فی مباحث أصول الفقه مطلقا، فإنّها مشوبة بالأدلّة العقلیّة المستنبطة، و مع هذا فتحقیقها لیس من شأن المعصوم حتّی یکون الإجماع کاشفا عن رأیه،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للخصم أن یمنع خرق الإجماع المدعی علی کون السبب الثانی موجبا علی تقدیر کون الأوّل أیضا موجبا و البیان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نمنع لزوم الترجیح من غیر مرجّح لِمَ لا یجوز أن یکون الثانی مساویا للأوّل إذا انفرد کلّ بالسببیة و إن لم یکن کما مرّ کذلک حین الانضمام و الاجتماع و لانسلّم أنّ المفروض تساویهما مطلقا حتّی حال الاجتماع فیلزم المحال، أی الترجیح بلا مرجّح</w:t>
      </w:r>
      <w:r>
        <w:rPr>
          <w:rFonts w:eastAsia="IRNazanin" w:cs="IRNazanin"/>
          <w:color w:val="111111"/>
          <w:sz w:val="28"/>
          <w:szCs w:val="28"/>
          <w:rtl w:val="true"/>
          <w:lang w:bidi="fa-IR"/>
        </w:rPr>
        <w:t>.</w:t>
      </w:r>
    </w:p>
    <w:p>
      <w:pPr>
        <w:pStyle w:val="Heading3"/>
        <w:numPr>
          <w:ilvl w:val="2"/>
          <w:numId w:val="1"/>
        </w:numPr>
        <w:rPr/>
      </w:pPr>
      <w:bookmarkStart w:id="393" w:name="__RefHeading___Toc4413786_3224264995"/>
      <w:bookmarkStart w:id="394" w:name="_Toc154"/>
      <w:bookmarkEnd w:id="393"/>
      <w:r>
        <w:rPr>
          <w:rtl w:val="true"/>
        </w:rPr>
        <w:t>[</w:t>
      </w:r>
      <w:r>
        <w:rPr>
          <w:rtl w:val="true"/>
        </w:rPr>
        <w:t>عود إلی کلام العلاّمة فی المختلف و نقده</w:t>
      </w:r>
      <w:r>
        <w:rPr>
          <w:rtl w:val="true"/>
        </w:rPr>
        <w:t>]</w:t>
      </w:r>
      <w:bookmarkEnd w:id="3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المتساویان متشارکان فی الأحکام و اللوازم</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المتساویین فی جمیع الأحوال و کلّ الآونة فحقّ و لکنّه لیس ممّا نحن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أردتم فی الجملة أعنی فی بعض الأوقات ـ کوقت الوحدة مثلاً دون وقت الاجتماع ـ فلا نسلّم حینئذٍ أ نّه یجب اشتراکهما فی جمیع الأحکام و اللوازم حتّی یصیر </w:t>
      </w:r>
    </w:p>
    <w:p>
      <w:pPr>
        <w:pStyle w:val="BookText"/>
        <w:rPr/>
      </w:pPr>
      <w:r>
        <w:rPr>
          <w:rFonts w:ascii="IRNazanin" w:hAnsi="IRNazanin" w:eastAsia="IRNazanin"/>
          <w:color w:val="111111"/>
          <w:sz w:val="28"/>
          <w:sz w:val="28"/>
          <w:szCs w:val="28"/>
          <w:rtl w:val="true"/>
          <w:lang w:bidi="fa-IR"/>
        </w:rPr>
        <w:t xml:space="preserve">منشأ للترجح بلا مرجّح علی أنّ هذا القبیل من الکلام شبهة فی مقابلة البدیهة فهی غیر مسموعة و لیس برهانا عقلیّا، إذ کثیرا ما نری فی المعالجات و الأدویة الطبیّة فی فن الطبّ مثلاً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شیئا مخصوصا له ثلاثة أسباب کلّ منها حین الانفراد مستقلّ ولکنّ حین الانضمام یکتفی بمعالجة واحدة و مسبّب واحد و کذلک غیر الاُمور الطبیّة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بکون الأوصاف العرضیّة و منها کون الثانی مؤخّرا عن الأوّل مزیلاً للصفات اللازمة المهیّة و منها کون السبب موجبا بذاته</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أنّ الإیجاب و السببیة التامّة صفة لازمة للسبب الثانی مطلقا ـ أعنی ولو من حال الاجتماع و فی صورة تعدّد الأسباب ـ حتّی یلزم المحال و هو تخلف لوازم المهیّات عن نفس المهیّات، بل إنّما القدر المسلّم إنّما هو السببیة التامّة لکلّ سبب حال الانفراد و بشرط کونه وحده سببا حین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منشأ هذا التوهم منه رحمه‌الله أنّه رأی فی الروایات أو فی کلام الأصحاب إطلاق لفظ الموجب علیه أی علی کلّ من الأسباب ولو ثانیا و ثالثا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لایخفی اندفاعه بأدنی تأمّل، فإنّ إطلاق الموجب ـ أی السبب التام ـ علیه إنّما باعتبار بعض حالاته علی سبیل التجوّز و التسامح فی العبارة لا باعتبار جمیع أحواله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إنّما یلزم المحال ـ أعنی تخلّف لازم المهیّة عن نفس المهیّة ـ أن لو کان السبب الثانی موجبا تامّا علی الإطلاق من دون قید و اختصاص ببعض الحالات و الأوقات إذ علی هذا التقدیر، فإذا تحقّق بَعدیّته و تأخّره عن السبب الأوّل یصدق علیه أنّه قد زال الآن صفته اللازمة ـ و هو الموجبیة ـ فیلزم المحال؛ و لکنّه من البیّن أنّ الخصم لایقول کذلک، بل یقول لاأسلّم أنّ الشارع جعل العلّة الفلانیّة سببا تامّا باعتبارها فی حدّ ذاتها، بل یجوز أن یجعلها کذلک باعتبار خصوصیّة خارجة عن ذاتها بأن یقیّدها بوقت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دون وقت و بحالة دون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ما کان فقد اتضح أ نّه لایلزم محال من المحالات الثلاثة، لاخرق الإجماع، و لاتخلف المعلول عن العلة التامة، و لا الترجّح من غیر مرجح،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الحجّة المذکورة لایتناول صورة صدور الأسباب دفعة علی سبیل الاجتماع فی الوجود و إنّما تتمشّی علی تقدیر تسلیمها فی صورة التلاحق و التعاقب، و من الظاهر أنّ المدّعی عدم التداخل مطلقا، فالدلیل حینئذٍ أخصّ من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رحمه‌الله </w:t>
      </w:r>
      <w:r>
        <w:rPr>
          <w:rStyle w:val="FootnoteAnchor"/>
          <w:rtl w:val="true"/>
        </w:rPr>
        <w:footnoteReference w:id="763"/>
      </w:r>
      <w:r>
        <w:rPr>
          <w:rFonts w:ascii="IRNazanin" w:hAnsi="IRNazanin" w:eastAsia="IRNazanin"/>
          <w:color w:val="111111"/>
          <w:sz w:val="28"/>
          <w:sz w:val="28"/>
          <w:szCs w:val="28"/>
          <w:rtl w:val="true"/>
          <w:lang w:bidi="fa-IR"/>
        </w:rPr>
        <w:t>اعترض علی نفسه بعد إیراد الحجّة، فقال 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من الأقسام أن لایکون الأوّل موجبا قولکم یلزم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حال انفراد السبب، فمسلّم لکنّه خلاف المفروض؛</w:t>
      </w:r>
    </w:p>
    <w:p>
      <w:pPr>
        <w:pStyle w:val="BookText"/>
        <w:rPr/>
      </w:pPr>
      <w:r>
        <w:rPr>
          <w:rFonts w:ascii="IRNazanin" w:hAnsi="IRNazanin" w:eastAsia="IRNazanin"/>
          <w:color w:val="111111"/>
          <w:sz w:val="28"/>
          <w:sz w:val="28"/>
          <w:szCs w:val="28"/>
          <w:rtl w:val="true"/>
          <w:lang w:bidi="fa-IR"/>
        </w:rPr>
        <w:t>و إن أردتم حال انضمام علی آخر، فالإجماع ممنوع و ادعاؤه أول الکلام، ثمّ لِمَ لایجوز أن یکون موجبا ناقصا لا علی سبیل الاستقلال، فیکون حین الانضمام جزء علّة و لایکون علة تامة إلاّ حال الانفراد و ادعاء به الإجماع علی سببیة التامّة مطلقا غیر مسموع، بل مجرّد دعوی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فقولکم أنّ الثانی إمّا أن لایکون موجبا أو یکون، فإن کان الأوّل، لزم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هاهنا أیضا غیر مسلّم کما مرّ وجهه علی أ نّا نقول السبب الثانی لایوجب شیئا أصلاً إذ الحکم یثبت بمجرّد وجود الأوّل، فإنّ قول الشارع من تکلّم فعلیه سجود السهو مثلاً تعلیق علی المهیّة الکلیّة الصادقة علی القلیل و الکثیر و إذ قد ثبت الحکم و هو وجوب السجود بالأوّل، فلا یکون الثانی سببا لأمر البتة لظهور أنّ التحقیق کون الموجب هو المهیّة الکلیّة دون المشخصات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لکن لِمَ لایجوز للأکثرین أن یکون کلّ واحدٍ سببا تامّا نظرا إلی أنّ علل الشرع معرّفات و علامات لا علل حقیقیّة، و من البیّن أ نّه یجوز تواردها علی أمر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أیضا فحجتکم المذکورة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معارضة بأصالة برائة الذمّة، فإنّ الأصل أن لایکون المأمور مکلّفا بما زاد علی مسبّب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صحّ الدلیل المذکور لعدم التداخل لزم عدم التداخل فی الوضوءآت علی تقدیر تعدّد الأحداث و أن لایکتفی فی رفعها بطهارة واحدة، لکن اللازم باطل بالإجماع، فاللزوم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اعترضاته رحمه‌الله ملخصة</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ثمّ أجاب عن کلّ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قائم علی أنّ کلاّ من الفعلین مطلقا موجبان علی نهج الاستقلال سواء انضمّ إلی غیره أم لا، إذ لم یقل أحد بالتفرقة بین الصورتین</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هذا جوابه رحمه‌الله عن الایراد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أنّ غایة ما یستفاد من الإجماع المسلّم أن یدلّ علی سببیّة کلّ من الأسباب و موجبیتها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کلّ سبب مستقلاً علی الإطلاق، و علی جمیع التقادیر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یفرّق أحد بین الصورتین و الحال أنّ المسئلة معرکة الآراء مختلفة</w:t>
      </w:r>
      <w:r>
        <w:rPr>
          <w:rStyle w:val="FootnoteAnchor"/>
          <w:rtl w:val="true"/>
        </w:rPr>
        <w:footnoteReference w:id="766"/>
      </w:r>
      <w:r>
        <w:rPr>
          <w:rFonts w:ascii="IRNazanin" w:hAnsi="IRNazanin" w:eastAsia="IRNazanin"/>
          <w:color w:val="111111"/>
          <w:sz w:val="28"/>
          <w:sz w:val="28"/>
          <w:szCs w:val="28"/>
          <w:rtl w:val="true"/>
          <w:lang w:bidi="fa-IR"/>
        </w:rPr>
        <w:t>الأهواء، مع أنّ مبناها علی ما زعمتم علی تلک الأنظار الاستنباطیّة و الأدلّة العقلیّة الغیر المأمونة عن الخطأ و الاشتباه، و الإجماع فی أمثال هذه المواضع من الأمور العقلیّة و السوانح الفکریة غیر ثابت الحجیّة، بل للمخالف الألمعی و المتوقد الذکی أن یخالف فی مثل ذلک الإجماع و یعارض بمثله إن قدر و استطاع، و ما نحن فیه من بحث الأسباب إنّما یکون من هذا الباب کما لایخفی علی أولی الألباب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رحمه‌الله </w:t>
      </w:r>
      <w:r>
        <w:rPr>
          <w:rStyle w:val="FootnoteAnchor"/>
          <w:rtl w:val="true"/>
        </w:rPr>
        <w:footnoteReference w:id="767"/>
      </w:r>
      <w:r>
        <w:rPr>
          <w:rFonts w:ascii="IRNazanin" w:hAnsi="IRNazanin" w:eastAsia="IRNazanin"/>
          <w:color w:val="111111"/>
          <w:sz w:val="28"/>
          <w:sz w:val="28"/>
          <w:szCs w:val="28"/>
          <w:rtl w:val="true"/>
          <w:lang w:bidi="fa-IR"/>
        </w:rPr>
        <w:t>عما ذکر من الإیراد من أنّ الموجب هو المهیّة الکلیّة،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مسلّم لکنّها وجدت بتمامها فی الشخص الأوّل، فیثبت المعلول قضاء للعلیة، و وجدت کذلک </w:t>
      </w:r>
    </w:p>
    <w:p>
      <w:pPr>
        <w:pStyle w:val="BookText"/>
        <w:rPr/>
      </w:pPr>
      <w:r>
        <w:rPr>
          <w:rFonts w:ascii="IRNazanin" w:hAnsi="IRNazanin" w:eastAsia="IRNazanin"/>
          <w:color w:val="111111"/>
          <w:sz w:val="28"/>
          <w:sz w:val="28"/>
          <w:szCs w:val="28"/>
          <w:rtl w:val="true"/>
          <w:lang w:bidi="fa-IR"/>
        </w:rPr>
        <w:t>فی شخص الثانی أیضا فیثبت المعلول معه أیضا و إلاّ لزم خروج العلّة عن وصف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الموجبات و الأسباب و العبادات هی المهیّات دون الأشخاص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مشکل جدّا، بل فیه وجوه من المناقشات و الأنظار، کیف لا و کثیر من الأعاظم قد صرّحوا بأنّ مناط التکالیف الدینیّة و الأمور الشرعیّة هی الأفراد، فإنّها الموجودة فی الحقیقة دون الحقائق الکلیّة التی هی مجرّد صور ذهنیّة و إذ لا وجود لها فی الخارج، فکیف یتعلق بها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المعلول معه أیضا و إلاّ خرج العلّة عن العلیّة</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إذ للخصم أن لایسلّم علیّة الثانی علی الإطلاق، و علی أیّ تقدیر کما بیّناه مرارا بل نقول إذا قصدنا فی صدور تلک الأسباب أن نصدر سببا بعد سبب آخر فکونه علّة تامّة ممنوع، بل غایة الأمر علی فرض تسلیم تأثیره أن تکون علّة ناقصة أی جزء علّة فلایلزم خروج العلّة التامّة عن کونها علّة، إلاّ أن یقال أنّ المتبادر من إطلاق لفظ الموجب و السبب علیه مطلقا من دون تقیید بحالة الانفراد یعطی کونه علّة تامّة مطلقا، فحینئذٍ علی مفروض المعترض رحمه‌الله یلزم أن یخرج عن وصف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هذا التوجیه ممّا لم یلتفت إلیه ذلک العلاّمة رحمه‌الله ، بل هو عین ما أشرنا إلیه سابقا و تفردنا به و أ نّه لیس إلاّ تمسّکا بمفهوم الألفاظ و الظواهر و المتفاهم العرفی من النصوص، فهذا القبیل من التقریر مرحلة اُخری و کلام آخر، فافهم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رحمه‌الله عن قوله بکون العلل الشرعیّة یجوز تعدّدها و اجتماعها نظرا إلی کونها معرّفات بأ نّه ممنوع نظرا إلی أنّ الأصل تطابق الشرع و العقل، یعنی کما یمتنع توارد العلل التامّة علی معلول شخصی فی الأسباب و العلل العقلیّة، فکذلک فی الأسباب الشرعیّة </w:t>
      </w:r>
    </w:p>
    <w:p>
      <w:pPr>
        <w:pStyle w:val="BookText"/>
        <w:rPr/>
      </w:pPr>
      <w:r>
        <w:rPr>
          <w:rFonts w:ascii="IRNazanin" w:hAnsi="IRNazanin" w:eastAsia="IRNazanin"/>
          <w:color w:val="111111"/>
          <w:sz w:val="28"/>
          <w:sz w:val="28"/>
          <w:szCs w:val="28"/>
          <w:rtl w:val="true"/>
          <w:lang w:bidi="fa-IR"/>
        </w:rPr>
        <w:t>حرفا بحرف باعتبار أنّ الأصل عدم مخالفة الاُمور الشرعیّة للاُمور العقلیّة و یمکن أن یرید بالأصل أصالة العدم کما یمکن أن یراد به القاعدة</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 کیف کان، فعلی ما ذکره رحمه‌الله </w:t>
      </w:r>
      <w:r>
        <w:rPr>
          <w:rStyle w:val="FootnoteAnchor"/>
          <w:rtl w:val="true"/>
        </w:rPr>
        <w:footnoteReference w:id="771"/>
      </w:r>
      <w:r>
        <w:rPr>
          <w:rFonts w:ascii="IRNazanin" w:hAnsi="IRNazanin" w:eastAsia="IRNazanin"/>
          <w:color w:val="111111"/>
          <w:sz w:val="28"/>
          <w:sz w:val="28"/>
          <w:szCs w:val="28"/>
          <w:rtl w:val="true"/>
          <w:lang w:bidi="fa-IR"/>
        </w:rPr>
        <w:t xml:space="preserve">فمقتضی القاعدة أن یکون فی الشرع أیضا توارد الأسباب التامّة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معلول واحد ممتنعا، فمتی رأینا تعددا فیها مع وحدة المورد،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تلک الصورة عن القاعدة بالدلیل و یلزم حینئذٍ جعلها بمعنی العلاقة لا العلّة و إلاّ کما هو الغالب، حکمنا بالتطابق علی وفق الأصل المذکور، فهذا غایة تمشیة مراد العلاّمة و شرح کلامه زاد اللّه فی مقامه و أحسن فی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الطور من الکلام و هذا السیاق من المناظرة فی المقام، محض قیاس و استحسان یستحسنه الاُوهام و یأبی عنه عقول الأعلام و یشمئزّ عنه فقهاؤنا الکرام و لیس مبناه إلاّ مجرّد الرأی و الاستنباط و قائله من حیث لایشعر ناکب عن الصراط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اللوازم تنزه ساحة کبریاء الشرع عن مثل هذا الاعتبارات الواهیّة و لیست هی إلاّ الداهیة العظمی و أیّة داهیة؛ یا أخی بین الاُمور العقلیّة و الشرعیّة فرق کثیر فصدّقنی فی المقال و لاینبّک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قیاس الشرع علی القواعد العقلیّات و الفلسفة و الحال أنّ بناء الشرع علی النسخ و الزوال والتبدّل والانتقال والتخصیص والتعمیم والإطلاق والتقیید والإجمال والتبیین والمسامحات العرفیّة والظواهر اللفظیّة والأدلّة النقلیّة والقواعد الأغلبیّة الغیر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کفایة مجرّد التصدیق و التقلید و صیرورة قول المجتهد بمجرّد الموت غیر سدید و وجوب الأخذ بفتوی مجتهد جدیدة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الإجماع فیه حجّة و المتواتر فیه مفید، قلّما کان فیها قاعدة کلیّة و لایطّلع </w:t>
      </w:r>
    </w:p>
    <w:p>
      <w:pPr>
        <w:pStyle w:val="BookText"/>
        <w:rPr/>
      </w:pPr>
      <w:r>
        <w:rPr>
          <w:rFonts w:ascii="IRNazanin" w:hAnsi="IRNazanin" w:eastAsia="IRNazanin"/>
          <w:color w:val="111111"/>
          <w:sz w:val="28"/>
          <w:sz w:val="28"/>
          <w:szCs w:val="28"/>
          <w:rtl w:val="true"/>
          <w:lang w:bidi="fa-IR"/>
        </w:rPr>
        <w:t>المجتهدون فیها علی کلّ دقیقة و خفیّة و لایطّلع علی أکثر أسراره إلاّ اللّه العلاّم و الأنبیاء و الأوصیاء الکرام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أکثر العقلاء عن درک أسراره قاصرة ولو ملأوا فیها الطوامیر و الدفاتر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لایلزم من عدمه محال و لایختل به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یجری فیه من الحیل و الرخص تسهیلاً علی الأنام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لعلمنا و جهلنا و نسیاننا و سهونا فی ترتّب ما فیه من الأحکام مدخل تامّ کما لایخفی علی اُولی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یتفاوت فیه الأحکام علی حسب اختلاف عادات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مباحثه ممّا وقع فیه الاشتباه و التشاجر بین العلماء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تختلف فیه التکالیف علی حسب اختلاف آحاد الناس کالصلاة مثلاً، فإنّها أمر شرعی یختلف بالنسبة إلی کلّ أحد، فتختلف زیادة و نقصانا و سقوطا و وجوبا إلی غیر ذلک من الصفات، فالصلاة للحاضر شیء و للمسافر شیء، و للصحیح حدّ و للمریض حدّ آخر، و للمأموم شیء و للإمام وضع آخر، و لواجد الطهارة واجبة وعن فاقدها ساقطة، ولأحد قضاء و للآخر أداء، إلی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فلاختیارنا و قدرتنا فی ترتّب الآثار و الأحکام مدخل،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فمدار تکالیف الشریعة علی الیسر و السهولة و نحن منهیّون فیها عن التدقیق و التجسس و 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العلوم الحقیقیّة و الاُمور العقلیّة، فإنها تخالف العلوم الشرعیّة الرسمیّة فی کلّ واحد واحد ممّا ذکرناه، فإنّها لا تقتنص من إطلاقات العرفیّة و الأمارات اللفظیّة و الأدلّة النقلیّة، فلاتفید الخبر المتواتر فیها ولاینهض فی إثبات مسائلها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لایکفی مجرّد التصدیق و التقلید فیها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لاتختلف باختلاف عادات البلدان و الأصقاع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لایتصوّر فی أغلب</w:t>
      </w:r>
      <w:r>
        <w:rPr>
          <w:rStyle w:val="FootnoteAnchor"/>
          <w:rtl w:val="true"/>
        </w:rPr>
        <w:footnoteReference w:id="772"/>
      </w:r>
      <w:r>
        <w:rPr>
          <w:rFonts w:ascii="IRNazanin" w:hAnsi="IRNazanin" w:eastAsia="IRNazanin"/>
          <w:color w:val="111111"/>
          <w:sz w:val="28"/>
          <w:sz w:val="28"/>
          <w:szCs w:val="28"/>
          <w:rtl w:val="true"/>
          <w:lang w:bidi="fa-IR"/>
        </w:rPr>
        <w:t>فنونها الجدال و النزاع و یدرک أغلب أسرارها العلماء الفحول و إن لم یتلقّوه من النبی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ولاتتفاوت بتفاوت الأوضاع و التقادیر، بل مبناها علی مطابقة نفس الأمر ولایزال علی نسبة واحدة أبد الآباد، فإنّ الواحد مثلاً نصف الإثنین علی أیّ تقدیر کان و لابدّ للکرة مثلاً من مرکز أیّا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لاتقبل النسخ و الانقلاب و لا التخصیص و لا التقیید و لا مدخل فیها للموت و 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الحیوة؛ و لیست مسائلها توقیفیّة یتوقّف علی نصّ الشارع، بل یصل إلیها کلّ نحریر فیلسوف بارع و لاتکتسب ولاتستفاد من الظنون و الظواهر، بل ثبوتها موقوف علی البرهان القاطع الباهر و لیس لقدرتنا و اختیارنا فی الأمور الحکمیّة مدخل أصلاً و کثیر منها لاتقبل تعلّق قدرة اللّه بها و أکثر فنونها تنتهی إلی نظریات سهل المأخذ أو إلی البدهیّة و لهذا لم یقع فیها الخلاف و التشاجر، و إن وقع فعلی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فمسائلها فی غایة الدقة و الغموض لایتعاطاها إلاّ أوحدی اختاره اللّه للفیوض و مع ذلک لایتطرق إلیها التدبیر و الحیلة، لاتختلف عن متن الواقع و لو بکلّی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اصطلاحاتها المتداولة و بین المصطلحات الفقهیّة أکثر من الکثیر، فلکلّ من الاصطلاحین مقتضیات علی حدّة و العقول بما قلناه معترفة شاهدة و الألباب بتغایرهما فی الآثار و اللوازم 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 من فرق بین العلمین ـ أعنی علم الشریعة الرسمیّة و العلوم العقلیّة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أحررها خوفا من الإطناب و حذرا عن الإسهاب و ناهیک بما ذکرناه فارقا فی هذا الباب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 قد بلغ الأمر بهذه المثابة من التخالف و التغایر بین الشرع و العقل ثبت أنّ الأصل و القاعدة و الأعمّ الأغلب عدم تطابقهما فی اللوازم و الأحکام و الاصطلاحات، إلاّ ما </w:t>
      </w:r>
    </w:p>
    <w:p>
      <w:pPr>
        <w:pStyle w:val="BookText"/>
        <w:rPr/>
      </w:pPr>
      <w:r>
        <w:rPr>
          <w:rFonts w:ascii="IRNazanin" w:hAnsi="IRNazanin" w:eastAsia="IRNazanin"/>
          <w:color w:val="111111"/>
          <w:sz w:val="28"/>
          <w:sz w:val="28"/>
          <w:szCs w:val="28"/>
          <w:rtl w:val="true"/>
          <w:lang w:bidi="fa-IR"/>
        </w:rPr>
        <w:t>خرج بالدلیل القاطع و البرهان الساطع، فقیاس الشرع علی العقل غیر نافع، بل مجرّد تمویه و خیال مضمحل باطل و ممزّق 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فساد استحسان العلاّمة توجه اللّه بتاج الکرامة و کرّمه بنعیم دار المقامة فإن قیاسه بعید الاستقامة فالأصل إذا عدم تطابق مقتضیات الشرع و مقتضیات العقل حتّی تدل دلیل علی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قد بیّنا وهن تلک القاعدة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فللمعترض أن یقول فی ردّ جواب العلاّمة بوجود الفرق بین العلل الشرعیّة و العلل العقلیّة بأن یجوز توارد العلل المتعدّدة علی معلول واحد فی الصورة الأولی دون الثانیة فمن یدّعی الفرق، فعلیه تجشم الاستدلال و دون ثبوته خرط القتاد فی مسئلة کثر منها الجدال و تجدل فی مضمارها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سنح لی فی هذا المقام من المقال علی أنّ الذی أورده رحمه‌الله من الحجّة کما زعمه حجّة قطعیة، فعلیه یستلزم خلافه المحال فلابدّ و أن تفید بزعمه القطع و الیقین دون الظنّ و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أجاب به عن الاعتراض بعده من التمسّک بأصالة التطابق لإحقاق الحجّة یبتنی علی الظنّ المستفاد من الاستصحاب لایفید أکثر من الظنّ و إن کان فی غایة القوّة فقطعیّة الحجّة کما هو المفروض، منوطة بهذا الجواب، فکیف یفید العلم و الیقین، إن هذا إلاّ تناقض مستبین و الحال أنّ الخصم یکفیه أدنی تطرّق احتمال فی الحجّة المعهودة ولو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فی هذا المقام لم یتمسک العلاّمة بألفاظ النصوص حتّی یکفیه التمسک بالظاهر و لایضرّه ذلک الاحتمال البعید النادر؛ فافهم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لاینکر هذا الکلام إلاّ مکابر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أنّ الأصل مع الإغماض من کلّ ما ذکر، عدم تطابق الشرع و العقل لا التطابق کما زعمه العلاّمة فإنّ الأمر الوجودی هو المطابقة لا عدم المطابقة و کلّ أمر وجودی ممکن یفرضه المدعی فی موضع النزاع مسبوق بالعدم، فالأصل عدمه و یحکم به حتّی </w:t>
      </w:r>
    </w:p>
    <w:p>
      <w:pPr>
        <w:pStyle w:val="BookText"/>
        <w:rPr/>
      </w:pPr>
      <w:r>
        <w:rPr>
          <w:rFonts w:ascii="IRNazanin" w:hAnsi="IRNazanin" w:eastAsia="IRNazanin"/>
          <w:color w:val="111111"/>
          <w:sz w:val="28"/>
          <w:sz w:val="28"/>
          <w:szCs w:val="28"/>
          <w:rtl w:val="true"/>
          <w:lang w:bidi="fa-IR"/>
        </w:rPr>
        <w:t>یقوم الدلیل علی وجوده، فتجشّم الاستدلال حینئذٍ علی من یدّعی تطابقهما و هو صفة وجودیّه لا علی من ینفیه و هم القائلون بعدم التداخل؛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المقام فی غایة الدقة و الإشکال و قد حقّقنا الحق و الحمد للّه المتعال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حقّقت، فیلزم إنکار قاعدة العدلیّة من الحسن و القبح العقلیین، لأ نّک حکمت بعدم تطابق أحکام الشرع و أحکام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لاینافی ما ذکرناه، قاعدة الحسن و القبح، فهو مقام آخر و ما نحن فیه مرحلة أخری و إن کان یتراآی کذلک بادی النظر و أوّل الوهلة، فإزالة هذا التوهّم هیّنة سهلة، إذ المراد بعقلیة الحسن و القبح، لیس إلاّ أن ما أمر به الشارع، متضمنة لمصلحة عظیمة مطابقة لنفس الأمر یدرکه بعض العقول السلیمة لا أقل إن لم یصل إلیها بعض آخر لقصورها و کذلک ما نهاه الشارع لیس إلاّ باعتبار مفسدة و قبح فی متن الواقع، یدرکان أیضا بالعقل السلیم، فلأجل تلک المحاسن و المصالح ندبٌ و أمرٌ؛ و باعتبار تلک المساوی و المفاسد نهیٌ و زجرٌ، و بهذین الاعتبارین یتحقق استحقاق المدح و الذم لا أنّهما منوطان بمجرّد الأمر و النهی؛ هذا معنی الحسن و القبح العقلیّن و هو لاینافی ما ذکرناه بوجهٍ و لایضرّنا أصلاً، بل نقول بموجبهما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رحمه‌الله </w:t>
      </w:r>
      <w:r>
        <w:rPr>
          <w:rStyle w:val="FootnoteAnchor"/>
          <w:rtl w:val="true"/>
        </w:rPr>
        <w:footnoteReference w:id="773"/>
      </w:r>
      <w:r>
        <w:rPr>
          <w:rFonts w:ascii="IRNazanin" w:hAnsi="IRNazanin" w:eastAsia="IRNazanin"/>
          <w:color w:val="111111"/>
          <w:sz w:val="28"/>
          <w:sz w:val="28"/>
          <w:szCs w:val="28"/>
          <w:rtl w:val="true"/>
          <w:lang w:bidi="fa-IR"/>
        </w:rPr>
        <w:t>عن متمسک المانع ـ و هو أصالة براءة الذمّة ـ بأ نّه معارض بالاحتیاط فإنّ شغل الذمة الیقینی یقتضی البراءه الیقینیّة و لاتحصل إلاّ بفعل کلّی مسبب لخصوص سبب سبب</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حقٌ متین لا غبار علیه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رحمه‌الله عن النقض بحکایة الحدیث بأنّ الفرق بین الأحداث و صورة النزاع بیّن فإنّ رفع الحدث الشخصی لایحصل إلاّ برفع مهیّة الحدث و إنّما یرتفع مهیّة الحدث بنیّة </w:t>
      </w:r>
      <w:bookmarkStart w:id="395" w:name="pg17288_199727"/>
    </w:p>
    <w:p>
      <w:pPr>
        <w:pStyle w:val="BookText"/>
        <w:rPr/>
      </w:pPr>
      <w:bookmarkEnd w:id="395"/>
      <w:r>
        <w:rPr>
          <w:rFonts w:ascii="IRNazanin" w:hAnsi="IRNazanin" w:eastAsia="IRNazanin"/>
          <w:color w:val="111111"/>
          <w:sz w:val="28"/>
          <w:sz w:val="28"/>
          <w:szCs w:val="28"/>
          <w:rtl w:val="true"/>
          <w:lang w:bidi="fa-IR"/>
        </w:rPr>
        <w:t>تلک المهیّة و رفع المهیّة یستلزم رفع الجزئیات و إذا ارتفعت المهیّة لم یبق علّة مؤثّرة فی إیجاب الطهارة بخلاف ما نحن فیه</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الجواب لایخلو عن مناقشة، فإنّ 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ینوی رفع حدث دون حدث، لانسلم أن یرفع حدثه بالکلیة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المسئلة معرکة الآراء و ممّا کثر فیه التشاجر و الاختلاف و لیست إجماعیّة حتّی یصلح التمسک به</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و من راجع إلی الکتب المطوّلة الاستدلالیّة فی الفقه، یظهر علیه ما ذکرناه</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أیضا فبناءً علی هذا القول، یلزم أن یکون الأغسال التی لغیر الجنابة، مجزئة عن الوضوء و هذا خلاف ما تقرّر و اشتهر بین فقهائنا من عدم الإجزاء</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مفروضکم أنّ الغسل یرفع الحدث الأکبر و الحدث الأکبر مشارک للأصغر فی الحدثیّة و حیث إنّه ثبت ارتفاع هذا، ثبت ارتفاع ذلک أیضا، فکیف یمکن الحکم حینئذٍ بوجوب الوضوء مع أ نّکم تقولون بوجوب الوضوء مع غسل الحیض و النفاس و الاستحاضة فی الجملة و الأغسال المندوبة و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فالصواب فی الجواب نیابة عنه رحمه‌الله أن نلتزم بخروج مسئلة الأحداث المعهودة عن القاعدة نظرا إلی دلیل الخارج، فنقول بقی باقی الأسباب الشرعیّة و منها ما نحن فیه، تحت قاعدة عدم التداخل، فإنّها قاعدة نافعة جدّا، معوّل علیها فی المسائل الفقهیّة کما بیّنا وجه حجیّتها مرارا، فتدبّر</w:t>
      </w:r>
      <w:r>
        <w:rPr>
          <w:rFonts w:eastAsia="IRNazanin" w:cs="IRNazanin"/>
          <w:color w:val="111111"/>
          <w:sz w:val="28"/>
          <w:szCs w:val="28"/>
          <w:rtl w:val="true"/>
          <w:lang w:bidi="fa-IR"/>
        </w:rPr>
        <w:t>.</w:t>
      </w:r>
    </w:p>
    <w:p>
      <w:pPr>
        <w:pStyle w:val="Heading3"/>
        <w:numPr>
          <w:ilvl w:val="2"/>
          <w:numId w:val="1"/>
        </w:numPr>
        <w:rPr/>
      </w:pPr>
      <w:bookmarkStart w:id="396" w:name="__RefHeading___Toc4413788_3224264995"/>
      <w:bookmarkStart w:id="397" w:name="_Toc155"/>
      <w:bookmarkEnd w:id="396"/>
      <w:r>
        <w:rPr>
          <w:rtl w:val="true"/>
        </w:rPr>
        <w:t>[</w:t>
      </w:r>
      <w:r>
        <w:rPr>
          <w:rtl w:val="true"/>
        </w:rPr>
        <w:t>تتمیم فی نقل کلام صاحب السرائر</w:t>
      </w:r>
      <w:r>
        <w:rPr>
          <w:rtl w:val="true"/>
        </w:rPr>
        <w:t>]</w:t>
      </w:r>
      <w:bookmarkEnd w:id="3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الفاضل الرئیس محمّد بن ادریس أسکنه اللّه منازل التقدیس، قد فصّل فی </w:t>
      </w:r>
    </w:p>
    <w:p>
      <w:pPr>
        <w:pStyle w:val="BookText"/>
        <w:rPr/>
      </w:pPr>
      <w:r>
        <w:rPr>
          <w:rFonts w:ascii="IRNazanin" w:hAnsi="IRNazanin" w:eastAsia="IRNazanin"/>
          <w:color w:val="111111"/>
          <w:sz w:val="28"/>
          <w:sz w:val="28"/>
          <w:szCs w:val="28"/>
          <w:rtl w:val="true"/>
          <w:lang w:bidi="fa-IR"/>
        </w:rPr>
        <w:t>کتاب السرائر بین صورتی تجانس الأسباب و عدم تجانسها، فقال فی مبحث تعدّد أسباب سجود السهو بعد نقل القول بالتداخل و عدم التداخل أ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تلک الأسباب متماثلة متحدة فی المهیّة فلاتتعدّد المسببات، بل یکتفی بسجدتی السهو مرّة، إذ لا دلیل علی لزوم التعدّد و کقولهم علیهم‌السلام من تکلّم فی الصلاة سهوا، فلیسجد سجدتین</w:t>
      </w:r>
      <w:r>
        <w:rPr>
          <w:rStyle w:val="FootnoteAnchor"/>
          <w:rtl w:val="true"/>
        </w:rPr>
        <w:footnoteReference w:id="779"/>
      </w:r>
      <w:r>
        <w:rPr>
          <w:rFonts w:ascii="IRNazanin" w:hAnsi="IRNazanin" w:eastAsia="IRNazanin"/>
          <w:color w:val="111111"/>
          <w:sz w:val="28"/>
          <w:sz w:val="28"/>
          <w:szCs w:val="28"/>
          <w:rtl w:val="true"/>
          <w:lang w:bidi="fa-IR"/>
        </w:rPr>
        <w:t xml:space="preserve">و لم یتعرضوا لبیان الدفعة أو الدفعات، فحینئذٍ یکفی بمسمّی السجود و لایحصل الامتثال بهذا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تقدیر اختلاف جنس الأسباب، فالأولی بل الواجب عندی هو الإتیان عن کلّ جنس بسجدتین بخصوصه، لعدم الدلیل علی تداخل الأجناس، لأنّ الفرضین لایتداخلان باتفاق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فالواجب أن یأتی لکلّ جنس جنس ما یتناوله اللفظ لأنّ المصلی قدتکلّم سهوا و سلّم کذلک، و قام فی موضع القعود کذلک، و المفروض أنّ ائمتنا علیهم‌السلام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یجب علیه ذلک، و من سلّم یلزم علیه کذلک، و من قام أیضا فی مقام القعود فعلیه بالسجود، و هذا المصلی قد صدر عنه کلّ من هذه الأفعال، فعلیه لکلّ أمر بامتثال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ملخّص ما افاد رحمه‌الله من المقال</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من سلّم فی غیر موضع التسلیم ساهیاً، فعلیه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قعد فی حال قیام أو قام فی حال قعود فعلیه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الجبران لایکون إلاّ فیما یقطع المصلّی علی أ نّه فعله أو ترکه ناسیا، فیجبر فعله ذلک بسجدتی السهو، و لیس هو مثل الاحتیاط، فکیف القول فی مسألة من سها بین الأربع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قاطع علی الأربع، و یشک فی الرکعة الخامسة، فقد صار قاطعاً علی الأربع، و فی شک من الخمس، فما خلا من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سها المصلّی فی صلاته بما یوجب سجدتی السهو مرات کثیرة، فی صلاة واحدة، أیجب علیه بکلّ مرّة سجدتا السهو، أو سجدتا السهو عن الجمیع؟</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المرات من جنس واحد، فمرّة واحدة یجب سجدتا السهو، مثلاً تکلّم ساهیاً فی الرکعة الأولی، و کذلک فی باقی الرکعات، فإنه لا یجب علیه تکرار السجدات، بل یجب علیه سجدتا السهو فحسب، لأ نّه لا دلیل علیه، و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صلاته ساهیاً یجب علیه سجدتا السهو، و ما قالوا دفعة واحدة أو دفعات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إذا اختلف الجنس، فالأولی عندی بل الواجب، الإتیان عن کلّ جنس بسجدتی السهو، لأ نّه لا دلیل علی تداخل الأجناس، بل الواجب إعطاء کل جنس ما تناوله اللفظ، لأنّ هذا قد تکلّم مثلا، و قام فی حال قعود، و أخلّ بإحدی السجدتین، و شکّ بین الأربع و الخمس، و أخلّ بالتشهد الأوّل، و لم یذکره إلاّ بعد الرکوع فی الثالثة، و قالوا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کذا یجب علیه سجدتا السهو، و من فعل کذا فی صلاته ساهیاً یجب علیه سجدتا السهو، و هذا قد فعل الفعلین فیجب علیه امتثال الأمر، و لا دلیل علی تداخلهما، لأنّ الفرضین لا یتداخلان بلا خلاف من محقق</w:t>
      </w:r>
      <w:r>
        <w:rPr>
          <w:rFonts w:eastAsia="IRNazanin" w:cs="IRNazanin"/>
          <w:color w:val="111111"/>
          <w:sz w:val="28"/>
          <w:szCs w:val="28"/>
          <w:rtl w:val="true"/>
          <w:lang w:bidi="fa-IR"/>
        </w:rPr>
        <w:t>».</w:t>
      </w:r>
      <w:bookmarkStart w:id="398" w:name="pg17288_199730"/>
    </w:p>
    <w:p>
      <w:pPr>
        <w:pStyle w:val="Heading3"/>
        <w:numPr>
          <w:ilvl w:val="2"/>
          <w:numId w:val="1"/>
        </w:numPr>
        <w:rPr/>
      </w:pPr>
      <w:bookmarkStart w:id="399" w:name="__RefHeading___Toc4413790_3224264995"/>
      <w:bookmarkStart w:id="400" w:name="_Toc156"/>
      <w:bookmarkEnd w:id="398"/>
      <w:bookmarkEnd w:id="399"/>
      <w:r>
        <w:rPr>
          <w:rtl w:val="true"/>
        </w:rPr>
        <w:t>[</w:t>
      </w:r>
      <w:r>
        <w:rPr>
          <w:rtl w:val="true"/>
        </w:rPr>
        <w:t>المناقشة مع صاحب السرائر</w:t>
      </w:r>
      <w:r>
        <w:rPr>
          <w:rtl w:val="true"/>
        </w:rPr>
        <w:t>]</w:t>
      </w:r>
      <w:bookmarkEnd w:id="400"/>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رحمه‌الله فی الشق الثانی لنا بتوافق حیث اختار عدم التداخل و ما أتی به من الدلیل من التمسک بظاهر اللفظ ، متین فلا نزاع لنا معه؛ و إن کان فی ثبوت الإجماع الذی ادّعاها فی هذا المقام نوع مناقشه کسائر اجماعاته فی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ادّعاه فی الشق الأوّل من التداخل ـ أعنی فی صورة تجانس الأسباب ـ فبعید عن الصواب، لما عرفت مرارا من کونه معارضا بالاحتیاط و بالاستصحاب بجمیع أنواعه کما سبق و بالظواهر اللفظیّة و العرفیّة و باستقراء المسائل الفقهیّة و بما علیه الأکثر و الأغلب و بالأخبار المرویة الدالّة علی المطلب و هی التی ذکرنا بعضها، فإنّ دلالة کلّ من هذه الأدلّة واضحة علی من له أدنی مسکة، فکیف علی الأجلّة شاملة بإطلاقها صورة التجانس و عدمه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الأسباب المتجانسة المتفقة فی الحقیقة، لایخالف مقتضی </w:t>
      </w:r>
    </w:p>
    <w:p>
      <w:pPr>
        <w:pStyle w:val="BookText"/>
        <w:rPr/>
      </w:pPr>
      <w:r>
        <w:rPr>
          <w:rFonts w:ascii="IRNazanin" w:hAnsi="IRNazanin" w:eastAsia="IRNazanin"/>
          <w:color w:val="111111"/>
          <w:sz w:val="28"/>
          <w:sz w:val="28"/>
          <w:szCs w:val="28"/>
          <w:rtl w:val="true"/>
          <w:lang w:bidi="fa-IR"/>
        </w:rPr>
        <w:t>النصوص، بل توافق ظاهر عباراتها، فإنّ ظاهر إطلاق اللفظ ، تعمّ المرّة و المرّات مثلاً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الصلاة سهوا یوجب السجود، فإن معناه لیس إلاّ اقتضاء ما یصدق علیه السجود، فیحصل الامتثال به کائنا ما کان الکلام، صدر دفعة أو دفعات نظرا إلی ترک الاستفصال و إلاّ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لقیّدوه بحال صدوره دفعة و بیّنوا لنا الفرق بین الصورتین، فإنّ المقام مقام البیان و الحال أ نّهم لم یبیّنوا أصلاً، فعلم أن ظاهر تلک العبارات هو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 تلک الظواهر اللفظیّة المتبادرة من الألفاظ المتفاهمة منها عرفا هی المعوّل علیها و علیها مدار الإفادة و الاستفادة فی الاستدلالات الفقهیّة و فی غایة المتانة و الحجیّة بحیث لایعارضها أکثر الأدلّة المذکورة علی عدم التداخل مطلقا من مقتضی العرف و العادة و الاستقراء و الأدلّة العقلیّة من أصالة عدم التداخل و الاستصحاب بجمیع وجوهه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الأدلّة و الظواهر فی جنب ذلک الظهور الذی هو مثل النور علی شاهق الطور، لیس بشی‌ء أصلاً، کما هو الحق و المشهور و المقرّر فی محلّه لدی الجمهور، فمذهب ابن ادریس رحمه‌الله من التفصیل المذکور هو المؤیّد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ممّا ذکرت بهذا الإطناب أن لایصلح للمعارضة مثل أصل العدم و الاستصحاب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فهم العرف الذی استدللنا به فی هذا المقام، فهو ظاهر الحجیّة یصلح معارضا لما ادعیته من ظواهر تلک النصوص، فإنّه أیضا من الظواهر اللفظیّة لأنّا لم نحتج به من حیث نفسه، أی من حیث کونه حکما عرفیّا مع الإغماض عن کونه مستفادا من اللفظ متبادرا منه، بل من جهة استفادته من اللفظ و تبادره منه و کونه حجّة فی المخاطبات و المحاورات، و من البیّن، بل أظهر من الشمس، حجیّة مثل هذا الظاهر و صلاحیته معارضا لما أدعیت من ظواهر النصوص، کیف لا و مدار التفهم و التفهیم بین الناس و مدار الاستدلات الفقهیّة علی مثل هذا المتبادر الظاهر و المتفاهم العرفی الباهر و هکذا کان عادة الفقهاء کابرا عن کابر، هذا</w:t>
      </w:r>
      <w:r>
        <w:rPr>
          <w:rFonts w:eastAsia="IRNazanin" w:cs="IRNazanin"/>
          <w:color w:val="111111"/>
          <w:sz w:val="28"/>
          <w:szCs w:val="28"/>
          <w:rtl w:val="true"/>
          <w:lang w:bidi="fa-IR"/>
        </w:rPr>
        <w:t xml:space="preserve">. </w:t>
      </w:r>
      <w:bookmarkStart w:id="401" w:name="pg17288_199734"/>
    </w:p>
    <w:p>
      <w:pPr>
        <w:pStyle w:val="BookText"/>
        <w:rPr/>
      </w:pPr>
      <w:bookmarkEnd w:id="4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أیضا 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یستفاد من طریقة الفقهاء و التتبع و الاستقراء لایصلح معارض لظاهر تلک النصوص و الحال أنّ المستفاد من الاستقراء و التتبّع و ممارسة الفن و تفحّص المقامات و الموارد و هو عدم التداخل مطلقا و الاستقراء و التتبع تفیدان العلم العادی فی أغلب المواضع و المقامات و علی تقدیر التنزل، فلا أقلّ من إفادتهما الظنّ الغالب المتأخم للعلم، حتّی أنّ بعض أرباب المعقول، مدار استدلالاته فی مباحث الحکمة علی مقتضی التتبع و الاستقراء و ادعی أنهما تفیدان العلم مستدلاً علیه بحکم الوجدان و لعمری أ نّه یشبه أن یکون هو الحق بالعیان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الظاهر الذی ادعیته معارض بما ذکرناه من مثل أخبار المرویّة فی حکم الکفارات، فإنّها نصّ فی تعدّد الکفارة بتعدّد موجباتها و إن کانت أسبابها المتعدّدة من نوع واحد، بل مورد تلک الأخبار و صریحها لیس التجانس و اتحادها فی المهیّة، فما ذکرته من حجیّة ظواهر النصوص إنّما یسلّم أن لو خلّیت و طباعها، فإنّها حینئذٍ أقوی من الأدلّة العقلیّة کأصالة العدم و الاستصحاب و الاحتیاط و أمّا مع کونها معارضا بظواهر نصوص آخر فلا، نعم لو اقتصرنا علی مجرّد تلک الأدلّة العقلیّة و الاحتیاط لکان لما ذکر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إنّا لم نفعل کذلک بل ما عوّلنا حقیقة إلاّ علی التبادرات و الظواهر اللفظیّة و الروایات التی عن الأئمة مرویّة و طریقة المشهورین و عادتهم المرضیّة، ثمّ بعد إن کان بناؤنا فی الاستدلال علیها، فلا بأس بجعل أمثال تلک الاُمور من المؤیّدات، فإنّ صلاحیتها للتأیید حینئذٍ، بل لکونها جزء دلیل متجهة جدّا فاحتفظ یا أخی بما قلنا و کن فی دقة و لاتخبط و لاتخلط و استقم کما أمرت</w:t>
      </w:r>
      <w:r>
        <w:rPr>
          <w:rFonts w:eastAsia="IRNazanin" w:cs="IRNazanin"/>
          <w:color w:val="111111"/>
          <w:sz w:val="28"/>
          <w:szCs w:val="28"/>
          <w:rtl w:val="true"/>
          <w:lang w:bidi="fa-IR"/>
        </w:rPr>
        <w:t>.</w:t>
      </w:r>
    </w:p>
    <w:p>
      <w:pPr>
        <w:pStyle w:val="Heading3"/>
        <w:numPr>
          <w:ilvl w:val="2"/>
          <w:numId w:val="1"/>
        </w:numPr>
        <w:rPr/>
      </w:pPr>
      <w:bookmarkStart w:id="402" w:name="__RefHeading___Toc4413792_3224264995"/>
      <w:bookmarkStart w:id="403" w:name="_Toc157"/>
      <w:bookmarkEnd w:id="402"/>
      <w:r>
        <w:rPr>
          <w:rtl w:val="true"/>
        </w:rPr>
        <w:t>[</w:t>
      </w:r>
      <w:r>
        <w:rPr>
          <w:rtl w:val="true"/>
        </w:rPr>
        <w:t>تقریر المعارضة فی المقام</w:t>
      </w:r>
      <w:r>
        <w:rPr>
          <w:rtl w:val="true"/>
        </w:rPr>
        <w:t>]</w:t>
      </w:r>
      <w:bookmarkEnd w:id="40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أیضا فإنّ لنا أنّ نعارض تلک الظواهر بظواهر آخر مستفادة من اللفظ أیضا کظواهرکم</w:t>
      </w:r>
      <w:r>
        <w:rPr>
          <w:rFonts w:eastAsia="IRNazanin" w:cs="IRNazanin"/>
          <w:color w:val="111111"/>
          <w:sz w:val="28"/>
          <w:szCs w:val="28"/>
          <w:rtl w:val="true"/>
          <w:lang w:bidi="fa-IR"/>
        </w:rPr>
        <w:t xml:space="preserve">. </w:t>
      </w:r>
      <w:bookmarkStart w:id="404" w:name="pg17288_199737"/>
    </w:p>
    <w:p>
      <w:pPr>
        <w:pStyle w:val="Heading3"/>
        <w:numPr>
          <w:ilvl w:val="2"/>
          <w:numId w:val="1"/>
        </w:numPr>
        <w:rPr/>
      </w:pPr>
      <w:bookmarkStart w:id="405" w:name="__RefHeading___Toc4413794_3224264995"/>
      <w:bookmarkStart w:id="406" w:name="_Toc158"/>
      <w:bookmarkEnd w:id="404"/>
      <w:bookmarkEnd w:id="405"/>
      <w:r>
        <w:rPr>
          <w:rtl w:val="true"/>
        </w:rPr>
        <w:t>[</w:t>
      </w:r>
      <w:r>
        <w:rPr>
          <w:rtl w:val="true"/>
        </w:rPr>
        <w:t>الوجه الأول من تقریر المعارضة</w:t>
      </w:r>
      <w:r>
        <w:rPr>
          <w:rtl w:val="true"/>
        </w:rPr>
        <w:t>]</w:t>
      </w:r>
      <w:bookmarkEnd w:id="406"/>
    </w:p>
    <w:p>
      <w:pPr>
        <w:pStyle w:val="BookText"/>
        <w:rPr/>
      </w:pPr>
      <w:r>
        <w:rPr>
          <w:rFonts w:ascii="IRNazanin" w:hAnsi="IRNazanin" w:eastAsia="IRNazanin"/>
          <w:color w:val="111111"/>
          <w:sz w:val="28"/>
          <w:sz w:val="28"/>
          <w:szCs w:val="28"/>
          <w:rtl w:val="true"/>
          <w:lang w:bidi="fa-IR"/>
        </w:rPr>
        <w:t>و تقریر المعارضة یمکن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 الأسباب الشرعیّة التی بیّنوها لنا العترة النبویّة إنّما هی بقضایا شرطیة التی عنهم علیهم‌السلام مرویّة، مثلاً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سلّم المصلّی سهوا فلیسجد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صلاته کذلک فلیسجد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من إمرأتک فلتکفّر</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و ما أشبهها من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المستفاد من الشرط و الجزاء أن یکون حصول الشرط علّة لوجود الجزاء کما هو المتبادر المفهوم منه عرفا و المقرّر عند أهل العربیّة و الفقهاء و هذا بحمد اللّه واضح فی غایة الظهور و الجلاء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أنّ تلک العلیّة مطلقةً لم تقیّد بحال انفراد ذلک الشرط المعبّر عنه بالسبب و لا بحال انضمامه إلی شرط آخر، و ظاهر أنّ المستفاد من العلیّة المطلقة فی تلک النصوص من دون قید هو السببیّة التامّة و أ نّه کلّ ما صدر العلّة وجد معها معلول البتة کلّ بوجود علی حدة أی أ نّه کل مرّة وجدت العلّة الفلانیّة ترتّب علیها معلول، أی لو کانت تلک الشروط أی تلک الأسباب أفراد نوع واحد و عین ما ادعینا من عدم تداخلها مطلقا و لو متجانسة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ثبوت مقتضی الشرطیّة علی النهج الذی بیّناه فکلّما تکرّر الشرط و تجدّد، تکرّر الجزاء و تعدّد، فإنّ ما قلنا فی هذا المقام مبتن علی مسئلة مشهورة أصولیّة هی أنّ الأمر المعلّق علی الشرط هل یتکرّر علی حسب تکرّر الشرط أم لا؟</w:t>
      </w:r>
      <w:r>
        <w:rPr>
          <w:rStyle w:val="FootnoteAnchor"/>
          <w:rtl w:val="true"/>
        </w:rPr>
        <w:footnoteReference w:id="783"/>
      </w:r>
      <w:r>
        <w:rPr>
          <w:rFonts w:ascii="IRNazanin" w:hAnsi="IRNazanin" w:eastAsia="IRNazanin"/>
          <w:color w:val="111111"/>
          <w:sz w:val="28"/>
          <w:sz w:val="28"/>
          <w:szCs w:val="28"/>
          <w:rtl w:val="true"/>
          <w:lang w:bidi="fa-IR"/>
        </w:rPr>
        <w:t>و اختار جماعة من الأعاظم تکرّر الأمر المتکرّر نظرا إلی ظاهر اللفظ من التبادر و کان الحق معهم کما یظهر بالتدبّر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بالجملة، فما نحن فیه أیضا من هذا الباب و من فروع تلک المسألة و هی معرکة لآراء الأجلة، فمن العجب العجاب تمسّک المعترض فی هذا الباب بظاهر النصوص الذی ادعاه کیف لم ینظر إلی الطرف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المقابل و إلی أ نّه من فروع المسئلة التی ذکرنا، فإنّ جماعة من المحقّقین ـ کما بیّنا ـ علی أنّ مقتضاها تکرّر الأمر، فلو نظر إلی هذا التبادر و الظهور لأدرک بالوجدان فی ظواهر ما ادعاه من النصوص فتور، و فی دلالتها وهن و قصور بملاحظة المعارض المذکور،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ما اختاره ابن ادریس من الفرق مقتضی ظاهر النصوص لکنّا نمنع حجیّة ظواهر لفظیّة لم تلقّوه جمیع أهل اللسان بالقبول و صار معرکة لآراء الفحول لِمَ لایجوز حینئذٍ أن یعارضها الأدلّة العقلیّة الظنیّة أو بعض ما ینتهی إلی النقل من الأدلّة کاستصحاب العدم و أصالة البقاء و أصالة براءة الذمّة و أمثال ذلک و کالإجماع المنقول و نحوه، فإنکار هذا مکابرة، سیّما إذا کانت تلک الظواهر التی فی جانب المقابل مؤیدة بالاحتیاط و کان الاحتیاط فی ذلک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ما بیّناه،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تلک النصوص المستفاد منها بزعمه تداخل الأسباب المتجانسة بلغت فی الظهور و الحجیّة مثابة سائر ظواهر الألفاظ المتداولة فی المحاورات الظاهرة حجیّتها فی المخاطبات بین أهل العرف و اللغة التی علیها مدار التفهم و التفیهم، کیف و هذا قیاس فاسد و أساس کاسد إذ أغلب الظواهر اللفظیّة إنّما صار المدار علیها باعتبار عدم الخلاف و التشاجر فیها، فلهذا یکون التبادر فیها حجّة و الظنّ المستفاد منها مناطا و إن کان خلاف ظاهره محتملاً بخلاف ما نحن فیه، فإنّه قد وقع الوهن العظیم و الشبهة و الخفاء فی کون تلک الظواهر التی ادعیتها مظنونا، کیف لا و هو مزلقة أقدام أقلام الأعلام؟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البیّن أ نّه کلّما وقع التشاجر فی مدلول لفظ و کثر الجدال فی مقتضی ظاهره ارتفع الوثوق عنه و لهذا إنّا کثیرا ما نری تبدّل الدلالة بالأشعار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فربّما کان اللفظ ظاهرا فی زمانٍ فی معنی باعتبار عدم مسبوقیّته بشبهة و عدم وقوع الخلاف فیه فی ذلک الزمان </w:t>
      </w:r>
      <w:bookmarkStart w:id="407" w:name="pg17288_199741"/>
    </w:p>
    <w:p>
      <w:pPr>
        <w:pStyle w:val="BookText"/>
        <w:rPr/>
      </w:pPr>
      <w:bookmarkEnd w:id="407"/>
      <w:r>
        <w:rPr>
          <w:rFonts w:ascii="IRNazanin" w:hAnsi="IRNazanin" w:eastAsia="IRNazanin"/>
          <w:color w:val="111111"/>
          <w:sz w:val="28"/>
          <w:sz w:val="28"/>
          <w:szCs w:val="28"/>
          <w:rtl w:val="true"/>
          <w:lang w:bidi="fa-IR"/>
        </w:rPr>
        <w:t>ثمّ ینقضی ذلک الزمان، فیزول بعض الأمارات و الأدلّة و یتجدّد الخلاف لعروض الشبهات فیحصل الوهن فی الدلالة فیصیر حینئذٍ ظاهرا بعد أن کان نصّا أو مشعرا بعد أن کان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أنّ ما نحن فیه من هذا الباب و ذلک لأ نّه معرکة الآراء ومختلف الأهواء، فکیف یکون ادعاء ذلک الظهور ـ أی ظهور تداخل الأسباب المتجانسة ـ من تلک النصوص مسموعا،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لکنّه أدنی ظهور من قبیل الأشعار، فکیف یجوز التعویل علیه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ممّا ذکرناه علم أ نّه لو کان التشاجر و الخلاف العظیم واقعا فی أغلب الحقائق اللغویّة و العرفیّة أیضا من حیث دلالتها علی معانیها لقلنا بارتفاع الوثوق عنها أیضا کما نحن فیه و قلنا بعدم حجیّة تبادرها أصلاً و رأسا و لکن لما لم یقع فیها خلاف و تشاجر عظیم بحمد اللّه عوّلنا علی تلک الظواهر و علی تبادر المعنی الحققیقی منها</w:t>
      </w:r>
      <w:r>
        <w:rPr>
          <w:rFonts w:eastAsia="IRNazanin" w:cs="IRNazanin"/>
          <w:color w:val="111111"/>
          <w:sz w:val="28"/>
          <w:szCs w:val="28"/>
          <w:rtl w:val="true"/>
          <w:lang w:bidi="fa-IR"/>
        </w:rPr>
        <w:t>.</w:t>
      </w:r>
    </w:p>
    <w:p>
      <w:pPr>
        <w:pStyle w:val="Heading3"/>
        <w:numPr>
          <w:ilvl w:val="2"/>
          <w:numId w:val="1"/>
        </w:numPr>
        <w:rPr/>
      </w:pPr>
      <w:bookmarkStart w:id="408" w:name="__RefHeading___Toc4413796_3224264995"/>
      <w:bookmarkStart w:id="409" w:name="_Toc159"/>
      <w:bookmarkEnd w:id="408"/>
      <w:r>
        <w:rPr>
          <w:rtl w:val="true"/>
        </w:rPr>
        <w:t>[</w:t>
      </w:r>
      <w:r>
        <w:rPr>
          <w:rtl w:val="true"/>
        </w:rPr>
        <w:t>حصیلة التحقیق</w:t>
      </w:r>
      <w:r>
        <w:rPr>
          <w:rtl w:val="true"/>
        </w:rPr>
        <w:t>]</w:t>
      </w:r>
      <w:bookmarkEnd w:id="409"/>
    </w:p>
    <w:p>
      <w:pPr>
        <w:pStyle w:val="BookText"/>
        <w:rPr/>
      </w:pPr>
      <w:r>
        <w:rPr>
          <w:rFonts w:ascii="IRNazanin" w:hAnsi="IRNazanin" w:eastAsia="IRNazanin"/>
          <w:color w:val="111111"/>
          <w:sz w:val="28"/>
          <w:sz w:val="28"/>
          <w:szCs w:val="28"/>
          <w:rtl w:val="true"/>
          <w:lang w:bidi="fa-IR"/>
        </w:rPr>
        <w:t>و بالجملة، فحاصل التحقیق عندی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الأدلّة العقلیة کأصالة العدم و الاستصحاب لایقاوم الظواهر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کلام مبهم لایخلو من إغلاق و یجب أن لایبقی علی ظاهره من الإطلاق، فإن أرادوا به ظواهر الألفاظ المتعارفة المتداولة بین الأنام فی محاوراتهم و معاملاتهم ـ أعنی أکثر الحقائق اللغویّة و العرفیّه التی وقع الاتفاق علی إرادة ظواهرها أو کان المخالف فیها فی غایة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الندور و الضعف ـ فهو حقّ و صواب بلا شکّ و ارتیاب و حینئذٍ فلیست الأدلّة العقلیّة و الظنون المستفادة منها بشیء فی جنب تلک الظواهر أصلاً، فإنّ مدار الإفادة و الاستفادة و التفهّم و التفهیم علی دلالة الألفاظ و ظواهرها غالبا کما لایخفی فهذه عادة مسلّمة لا شیة فیها، هذا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أرادوا به حجیّة تلک الظواهر مطلقا حتّی الألفاظ التی وقع الخلاف العظیم و الشبهات فی حقائقها و مجازاتها و فی أنّ ظاهرها ماذا، أو وقع الخلاف العظیم فی أصل </w:t>
      </w:r>
      <w:bookmarkStart w:id="410" w:name="pg17288_199743"/>
    </w:p>
    <w:p>
      <w:pPr>
        <w:pStyle w:val="BookText"/>
        <w:rPr/>
      </w:pPr>
      <w:bookmarkEnd w:id="410"/>
      <w:r>
        <w:rPr>
          <w:rFonts w:ascii="IRNazanin" w:hAnsi="IRNazanin" w:eastAsia="IRNazanin"/>
          <w:color w:val="111111"/>
          <w:sz w:val="28"/>
          <w:sz w:val="28"/>
          <w:szCs w:val="28"/>
          <w:rtl w:val="true"/>
          <w:lang w:bidi="fa-IR"/>
        </w:rPr>
        <w:t>المسئلة ولو مع قطع النظر عن استفادة أحد طرفی النزاع من اللفظ فهی ممنوعة، إذ علی هذا التقدیر لما حصل الوهن و الفتور فی الظهور المذکور لحدوث الشبهات بین الجمهور، فلاتقاوم الأدلّة العقلیّة القویّة من أصالة براءة الذمة و أصل العدم و الاستصحاب و نحوه، بل و لایقاوم مقتضی العرف و العادات أیضا غالبا إذا کانا ممّا ثبت حجیّته و یصحّ التعویل علیه، بل و الإجماع المنقول حینئذٍ إذا قام علی خلاف مقتضی تلک الظواهر یصلح معارضا لها، بل و کثیرا ما یصلح الاحتیاط أیضا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تداخل الأسباب المتجانسة من هذا القسم الثانی و إن کان مقتضی ظواهر النصوص ففی حجیّتها إشکال عظیم، فمن أین یعلم أ نّه لایقاومها الأدلّة المذکورة من دلیل العقل و حکم العرف و الاحتیاط ، فهذا هو الحقّ و الصواب فی هذا الباب کما لایخفی علی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علیک یا أخی بضبط ما فی هذه الرسالة المتضمنة للفوائد الشریفة و اللطائف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المنیفة، فإنّی لم أجد أحد أحام حول تحقیق هذه المسئلة ـ أعنی مسئلة تداخل الأسباب ـ و لم أقف علی من أفرد لها رسالة أو عنون لها بابا بالخصوص، بل ما وجدته من عبارات الفقهاء و نقلته إنّما هو متفرق فی تضاعیف کتب الأصول و الاستدلالیّة الفقهیّة و لم یراعوها حق الرعایة بالأدلّة الباهرة و البراهین الظاهرة و ما تأمّلوا فیها حق التأمّل مع أنّها من النظریّات و قلّما یخلو کلام فی طرفی الإثبات و النفی فیها من 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المفضل المنعام علی أن وفّقنی للتدوین و الإتمام و الصلاة علی محمّد و آله الأنوار اللامعة الساطعة الشارقة البارقة</w:t>
      </w:r>
      <w:r>
        <w:rPr>
          <w:rFonts w:eastAsia="IRNazanin" w:cs="IRNazanin"/>
          <w:color w:val="111111"/>
          <w:sz w:val="28"/>
          <w:szCs w:val="28"/>
          <w:rtl w:val="true"/>
          <w:lang w:bidi="fa-IR"/>
        </w:rPr>
        <w:t>.</w:t>
      </w:r>
    </w:p>
    <w:p>
      <w:pPr>
        <w:pStyle w:val="Heading3"/>
        <w:numPr>
          <w:ilvl w:val="2"/>
          <w:numId w:val="1"/>
        </w:numPr>
        <w:rPr/>
      </w:pPr>
      <w:bookmarkStart w:id="411" w:name="__RefHeading___Toc4413798_3224264995"/>
      <w:bookmarkStart w:id="412" w:name="_Toc160"/>
      <w:bookmarkEnd w:id="411"/>
      <w:r>
        <w:rPr>
          <w:rtl w:val="true"/>
        </w:rPr>
        <w:t>[</w:t>
      </w:r>
      <w:r>
        <w:rPr>
          <w:rtl w:val="true"/>
        </w:rPr>
        <w:t>کلام المحقق الخوانساری فی المشارق</w:t>
      </w:r>
      <w:r>
        <w:rPr>
          <w:rtl w:val="true"/>
        </w:rPr>
        <w:t>]</w:t>
      </w:r>
      <w:bookmarkEnd w:id="4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التداخل علی تقدیر تحققه هل هو رخصة أو عزیمة؟ </w:t>
      </w:r>
    </w:p>
    <w:p>
      <w:pPr>
        <w:pStyle w:val="BookText"/>
        <w:rPr/>
      </w:pPr>
      <w:r>
        <w:rPr>
          <w:rFonts w:ascii="IRNazanin" w:hAnsi="IRNazanin" w:eastAsia="IRNazanin"/>
          <w:color w:val="111111"/>
          <w:sz w:val="28"/>
          <w:sz w:val="28"/>
          <w:szCs w:val="28"/>
          <w:rtl w:val="true"/>
          <w:lang w:bidi="fa-IR"/>
        </w:rPr>
        <w:t>لم نقف فی کلام الأصحاب علی شیء سوی ما ذکره الفاضل الأردبیلی من أنّ الظاهر أ نّه رخصة</w:t>
      </w:r>
      <w:r>
        <w:rPr>
          <w:rStyle w:val="FootnoteAnchor"/>
          <w:rtl w:val="true"/>
        </w:rPr>
        <w:footnoteReference w:id="784"/>
      </w:r>
      <w:r>
        <w:rPr>
          <w:rFonts w:ascii="IRNazanin" w:hAnsi="IRNazanin" w:eastAsia="IRNazanin"/>
          <w:color w:val="111111"/>
          <w:sz w:val="28"/>
          <w:sz w:val="28"/>
          <w:szCs w:val="28"/>
          <w:rtl w:val="true"/>
          <w:lang w:bidi="fa-IR"/>
        </w:rPr>
        <w:t>و استدل علیه بما ورد من أنّ الحائض إن شاءت أن تغتسل غسل الجنابة قبل الانقطاع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لایدل علی أن حال امکان المتداخلین معا کیف الحال کما لایخفی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لایذهب علیک أنّ ما ذکرنا من تحقّق الامتثال یقتضی کونه عزیمة، لأنّ</w:t>
      </w:r>
      <w:r>
        <w:rPr>
          <w:rStyle w:val="FootnoteAnchor"/>
          <w:rtl w:val="true"/>
        </w:rPr>
        <w:footnoteReference w:id="785"/>
      </w:r>
      <w:r>
        <w:rPr>
          <w:rFonts w:ascii="IRNazanin" w:hAnsi="IRNazanin" w:eastAsia="IRNazanin"/>
          <w:color w:val="111111"/>
          <w:sz w:val="28"/>
          <w:sz w:val="28"/>
          <w:szCs w:val="28"/>
          <w:rtl w:val="true"/>
          <w:lang w:bidi="fa-IR"/>
        </w:rPr>
        <w:t>بعد الامتثال لامعنی به للایتان ثانیا للامتثال کما هو الظاهر، سواء کان الأمر للوحدة أو الطبیعة</w:t>
      </w:r>
      <w:r>
        <w:rPr>
          <w:rStyle w:val="FootnoteAnchor"/>
          <w:rtl w:val="true"/>
        </w:rPr>
        <w:footnoteReference w:id="786"/>
      </w:r>
      <w:r>
        <w:rPr>
          <w:rFonts w:ascii="IRNazanin" w:hAnsi="IRNazanin" w:eastAsia="IRNazanin"/>
          <w:color w:val="111111"/>
          <w:sz w:val="28"/>
          <w:sz w:val="28"/>
          <w:szCs w:val="28"/>
          <w:rtl w:val="true"/>
          <w:lang w:bidi="fa-IR"/>
        </w:rPr>
        <w:t>من غیر وحدة و لاتکرار، فحینئذٍ یتطرق الإشکال فی تعدد الغسل للاحتیاط فیما فیه الخلاف فی التداخل لحرمة العبادة الغیر المتلقاة من الشارع الغیر الممتثلة لأمره إلاّ أن نمنع کلیة هذه المقدمة لعدم دلیل عام علیها من الآیة و الروایة کما هو الظاهر و إنّما هی المشهور</w:t>
      </w:r>
      <w:r>
        <w:rPr>
          <w:rStyle w:val="FootnoteAnchor"/>
          <w:rtl w:val="true"/>
        </w:rPr>
        <w:footnoteReference w:id="787"/>
      </w:r>
      <w:r>
        <w:rPr>
          <w:rFonts w:ascii="IRNazanin" w:hAnsi="IRNazanin" w:eastAsia="IRNazanin"/>
          <w:color w:val="111111"/>
          <w:sz w:val="28"/>
          <w:sz w:val="28"/>
          <w:szCs w:val="28"/>
          <w:rtl w:val="true"/>
          <w:lang w:bidi="fa-IR"/>
        </w:rPr>
        <w:t>فی السنة القوم، فلایبعد إذا أن یقال بعدم البأس فی الإتیان بفعل أمر الشارع بنوعه علی الکیفیة المتلقاة منه باحتمال أن یکون مراده احتیاطا مع عدم الحکم بوجوبه أو ندبه</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7288_199748"/>
      <w:bookmarkStart w:id="414" w:name="pg17288_199748"/>
      <w:bookmarkEnd w:id="414"/>
    </w:p>
    <w:p>
      <w:pPr>
        <w:pStyle w:val="Heading3"/>
        <w:numPr>
          <w:ilvl w:val="2"/>
          <w:numId w:val="1"/>
        </w:numPr>
        <w:rPr/>
      </w:pPr>
      <w:bookmarkStart w:id="415" w:name="pg17288_199748"/>
      <w:bookmarkStart w:id="416" w:name="__RefHeading___Toc4413800_3224264995"/>
      <w:bookmarkStart w:id="417" w:name="_Toc161"/>
      <w:bookmarkEnd w:id="415"/>
      <w:bookmarkEnd w:id="416"/>
      <w:r>
        <w:rPr>
          <w:rtl w:val="true"/>
        </w:rPr>
        <w:t>مصادر التحقیق</w:t>
      </w:r>
      <w:bookmarkEnd w:id="417"/>
    </w:p>
    <w:p>
      <w:pPr>
        <w:pStyle w:val="BookText"/>
        <w:rPr/>
      </w:pPr>
      <w:r>
        <w:rPr>
          <w:rFonts w:ascii="IRNazanin" w:hAnsi="IRNazanin" w:eastAsia="IRNazanin"/>
          <w:color w:val="111111"/>
          <w:sz w:val="28"/>
          <w:sz w:val="28"/>
          <w:szCs w:val="28"/>
          <w:rtl w:val="true"/>
          <w:lang w:bidi="fa-IR"/>
        </w:rPr>
        <w:t>المصادر العربیة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الأصول، المیرزا علی المشکینی، الهادی، الطبعة السابعة،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فیما یجب علی العباد، الشیخ الطوسی، تحقیق محمد کاظم الموسوی، دلیل ما،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 العلامة المجلسی ، مؤسسة الوفاء، الطبعة الثانیة،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الحلی، مؤسسة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 الشیخ الطوسی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دارالکتب الإسلامیة، الطبعة الرابعة ، طهران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محقق الکرکی، 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للشرائع، یحیی بن سعید الحلّی، مؤسسة سید الشهداء علیه‌السلام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 المحدّث البحرانی ، قم ، مؤسسة النشر الإسلامی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الشرعیة، الشهید الاول،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 المحقّق السبزواری ، قم ، أفست ، مؤسسة آل البیت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الشیخ آغا بزرگ الطهرانی، دارالأضواء، الطبعة الثالثة،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الشهید الأول، مؤسسة آل البیت علیهم‌السلام ،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العشر، ابن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 مکتبة آیة اللّه المرعشی،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الجنّات فی أحوال العلماء و السادات، السید محمد باقر الخوانساری،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اسماعیلیان، 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الشهید الثانی، قم، مکتب الإعلام الإسلامی،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ادریس الحلی،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هدایة المسترشدین ، الشیخ محمدباقر النجفی الإصفهانی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الباقری السیانی ، عطر عترت ،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العناوین، السید فتاح المراغی،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المولی أحمد النراقی، مکتب الإعلام الإسلامی،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الأیام، المحقق القمی، مکتب الإعلام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العلامة الحلی، 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الفقهیّة، السید البجنوردی،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الدرایتی و مهدی المهریزی، مؤسسة الهادی،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الشهید الأول،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الحکیم، الطبعة الثانیة،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الالتباس عن موجر أبی العباس، الشیخ الصیمری،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الفاضل الهندی،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الأحکام ، المحقّق السبزواری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الواعظی ، مؤسسة النشر الإسلامی ،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الأصول، الآخوند الخراسانی، مؤسسة النشر الإسلامی، الطبعة الخامسة،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 الشیخ الطوسی، مؤسسة الإسلامی،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 البرهان، المحقق الأردبیلی، مؤسسة النشر الإسلامی،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 العلاّمة الحلی ، الطبعة الثانیة ، مکتب الإعلام الإسلامی ،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الأحکام ، السید محمد العاملی ، مؤسسة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الشهید الثانی، مؤسسة المعارف الإسلامیة، الطبعة الثانیة،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المولی أحمد النراقی، مؤسسة آل البیت علیهم‌السلام ، مشهد،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مشارع الأحکام ، الشیخ محمدحسین الإصبهانی الحائری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الباقری السیانی،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حوزه اصفهان، ج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الشموس فی شرح الدروس ، المحقّق الخوانساری ، مؤسسة آل البیت علیهم‌السلام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المحقق الحلی، مؤسسة سید الشهداء علیه‌السلام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 السید جواد العاملی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محمدباقر الخالصی ، قم ، مؤسسة النشر الإسلامی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الموجز الحاوی، ابن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الاحکام،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الطبعة الثانیة، اسماعیلیان،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الشیخ 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المسترشدین، الشیخ محمد تقی الرازی النجفی الإصفهانی، مؤسسة النشر الإسلامی،قم،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الفارسیة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آیة اللّه العظمی سید ابوالحسن اصفهانی، مهدی باقری سیانی، کانون پژوهش، چاپ دوم، اصفهان،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 اصفهان، سیّد مصلح‌الدین مهدوی،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نصراللهی، سازمان فرهنگی تفریحی شهرداری اصفهان، اصفهان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 سیّد مصلح‌الدین مهدوی،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 و محمدرضا نیلفروشان، انتشارات گلدسته،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نامه اصول فقه، مرکز اطلاعات و مدارک اسلامی، پژوهشگاه علوم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کتابخانه آیة اللّه مرعشی نجفی، سید احمد حسینی،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فهرستواره دست‌نوشته‌های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درایتی،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موزه و مرکز اسناد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سلوک، رحیم قاسمی، کانون پژوهش، چاپ دوم،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حوزه اصفهان، جمعی از محققین، به اهتمام محمد جواد نورمحمدی، مرکز تحقیقات رایانه‌ای حوزه علمیه اصفهان، اصفهان،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واژه‌شناسی اصطلاحات اصول فقه، احمد قلی‌زاده، بنیاد پژوهش‌های علمی فرهنگی نور الاصفیاء،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18" w:name="pg17288_199755"/>
    </w:p>
    <w:p>
      <w:pPr>
        <w:pStyle w:val="Heading2"/>
        <w:numPr>
          <w:ilvl w:val="1"/>
          <w:numId w:val="1"/>
        </w:numPr>
        <w:rPr/>
      </w:pPr>
      <w:bookmarkStart w:id="419" w:name="__RefHeading___Toc4413802_3224264995"/>
      <w:bookmarkStart w:id="420" w:name="_Toc162"/>
      <w:bookmarkEnd w:id="418"/>
      <w:bookmarkEnd w:id="419"/>
      <w:r>
        <w:rPr>
          <w:rtl w:val="true"/>
        </w:rPr>
        <w:t>حقیقت منی، مذی، وذی و ودی</w:t>
      </w:r>
      <w:bookmarkEnd w:id="420"/>
    </w:p>
    <w:p>
      <w:pPr>
        <w:pStyle w:val="Heading3"/>
        <w:numPr>
          <w:ilvl w:val="2"/>
          <w:numId w:val="1"/>
        </w:numPr>
        <w:rPr/>
      </w:pPr>
      <w:bookmarkStart w:id="421" w:name="__RefHeading___Toc4413804_3224264995"/>
      <w:bookmarkStart w:id="422" w:name="_Toc163"/>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طاهر کلباسی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مطهری‌پور</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23" w:name="__RefHeading___Toc4413806_3224264995"/>
      <w:bookmarkStart w:id="424" w:name="_Toc164"/>
      <w:bookmarkEnd w:id="423"/>
      <w:r>
        <w:rPr>
          <w:rtl w:val="true"/>
        </w:rPr>
        <w:t>مقدمه محقق</w:t>
      </w:r>
      <w:bookmarkEnd w:id="424"/>
    </w:p>
    <w:p>
      <w:pPr>
        <w:pStyle w:val="BookText"/>
        <w:rPr/>
      </w:pPr>
      <w:r>
        <w:rPr>
          <w:rFonts w:ascii="IRNazanin" w:hAnsi="IRNazanin" w:eastAsia="IRNazanin"/>
          <w:color w:val="111111"/>
          <w:sz w:val="28"/>
          <w:sz w:val="28"/>
          <w:szCs w:val="28"/>
          <w:rtl w:val="true"/>
          <w:lang w:bidi="fa-IR"/>
        </w:rPr>
        <w:t>رساله‌ای که در محضر آن هستیم از عالمِ فاضل، فقیه محدث و عارف کامل مولی محمد جعفر بن محمد طاهر بن عبداللّه خراسانی طوسی اصفهانی کرباسی یزدی</w:t>
      </w:r>
      <w:r>
        <w:rPr>
          <w:rStyle w:val="FootnoteAnchor"/>
          <w:rtl w:val="true"/>
        </w:rPr>
        <w:footnoteReference w:id="790"/>
      </w:r>
      <w:r>
        <w:rPr>
          <w:rFonts w:ascii="IRNazanin" w:hAnsi="IRNazanin" w:eastAsia="IRNazanin"/>
          <w:color w:val="111111"/>
          <w:sz w:val="28"/>
          <w:sz w:val="28"/>
          <w:szCs w:val="28"/>
          <w:rtl w:val="true"/>
          <w:lang w:bidi="fa-IR"/>
        </w:rPr>
        <w:t>پیرامون یکی از مسائل فقهی به نام حقیقت منی، مذی، وذی، ودی می‌باشد</w:t>
      </w:r>
      <w:r>
        <w:rPr>
          <w:rFonts w:eastAsia="IRNazanin" w:cs="IRNazanin"/>
          <w:color w:val="111111"/>
          <w:sz w:val="28"/>
          <w:szCs w:val="28"/>
          <w:rtl w:val="true"/>
          <w:lang w:bidi="fa-IR"/>
        </w:rPr>
        <w:t>.</w:t>
      </w:r>
    </w:p>
    <w:p>
      <w:pPr>
        <w:pStyle w:val="Heading3"/>
        <w:numPr>
          <w:ilvl w:val="2"/>
          <w:numId w:val="1"/>
        </w:numPr>
        <w:rPr/>
      </w:pPr>
      <w:bookmarkStart w:id="425" w:name="__RefHeading___Toc4413808_3224264995"/>
      <w:bookmarkStart w:id="426" w:name="_Toc165"/>
      <w:bookmarkEnd w:id="425"/>
      <w:r>
        <w:rPr>
          <w:rtl w:val="true"/>
        </w:rPr>
        <w:t>نگاهی کوتاه به زندگی مؤلّف</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محمدجعفر بن محمدطاهر کرباسی در سال </w:t>
      </w:r>
      <w:r>
        <w:rPr>
          <w:rFonts w:eastAsia="IRNazanin" w:cs="IRNazanin"/>
          <w:color w:val="111111"/>
          <w:sz w:val="28"/>
          <w:szCs w:val="28"/>
          <w:lang w:bidi="fa-IR"/>
        </w:rPr>
        <w:t>1080</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 کان تاریخ ولادِته کما وجدتُه بخطّه الشریف علی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ریاض الجنة،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فی کتاب الموسوم بالطباشیر، بالفارسیة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ولادت بنده از این نظم ظاهر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الف و ثمانین به طالع محمود رسید مژده مولود عاقبت مسعود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کوچکی نزدیک</w:t>
      </w:r>
    </w:p>
    <w:p>
      <w:pPr>
        <w:pStyle w:val="BookText"/>
        <w:rPr/>
      </w:pPr>
      <w:r>
        <w:rPr>
          <w:rFonts w:ascii="IRNazanin" w:hAnsi="IRNazanin" w:eastAsia="IRNazanin"/>
          <w:color w:val="111111"/>
          <w:sz w:val="28"/>
          <w:sz w:val="28"/>
          <w:szCs w:val="28"/>
          <w:rtl w:val="true"/>
          <w:lang w:bidi="fa-IR"/>
        </w:rPr>
        <w:t>نیشابور به نام خبوشان که امروزه به قوچان معروف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سپری کردن ایام طفولیّت و نوجوانی برای تحصیل علوم دینی و کسب معارف به شهر مقدس مشهدالرضا علیه الصلوة والسلام مسافرت کردند و در آن دیار از محضر محدّث کبیر شیخ حر عاملی طاب ثراه مؤلّف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اجازه نقل روایت دریافت می‌کنند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مهاجرت می‌کنند و در محضر اساتید بزرگواری همچون علاّمه مجلسی قدس‌سره ، آقا جمال و آقا رضی خوانساری، میر اسماعیل و محمدصالح خاتون آبادی، فاضل سراب و فاضل هندی به کسب علم و فراگیری علوم دینی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علاّمه مجلسی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مدرسه ملاّ عبداللّه که در آن زمان میرزا جعفر بن محمد باقر سبزواری، فرزند محقق سبزواری نیز در مدرسه تدریس می‌کردند، حجره‌ای گرفت و تا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مشغول تحصیل و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 سالی را نیز از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کنار تألیف و انجام وظائف عالمان دینی، به تجارت کرباس در بازار نیم‌آورد اصفهان برای کسب رزق و روزی پرداخت</w:t>
      </w:r>
      <w:r>
        <w:rPr>
          <w:rFonts w:eastAsia="IRNazanin" w:cs="IRNazanin"/>
          <w:color w:val="111111"/>
          <w:sz w:val="28"/>
          <w:szCs w:val="28"/>
          <w:rtl w:val="true"/>
          <w:lang w:bidi="fa-IR"/>
        </w:rPr>
        <w:t>.</w:t>
      </w:r>
      <w:r>
        <w:rPr>
          <w:rStyle w:val="FootnoteAnchor"/>
          <w:rtl w:val="true"/>
        </w:rPr>
        <w:footnoteReference w:id="79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محمدجعفر کرباسی در بین سالهای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پی فتنه افغان به ایران و شهر اصفهان، به روستائی در نواحی اصفهان به نام کوپا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کوهپایه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و در کوههای آن منطقه مخفی شده به تألیف مشغول شدند</w:t>
      </w:r>
      <w:r>
        <w:rPr>
          <w:rFonts w:eastAsia="IRNazanin" w:cs="IRNazanin"/>
          <w:color w:val="111111"/>
          <w:sz w:val="28"/>
          <w:szCs w:val="28"/>
          <w:rtl w:val="true"/>
          <w:lang w:bidi="fa-IR"/>
        </w:rPr>
        <w:t xml:space="preserve">. </w:t>
      </w:r>
      <w:bookmarkStart w:id="427" w:name="pg17288_199759"/>
    </w:p>
    <w:p>
      <w:pPr>
        <w:pStyle w:val="BookText"/>
        <w:rPr/>
      </w:pPr>
      <w:bookmarkEnd w:id="427"/>
      <w:r>
        <w:rPr>
          <w:rFonts w:ascii="IRNazanin" w:hAnsi="IRNazanin" w:eastAsia="IRNazanin"/>
          <w:color w:val="111111"/>
          <w:sz w:val="28"/>
          <w:sz w:val="28"/>
          <w:szCs w:val="28"/>
          <w:rtl w:val="true"/>
          <w:lang w:bidi="fa-IR"/>
        </w:rPr>
        <w:t xml:space="preserve">مولی محمدجعفر کرباسی اواخر عمر خود را در یزد سپری کرده‌اند و سال سفر ایشان به یزد مشخص نیست، امّا از برخی نوشته‌ها چنین به دست می‌آید که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یزد مشغول به تألیف کتاب تباشیر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از نسخ کتاب اکلیل المنهج از آثار ایشان آورده که ابتدای سفرش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آنجا نیز اشاره‌ای به مقصد سفر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از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زندگی مولی محمدجعفر کرباسی مشخص نیست که او در اصفهان یا یزد، زندگی کرده است</w:t>
      </w:r>
      <w:r>
        <w:rPr>
          <w:rFonts w:eastAsia="IRNazanin" w:cs="IRNazanin"/>
          <w:color w:val="111111"/>
          <w:sz w:val="28"/>
          <w:szCs w:val="28"/>
          <w:rtl w:val="true"/>
          <w:lang w:bidi="fa-IR"/>
        </w:rPr>
        <w:t>.</w:t>
      </w:r>
    </w:p>
    <w:p>
      <w:pPr>
        <w:pStyle w:val="Heading3"/>
        <w:numPr>
          <w:ilvl w:val="2"/>
          <w:numId w:val="1"/>
        </w:numPr>
        <w:rPr/>
      </w:pPr>
      <w:bookmarkStart w:id="428" w:name="__RefHeading___Toc4413810_3224264995"/>
      <w:bookmarkStart w:id="429" w:name="_Toc166"/>
      <w:bookmarkEnd w:id="428"/>
      <w:r>
        <w:rPr>
          <w:rtl w:val="true"/>
        </w:rPr>
        <w:t>مولی محمدجعفر کرباسی از نگاه بزرگان</w:t>
      </w:r>
      <w:bookmarkEnd w:id="429"/>
    </w:p>
    <w:p>
      <w:pPr>
        <w:pStyle w:val="BookText"/>
        <w:rPr/>
      </w:pPr>
      <w:r>
        <w:rPr>
          <w:rFonts w:ascii="IRNazanin" w:hAnsi="IRNazanin" w:eastAsia="IRNazanin"/>
          <w:color w:val="111111"/>
          <w:sz w:val="28"/>
          <w:sz w:val="28"/>
          <w:szCs w:val="28"/>
          <w:rtl w:val="true"/>
          <w:lang w:bidi="fa-IR"/>
        </w:rPr>
        <w:t>بزرگان عصر مولی محمد جعفر با تعابیر بلندی از ایشان تجلیل کرده‌اند که در اینجا به ذکر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اجازه خود درباره ایشان اینگونه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الأولی، الفاضل الکامل، العالم العامل، المتوقّد الذکی الألمعی مولانا محمدجعفر بن المولی محمد طاهر رزقه اللّه نیل أعلی مدارج المعالی و المفاخر</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عبدالنبی القزوینی در کتاب تتمیم أمل الآمل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نبیه الشأن، و عالماً رفیع المکان، سمّو فضله و علوّ علمه ممّا أیّده البدیهة والبرهان، و التتبّع و التفحّص لِکُتُبِه یصیره کالعیان، جمع بین العلوم العقلیّة و النقلیّة، فمهّر فیهما و اکتبسهما فحذق فیهما، و مع ذلک کان منزهاً مقدّساً خلیقاً ورعاً متعبداً زاهداً، لایشتبهه فی شیءٍ من ذلک منه</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روضات الجنات در کتابش می‌فرماید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الفاضل الکامل المتتبع الماهر مولانا محمدجعفر بن محمدطاهر الخراسانی</w:t>
      </w:r>
      <w:r>
        <w:rPr>
          <w:rStyle w:val="FootnoteAnchor"/>
          <w:rtl w:val="true"/>
        </w:rPr>
        <w:footnoteReference w:id="796"/>
      </w:r>
      <w:bookmarkStart w:id="430" w:name="pg17288_199761"/>
    </w:p>
    <w:p>
      <w:pPr>
        <w:pStyle w:val="BookText"/>
        <w:rPr/>
      </w:pPr>
      <w:bookmarkEnd w:id="4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آقا بزرگ تهرانی در طبقات اعلام الشیعه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متصوّفٌ جلیلٌ ماهرٌ</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محمدحسن زنوزی، در ریاض الجنة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عالماً فاضلاً کاملاً عابداً ورعاً مقدساً تقیاً نقیاً فقیهاً محدثاً حکیماً عارفاً مرتضاً مرتاضاً صاحب الکرامات</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اردبیلی در حاشیه کتاب جامع الرواة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الاستناد دام ایّام افاداته الی یوم التناد، الشیخ الجلیل والماهر النبیل، کوثر الدرایة و جعفر الروایة</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431" w:name="__RefHeading___Toc4413812_3224264995"/>
      <w:bookmarkStart w:id="432" w:name="_Toc167"/>
      <w:bookmarkEnd w:id="431"/>
      <w:r>
        <w:rPr>
          <w:rtl w:val="true"/>
        </w:rPr>
        <w:t>شاگردان</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محمدجعفر کرباسی در بین سالهایی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مدرسه ملا عبداللّه سکونت داشتند در کنار کسب علم، شاگردانی را هم به جامعه علم و اندیشه تحویل دادند که می‌توان از ملاّ اسماعیل خواجوئی در علم درایه و رجال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آغابزرگ تهرانی در الذریعه، محمد بن علی بن عبدالنبی مقابی بحرانی را از شاگردان و مجازین روائی مؤلّف شمرده است</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نیز از مولی محمد علی اردبیلی صاحب جامع الرواة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اساتید خود را مولی محمدجعفر کرباسی شمرده است</w:t>
      </w:r>
      <w:r>
        <w:rPr>
          <w:rFonts w:eastAsia="IRNazanin" w:cs="IRNazanin"/>
          <w:color w:val="111111"/>
          <w:sz w:val="28"/>
          <w:szCs w:val="28"/>
          <w:rtl w:val="true"/>
          <w:lang w:bidi="fa-IR"/>
        </w:rPr>
        <w:t>.</w:t>
      </w:r>
      <w:r>
        <w:rPr>
          <w:rStyle w:val="FootnoteAnchor"/>
          <w:rtl w:val="true"/>
        </w:rPr>
        <w:footnoteReference w:id="80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کتب تراجم اطلاعی از دیگر شاگردان این عالم بزرگوار وجود ندارد، ولی این </w:t>
      </w:r>
      <w:bookmarkStart w:id="433" w:name="pg17288_199763"/>
    </w:p>
    <w:p>
      <w:pPr>
        <w:pStyle w:val="BookText"/>
        <w:rPr/>
      </w:pPr>
      <w:bookmarkEnd w:id="433"/>
      <w:r>
        <w:rPr>
          <w:rFonts w:ascii="IRNazanin" w:hAnsi="IRNazanin" w:eastAsia="IRNazanin"/>
          <w:color w:val="111111"/>
          <w:sz w:val="28"/>
          <w:sz w:val="28"/>
          <w:szCs w:val="28"/>
          <w:rtl w:val="true"/>
          <w:lang w:bidi="fa-IR"/>
        </w:rPr>
        <w:t>مطلب روشن است که بزرگانی از چشمه جوشان کلام وی سیراب شده‌اند که از جمله آنان عبدالرزاق و عبدالکریم فرزندان آن عالم بزرگوار نیز می‌باشند</w:t>
      </w:r>
      <w:r>
        <w:rPr>
          <w:rFonts w:eastAsia="IRNazanin" w:cs="IRNazanin"/>
          <w:color w:val="111111"/>
          <w:sz w:val="28"/>
          <w:szCs w:val="28"/>
          <w:rtl w:val="true"/>
          <w:lang w:bidi="fa-IR"/>
        </w:rPr>
        <w:t>.</w:t>
      </w:r>
    </w:p>
    <w:p>
      <w:pPr>
        <w:pStyle w:val="Heading3"/>
        <w:numPr>
          <w:ilvl w:val="2"/>
          <w:numId w:val="1"/>
        </w:numPr>
        <w:rPr/>
      </w:pPr>
      <w:bookmarkStart w:id="434" w:name="__RefHeading___Toc4413814_3224264995"/>
      <w:bookmarkStart w:id="435" w:name="_Toc168"/>
      <w:bookmarkEnd w:id="434"/>
      <w:r>
        <w:rPr>
          <w:rtl w:val="true"/>
        </w:rPr>
        <w:t>آثار و تألیفات</w:t>
      </w:r>
      <w:bookmarkEnd w:id="435"/>
    </w:p>
    <w:p>
      <w:pPr>
        <w:pStyle w:val="BookText"/>
        <w:rPr/>
      </w:pPr>
      <w:r>
        <w:rPr>
          <w:rFonts w:ascii="IRNazanin" w:hAnsi="IRNazanin" w:eastAsia="IRNazanin"/>
          <w:color w:val="111111"/>
          <w:sz w:val="28"/>
          <w:sz w:val="28"/>
          <w:szCs w:val="28"/>
          <w:rtl w:val="true"/>
          <w:lang w:bidi="fa-IR"/>
        </w:rPr>
        <w:t>مولی محمدجعفر خراسانی در کنار تعلیم و تعلّم، تحصیل و تربیت شاگردان، آثار به یادماندنی و ارزنده‌ای نیز برای محققان علوم دینی به یادگار گذاشته است که به اجمال به معرفی آنان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المتعلمین؛ در کیفیت تحصیل علم که به اسم میرزا محمد تألیف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النبی صلی اللّه علیه و آله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إکلیل المنهج فی تحقیق المطلب که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افغان در بحث رجال می‌باشد و در زمانی که آن جناب در کوهپایه اصفهان اقامت داشت،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تعلیق و تکمله‌ای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میرزا محمد استرآبادی می‌باشد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طباشیر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پیرامون عرفان و صوفی‌گری و بعضی از ریاضتهای نفسانی به صورت ایماء و اشاره است که آن را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یزد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تهذیب الأحکام؛ ایشان حواشی که علامه مجلسی بر تهذیب الاحکام نوشته‌اند را تبویب و مرتب کرده‌اند و همچنین برخی حواشی اصحاب فن را نیز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بیشتر حواشی استادش توضیحاتی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کفایة المقتصد محقق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الغناء؛ رساله‌ای مختصر در حرمت غنا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منی و مذی، وذی و 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خمسةٌ ضروریه؛ که پیرامون پنج رساله فقهی، إرث، رضاع، طلاق، قضاء و نکاح است و گویا مؤلّف موفّق به تألیف رساله اِرث و رضاع شده و سه رساله دیگر 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فارسی و برای فرزندش عبدالکریم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الکتب الاربعه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الصحف الإدریسیة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الأخبار للأصدقاء والأحبار؛ که پیرامون روایات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الجمع بین الأخبار المختلفة؛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موضوعات مختلف از جمله تراجیح منصوصه، تفسیر ظواهر قرآن، علم معتبر در نزد شارع و اوامر و نواهی مطلقه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مراد؛ در مواعظ و اخلاق به صورت فارسی که 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اسم فرزندش عبدالرزاق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ادراک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تألیف و شرحی بر کتاب طهارت مدارک الأحکام سید محمد عاملی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ایادی سبأ؛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فقهی است که آنها را به صورت دوازده باب از احکام فقهی تألیف کرده است</w:t>
      </w:r>
      <w:r>
        <w:rPr>
          <w:rFonts w:eastAsia="IRNazanin" w:cs="IRNazanin"/>
          <w:color w:val="111111"/>
          <w:sz w:val="28"/>
          <w:szCs w:val="28"/>
          <w:rtl w:val="true"/>
          <w:lang w:bidi="fa-IR"/>
        </w:rPr>
        <w:t>.</w:t>
      </w:r>
      <w:r>
        <w:rPr>
          <w:rStyle w:val="FootnoteAnchor"/>
          <w:rtl w:val="true"/>
        </w:rPr>
        <w:footnoteReference w:id="804"/>
      </w:r>
      <w:bookmarkStart w:id="436" w:name="pg17288_199767"/>
    </w:p>
    <w:p>
      <w:pPr>
        <w:pStyle w:val="BookText"/>
        <w:rPr/>
      </w:pPr>
      <w:bookmarkEnd w:id="436"/>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معادیة؛ رساله‌ای فارسی در باب معاد که به اسم معزالدین 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والأخلاق؛ در آداب سلوک در سفر که برای عالم جلیل امیر شکراللّه کرمانی آن را کتاب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الأخبار؛ در بیان اخبار نادره و شرح آن که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Heading3"/>
        <w:numPr>
          <w:ilvl w:val="2"/>
          <w:numId w:val="1"/>
        </w:numPr>
        <w:rPr/>
      </w:pPr>
      <w:bookmarkStart w:id="437" w:name="__RefHeading___Toc4413816_3224264995"/>
      <w:bookmarkStart w:id="438" w:name="_Toc169"/>
      <w:bookmarkEnd w:id="437"/>
      <w:r>
        <w:rPr>
          <w:rtl w:val="true"/>
        </w:rPr>
        <w:t>فرزندان</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در بعضی از نوشته جات مؤلّف و نسخه هائی که در دسترس هست و آنچه که در کتب رجالی آمده است ایشان دارای چهار فرزند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گوهر مراد را برای او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رساله رضاعیه را برای او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تصریح محمدجعفر کرباسی نسخه‌ای از کتاب مدارک الإدراک را به فرزندش محمدحسین هدیه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Heading3"/>
        <w:numPr>
          <w:ilvl w:val="2"/>
          <w:numId w:val="1"/>
        </w:numPr>
        <w:rPr/>
      </w:pPr>
      <w:bookmarkStart w:id="439" w:name="__RefHeading___Toc4413818_3224264995"/>
      <w:bookmarkStart w:id="440" w:name="_Toc170"/>
      <w:bookmarkEnd w:id="439"/>
      <w:r>
        <w:rPr>
          <w:rtl w:val="true"/>
        </w:rPr>
        <w:t>وفات</w:t>
      </w:r>
      <w:bookmarkEnd w:id="440"/>
    </w:p>
    <w:p>
      <w:pPr>
        <w:pStyle w:val="BookText"/>
        <w:rPr/>
      </w:pPr>
      <w:r>
        <w:rPr>
          <w:rFonts w:ascii="IRNazanin" w:hAnsi="IRNazanin" w:eastAsia="IRNazanin"/>
          <w:color w:val="111111"/>
          <w:sz w:val="28"/>
          <w:sz w:val="28"/>
          <w:szCs w:val="28"/>
          <w:rtl w:val="true"/>
          <w:lang w:bidi="fa-IR"/>
        </w:rPr>
        <w:t>در مورد تاریخ وفات مولی محمدجعفر کرباسی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سه تاریخ دست پیدا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چون بر روی قبر ایشان اینگونه نوشته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المقامات السنیة، و کاسب الحالات العلیة، الجِدُّ الأعظم والنحریر المعظم، اویس عصره وکمیل دهره، المولی الکامل المکمل والمقتدی الفاضل المفضل العابد، </w:t>
      </w:r>
    </w:p>
    <w:p>
      <w:pPr>
        <w:pStyle w:val="BookText"/>
        <w:rPr/>
      </w:pPr>
      <w:r>
        <w:rPr>
          <w:rFonts w:ascii="IRNazanin" w:hAnsi="IRNazanin" w:eastAsia="IRNazanin"/>
          <w:color w:val="111111"/>
          <w:sz w:val="28"/>
          <w:sz w:val="28"/>
          <w:szCs w:val="28"/>
          <w:rtl w:val="true"/>
          <w:lang w:bidi="fa-IR"/>
        </w:rPr>
        <w:t>فخرالأمّة مولانا محمدجعفر الملقب بالکرباسی الذی وصل إلی الرضوان بالتأسی، اسکنه اللّه الجنان وآمنه من المخاوف والأحزان، وکان ارتحاله قدس‌سره من الدار الفانیة إلی عالم البقاء فی خمسین بعد المائة والألف من هجرة سید الأنبیاء علیه وآله آلاف التحیة والثناء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چون کتاب تباشیر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و به گفته بسیاری از بزرگان و علما، فوت ایشان بعد از سال تألیف کتاب تباشیر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چون در رساله تباشیر آنگونه که خود مؤلّف بیان کرده است، خودش خبر از فوتش را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مرضم مرض موت باشد و هر لحظه چشم انتظار در راه، و انتهای مرض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امّا آنچه که مسلم است ایشان بعد از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رحلت کرده‌اند، چون در ابتدای کتاب اکلیل المنهج تصریح کرده‌اند به این که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عزم سفر کرده‌اند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عالم بزرگوار و دانشمند عارف پس از سپری کردن عمری پربرکت در کسب معارف اهل بیت و تربیت شاگردانی در مسیر اهل بیت علیهم‌السلام ، در یزد به دیار باقی شتافت و بدن مطهّرش در مقبره‌ای قدیمی در یزد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شخص نیکوکاری به نام حسین علی هراتی بر روی مقبره ایشان عمارتی را بنا کردند که هم اکنون در کنار خیابان حضرت مهدی، مورد توجه عام و خاص و پناهگاه عموم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رساله حقیقت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رساله حقیقت </w:t>
      </w:r>
      <w:bookmarkStart w:id="441" w:name="pg17288_199775"/>
    </w:p>
    <w:p>
      <w:pPr>
        <w:pStyle w:val="Heading3"/>
        <w:numPr>
          <w:ilvl w:val="2"/>
          <w:numId w:val="1"/>
        </w:numPr>
        <w:rPr/>
      </w:pPr>
      <w:bookmarkStart w:id="442" w:name="__RefHeading___Toc4413820_3224264995"/>
      <w:bookmarkStart w:id="443" w:name="_Toc171"/>
      <w:bookmarkEnd w:id="441"/>
      <w:bookmarkEnd w:id="442"/>
      <w:r>
        <w:rPr>
          <w:rtl w:val="true"/>
        </w:rPr>
        <w:t>حقیقت منی، مذی، وذی و ودی</w:t>
      </w:r>
      <w:bookmarkEnd w:id="443"/>
    </w:p>
    <w:p>
      <w:pPr>
        <w:pStyle w:val="Heading4"/>
        <w:numPr>
          <w:ilvl w:val="3"/>
          <w:numId w:val="1"/>
        </w:numPr>
        <w:rPr/>
      </w:pPr>
      <w:bookmarkStart w:id="444" w:name="__RefHeading___Toc4413822_3224264995"/>
      <w:bookmarkStart w:id="445" w:name="_Toc172"/>
      <w:bookmarkEnd w:id="444"/>
      <w:r>
        <w:rPr>
          <w:rtl w:val="true"/>
        </w:rPr>
        <w:t>[</w:t>
      </w:r>
      <w:r>
        <w:rPr>
          <w:rtl w:val="true"/>
        </w:rPr>
        <w:t>منی چیست؟</w:t>
      </w:r>
      <w:r>
        <w:rPr>
          <w:rtl w:val="true"/>
        </w:rPr>
        <w:t>]</w:t>
      </w:r>
      <w:bookmarkEnd w:id="445"/>
    </w:p>
    <w:p>
      <w:pPr>
        <w:pStyle w:val="BookText"/>
        <w:rPr/>
      </w:pPr>
      <w:r>
        <w:rPr>
          <w:rFonts w:ascii="IRNazanin" w:hAnsi="IRNazanin" w:eastAsia="IRNazanin"/>
          <w:color w:val="111111"/>
          <w:sz w:val="28"/>
          <w:sz w:val="28"/>
          <w:szCs w:val="28"/>
          <w:rtl w:val="true"/>
          <w:lang w:bidi="fa-IR"/>
        </w:rPr>
        <w:t>بعد؛ چنین گوید بنده قاصر محمد جعفر ابن محمد طاهر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فایده‌ایست در بیان معرفت حقیقت منی و مذی و وذی و ودی و احکام هر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چیزیست که خروج آن موجب غسل است و هرگاه یقین حاصل باشد به آنکه، خارج، منیست به هر صفت و به هر حال</w:t>
      </w:r>
      <w:r>
        <w:rPr>
          <w:rStyle w:val="FootnoteAnchor"/>
          <w:rtl w:val="true"/>
        </w:rPr>
        <w:footnoteReference w:id="806"/>
      </w:r>
      <w:r>
        <w:rPr>
          <w:rFonts w:ascii="IRNazanin" w:hAnsi="IRNazanin" w:eastAsia="IRNazanin"/>
          <w:color w:val="111111"/>
          <w:sz w:val="28"/>
          <w:sz w:val="28"/>
          <w:szCs w:val="28"/>
          <w:rtl w:val="true"/>
          <w:lang w:bidi="fa-IR"/>
        </w:rPr>
        <w:t>، موجب غسل خواهد بود و گفته‌اند که مجمع علیه اصحاب ما است</w:t>
      </w:r>
      <w:r>
        <w:rPr>
          <w:rFonts w:eastAsia="IRNazanin" w:cs="IRNazanin"/>
          <w:color w:val="111111"/>
          <w:sz w:val="28"/>
          <w:szCs w:val="28"/>
          <w:rtl w:val="true"/>
          <w:lang w:bidi="fa-IR"/>
        </w:rPr>
        <w:t>.</w:t>
      </w:r>
      <w:r>
        <w:rPr>
          <w:rStyle w:val="FootnoteAnchor"/>
          <w:rtl w:val="true"/>
        </w:rPr>
        <w:footnoteReference w:id="80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 دارد بر آن روایت عنبسه بن مصعب از ابی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لایری فی شیء الغسل إلا فی الماء الأکبر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اشتباه، معتبر در آن، صفاتست، پس هرگاه شهوت و دفق و فتور جسد بوده باشد، خارج، منی خواهد بود؛ مگر در مریض که دفق در او معتبر نیست و دلالت دارد بر آن صحیحه علی بن جعفر و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یلعب مع المراة و یقبّلها فیخرج منه المنی، فما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446" w:name="pg17288_199777"/>
    </w:p>
    <w:p>
      <w:pPr>
        <w:pStyle w:val="BookText"/>
        <w:rPr/>
      </w:pPr>
      <w:bookmarkEnd w:id="446"/>
      <w:r>
        <w:rPr>
          <w:rFonts w:ascii="Amiri" w:hAnsi="Amiri" w:eastAsia="Amiri" w:cs="Amiri"/>
          <w:color w:val="111111"/>
          <w:sz w:val="28"/>
          <w:sz w:val="28"/>
          <w:szCs w:val="28"/>
          <w:rtl w:val="true"/>
          <w:lang w:bidi="ar-SA"/>
        </w:rPr>
        <w:t>جاءت الشهوة و دفع</w:t>
      </w:r>
      <w:r>
        <w:rPr>
          <w:rStyle w:val="FootnoteAnchor"/>
          <w:rtl w:val="true"/>
        </w:rPr>
        <w:footnoteReference w:id="808"/>
      </w:r>
      <w:r>
        <w:rPr>
          <w:rFonts w:ascii="IRNazanin" w:hAnsi="IRNazanin" w:eastAsia="IRNazanin"/>
          <w:color w:val="111111"/>
          <w:sz w:val="28"/>
          <w:sz w:val="28"/>
          <w:szCs w:val="28"/>
          <w:rtl w:val="true"/>
          <w:lang w:bidi="fa-IR"/>
        </w:rPr>
        <w:t>بخروجه، فعلیه الغسل و ان کان إنما هو شیء لم یجد له فترة و لا شهوة، فلا بأس</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مرسله ابن رباط که بعد از این ذکر شود نیز دلالت دارد بر فتور جسد و غسل واجب نیست، مگر با یقین به سبب؛ و ظن به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حسنه حسین بن ابی العلا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الرجل یری فی المنام حتی یجد الشهوة و هو یری أ نّه قد احتلم و إذا استیقظ، لم یر فی ثوبه الماء و لا فی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الغسل من الماء الاکبر فإذا رأی فی منامه و لم یر الماء الأکبر، فلیس علیه غسل</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447" w:name="__RefHeading___Toc4413824_3224264995"/>
      <w:bookmarkStart w:id="448" w:name="_Toc173"/>
      <w:bookmarkEnd w:id="447"/>
      <w:r>
        <w:rPr>
          <w:rtl w:val="true"/>
        </w:rPr>
        <w:t>[</w:t>
      </w:r>
      <w:r>
        <w:rPr>
          <w:rtl w:val="true"/>
        </w:rPr>
        <w:t>مذی چیست؟</w:t>
      </w:r>
      <w:r>
        <w:rPr>
          <w:rtl w:val="true"/>
        </w:rPr>
        <w:t>]</w:t>
      </w:r>
      <w:bookmarkEnd w:id="44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مذی چیزیست که بیرون آید عقیب ملاعبه و تقبیل چنانچه در کلام اهل لغت</w:t>
      </w:r>
      <w:r>
        <w:rPr>
          <w:rStyle w:val="FootnoteAnchor"/>
          <w:rtl w:val="true"/>
        </w:rPr>
        <w:footnoteReference w:id="811"/>
      </w:r>
      <w:r>
        <w:rPr>
          <w:rFonts w:ascii="IRNazanin" w:hAnsi="IRNazanin" w:eastAsia="IRNazanin"/>
          <w:color w:val="111111"/>
          <w:sz w:val="28"/>
          <w:sz w:val="28"/>
          <w:szCs w:val="28"/>
          <w:rtl w:val="true"/>
          <w:lang w:bidi="fa-IR"/>
        </w:rPr>
        <w:t>تصریح به این معنی واقع شده؛ و در فقیه</w:t>
      </w:r>
      <w:r>
        <w:rPr>
          <w:rStyle w:val="FootnoteAnchor"/>
          <w:rtl w:val="true"/>
        </w:rPr>
        <w:footnoteReference w:id="812"/>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آن چیزیست که بیرون می‌آید پیش از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از اصحاب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آبیست ثخین که بیرون آید در نزد ملاعبه و تقبیل</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بعضی گفته‌اند</w:t>
      </w:r>
      <w:r>
        <w:rPr>
          <w:rStyle w:val="FootnoteAnchor"/>
          <w:rtl w:val="true"/>
        </w:rPr>
        <w:footnoteReference w:id="81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رقیق لزجیست که بیرون آید عقیب شهوت و مراد به رقیق، بالاضافه به منی است و به ثخین، بالاضافه به بول و مراد به قول او که در نزد ملاعبه و تقبیل است، آنست که با ملاعبه و تقبیل می‌باشد اعم از آن که در حال ملاعبه بیرون آید یا عقیب آن و ظاهرا که تخصیص به عقیب، به جهت آن باشد که اغلب چنان می‌باشد یا آنکه احساس به آن عقیب ملاعبه واقع می‌شود و بیرون آمدن آن عقیب شهوت، اعم از آنست که با فاصله بوده باشد یا بدون فاصله؛ و به این جهت صحیح است که بعضی از اصحاب را قایل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فرج ناقض وضو است گفته است که مذی به جهت مس فرج موجب نقض وضو نیست پس در تفاسیر مذکوره اختلافی نخواهد بود، مگر در تخصیص شهوت چنانکه دانسته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نقل اجماع علماء شیعه شده است به آنکه مذی ناقض وضو نیست هرگاه نبوده باشد از شهوت؛ و اکثر علما قائل شده‌اند</w:t>
      </w:r>
      <w:r>
        <w:rPr>
          <w:rStyle w:val="FootnoteAnchor"/>
          <w:rtl w:val="true"/>
        </w:rPr>
        <w:footnoteReference w:id="815"/>
      </w:r>
      <w:r>
        <w:rPr>
          <w:rFonts w:ascii="IRNazanin" w:hAnsi="IRNazanin" w:eastAsia="IRNazanin"/>
          <w:color w:val="111111"/>
          <w:sz w:val="28"/>
          <w:sz w:val="28"/>
          <w:szCs w:val="28"/>
          <w:rtl w:val="true"/>
          <w:lang w:bidi="fa-IR"/>
        </w:rPr>
        <w:t>که ناقض نیست اگر چه از شهوت باشد و این اظهر است و دلالت دارد بر این اخبار بسیار و صریح است در این، صحیحه ابن ابی عمیر عن غیر واحد من أصحابنا عن ابی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 المذی من الشهوة و لا من الانعاض و لا من القبلة و لا من مسّ الفرج و لا من المضاجعة وضوء و لا </w:t>
      </w:r>
    </w:p>
    <w:p>
      <w:pPr>
        <w:pStyle w:val="BookText"/>
        <w:rPr/>
      </w:pPr>
      <w:r>
        <w:rPr>
          <w:rFonts w:ascii="IRNazanin" w:hAnsi="IRNazanin" w:eastAsia="IRNazanin"/>
          <w:color w:val="111111"/>
          <w:sz w:val="28"/>
          <w:sz w:val="28"/>
          <w:szCs w:val="28"/>
          <w:rtl w:val="true"/>
          <w:lang w:bidi="fa-IR"/>
        </w:rPr>
        <w:t>یغسل منه الثوب و لا الجسد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یعنی نیست در مذی از شهوت و در مذی از انعاض و در مذی از قبله و در مذی از مس فرج و در مذی از مضاجعه وضوء</w:t>
      </w:r>
    </w:p>
    <w:p>
      <w:pPr>
        <w:pStyle w:val="BookText"/>
        <w:rPr/>
      </w:pPr>
      <w:r>
        <w:rPr>
          <w:rFonts w:ascii="IRNazanin" w:hAnsi="IRNazanin" w:eastAsia="IRNazanin"/>
          <w:color w:val="111111"/>
          <w:sz w:val="28"/>
          <w:sz w:val="28"/>
          <w:szCs w:val="28"/>
          <w:rtl w:val="true"/>
          <w:lang w:bidi="fa-IR"/>
        </w:rPr>
        <w:t>و محتمل است که معنی خبر آن باشد که نیست در مذی از شهوت و نه در انعاض و نه در قبله و نه در مسّ فرج و نه در مضاجعه وضوء و بر هر تقدیر مذی از شهوت ناقض خواهد بود</w:t>
      </w:r>
    </w:p>
    <w:p>
      <w:pPr>
        <w:pStyle w:val="BookText"/>
        <w:rPr/>
      </w:pPr>
      <w:r>
        <w:rPr>
          <w:rFonts w:ascii="IRNazanin" w:hAnsi="IRNazanin" w:eastAsia="IRNazanin"/>
          <w:color w:val="111111"/>
          <w:sz w:val="28"/>
          <w:sz w:val="28"/>
          <w:szCs w:val="28"/>
          <w:rtl w:val="true"/>
          <w:lang w:bidi="fa-IR"/>
        </w:rPr>
        <w:t>و ایضا دلالت دارد بر آن صحیحه زید 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المذی ینقض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یغسل منه الثوب و لا الجسد إنّما هو بمنزلة البزاق و المخاط</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و ابن جنید</w:t>
      </w:r>
      <w:r>
        <w:rPr>
          <w:rStyle w:val="FootnoteAnchor"/>
          <w:rtl w:val="true"/>
        </w:rPr>
        <w:footnoteReference w:id="818"/>
      </w:r>
      <w:r>
        <w:rPr>
          <w:rFonts w:ascii="IRNazanin" w:hAnsi="IRNazanin" w:eastAsia="IRNazanin"/>
          <w:color w:val="111111"/>
          <w:sz w:val="28"/>
          <w:sz w:val="28"/>
          <w:szCs w:val="28"/>
          <w:rtl w:val="true"/>
          <w:lang w:bidi="fa-IR"/>
        </w:rPr>
        <w:t>از علماء شیعه قائل شده است به آنکه هرگاه مذی بیرون آید عقیب شهوت ناقض وضوء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دارد بر آن صحیحه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المذی أینقض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شهوة نقض</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و می‌تواند که این خبر محمول بر استحباب باشد، جمعاً بین الأخبار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بحار در بعضی از فوائد خود بعد از آن که نقل کرده است تفسیر مذی را به آنکه آب رقیق لزجیست که بیرون می‌آید عقیب شهوت،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نمی‌شود از برای تقیید ابن جنید وجه وجیهی</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محتمل است که گفته شود که مذی خالی از شهوت فی الجمله نمی‌باشد</w:t>
      </w:r>
      <w:r>
        <w:rPr>
          <w:rStyle w:val="FootnoteAnchor"/>
          <w:rtl w:val="true"/>
        </w:rPr>
        <w:footnoteReference w:id="821"/>
      </w:r>
      <w:r>
        <w:rPr>
          <w:rFonts w:ascii="IRNazanin" w:hAnsi="IRNazanin" w:eastAsia="IRNazanin"/>
          <w:color w:val="111111"/>
          <w:sz w:val="28"/>
          <w:sz w:val="28"/>
          <w:szCs w:val="28"/>
          <w:rtl w:val="true"/>
          <w:lang w:bidi="fa-IR"/>
        </w:rPr>
        <w:t>چنانکه دلالت دارد بر آن مرسله ابن رباط از ابی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الاحلیل المنی و المذی و الودی و الوذی، فامّا المنی، فهو الذی تسترخی له العظام و یفتر منه الجسد و فیه الغسل و أمّا المذی فیخرج من الشهوة و لا شیء فیه و أما الودی فهو الذی یخرج بعد البول و أما الوذی فهو الذی یخرج من الادواء و لا شیء فیه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تفخیذ و استمناء اتفاق افتد،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مذی گاهی می‌باشد از شهوت ضعیفی چنانکه در قُبله و مس فرج و مضاجعه و غیره باشد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گاهی می‌باشد از شهوت شدیدی چنانکه بیرون می‌آید مذی به حدی که خارج باشد در کثرت از حد معتاد و آنچه شیخ طوسی</w:t>
      </w:r>
      <w:r>
        <w:rPr>
          <w:rStyle w:val="FootnoteAnchor"/>
          <w:rtl w:val="true"/>
        </w:rPr>
        <w:footnoteReference w:id="824"/>
      </w:r>
      <w:r>
        <w:rPr>
          <w:rFonts w:ascii="IRNazanin" w:hAnsi="IRNazanin" w:eastAsia="IRNazanin"/>
          <w:color w:val="111111"/>
          <w:sz w:val="28"/>
          <w:sz w:val="28"/>
          <w:szCs w:val="28"/>
          <w:rtl w:val="true"/>
          <w:lang w:bidi="fa-IR"/>
        </w:rPr>
        <w:t>حمل کرده است بعضی از اخبار را به آنکه مراد آنست که بیرون باشد از معهود معتاد به جهت کثرت، در این هنگام موافق خواهد بود با مذهب ابن جنید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بعضی از اصحاب گفته‌اند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در تهذیب مذهبی نیست، بلکه ایراد </w:t>
      </w:r>
      <w:bookmarkStart w:id="449" w:name="pg17288_199785"/>
    </w:p>
    <w:p>
      <w:pPr>
        <w:pStyle w:val="BookText"/>
        <w:rPr/>
      </w:pPr>
      <w:bookmarkEnd w:id="449"/>
      <w:r>
        <w:rPr>
          <w:rFonts w:ascii="IRNazanin" w:hAnsi="IRNazanin" w:eastAsia="IRNazanin"/>
          <w:color w:val="111111"/>
          <w:sz w:val="28"/>
          <w:sz w:val="28"/>
          <w:szCs w:val="28"/>
          <w:rtl w:val="true"/>
          <w:lang w:bidi="fa-IR"/>
        </w:rPr>
        <w:t>کرده است آن را در مقام بحث بر سبیل احتمال، پس هرگاه در اخبار واقع باشد که مذی موجب وضوء نیست محمول بر معتاد خواهد بود علی الاستحباب یا بر وجوب بر مذهب ابن جنید، چنانکه مراد ابن جنید به خروج از شهوت خروج بر غیر معتاد بوده باشد</w:t>
      </w:r>
      <w:r>
        <w:rPr>
          <w:rFonts w:eastAsia="IRNazanin" w:cs="IRNazanin"/>
          <w:color w:val="111111"/>
          <w:sz w:val="28"/>
          <w:szCs w:val="28"/>
          <w:rtl w:val="true"/>
          <w:lang w:bidi="fa-IR"/>
        </w:rPr>
        <w:t>.</w:t>
      </w:r>
    </w:p>
    <w:p>
      <w:pPr>
        <w:pStyle w:val="Heading4"/>
        <w:numPr>
          <w:ilvl w:val="3"/>
          <w:numId w:val="1"/>
        </w:numPr>
        <w:rPr/>
      </w:pPr>
      <w:bookmarkStart w:id="450" w:name="__RefHeading___Toc4413826_3224264995"/>
      <w:bookmarkStart w:id="451" w:name="_Toc174"/>
      <w:bookmarkEnd w:id="450"/>
      <w:r>
        <w:rPr>
          <w:rtl w:val="true"/>
        </w:rPr>
        <w:t>[</w:t>
      </w:r>
      <w:r>
        <w:rPr>
          <w:rtl w:val="true"/>
        </w:rPr>
        <w:t>وذی چیست؟</w:t>
      </w:r>
      <w:r>
        <w:rPr>
          <w:rtl w:val="true"/>
        </w:rPr>
        <w:t>]</w:t>
      </w:r>
      <w:bookmarkEnd w:id="451"/>
    </w:p>
    <w:p>
      <w:pPr>
        <w:pStyle w:val="BookText"/>
        <w:rPr/>
      </w:pPr>
      <w:r>
        <w:rPr>
          <w:rFonts w:ascii="IRNazanin" w:hAnsi="IRNazanin" w:eastAsia="IRNazanin"/>
          <w:color w:val="111111"/>
          <w:sz w:val="28"/>
          <w:sz w:val="28"/>
          <w:szCs w:val="28"/>
          <w:rtl w:val="true"/>
          <w:lang w:bidi="fa-IR"/>
        </w:rPr>
        <w:t>و وذی چیزیست که بیرون آید بعد از منی در عقب آن چنانکه تصریح شده است به آن در فقیه</w:t>
      </w:r>
      <w:r>
        <w:rPr>
          <w:rStyle w:val="FootnoteAnchor"/>
          <w:rtl w:val="true"/>
        </w:rPr>
        <w:footnoteReference w:id="825"/>
      </w:r>
      <w:r>
        <w:rPr>
          <w:rFonts w:ascii="IRNazanin" w:hAnsi="IRNazanin" w:eastAsia="IRNazanin"/>
          <w:color w:val="111111"/>
          <w:sz w:val="28"/>
          <w:sz w:val="28"/>
          <w:szCs w:val="28"/>
          <w:rtl w:val="true"/>
          <w:lang w:bidi="fa-IR"/>
        </w:rPr>
        <w:t>و بعضی از اصحاب گفته‌اند</w:t>
      </w:r>
      <w:r>
        <w:rPr>
          <w:rStyle w:val="FootnoteAnchor"/>
          <w:rtl w:val="true"/>
        </w:rPr>
        <w:footnoteReference w:id="826"/>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بذال معجمه را در لغت؛ لکن شهید ثانی</w:t>
      </w:r>
      <w:r>
        <w:rPr>
          <w:rStyle w:val="FootnoteAnchor"/>
          <w:rtl w:val="true"/>
        </w:rPr>
        <w:footnoteReference w:id="827"/>
      </w:r>
      <w:r>
        <w:rPr>
          <w:rFonts w:ascii="IRNazanin" w:hAnsi="IRNazanin" w:eastAsia="IRNazanin"/>
          <w:color w:val="111111"/>
          <w:sz w:val="28"/>
          <w:sz w:val="28"/>
          <w:szCs w:val="28"/>
          <w:rtl w:val="true"/>
          <w:lang w:bidi="fa-IR"/>
        </w:rPr>
        <w:t>نقل کرده است که آن چیزیست که بیرون آید عقیب انزال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مرسله ابن رباط</w:t>
      </w:r>
      <w:r>
        <w:rPr>
          <w:rStyle w:val="FootnoteAnchor"/>
          <w:rtl w:val="true"/>
        </w:rPr>
        <w:footnoteReference w:id="828"/>
      </w:r>
      <w:r>
        <w:rPr>
          <w:rFonts w:ascii="IRNazanin" w:hAnsi="IRNazanin" w:eastAsia="IRNazanin"/>
          <w:color w:val="111111"/>
          <w:sz w:val="28"/>
          <w:sz w:val="28"/>
          <w:szCs w:val="28"/>
          <w:rtl w:val="true"/>
          <w:lang w:bidi="fa-IR"/>
        </w:rPr>
        <w:t>متقدمه گذشت که وذی آن چیزیست که بیرون آید از ادواء و بعضی در این مقام گفته‌اند</w:t>
      </w:r>
      <w:r>
        <w:rPr>
          <w:rStyle w:val="FootnoteAnchor"/>
          <w:rtl w:val="true"/>
        </w:rPr>
        <w:footnoteReference w:id="82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 به معنی عیب است، چنانکه ذکر کرده‌اند آن را </w:t>
      </w:r>
      <w:bookmarkStart w:id="452" w:name="pg17288_199787"/>
    </w:p>
    <w:p>
      <w:pPr>
        <w:pStyle w:val="BookText"/>
        <w:rPr/>
      </w:pPr>
      <w:bookmarkEnd w:id="452"/>
      <w:r>
        <w:rPr>
          <w:rFonts w:ascii="IRNazanin" w:hAnsi="IRNazanin" w:eastAsia="IRNazanin"/>
          <w:color w:val="111111"/>
          <w:sz w:val="28"/>
          <w:sz w:val="28"/>
          <w:szCs w:val="28"/>
          <w:rtl w:val="true"/>
          <w:lang w:bidi="fa-IR"/>
        </w:rPr>
        <w:t>لغویین و گویا اطلاق کرده‌اند</w:t>
      </w:r>
      <w:r>
        <w:rPr>
          <w:rStyle w:val="FootnoteAnchor"/>
          <w:rtl w:val="true"/>
        </w:rPr>
        <w:footnoteReference w:id="830"/>
      </w:r>
      <w:r>
        <w:rPr>
          <w:rFonts w:ascii="IRNazanin" w:hAnsi="IRNazanin" w:eastAsia="IRNazanin"/>
          <w:color w:val="111111"/>
          <w:sz w:val="28"/>
          <w:sz w:val="28"/>
          <w:szCs w:val="28"/>
          <w:rtl w:val="true"/>
          <w:lang w:bidi="fa-IR"/>
        </w:rPr>
        <w:t>بر آن چیزی که بیرون آید از ادواء، یعنی امراض از قبیل اطلاق سبب بر مسبّب و از بعضی اخبار ظاهر می‌شود که خروج آن از حبایل است و حبایل یا عروق ظهر است یا عروق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تقدیر ظاهر آنست که تا مزاج از حد اعتدال طبیعی بیرون نرود و فتوری به عروق مذکوره عارض نشود وذی خارج نشود و در این هنگام موافقت حاصل است میان آنکه بیرون می‌آید از ادواء و بیرون می‌آید از حبایل و دلالت دارد بر آنکه موجب طهارت نیست صحیحه زید شحام و زراره و محمد بن مسلم از ابی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 من ذکرک من شیء من مذی أو وذی، فلا تغسله و لا تقطع له الصلوة و لا تنقض له الوضوء إنّما هو ذلک بمنزلة النخامة</w:t>
      </w:r>
      <w:r>
        <w:rPr>
          <w:rStyle w:val="FootnoteAnchor"/>
          <w:rtl w:val="true"/>
        </w:rPr>
        <w:footnoteReference w:id="831"/>
      </w:r>
      <w:r>
        <w:rPr>
          <w:rFonts w:ascii="IRNazanin" w:hAnsi="IRNazanin" w:eastAsia="IRNazanin"/>
          <w:color w:val="111111"/>
          <w:sz w:val="28"/>
          <w:sz w:val="28"/>
          <w:szCs w:val="28"/>
          <w:rtl w:val="true"/>
          <w:lang w:bidi="fa-IR"/>
        </w:rPr>
        <w:t>کل شیء خرج منک بعد الوضوء، فإنّه من الحبائل</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ظاهر آنست که مراد از وضوء در این موضع معنی لغوی آنست یعنی استنجاء از بول</w:t>
      </w:r>
      <w:r>
        <w:rPr>
          <w:rFonts w:eastAsia="IRNazanin" w:cs="IRNazanin"/>
          <w:color w:val="111111"/>
          <w:sz w:val="28"/>
          <w:szCs w:val="28"/>
          <w:rtl w:val="true"/>
          <w:lang w:bidi="fa-IR"/>
        </w:rPr>
        <w:t>.</w:t>
      </w:r>
    </w:p>
    <w:p>
      <w:pPr>
        <w:pStyle w:val="Heading4"/>
        <w:numPr>
          <w:ilvl w:val="3"/>
          <w:numId w:val="1"/>
        </w:numPr>
        <w:rPr/>
      </w:pPr>
      <w:bookmarkStart w:id="453" w:name="__RefHeading___Toc4413828_3224264995"/>
      <w:bookmarkStart w:id="454" w:name="_Toc175"/>
      <w:bookmarkEnd w:id="453"/>
      <w:r>
        <w:rPr>
          <w:rtl w:val="true"/>
        </w:rPr>
        <w:t>[</w:t>
      </w:r>
      <w:r>
        <w:rPr>
          <w:rtl w:val="true"/>
        </w:rPr>
        <w:t>ودی چیست؟</w:t>
      </w:r>
      <w:r>
        <w:rPr>
          <w:rtl w:val="true"/>
        </w:rPr>
        <w:t>]</w:t>
      </w:r>
      <w:bookmarkEnd w:id="45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ودی چیزیست که بیرون آید عقیب بول، چنانکه تصریح شده است به آن در فقیه</w:t>
      </w:r>
      <w:r>
        <w:rPr>
          <w:rStyle w:val="FootnoteAnchor"/>
          <w:rtl w:val="true"/>
        </w:rPr>
        <w:footnoteReference w:id="833"/>
      </w:r>
      <w:r>
        <w:rPr>
          <w:rFonts w:ascii="IRNazanin" w:hAnsi="IRNazanin" w:eastAsia="IRNazanin"/>
          <w:color w:val="111111"/>
          <w:sz w:val="28"/>
          <w:sz w:val="28"/>
          <w:szCs w:val="28"/>
          <w:rtl w:val="true"/>
          <w:lang w:bidi="fa-IR"/>
        </w:rPr>
        <w:t>و صاحب حبل المتین</w:t>
      </w:r>
      <w:r>
        <w:rPr>
          <w:rStyle w:val="FootnoteAnchor"/>
          <w:rtl w:val="true"/>
        </w:rPr>
        <w:footnoteReference w:id="83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ثخین است که بیرون آید عقیب بول و خلافی نیست میان علماء ما در عدم نقض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دلالت دارد بر آن حسنه عبدالملک از ابی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یبول ثم یستنجی ثم یجد بعد ذلک 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فخرط ما بین المقعدة و الأنثیین ثلث مرات و غمزٌ ما بینهما ثم استنجی، فإن سال حتی یبلغ السوق</w:t>
      </w:r>
      <w:r>
        <w:rPr>
          <w:rStyle w:val="FootnoteAnchor"/>
          <w:rtl w:val="true"/>
        </w:rPr>
        <w:footnoteReference w:id="835"/>
      </w:r>
      <w:r>
        <w:rPr>
          <w:rFonts w:ascii="IRNazanin" w:hAnsi="IRNazanin" w:eastAsia="IRNazanin"/>
          <w:color w:val="111111"/>
          <w:sz w:val="28"/>
          <w:sz w:val="28"/>
          <w:szCs w:val="28"/>
          <w:rtl w:val="true"/>
          <w:lang w:bidi="fa-IR"/>
        </w:rPr>
        <w:t>فلا یبالی</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 صحیحه</w:t>
      </w:r>
      <w:r>
        <w:rPr>
          <w:rStyle w:val="FootnoteAnchor"/>
          <w:rtl w:val="true"/>
        </w:rPr>
        <w:footnoteReference w:id="837"/>
      </w:r>
      <w:r>
        <w:rPr>
          <w:rFonts w:ascii="IRNazanin" w:hAnsi="IRNazanin" w:eastAsia="IRNazanin"/>
          <w:color w:val="111111"/>
          <w:sz w:val="28"/>
          <w:sz w:val="28"/>
          <w:szCs w:val="28"/>
          <w:rtl w:val="true"/>
          <w:lang w:bidi="fa-IR"/>
        </w:rPr>
        <w:t>زید شحام و زراره و محمد بن مسلم متقدمه نیز دلالت دارد بر این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محمد جعفر بن محمد طاهر فی سنة ثمانیة عشر و مائة بعد الألف</w:t>
      </w:r>
      <w:r>
        <w:rPr>
          <w:rFonts w:eastAsia="IRNazanin" w:cs="IRNazanin"/>
          <w:color w:val="111111"/>
          <w:sz w:val="28"/>
          <w:szCs w:val="28"/>
          <w:rtl w:val="true"/>
          <w:lang w:bidi="fa-IR"/>
        </w:rPr>
        <w:t xml:space="preserve">. </w:t>
      </w:r>
      <w:bookmarkStart w:id="455" w:name="pg17288_199790"/>
    </w:p>
    <w:p>
      <w:pPr>
        <w:pStyle w:val="Heading3"/>
        <w:numPr>
          <w:ilvl w:val="2"/>
          <w:numId w:val="1"/>
        </w:numPr>
        <w:rPr/>
      </w:pPr>
      <w:bookmarkStart w:id="456" w:name="__RefHeading___Toc4413830_3224264995"/>
      <w:bookmarkStart w:id="457" w:name="_Toc176"/>
      <w:bookmarkEnd w:id="455"/>
      <w:bookmarkEnd w:id="456"/>
      <w:r>
        <w:rPr>
          <w:rtl w:val="true"/>
        </w:rPr>
        <w:t>منابع تحقق</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چاپ چهارم،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مجلسی،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شرایع الإسلام، شهید 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الإسلامیه،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الحبل المتین، شیخ بهائی،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محققین،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الشهید الثانی، شهید 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الإسلامیه، رضا مختاری،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العطار،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فیروزآبادی، دارالعلم،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حمیری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لإحیاء التراث،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پنجم،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الأخیار فی فهم الأخبار، علامه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الأحکام،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شیخ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7288_199809"/>
      <w:bookmarkStart w:id="459" w:name="pg17288_199809"/>
      <w:bookmarkEnd w:id="459"/>
    </w:p>
    <w:p>
      <w:pPr>
        <w:pStyle w:val="Heading2"/>
        <w:numPr>
          <w:ilvl w:val="1"/>
          <w:numId w:val="1"/>
        </w:numPr>
        <w:rPr/>
      </w:pPr>
      <w:bookmarkStart w:id="460" w:name="pg17288_199809"/>
      <w:bookmarkStart w:id="461" w:name="__RefHeading___Toc4413832_3224264995"/>
      <w:bookmarkStart w:id="462" w:name="_Toc177"/>
      <w:bookmarkEnd w:id="460"/>
      <w:bookmarkEnd w:id="461"/>
      <w:r>
        <w:rPr>
          <w:rtl w:val="true"/>
        </w:rPr>
        <w:t>لب النظر فی علم المنطق</w:t>
      </w:r>
      <w:bookmarkEnd w:id="462"/>
    </w:p>
    <w:p>
      <w:pPr>
        <w:pStyle w:val="Heading3"/>
        <w:numPr>
          <w:ilvl w:val="2"/>
          <w:numId w:val="1"/>
        </w:numPr>
        <w:rPr/>
      </w:pPr>
      <w:bookmarkStart w:id="463" w:name="__RefHeading___Toc4413834_3224264995"/>
      <w:bookmarkStart w:id="464" w:name="_Toc178"/>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 اللّه کاشانی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موسوی‌بخش</w:t>
      </w:r>
    </w:p>
    <w:p>
      <w:pPr>
        <w:pStyle w:val="Heading3"/>
        <w:numPr>
          <w:ilvl w:val="2"/>
          <w:numId w:val="1"/>
        </w:numPr>
        <w:rPr/>
      </w:pPr>
      <w:bookmarkStart w:id="465" w:name="__RefHeading___Toc4413836_3224264995"/>
      <w:bookmarkStart w:id="466" w:name="_Toc179"/>
      <w:bookmarkEnd w:id="465"/>
      <w:r>
        <w:rPr>
          <w:rtl w:val="true"/>
        </w:rPr>
        <w:t>مقدمه محقق</w:t>
      </w:r>
      <w:bookmarkEnd w:id="466"/>
    </w:p>
    <w:p>
      <w:pPr>
        <w:pStyle w:val="Heading4"/>
        <w:numPr>
          <w:ilvl w:val="3"/>
          <w:numId w:val="1"/>
        </w:numPr>
        <w:rPr/>
      </w:pPr>
      <w:bookmarkStart w:id="467" w:name="__RefHeading___Toc4413838_3224264995"/>
      <w:bookmarkStart w:id="468" w:name="_Toc180"/>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خطاپذیری فکر و علم آدمی به این خطاپذیری، انگیزه‌ای شد برای پیدایش و تدوین علمی که بواسطه رعایت قوانین آن، بشر از خطای ذهنی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شیخ‌الرئیس در اشارات، از ضلالت در فکرش مصونیت یافت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این علم در تعابیر اسلامی منطق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 را تعریف و استدلال برشمرده‌اند، اولی در حوزه مفاهیم و تصورات و دومی در حوزه قضایا و 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را چنین تعریف نموده‌اند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قانونیة تعصم مراعاتها الذهن عن الخطأ فی الفکر</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منطق ماهیتی ابزاری دارد و از جمله علوم آلی به حساب می‌آید، به این معنی که زمینه به کارگیری و کاربرد آن در سایر علوم و حوزه‌هاست نه مسائل خود علم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جهت تاریخی منطق نیز خود موضوعی مهم است که استیفاء آن به تفحص کامل بسته و نیازمند است و تفصیل آن را تألیفی مخصوص و مستقل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مقصود در این مقام، بیان زمان پیدایش منطق تدوینی است نه منطق تکوینی و طبیعی، چه در زمان پیدا شدن منطق طبیعی، هنگامی می‌توانیم بحث کنیم و نتیجه قطعی به دست آوریم که بتوانیم آغاز پیدا شدن بشر را به طور تحقیق، تعیین کنیم و تعیین این موضوع ـ بر فرض امکان ـ مقصود و مربوط به این بحث نیست ولی همین اندازه کافی است که بدانیم پیدا شدن منطق با پیدا شدن بشر توأم است و این دو همزاد در تمام مراحل هستی، همه جا و همه وقت همدوش و هم‌قدم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طبیعی در حقیقت گوهر زیبایی است که خالق طبیعت در نهاد بشر نهاده و تحفه گرانبهایی است که آن را در لفافه نطق پیچیده و انسان را به اعطاء آن سرافرازی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تدوین منطق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منطق از چه زمانی به صورت تدوین درآمده و لباس تألیف به خود پوشیده است، آنچه مشهور و در کتب قدماء و متأخرین مسطور می‌باشد این است که ارسطوطالیس یونانی</w:t>
      </w:r>
      <w:r>
        <w:rPr>
          <w:rStyle w:val="FootnoteAnchor"/>
          <w:rtl w:val="true"/>
        </w:rPr>
        <w:footnoteReference w:id="841"/>
      </w:r>
      <w:r>
        <w:rPr>
          <w:rFonts w:ascii="IRNazanin" w:hAnsi="IRNazanin" w:eastAsia="IRNazanin"/>
          <w:color w:val="111111"/>
          <w:sz w:val="28"/>
          <w:sz w:val="28"/>
          <w:szCs w:val="28"/>
          <w:rtl w:val="true"/>
          <w:lang w:bidi="fa-IR"/>
        </w:rPr>
        <w:t>برحسب تقاضی و خواهش اسکندر در قرن چهارم قبل از میلاد مسیح، منطق را تألیف و تدوین کرد و اسکندر معادل پانصد هزار دینار در برابر انجام این کار به رسم انعام به وی داد و نیز معادل صد و بیست دینار حقوق سالیانه برای وی مقرر داشت و به این جهت منطق در میان پیشینیان به میراث ذی القرنین 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اجماع مورخین را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صورت قیاسها را استنباط کرده، ارسطو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و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غیر مشهوری نیز هست که بیان می‌دارد واضِعِ منطق، زنون کبیر و مکمل آن، ارسطو و مهذب آن افلاطون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قول که بیانگر زمینه آغاز پیدایش، تدوین منطق، مورد اعتقاد اسلاف یا معقد اجماع آنان می‌باشد، قول دیگری نیز می‌باشد که بیان می‌دارد ارسطو نخستین مدون منطق در دنیا، یا لااقل نخستین مستنبط آن نباشد، بلکه احتمال قوی می‌رود که منطق پیش از طلوعش در یونان، از مشرق به ویژه ایران، مهد دانش و مرکز علم و معرفت، طالع و در مظهر کتابت و تدوین و لباس نظام و تألیف متجلی شده و آنگاه در فتنه اسکندر، به وسیله وی کتب منطقی نیز، در طی سائر نفائس علمی و مادی، به یونان انتقال یافته باشد که می‌توان قرائن و شواهدی را برای تأیید مطلب فوق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پیش از استیلاء اسکندر بر ایران، علوم متنوعه از قبیل فلسفه ونجوم و طب و حساب و غیره در ایران رائج و مدوّن بوده است و وجود علوم مزبور، مخصوصا فلسفه، بدون وجود منطق اگر غیر معقول نباشد، قابل اذعان و قبول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فیثاغورث که استاد سقراط بوده است، بنا به قولی نزد ایرانیان دانش آموخته و افلاطون هم که شاگرد سقراط و استاد ارسطو است بسیار مایل بوده است که به ایران مسافرت و تحصیل کند، بلکه شاگردی خود سقراط نیز نزد شخصی ایرانی نقل شده است</w:t>
      </w:r>
      <w:r>
        <w:rPr>
          <w:rFonts w:eastAsia="IRNazanin" w:cs="IRNazanin"/>
          <w:color w:val="111111"/>
          <w:sz w:val="28"/>
          <w:szCs w:val="28"/>
          <w:rtl w:val="true"/>
          <w:lang w:bidi="fa-IR"/>
        </w:rPr>
        <w:t>.</w:t>
      </w:r>
      <w:r>
        <w:rPr>
          <w:rStyle w:val="FootnoteAnchor"/>
          <w:rtl w:val="true"/>
        </w:rPr>
        <w:footnoteReference w:id="84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چگونگی پیدایش منطق و اقوال پیرامون آن، در مورد چگونگی سیر منطق خواهیم گفت که پس از اینکه ارسطو منطق را در یونان تألیف کرد، بالطبیعه تعلیم و تعلم آن رایج و بحث و فحص پیرامون مطالب آن شروع شده، ولی این تألیف چنان بر اساس متانت و استحکام نهاده شده بود که تاکنون هیچ یک از مناطقه و فلاسفه بعد از ارسطو نتوانسته‌اند در قواعد و اصولی که وی تأسیس کرده خدشه وارد کنند، بدین ترتیب همان منطق با همان قواعد و اصول اولیه‌ای که تألیف شده مورد استفاده و قبول گروه دانش‌پژوه و شیعه فلسفه گردید که یکی از آنان ملاّ حبیب‌اللّه کاشانی است</w:t>
      </w:r>
      <w:r>
        <w:rPr>
          <w:rFonts w:eastAsia="IRNazanin" w:cs="IRNazanin"/>
          <w:color w:val="111111"/>
          <w:sz w:val="28"/>
          <w:szCs w:val="28"/>
          <w:rtl w:val="true"/>
          <w:lang w:bidi="fa-IR"/>
        </w:rPr>
        <w:t xml:space="preserve">. </w:t>
      </w:r>
      <w:bookmarkStart w:id="469" w:name="pg17288_199811"/>
    </w:p>
    <w:p>
      <w:pPr>
        <w:pStyle w:val="Heading4"/>
        <w:numPr>
          <w:ilvl w:val="3"/>
          <w:numId w:val="1"/>
        </w:numPr>
        <w:rPr/>
      </w:pPr>
      <w:bookmarkStart w:id="470" w:name="__RefHeading___Toc4413840_3224264995"/>
      <w:bookmarkStart w:id="471" w:name="_Toc181"/>
      <w:bookmarkEnd w:id="469"/>
      <w:bookmarkEnd w:id="470"/>
      <w:r>
        <w:rPr>
          <w:rtl w:val="true"/>
        </w:rPr>
        <w:t>نگاهی به زندگی ملاّ حبیب‌اللّه کاشانی</w:t>
      </w:r>
      <w:bookmarkEnd w:id="471"/>
    </w:p>
    <w:p>
      <w:pPr>
        <w:pStyle w:val="BookText"/>
        <w:rPr/>
      </w:pPr>
      <w:r>
        <w:rPr>
          <w:rFonts w:ascii="IRNazanin" w:hAnsi="IRNazanin" w:eastAsia="IRNazanin"/>
          <w:color w:val="111111"/>
          <w:sz w:val="28"/>
          <w:sz w:val="28"/>
          <w:szCs w:val="28"/>
          <w:rtl w:val="true"/>
          <w:lang w:bidi="fa-IR"/>
        </w:rPr>
        <w:t xml:space="preserve">ملاّ حبیب‌اللّه فرزند مرحوم علی مدد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کاشان دیده به جهان گشود و از هشت سالگی شروع به درس خواندن نمود و تا چهارده سالگی از مقدّمات نحو و صرف فارغ گردید و بعد از آن در کاشان و سپس طهران و آنگاه در عتبات عالیات، علوم فقه و اصول و حکمت و سایر علوم عقلیّه و نقلیّه را از چندین نفر از علماء و فقهاء و فضلاء و حکماء فراگرفت و اجازه روایت نیز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از فیض صحبت مرحوم ملاّ زین‌العابدین گلپایگانی ـ اعلی اللّه مقامه ـ به درجات عالیه علم و عمل و تصفیه نفس و تهذیب اخلاق واصل گردید و پس از چندی به کاشان برگشته و در آن شهر در محلّه دروازه اصفهان ساکن گردید و به تدریس و تألیف و امامت و ترویج و هدایت و ارشاد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سفر مشهد رفت و در حدود صد و چهل جلد کتاب کوچک و بزرگ، عربی و فارسی، نظم و نثر تألیف کرد که بسیاری از آنها به چاپ رسیده و مورد استفاده عوام و خواص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پس از گذرانیدن عمری در علم و عمل و اخلاق فاضله و صفات عالیه در روز سه شنبه بیست و سیّم ماه جمادی‌الآخر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کاشان وفات کرد و همانجا در قبرستان دشت‌افروز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او کتاب منتقد المنافع در شرح نافع محقق اول در چندین جلد که اعظم و اقدم همه آنها می‌باشد و این اثر نیز یکی از تألیفات آن بزرگوار بوده که تاکنون به چاپ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حول و قوه الهی و کمک دوستان و سروران از جمله حاج آقا نورمحمدی و سید روح اللّه فاطمی‌زاده ـ که از آنها تشکر می‌کنم ـ این اثر آماده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خدمت ناقابل مورد قبول حق‌تعالی و ائمه معصومین علیهم‌السلام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موسوی بخش</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امام رضا علیه‌السلام ـ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لب النظر فی علم المنطق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لب النظر فی علم المنطق </w:t>
      </w:r>
      <w:bookmarkStart w:id="472" w:name="pg17288_199816"/>
    </w:p>
    <w:p>
      <w:pPr>
        <w:pStyle w:val="BookText"/>
        <w:rPr/>
      </w:pPr>
      <w:bookmarkEnd w:id="472"/>
      <w:r>
        <w:rPr>
          <w:rFonts w:ascii="IRNazanin" w:hAnsi="IRNazanin" w:eastAsia="IRNazanin"/>
          <w:color w:val="111111"/>
          <w:sz w:val="28"/>
          <w:sz w:val="28"/>
          <w:szCs w:val="28"/>
          <w:rtl w:val="true"/>
          <w:lang w:bidi="fa-IR"/>
        </w:rPr>
        <w:t>هذا مختصر فی علم المنطق المسمّی ب</w:t>
      </w:r>
    </w:p>
    <w:p>
      <w:pPr>
        <w:pStyle w:val="Heading3"/>
        <w:numPr>
          <w:ilvl w:val="2"/>
          <w:numId w:val="1"/>
        </w:numPr>
        <w:rPr/>
      </w:pPr>
      <w:bookmarkStart w:id="473" w:name="__RefHeading___Toc4413842_3224264995"/>
      <w:bookmarkStart w:id="474" w:name="_Toc182"/>
      <w:bookmarkEnd w:id="473"/>
      <w:r>
        <w:rPr>
          <w:rtl w:val="true"/>
        </w:rPr>
        <w:t>«</w:t>
      </w:r>
      <w:r>
        <w:rPr>
          <w:rtl w:val="true"/>
        </w:rPr>
        <w:t>لبّ النظر</w:t>
      </w:r>
      <w:r>
        <w:rPr>
          <w:rtl w:val="true"/>
        </w:rPr>
        <w:t>»</w:t>
      </w:r>
      <w:bookmarkEnd w:id="474"/>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 xml:space="preserve">الحمد للّه الذی خلق الإنسان و علّمه المنطق و البیان و الصلوة علی رسوله میزان الأدیان و علی آله موازین القسط و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المنطق میراث أهل النظر و قد وضعه المعلم الأوّل</w:t>
      </w:r>
      <w:r>
        <w:rPr>
          <w:rStyle w:val="FootnoteAnchor"/>
          <w:rtl w:val="true"/>
        </w:rPr>
        <w:footnoteReference w:id="843"/>
      </w:r>
      <w:r>
        <w:rPr>
          <w:rFonts w:ascii="IRNazanin" w:hAnsi="IRNazanin" w:eastAsia="IRNazanin"/>
          <w:color w:val="111111"/>
          <w:sz w:val="28"/>
          <w:sz w:val="28"/>
          <w:szCs w:val="28"/>
          <w:rtl w:val="true"/>
          <w:lang w:bidi="fa-IR"/>
        </w:rPr>
        <w:t>لاسکندر</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من المعروف أنّ فی قرن الرابع قبل المیلاد، أ لّف أرسطو المنطق تلبیةً لطلب اسکندر المقدونی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اشتهر المنطق عند الأسلاف بإرث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خرد، المقدمه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الغرض منه تمیز لُجَیْن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الفکر عن لَجینه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والتفرقة بین هِجان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النظر عن هجینه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آلة تعصم قدم العقل عن الزلة و مصباح یضیئ لراعیه فی طرق المحجّة و قد عدّه من الحکمة بعض الأجلّة و مرتبته بعد نبذه من العلوم الأدبیة و بعد تقویم الفکر بالهندسة و موضوعه التصورات و التصدیقات المعلومة الموصلة إلی المجهولة و مسائله النسب التصوریة و التصدیقیة و قسمته إلی أبواب عشرة </w:t>
      </w:r>
      <w:r>
        <w:rPr>
          <w:rFonts w:eastAsia="IRNazanin" w:cs="IRNazanin"/>
          <w:color w:val="111111"/>
          <w:sz w:val="28"/>
          <w:szCs w:val="28"/>
          <w:rtl w:val="true"/>
          <w:lang w:bidi="fa-IR"/>
        </w:rPr>
        <w:t>:</w:t>
      </w:r>
      <w:bookmarkStart w:id="475" w:name="pg17288_199818"/>
    </w:p>
    <w:p>
      <w:pPr>
        <w:pStyle w:val="Heading3"/>
        <w:numPr>
          <w:ilvl w:val="2"/>
          <w:numId w:val="1"/>
        </w:numPr>
        <w:rPr/>
      </w:pPr>
      <w:bookmarkStart w:id="476" w:name="__RefHeading___Toc4413844_3224264995"/>
      <w:bookmarkStart w:id="477" w:name="_Toc183"/>
      <w:bookmarkEnd w:id="475"/>
      <w:bookmarkEnd w:id="476"/>
      <w:r>
        <w:rPr>
          <w:rtl w:val="true"/>
        </w:rPr>
        <w:t>[</w:t>
      </w:r>
      <w:r>
        <w:rPr>
          <w:rtl w:val="true"/>
        </w:rPr>
        <w:t>الباب</w:t>
      </w:r>
      <w:r>
        <w:rPr>
          <w:rtl w:val="true"/>
        </w:rPr>
        <w:t xml:space="preserve">] </w:t>
      </w:r>
      <w:r>
        <w:rPr>
          <w:rtl w:val="true"/>
        </w:rPr>
        <w:t>الأوّل</w:t>
      </w:r>
      <w:r>
        <w:rPr>
          <w:rtl w:val="true"/>
        </w:rPr>
        <w:t xml:space="preserve">: </w:t>
      </w:r>
      <w:r>
        <w:rPr>
          <w:rtl w:val="true"/>
        </w:rPr>
        <w:t>فی الألفاظ</w:t>
      </w:r>
      <w:bookmarkEnd w:id="477"/>
    </w:p>
    <w:p>
      <w:pPr>
        <w:pStyle w:val="BookText"/>
        <w:rPr/>
      </w:pPr>
      <w:r>
        <w:rPr>
          <w:rFonts w:ascii="IRNazanin" w:hAnsi="IRNazanin" w:eastAsia="IRNazanin"/>
          <w:color w:val="111111"/>
          <w:sz w:val="28"/>
          <w:sz w:val="28"/>
          <w:szCs w:val="28"/>
          <w:rtl w:val="true"/>
          <w:lang w:bidi="fa-IR"/>
        </w:rPr>
        <w:t>و هذا الباب ذکره استطراد</w:t>
      </w:r>
      <w:r>
        <w:rPr>
          <w:rStyle w:val="FootnoteAnchor"/>
          <w:rtl w:val="true"/>
        </w:rPr>
        <w:footnoteReference w:id="845"/>
      </w:r>
      <w:r>
        <w:rPr>
          <w:rFonts w:ascii="Amiri" w:hAnsi="Amiri" w:eastAsia="Amiri" w:cs="Amiri"/>
          <w:color w:val="111111"/>
          <w:sz w:val="28"/>
          <w:sz w:val="28"/>
          <w:szCs w:val="28"/>
          <w:rtl w:val="true"/>
          <w:lang w:bidi="ar-SA"/>
        </w:rPr>
        <w:t>و لذا عدّ الأبواب تسعة بعض الأوتاد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فالدلالة مطابقة إن کانت علی تمام ما وضع اللفظ له و تضمن إن کانت علی بعضه و إلتزام إن کانت علی خارجه اللازم له عرفاً أو ذهناً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بالحیثیّة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البیان یسمّون الأولی بالوضعیة و الأخیرتین بالعقلیة و الثلاث فی إصطلاح هذا الفنّ وضعیّة و طبعیّة و عقلیّة و کلّ منها لفظیّة و غیرلفظیّة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الدال جزئه علی جزء معنا مرکّب تام خبریّ إن صحّ السکوت علیه و احتمل الصدق و الکذب فی ذاته و إلاّ فناقص و إنشائی و غیره مفرد و هو إمّا کلمة أو اسم أو 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المستعمل فیما وضع له فی إصطلاح به المخاطب حقیقة لغویة و عرفیة خاصة و عامة و فی غیره کذلک للقرینة و العلامة المقبولة مجاز کذلک و ما تعدّد وضعه مشترک والمهجور وضعه الأول منقول یتبع فی الإسم ناقله </w:t>
      </w:r>
      <w:r>
        <w:rPr>
          <w:rFonts w:eastAsia="IRNazanin" w:cs="IRNazanin"/>
          <w:color w:val="111111"/>
          <w:sz w:val="28"/>
          <w:szCs w:val="28"/>
          <w:rtl w:val="true"/>
          <w:lang w:bidi="fa-IR"/>
        </w:rPr>
        <w:t>.</w:t>
      </w:r>
    </w:p>
    <w:p>
      <w:pPr>
        <w:pStyle w:val="Heading3"/>
        <w:numPr>
          <w:ilvl w:val="2"/>
          <w:numId w:val="1"/>
        </w:numPr>
        <w:rPr/>
      </w:pPr>
      <w:bookmarkStart w:id="478" w:name="__RefHeading___Toc4413846_3224264995"/>
      <w:bookmarkStart w:id="479" w:name="_Toc184"/>
      <w:bookmarkEnd w:id="478"/>
      <w:r>
        <w:rPr>
          <w:rtl w:val="true"/>
        </w:rPr>
        <w:t>[</w:t>
      </w:r>
      <w:r>
        <w:rPr>
          <w:rtl w:val="true"/>
        </w:rPr>
        <w:t>الباب</w:t>
      </w:r>
      <w:r>
        <w:rPr>
          <w:rtl w:val="true"/>
        </w:rPr>
        <w:t xml:space="preserve">] </w:t>
      </w:r>
      <w:r>
        <w:rPr>
          <w:rtl w:val="true"/>
        </w:rPr>
        <w:t>الأوّل</w:t>
      </w:r>
      <w:r>
        <w:rPr>
          <w:rtl w:val="true"/>
        </w:rPr>
        <w:t xml:space="preserve">: </w:t>
      </w:r>
      <w:r>
        <w:rPr>
          <w:rtl w:val="true"/>
        </w:rPr>
        <w:t>فی الألفاظ</w:t>
      </w:r>
      <w:bookmarkEnd w:id="47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 ما لم یمنع فیه من الکثرة؛ فإن کان ذاتیاً لها و عینها، فهو نوع أو جزئها المشترک بالتمام، فجنس قریب إن صلح للجواب به عن البعض و الجمیع و بعید إن اختصّ بالبعض أو المشترک بغیره ففصل قریب فی الجنس القریب و بعید فی البعید و إن کان عرضیّاً فإن أختص فخاصة و إلاّ فعرض عام و قد یلزمان لزوماً بیّناً أو غیر بیّن بالمعنیین </w:t>
      </w:r>
      <w:r>
        <w:rPr>
          <w:rFonts w:eastAsia="IRNazanin" w:cs="IRNazanin"/>
          <w:color w:val="111111"/>
          <w:sz w:val="28"/>
          <w:szCs w:val="28"/>
          <w:rtl w:val="true"/>
          <w:lang w:bidi="fa-IR"/>
        </w:rPr>
        <w:t>.</w:t>
      </w:r>
      <w:r>
        <w:rPr>
          <w:rStyle w:val="FootnoteAnchor"/>
          <w:rtl w:val="true"/>
        </w:rPr>
        <w:footnoteReference w:id="846"/>
      </w:r>
      <w:bookmarkStart w:id="480" w:name="pg17288_199820"/>
    </w:p>
    <w:p>
      <w:pPr>
        <w:pStyle w:val="Heading3"/>
        <w:numPr>
          <w:ilvl w:val="2"/>
          <w:numId w:val="1"/>
        </w:numPr>
        <w:rPr/>
      </w:pPr>
      <w:bookmarkStart w:id="481" w:name="__RefHeading___Toc4413848_3224264995"/>
      <w:bookmarkStart w:id="482" w:name="_Toc185"/>
      <w:bookmarkEnd w:id="480"/>
      <w:bookmarkEnd w:id="481"/>
      <w:r>
        <w:rPr>
          <w:rtl w:val="true"/>
        </w:rPr>
        <w:t>[</w:t>
      </w:r>
      <w:r>
        <w:rPr>
          <w:rtl w:val="true"/>
        </w:rPr>
        <w:t>الباب</w:t>
      </w:r>
      <w:r>
        <w:rPr>
          <w:rtl w:val="true"/>
        </w:rPr>
        <w:t xml:space="preserve">] </w:t>
      </w:r>
      <w:r>
        <w:rPr>
          <w:rtl w:val="true"/>
        </w:rPr>
        <w:t>الأوّل</w:t>
      </w:r>
      <w:r>
        <w:rPr>
          <w:rtl w:val="true"/>
        </w:rPr>
        <w:t xml:space="preserve">: </w:t>
      </w:r>
      <w:r>
        <w:rPr>
          <w:rtl w:val="true"/>
        </w:rPr>
        <w:t>فی الألفاظ</w:t>
      </w:r>
      <w:bookmarkEnd w:id="482"/>
    </w:p>
    <w:p>
      <w:pPr>
        <w:pStyle w:val="BookText"/>
        <w:rPr/>
      </w:pPr>
      <w:r>
        <w:rPr>
          <w:rFonts w:ascii="IRNazanin" w:hAnsi="IRNazanin" w:eastAsia="IRNazanin"/>
          <w:color w:val="111111"/>
          <w:sz w:val="28"/>
          <w:sz w:val="28"/>
          <w:szCs w:val="28"/>
          <w:rtl w:val="true"/>
          <w:lang w:bidi="fa-IR"/>
        </w:rPr>
        <w:t xml:space="preserve">المعرف هو التصوّر المعلوم المؤدّی إلی المجهول، فإن کان مؤلّفاً من الجنس و الفصل القریبین، فهو حدّ تامّ و من الجنس القریب و الخاصة، فرسم کذلک و إلاّ فحدّ و رسم ناقصان و یسهل التعریف بالتحدید و هو أن تطلب الأعمّ و المساوی و تمیّز ذاتیهما عن غیر الذاتی بالإنفکاک بحسب الحقیقة و عدمه، ثم ترکّب من ذلک ما سئلت من الأقسام </w:t>
      </w:r>
      <w:r>
        <w:rPr>
          <w:rFonts w:eastAsia="IRNazanin" w:cs="IRNazanin"/>
          <w:color w:val="111111"/>
          <w:sz w:val="28"/>
          <w:szCs w:val="28"/>
          <w:rtl w:val="true"/>
          <w:lang w:bidi="fa-IR"/>
        </w:rPr>
        <w:t>.</w:t>
      </w:r>
    </w:p>
    <w:p>
      <w:pPr>
        <w:pStyle w:val="Heading3"/>
        <w:numPr>
          <w:ilvl w:val="2"/>
          <w:numId w:val="1"/>
        </w:numPr>
        <w:rPr/>
      </w:pPr>
      <w:bookmarkStart w:id="483" w:name="__RefHeading___Toc4413850_3224264995"/>
      <w:bookmarkStart w:id="484" w:name="_Toc186"/>
      <w:bookmarkEnd w:id="483"/>
      <w:r>
        <w:rPr>
          <w:rtl w:val="true"/>
        </w:rPr>
        <w:t>[</w:t>
      </w:r>
      <w:r>
        <w:rPr>
          <w:rtl w:val="true"/>
        </w:rPr>
        <w:t>الباب</w:t>
      </w:r>
      <w:r>
        <w:rPr>
          <w:rtl w:val="true"/>
        </w:rPr>
        <w:t xml:space="preserve">] </w:t>
      </w:r>
      <w:r>
        <w:rPr>
          <w:rtl w:val="true"/>
        </w:rPr>
        <w:t>الأوّل</w:t>
      </w:r>
      <w:r>
        <w:rPr>
          <w:rtl w:val="true"/>
        </w:rPr>
        <w:t xml:space="preserve">: </w:t>
      </w:r>
      <w:r>
        <w:rPr>
          <w:rtl w:val="true"/>
        </w:rPr>
        <w:t>فی الألفاظ</w:t>
      </w:r>
      <w:bookmarkEnd w:id="484"/>
    </w:p>
    <w:p>
      <w:pPr>
        <w:pStyle w:val="BookText"/>
        <w:rPr/>
      </w:pPr>
      <w:r>
        <w:rPr>
          <w:rFonts w:ascii="IRNazanin" w:hAnsi="IRNazanin" w:eastAsia="IRNazanin"/>
          <w:color w:val="111111"/>
          <w:sz w:val="28"/>
          <w:sz w:val="28"/>
          <w:szCs w:val="28"/>
          <w:rtl w:val="true"/>
          <w:lang w:bidi="fa-IR"/>
        </w:rPr>
        <w:t xml:space="preserve">القضیة هو المرکّب المحتمل فی ذاته للصدق و الکذب، فإن حکم فیها بشیء لشیء آخر بإیجاب أو سلب، فهی حملیة شخصیة إن کان موضوعها جزئیّاً و محصورة إن بیّن فیها کمیّة الأفراد بسورها و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بعض و لاشیء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 و طبعیّة إن لم یکن کذلک و لم یصلح لذلک أیضاً و مهملة إن صلحت و الموضوع فی هذه القضیة مطلقاً هو المصداق و المحمول هو المفهوم، فلایرد شبهة الحمل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یقع کلمة السلب جزء من الموضوع فتسمّی معدولة الموضوع و للمحمول فمعدولته</w:t>
      </w:r>
      <w:r>
        <w:rPr>
          <w:rStyle w:val="FootnoteAnchor"/>
          <w:rtl w:val="true"/>
        </w:rPr>
        <w:footnoteReference w:id="847"/>
      </w:r>
      <w:r>
        <w:rPr>
          <w:rFonts w:ascii="IRNazanin" w:hAnsi="IRNazanin" w:eastAsia="IRNazanin"/>
          <w:color w:val="111111"/>
          <w:sz w:val="28"/>
          <w:sz w:val="28"/>
          <w:szCs w:val="28"/>
          <w:rtl w:val="true"/>
          <w:lang w:bidi="fa-IR"/>
        </w:rPr>
        <w:t>و لهما فمعدولتهما</w:t>
      </w:r>
      <w:r>
        <w:rPr>
          <w:rStyle w:val="FootnoteAnchor"/>
          <w:rtl w:val="true"/>
        </w:rPr>
        <w:footnoteReference w:id="848"/>
      </w:r>
      <w:r>
        <w:rPr>
          <w:rFonts w:ascii="IRNazanin" w:hAnsi="IRNazanin" w:eastAsia="IRNazanin"/>
          <w:color w:val="111111"/>
          <w:sz w:val="28"/>
          <w:sz w:val="28"/>
          <w:szCs w:val="28"/>
          <w:rtl w:val="true"/>
          <w:lang w:bidi="fa-IR"/>
        </w:rPr>
        <w:t>کما یسمّی ما لم یکن کذلک محصّلة و المشتملة علی ذکر جهتها من الدوام و الضرورة و نحوهما من الجهات بسیطة إن استفید منها حکم واحد کالضروریة و الدائمة و الوقتیة المنتشرة المطلقات و المشروطة و العرفیة و المطلقة و الممکنة العامّات و مرکّبة إن کان المستفاد منها حکمین کالمشروطة و العرفیة و الممکنة الخاصات و الوجودیة اللاضروریّه و المنتشرة و الوجودیة اللاّدائمة و الوقتیة</w:t>
      </w:r>
      <w:r>
        <w:rPr>
          <w:rFonts w:eastAsia="IRNazanin" w:cs="IRNazanin"/>
          <w:color w:val="111111"/>
          <w:sz w:val="28"/>
          <w:szCs w:val="28"/>
          <w:rtl w:val="true"/>
          <w:lang w:bidi="fa-IR"/>
        </w:rPr>
        <w:t xml:space="preserve">. </w:t>
      </w:r>
      <w:bookmarkStart w:id="485" w:name="pg17288_199822"/>
    </w:p>
    <w:p>
      <w:pPr>
        <w:pStyle w:val="BookText"/>
        <w:rPr/>
      </w:pPr>
      <w:bookmarkEnd w:id="485"/>
      <w:r>
        <w:rPr>
          <w:rFonts w:ascii="IRNazanin" w:hAnsi="IRNazanin" w:eastAsia="IRNazanin"/>
          <w:color w:val="111111"/>
          <w:sz w:val="28"/>
          <w:sz w:val="28"/>
          <w:szCs w:val="28"/>
          <w:rtl w:val="true"/>
          <w:lang w:bidi="fa-IR"/>
        </w:rPr>
        <w:t>و إن حکم فیها بقضیة علی تقدیر قضیة أخری، فشرطیة متّصلة لزومیة مع اعتبار علاقة و متّصلة إتّفاقیة مع عدمه و إن حکم فیها بالتنافی أو بعدمه فمنفصلة حقیقیة إن کان فی الصدق و الکذب معاً، فهی فی قوة أربع متصلات و مانعة الجمع إن کان فی الأوّل</w:t>
      </w:r>
      <w:r>
        <w:rPr>
          <w:rStyle w:val="FootnoteAnchor"/>
          <w:rtl w:val="true"/>
        </w:rPr>
        <w:footnoteReference w:id="849"/>
      </w:r>
      <w:r>
        <w:rPr>
          <w:rFonts w:ascii="IRNazanin" w:hAnsi="IRNazanin" w:eastAsia="IRNazanin"/>
          <w:color w:val="111111"/>
          <w:sz w:val="28"/>
          <w:sz w:val="28"/>
          <w:szCs w:val="28"/>
          <w:rtl w:val="true"/>
          <w:lang w:bidi="fa-IR"/>
        </w:rPr>
        <w:t>خاصة و مانعة الخلوّ إن کان فی الثانی</w:t>
      </w:r>
      <w:r>
        <w:rPr>
          <w:rStyle w:val="FootnoteAnchor"/>
          <w:rtl w:val="true"/>
        </w:rPr>
        <w:footnoteReference w:id="850"/>
      </w:r>
      <w:r>
        <w:rPr>
          <w:rFonts w:ascii="IRNazanin" w:hAnsi="IRNazanin" w:eastAsia="IRNazanin"/>
          <w:color w:val="111111"/>
          <w:sz w:val="28"/>
          <w:sz w:val="28"/>
          <w:szCs w:val="28"/>
          <w:rtl w:val="true"/>
          <w:lang w:bidi="fa-IR"/>
        </w:rPr>
        <w:t xml:space="preserve">کذلک و هما مستلزمتان بنقیضیهما کما أنّ المتصلة اللزومیة مستلزمة لهما و التنافی إن کان لذات الجزئین فهی عنادیة و إلاّ فإتفاقیّة </w:t>
      </w:r>
      <w:r>
        <w:rPr>
          <w:rFonts w:eastAsia="IRNazanin" w:cs="IRNazanin"/>
          <w:color w:val="111111"/>
          <w:sz w:val="28"/>
          <w:szCs w:val="28"/>
          <w:rtl w:val="true"/>
          <w:lang w:bidi="fa-IR"/>
        </w:rPr>
        <w:t>.</w:t>
      </w:r>
    </w:p>
    <w:p>
      <w:pPr>
        <w:pStyle w:val="Heading3"/>
        <w:numPr>
          <w:ilvl w:val="2"/>
          <w:numId w:val="1"/>
        </w:numPr>
        <w:rPr/>
      </w:pPr>
      <w:bookmarkStart w:id="486" w:name="__RefHeading___Toc4413852_3224264995"/>
      <w:bookmarkStart w:id="487" w:name="_Toc187"/>
      <w:bookmarkEnd w:id="486"/>
      <w:r>
        <w:rPr>
          <w:rtl w:val="true"/>
        </w:rPr>
        <w:t>فصل</w:t>
      </w:r>
      <w:bookmarkEnd w:id="48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القضیتین هو إختلافهما بحیث یلزم من صدق أحدهما، کذب الأخری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العکس المستوی هو تبدیل طرفی القضیة مع بقاء الصدق و الکیف و عکس النقیض عند القدماء هو تبدیل نقیضیهما کذلک</w:t>
      </w:r>
      <w:r>
        <w:rPr>
          <w:rStyle w:val="FootnoteAnchor"/>
          <w:rtl w:val="true"/>
        </w:rPr>
        <w:footnoteReference w:id="851"/>
      </w:r>
      <w:r>
        <w:rPr>
          <w:rFonts w:ascii="IRNazanin" w:hAnsi="IRNazanin" w:eastAsia="IRNazanin"/>
          <w:color w:val="111111"/>
          <w:sz w:val="28"/>
          <w:sz w:val="28"/>
          <w:szCs w:val="28"/>
          <w:rtl w:val="true"/>
          <w:lang w:bidi="fa-IR"/>
        </w:rPr>
        <w:t>و عند المتأخرین تبدیل نقیض الثانی</w:t>
      </w:r>
      <w:r>
        <w:rPr>
          <w:rStyle w:val="FootnoteAnchor"/>
          <w:rtl w:val="true"/>
        </w:rPr>
        <w:footnoteReference w:id="852"/>
      </w:r>
      <w:r>
        <w:rPr>
          <w:rFonts w:ascii="Amiri" w:hAnsi="Amiri" w:eastAsia="Amiri" w:cs="Amiri"/>
          <w:color w:val="111111"/>
          <w:sz w:val="28"/>
          <w:sz w:val="28"/>
          <w:szCs w:val="28"/>
          <w:rtl w:val="true"/>
          <w:lang w:bidi="ar-SA"/>
        </w:rPr>
        <w:t>و عین الأوّل</w:t>
      </w:r>
      <w:r>
        <w:rPr>
          <w:rStyle w:val="FootnoteAnchor"/>
          <w:rtl w:val="true"/>
        </w:rPr>
        <w:footnoteReference w:id="853"/>
      </w:r>
      <w:r>
        <w:rPr>
          <w:rFonts w:ascii="IRNazanin" w:hAnsi="IRNazanin" w:eastAsia="IRNazanin"/>
          <w:color w:val="111111"/>
          <w:sz w:val="28"/>
          <w:sz w:val="28"/>
          <w:szCs w:val="28"/>
          <w:rtl w:val="true"/>
          <w:lang w:bidi="fa-IR"/>
        </w:rPr>
        <w:t>مع بقاء الأوّل</w:t>
      </w:r>
      <w:r>
        <w:rPr>
          <w:rStyle w:val="FootnoteAnchor"/>
          <w:rtl w:val="true"/>
        </w:rPr>
        <w:footnoteReference w:id="854"/>
      </w:r>
      <w:r>
        <w:rPr>
          <w:rFonts w:ascii="IRNazanin" w:hAnsi="IRNazanin" w:eastAsia="IRNazanin"/>
          <w:color w:val="111111"/>
          <w:sz w:val="28"/>
          <w:sz w:val="28"/>
          <w:szCs w:val="28"/>
          <w:rtl w:val="true"/>
          <w:lang w:bidi="fa-IR"/>
        </w:rPr>
        <w:t xml:space="preserve">و المخالفة فی الثانی </w:t>
      </w:r>
      <w:r>
        <w:rPr>
          <w:rFonts w:eastAsia="IRNazanin" w:cs="IRNazanin"/>
          <w:color w:val="111111"/>
          <w:sz w:val="28"/>
          <w:szCs w:val="28"/>
          <w:rtl w:val="true"/>
          <w:lang w:bidi="fa-IR"/>
        </w:rPr>
        <w:t>.</w:t>
      </w:r>
      <w:r>
        <w:rPr>
          <w:rStyle w:val="FootnoteAnchor"/>
          <w:rtl w:val="true"/>
        </w:rPr>
        <w:footnoteReference w:id="855"/>
      </w:r>
      <w:bookmarkStart w:id="488" w:name="pg17288_199824"/>
    </w:p>
    <w:p>
      <w:pPr>
        <w:pStyle w:val="Heading3"/>
        <w:numPr>
          <w:ilvl w:val="2"/>
          <w:numId w:val="1"/>
        </w:numPr>
        <w:rPr/>
      </w:pPr>
      <w:bookmarkStart w:id="489" w:name="__RefHeading___Toc4413854_3224264995"/>
      <w:bookmarkStart w:id="490" w:name="_Toc188"/>
      <w:bookmarkEnd w:id="488"/>
      <w:bookmarkEnd w:id="489"/>
      <w:r>
        <w:rPr>
          <w:rtl w:val="true"/>
        </w:rPr>
        <w:t xml:space="preserve">الباب الخامس </w:t>
      </w:r>
      <w:r>
        <w:rPr>
          <w:rtl w:val="true"/>
        </w:rPr>
        <w:t xml:space="preserve">: </w:t>
      </w:r>
      <w:r>
        <w:rPr>
          <w:rtl w:val="true"/>
        </w:rPr>
        <w:t>فی القیاس</w:t>
      </w:r>
      <w:bookmarkEnd w:id="490"/>
    </w:p>
    <w:p>
      <w:pPr>
        <w:pStyle w:val="BookText"/>
        <w:rPr/>
      </w:pPr>
      <w:r>
        <w:rPr>
          <w:rFonts w:ascii="IRNazanin" w:hAnsi="IRNazanin" w:eastAsia="IRNazanin"/>
          <w:color w:val="111111"/>
          <w:sz w:val="28"/>
          <w:sz w:val="28"/>
          <w:szCs w:val="28"/>
          <w:rtl w:val="true"/>
          <w:lang w:bidi="fa-IR"/>
        </w:rPr>
        <w:t xml:space="preserve">و هو المرکب من قضیتین لو سلّمنا لزم عنهما لذاتهما مرکّب آخر یسمّی بالنتیجة، فإن کان مذکوراً فیهما بعینه أو بنقیضه، فالقیاس إستثنائی و هو مرکب من شرطیة و حملیة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الشرطیة متصلة و الإستثناء متعلقاً بعین المقدم، فاللازم هو ثبوت عین التالی أو بنقیض التالی فهو نقیضه و لیس فی إستثناء عین التالی إثبات عین الأوّل</w:t>
      </w:r>
      <w:r>
        <w:rPr>
          <w:rStyle w:val="FootnoteAnchor"/>
          <w:rtl w:val="true"/>
        </w:rPr>
        <w:footnoteReference w:id="856"/>
      </w:r>
      <w:r>
        <w:rPr>
          <w:rFonts w:ascii="IRNazanin" w:hAnsi="IRNazanin" w:eastAsia="IRNazanin"/>
          <w:color w:val="111111"/>
          <w:sz w:val="28"/>
          <w:sz w:val="28"/>
          <w:szCs w:val="28"/>
          <w:rtl w:val="true"/>
          <w:lang w:bidi="fa-IR"/>
        </w:rPr>
        <w:t>و لا فی نقیض الثانی</w:t>
      </w:r>
      <w:r>
        <w:rPr>
          <w:rStyle w:val="FootnoteAnchor"/>
          <w:rtl w:val="true"/>
        </w:rPr>
        <w:footnoteReference w:id="857"/>
      </w:r>
      <w:r>
        <w:rPr>
          <w:rFonts w:ascii="IRNazanin" w:hAnsi="IRNazanin" w:eastAsia="IRNazanin"/>
          <w:color w:val="111111"/>
          <w:sz w:val="28"/>
          <w:sz w:val="28"/>
          <w:szCs w:val="28"/>
          <w:rtl w:val="true"/>
          <w:lang w:bidi="fa-IR"/>
        </w:rPr>
        <w:t xml:space="preserve">و إن کانت منفصلة حقیقة فإستثناء عین کلّ جزء إثبات لنقیض الآخر کما أن إستثناء نقیض کلّ إثبات لعینه کما فی مانعة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مانعة الجمع فکالأوّل</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 إلاّ فإقترانی و المقدّمة المشتملة علی موضوع المطلوب هی الصغری و علی محموله الکبری و المتکرّر فیهما هو الحد الأوسط، فإن کان محمولاً فی الأولی و موضوعاً فی الثانیة فالهیئة الحاصلة من ذلک هو الشکل الأوّل و شرطه إیجاب الصغری و فعلیّتها و کلیّة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فضروبه المنتجة بالإعتبار الأوّل و الأخیر أربعة و بالثانی کثیرة و إن کان محمولاً فیهما فالثانی و شرطه إختلاف مقدّمتیه فی الکیف و کلیّة الکبری فضروبه المنتجة بإعتبارهما کما تقدّم و ضروریة الصغری أو دوامه أو کون الکبری من السوالب المنعکسة و صغراه الممکنة لاتستعمل إلاّ مع الضروریة المطلقة أو المشروطتین و کبراه کذلک، إلاّ مع الضروریة و ضروبه المنتجة بهذا الإعتبار کما تقدم و إن کان موضوعاً فیهما، فالثالث و شروطه فی صغراه کالأوّل</w:t>
      </w:r>
      <w:r>
        <w:rPr>
          <w:rStyle w:val="FootnoteAnchor"/>
          <w:rtl w:val="true"/>
        </w:rPr>
        <w:footnoteReference w:id="859"/>
      </w:r>
      <w:r>
        <w:rPr>
          <w:rFonts w:ascii="IRNazanin" w:hAnsi="IRNazanin" w:eastAsia="IRNazanin"/>
          <w:color w:val="111111"/>
          <w:sz w:val="28"/>
          <w:sz w:val="28"/>
          <w:szCs w:val="28"/>
          <w:rtl w:val="true"/>
          <w:lang w:bidi="fa-IR"/>
        </w:rPr>
        <w:t xml:space="preserve">مع إختلاف مقدّمتیه فی الکمّ و ضروبه بإعتباره والکیف ستّة و بإعتبار الجهة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وضعه عکس الأوّل فهو الرابع و شرطه إیجاب مقدّمتیه أو کلیة إحدیهما و کلیة الصغری إلاّ مع الإختلاف فکما ذکر و ضروبه المنتجة بحسب الشرطین ثمانیة و فی شرطه بحسب الجهة تفصیل کضروبه بإعتبارها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یسهّل الأمر فی هذا الباب بالتقسیم و التحلیل و قد یثبت المطلوب بکذب نقیضه و یسمّی بقیاس الخلف و بعکس نقیضه عکسه فبالعکس و یفرض ذات الموضوع شیئاً معیّناً فبالإفتراض و قد تضمّ النتیجة إلی مقدمة أخری فیحصل منهما نتیجة أخری فبالقیاس المرکب الموصول النتائج إن کانت النتیجة مصرحاً بها و مفصولها إن لم یکن کذلک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یلحق بالقیاس الإستقراء و هو الإستدلال بالجزئی علی الکلی و التمثیل و هو بالجزئی علی مثله لمشارکتهما فی علة الحکم الثابتة بالدوران و التردید و فیه نظر </w:t>
      </w:r>
      <w:r>
        <w:rPr>
          <w:rFonts w:eastAsia="IRNazanin" w:cs="IRNazanin"/>
          <w:color w:val="111111"/>
          <w:sz w:val="28"/>
          <w:szCs w:val="28"/>
          <w:rtl w:val="true"/>
          <w:lang w:bidi="fa-IR"/>
        </w:rPr>
        <w:t xml:space="preserve">. </w:t>
      </w:r>
      <w:bookmarkStart w:id="491" w:name="pg17288_199826"/>
    </w:p>
    <w:p>
      <w:pPr>
        <w:pStyle w:val="Heading3"/>
        <w:numPr>
          <w:ilvl w:val="2"/>
          <w:numId w:val="1"/>
        </w:numPr>
        <w:rPr/>
      </w:pPr>
      <w:bookmarkStart w:id="492" w:name="__RefHeading___Toc4413856_3224264995"/>
      <w:bookmarkStart w:id="493" w:name="_Toc189"/>
      <w:bookmarkEnd w:id="491"/>
      <w:bookmarkEnd w:id="492"/>
      <w:r>
        <w:rPr>
          <w:rtl w:val="true"/>
        </w:rPr>
        <w:t xml:space="preserve">الباب السادس </w:t>
      </w:r>
      <w:r>
        <w:rPr>
          <w:rtl w:val="true"/>
        </w:rPr>
        <w:t xml:space="preserve">: </w:t>
      </w:r>
      <w:r>
        <w:rPr>
          <w:rtl w:val="true"/>
        </w:rPr>
        <w:t>فی البرهان</w:t>
      </w:r>
      <w:bookmarkEnd w:id="493"/>
    </w:p>
    <w:p>
      <w:pPr>
        <w:pStyle w:val="BookText"/>
        <w:rPr/>
      </w:pPr>
      <w:r>
        <w:rPr>
          <w:rFonts w:ascii="IRNazanin" w:hAnsi="IRNazanin" w:eastAsia="IRNazanin"/>
          <w:color w:val="111111"/>
          <w:sz w:val="28"/>
          <w:sz w:val="28"/>
          <w:szCs w:val="28"/>
          <w:rtl w:val="true"/>
          <w:lang w:bidi="fa-IR"/>
        </w:rPr>
        <w:t xml:space="preserve">و هو القیاس المؤلّف من الیقینیّات الستّ و هی الأوّلیات و الفطریات و المشاهدات و المتواترات و التجربیات و الحدسیات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الحد الأوسط فیه علّة لنسبة الأکبر إلی الأصغر فی الذهن و الخارج جمیعاً، فهو لمّی و إن کان علّة فی الذهن خاصة فإنّی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الأوّل إلی الإستدلال بالعلة علی المعلول و الثانی إلی العکس</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494" w:name="__RefHeading___Toc4413858_3224264995"/>
      <w:bookmarkStart w:id="495" w:name="_Toc190"/>
      <w:bookmarkEnd w:id="494"/>
      <w:r>
        <w:rPr>
          <w:rtl w:val="true"/>
        </w:rPr>
        <w:t xml:space="preserve">الباب السابع </w:t>
      </w:r>
      <w:r>
        <w:rPr>
          <w:rtl w:val="true"/>
        </w:rPr>
        <w:t xml:space="preserve">: </w:t>
      </w:r>
      <w:r>
        <w:rPr>
          <w:rtl w:val="true"/>
        </w:rPr>
        <w:t>فی الجدل</w:t>
      </w:r>
      <w:bookmarkEnd w:id="495"/>
    </w:p>
    <w:p>
      <w:pPr>
        <w:pStyle w:val="BookText"/>
        <w:rPr/>
      </w:pPr>
      <w:r>
        <w:rPr>
          <w:rFonts w:ascii="IRNazanin" w:hAnsi="IRNazanin" w:eastAsia="IRNazanin"/>
          <w:color w:val="111111"/>
          <w:sz w:val="28"/>
          <w:sz w:val="28"/>
          <w:szCs w:val="28"/>
          <w:rtl w:val="true"/>
          <w:lang w:bidi="fa-IR"/>
        </w:rPr>
        <w:t>و هو القیاس المؤلّف من المشهورات بین الجمیع أو الطائفة لعادة أو نحوها أو المسلمات المسکتة للخصم و تفصیل ذلک فی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الخطابة</w:t>
      </w:r>
    </w:p>
    <w:p>
      <w:pPr>
        <w:pStyle w:val="BookText"/>
        <w:rPr/>
      </w:pPr>
      <w:r>
        <w:rPr>
          <w:rFonts w:ascii="IRNazanin" w:hAnsi="IRNazanin" w:eastAsia="IRNazanin"/>
          <w:color w:val="111111"/>
          <w:sz w:val="28"/>
          <w:sz w:val="28"/>
          <w:szCs w:val="28"/>
          <w:rtl w:val="true"/>
          <w:lang w:bidi="fa-IR"/>
        </w:rPr>
        <w:t xml:space="preserve">و هو المؤلّف من المقبولات ممّن یختصّ بمزیّة فی العلم و نحوه أو المظنونات و هی القضایا التی یحکم فیها العقل حکماً راجحاً مع إحتماله نقیضها مرجوحاً </w:t>
      </w:r>
      <w:r>
        <w:rPr>
          <w:rFonts w:eastAsia="IRNazanin" w:cs="IRNazanin"/>
          <w:color w:val="111111"/>
          <w:sz w:val="28"/>
          <w:szCs w:val="28"/>
          <w:rtl w:val="true"/>
          <w:lang w:bidi="fa-IR"/>
        </w:rPr>
        <w:t>.</w:t>
      </w:r>
    </w:p>
    <w:p>
      <w:pPr>
        <w:pStyle w:val="Heading3"/>
        <w:numPr>
          <w:ilvl w:val="2"/>
          <w:numId w:val="1"/>
        </w:numPr>
        <w:rPr/>
      </w:pPr>
      <w:bookmarkStart w:id="496" w:name="__RefHeading___Toc4413860_3224264995"/>
      <w:bookmarkStart w:id="497" w:name="_Toc191"/>
      <w:bookmarkEnd w:id="496"/>
      <w:r>
        <w:rPr>
          <w:rtl w:val="true"/>
        </w:rPr>
        <w:t>الباب التاسع</w:t>
      </w:r>
      <w:r>
        <w:rPr>
          <w:rtl w:val="true"/>
        </w:rPr>
        <w:t xml:space="preserve">: </w:t>
      </w:r>
      <w:r>
        <w:rPr>
          <w:rtl w:val="true"/>
        </w:rPr>
        <w:t>فی السفسطة و المغالطة</w:t>
      </w:r>
      <w:bookmarkEnd w:id="497"/>
    </w:p>
    <w:p>
      <w:pPr>
        <w:pStyle w:val="BookText"/>
        <w:rPr/>
      </w:pPr>
      <w:r>
        <w:rPr>
          <w:rFonts w:ascii="IRNazanin" w:hAnsi="IRNazanin" w:eastAsia="IRNazanin"/>
          <w:color w:val="111111"/>
          <w:sz w:val="28"/>
          <w:sz w:val="28"/>
          <w:szCs w:val="28"/>
          <w:rtl w:val="true"/>
          <w:lang w:bidi="fa-IR"/>
        </w:rPr>
        <w:t>و هو المؤلّف من الوهمیات و هی القضایا الکاذبة التی یحکم بها الوهم فی أمور غیر محسوسة قیاساً علی المحسوس أو المشبّهات و هی التی یشتبه بالأوّلیات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4413862_3224264995"/>
      <w:bookmarkStart w:id="499" w:name="_Toc192"/>
      <w:bookmarkEnd w:id="498"/>
      <w:r>
        <w:rPr>
          <w:rtl w:val="true"/>
        </w:rPr>
        <w:t xml:space="preserve">الباب العاشر </w:t>
      </w:r>
      <w:r>
        <w:rPr>
          <w:rtl w:val="true"/>
        </w:rPr>
        <w:t xml:space="preserve">: </w:t>
      </w:r>
      <w:r>
        <w:rPr>
          <w:rtl w:val="true"/>
        </w:rPr>
        <w:t>فی الشعر</w:t>
      </w:r>
      <w:bookmarkEnd w:id="499"/>
    </w:p>
    <w:p>
      <w:pPr>
        <w:pStyle w:val="BookText"/>
        <w:rPr/>
      </w:pPr>
      <w:r>
        <w:rPr>
          <w:rFonts w:ascii="IRNazanin" w:hAnsi="IRNazanin" w:eastAsia="IRNazanin"/>
          <w:color w:val="111111"/>
          <w:sz w:val="28"/>
          <w:sz w:val="28"/>
          <w:szCs w:val="28"/>
          <w:rtl w:val="true"/>
          <w:lang w:bidi="fa-IR"/>
        </w:rPr>
        <w:t>و هو المؤلّف من المخیّلات و هی القضایا التی یتأثر بها النفس من دون أن تذعن بها؛ وفائدته إنفعال النفس بالترغیب و الترهیب کما أن فائدة المغالطة إیقاع الخصم فی الغلط و الخطابة الإتعاظ</w:t>
      </w:r>
      <w:r>
        <w:rPr>
          <w:rStyle w:val="FootnoteAnchor"/>
          <w:rtl w:val="true"/>
        </w:rPr>
        <w:footnoteReference w:id="861"/>
      </w:r>
      <w:r>
        <w:rPr>
          <w:rFonts w:ascii="IRNazanin" w:hAnsi="IRNazanin" w:eastAsia="IRNazanin"/>
          <w:color w:val="111111"/>
          <w:sz w:val="28"/>
          <w:sz w:val="28"/>
          <w:szCs w:val="28"/>
          <w:rtl w:val="true"/>
          <w:lang w:bidi="fa-IR"/>
        </w:rPr>
        <w:t>بما ینفع و ما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الجدل إلزام الخصم و إقناع القاصر و لکن الذکی الفطین لایقف إلاّ علی ساحل الیقین و هو فائدة البرهان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نوّر قلوبنا بنور الأیقان و أصعد بنا إلی مدارج التصدیق و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آخر ما أردت إیراده فی هذا المختصر المسمّی بلبّ النظر و أنا العبد الواثق باللّه الصمّد حبیب اللّه ابن علی مدد و الحمد للّه أوّلاً و آخراً</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7288_199831"/>
      <w:bookmarkStart w:id="501" w:name="pg17288_199831"/>
      <w:bookmarkEnd w:id="501"/>
    </w:p>
    <w:p>
      <w:pPr>
        <w:pStyle w:val="Heading3"/>
        <w:numPr>
          <w:ilvl w:val="2"/>
          <w:numId w:val="1"/>
        </w:numPr>
        <w:rPr/>
      </w:pPr>
      <w:bookmarkStart w:id="502" w:name="pg17288_199831"/>
      <w:bookmarkStart w:id="503" w:name="__RefHeading___Toc4413864_3224264995"/>
      <w:bookmarkStart w:id="504" w:name="_Toc193"/>
      <w:bookmarkEnd w:id="502"/>
      <w:bookmarkEnd w:id="503"/>
      <w:r>
        <w:rPr>
          <w:rtl w:val="true"/>
        </w:rPr>
        <w:t>منابع تحقیق</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و التنبیهات، ابن سینا، بوستان کتاب،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ملاعبداللّه علی التهذیب، ملاعبداللّه، مؤسسه اسماعیلیان،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خرد، محمود شهابی، چاپ پنجم، کتابفروشی خیام، تربت حیدریه،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ابن سینا،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انتشارات ذوی القربی،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محمدرضا مظفر، دارالتعارف،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العلیة، سید علی بهبهانی، چاپ دوم، دار العلم، اهواز،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7288_199835"/>
      <w:bookmarkStart w:id="506" w:name="pg17288_199835"/>
      <w:bookmarkEnd w:id="506"/>
    </w:p>
    <w:p>
      <w:pPr>
        <w:pStyle w:val="Heading2"/>
        <w:numPr>
          <w:ilvl w:val="1"/>
          <w:numId w:val="1"/>
        </w:numPr>
        <w:rPr/>
      </w:pPr>
      <w:bookmarkStart w:id="507" w:name="pg17288_199835"/>
      <w:bookmarkStart w:id="508" w:name="__RefHeading___Toc4413866_3224264995"/>
      <w:bookmarkStart w:id="509" w:name="_Toc194"/>
      <w:bookmarkEnd w:id="507"/>
      <w:bookmarkEnd w:id="508"/>
      <w:r>
        <w:rPr>
          <w:rtl w:val="true"/>
        </w:rPr>
        <w:t>کتابشناسی آثار محمد رفیع رشتی اصفهانی</w:t>
      </w:r>
      <w:bookmarkEnd w:id="509"/>
    </w:p>
    <w:p>
      <w:pPr>
        <w:pStyle w:val="Heading3"/>
        <w:numPr>
          <w:ilvl w:val="2"/>
          <w:numId w:val="1"/>
        </w:numPr>
        <w:rPr/>
      </w:pPr>
      <w:bookmarkStart w:id="510" w:name="__RefHeading___Toc4413868_3224264995"/>
      <w:bookmarkStart w:id="511" w:name="_Toc195"/>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w:t>
      </w:r>
    </w:p>
    <w:p>
      <w:pPr>
        <w:pStyle w:val="Heading3"/>
        <w:numPr>
          <w:ilvl w:val="2"/>
          <w:numId w:val="1"/>
        </w:numPr>
        <w:rPr/>
      </w:pPr>
      <w:bookmarkStart w:id="512" w:name="__RefHeading___Toc4413870_3224264995"/>
      <w:bookmarkStart w:id="513" w:name="_Toc196"/>
      <w:bookmarkEnd w:id="512"/>
      <w:r>
        <w:rPr>
          <w:rtl w:val="true"/>
        </w:rPr>
        <w:t>مقدمه محقق</w:t>
      </w:r>
      <w:bookmarkEnd w:id="513"/>
    </w:p>
    <w:p>
      <w:pPr>
        <w:pStyle w:val="BookText"/>
        <w:rPr/>
      </w:pPr>
      <w:r>
        <w:rPr>
          <w:rFonts w:ascii="IRNazanin" w:hAnsi="IRNazanin" w:eastAsia="IRNazanin"/>
          <w:color w:val="111111"/>
          <w:sz w:val="28"/>
          <w:sz w:val="28"/>
          <w:szCs w:val="28"/>
          <w:rtl w:val="true"/>
          <w:lang w:bidi="fa-IR"/>
        </w:rPr>
        <w:t>عالمان و اندیشمندان شیعه در قرون گذشته و تا به حال برای حفظ و حراست از مکتب الهی اهل بیت علیهم‌السلام دست به قلم برده و با برجا گذاشتن آثاری ارزشمند نسل‌های تشنه معارف الهی را از چشمه جوشان و اقیانوس بی‌کران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در طول تاریخ آثار گرانقدر زیادی به خاطر کم توجهی و گاه بی‌توجهی، به دیار نیستی سر سپردند، و یا در گوشه‌ای غریبانه خاک عزلت بر رخسارشان نشسته تا شاید روزی دوستداران علم و دانش با تحقیق پیرامون این آثار، غربت مانده بر پیکره آنها را بزدایند تا جامعه علمی و فرهیختگان از وجود آنها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فهرست‌نگاران و کتابشناسان، کمر همت بسته و توانسته‌اند گوشه‌ای از این آثار را معرفی و گرد غربت را از رخسار آنها بزدایند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در این اثر کوشیدیم با بهره جستن از زحمات این عزیزان، کتابشناسی و نسخه‌پژوهی آثار دانشمند پرکار و واعظ گرانمایه، ملاّ محمد محسن بن محمد رفیع رشتی اصفهانی، متخلّص به عاصی را تدوین و در اختیار محققان، پژوهشگران و علاقه‌مندان آثار علمای سلف قرار دهیم، بدان امید که ما نیز سهمی در احیاء آثار </w:t>
      </w:r>
      <w:bookmarkStart w:id="514" w:name="pg17288_199837"/>
    </w:p>
    <w:p>
      <w:pPr>
        <w:pStyle w:val="BookText"/>
        <w:rPr/>
      </w:pPr>
      <w:bookmarkEnd w:id="514"/>
      <w:r>
        <w:rPr>
          <w:rFonts w:ascii="IRNazanin" w:hAnsi="IRNazanin" w:eastAsia="IRNazanin"/>
          <w:color w:val="111111"/>
          <w:sz w:val="28"/>
          <w:sz w:val="28"/>
          <w:szCs w:val="28"/>
          <w:rtl w:val="true"/>
          <w:lang w:bidi="fa-IR"/>
        </w:rPr>
        <w:t>عالمان شیعه در مکتب اصفهان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کوتاه ابتدا نگاهی به زندگانی این دانشمند بزرگوار می‌افکنیم و سپس به معرفی آثار علمی ایشان می‌پردازیم</w:t>
      </w:r>
      <w:r>
        <w:rPr>
          <w:rFonts w:eastAsia="IRNazanin" w:cs="IRNazanin"/>
          <w:color w:val="111111"/>
          <w:sz w:val="28"/>
          <w:szCs w:val="28"/>
          <w:rtl w:val="true"/>
          <w:lang w:bidi="fa-IR"/>
        </w:rPr>
        <w:t>.</w:t>
      </w:r>
    </w:p>
    <w:p>
      <w:pPr>
        <w:pStyle w:val="Heading3"/>
        <w:numPr>
          <w:ilvl w:val="2"/>
          <w:numId w:val="1"/>
        </w:numPr>
        <w:rPr/>
      </w:pPr>
      <w:bookmarkStart w:id="515" w:name="__RefHeading___Toc4413872_3224264995"/>
      <w:bookmarkStart w:id="516" w:name="_Toc197"/>
      <w:bookmarkEnd w:id="515"/>
      <w:r>
        <w:rPr>
          <w:rtl w:val="true"/>
        </w:rPr>
        <w:t>زندگی ملاّ محمد محسن عاصی اصفهانی رشتی</w:t>
      </w:r>
      <w:bookmarkEnd w:id="516"/>
    </w:p>
    <w:p>
      <w:pPr>
        <w:pStyle w:val="BookText"/>
        <w:rPr/>
      </w:pPr>
      <w:r>
        <w:rPr>
          <w:rFonts w:ascii="IRNazanin" w:hAnsi="IRNazanin" w:eastAsia="IRNazanin"/>
          <w:color w:val="111111"/>
          <w:sz w:val="28"/>
          <w:sz w:val="28"/>
          <w:szCs w:val="28"/>
          <w:rtl w:val="true"/>
          <w:lang w:bidi="fa-IR"/>
        </w:rPr>
        <w:t>متأسفانه زندگینامه مفصلی از ایشان در دست نیست و ما در اینجا به اطلاعاتی هرچند پراکنده و گزارش‌هایی کوتاه از کتابهای تراجم و بعضی از نگاشته‌های ایشان که در آثارش آمده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محسن بن محمد رفیع رشتی اصفهانی، متخلص به عاصی و مشهور به خاکسار،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جمال‌الدین محمد رفیع رشتی بن محمد حسین بن محمد رفیع تولمی رشتی، از اهل علم و صاحب آثاری نیز بوده است، وی در زمانی که محمد محسن سیزده سال بیشتر از عمرش را سپری نکرده بود، یعنی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دار دنیا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تراجم الرجال، از شیخ محمد محسن با الفاظی همانند فقیه اصولی و خطیب توانا و جامع علوم و معارف و آشنا به بعض علوم غریبه نام می‌برد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پرکار در امر تألیف بوده که گاهی برخی از تألیفاتش را تا چهار مرتبه استنساخ و به برخی از علمای زمان خویش اهدا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بیشتر از هزار جلد از کتابهای کتابخانه‌اش را وقف می‌نماید</w:t>
      </w:r>
      <w:r>
        <w:rPr>
          <w:rFonts w:eastAsia="IRNazanin" w:cs="IRNazanin"/>
          <w:color w:val="111111"/>
          <w:sz w:val="28"/>
          <w:szCs w:val="28"/>
          <w:rtl w:val="true"/>
          <w:lang w:bidi="fa-IR"/>
        </w:rPr>
        <w:t>.</w:t>
      </w:r>
      <w:r>
        <w:rPr>
          <w:rStyle w:val="FootnoteAnchor"/>
          <w:rtl w:val="true"/>
        </w:rPr>
        <w:footnoteReference w:id="86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مرحوم عاصی همین افتخار بس که از طرف پدر از احفاد شیخ مفید و از طرف مادر نیز از احفاد شیخ‌بهایی به شمار می‌رود</w:t>
      </w:r>
      <w:r>
        <w:rPr>
          <w:rFonts w:eastAsia="IRNazanin" w:cs="IRNazanin"/>
          <w:color w:val="111111"/>
          <w:sz w:val="28"/>
          <w:szCs w:val="28"/>
          <w:rtl w:val="true"/>
          <w:lang w:bidi="fa-IR"/>
        </w:rPr>
        <w:t>.</w:t>
      </w:r>
      <w:r>
        <w:rPr>
          <w:rStyle w:val="FootnoteAnchor"/>
          <w:rtl w:val="true"/>
        </w:rPr>
        <w:footnoteReference w:id="863"/>
      </w:r>
      <w:bookmarkStart w:id="517" w:name="pg17288_199839"/>
    </w:p>
    <w:p>
      <w:pPr>
        <w:pStyle w:val="Heading3"/>
        <w:numPr>
          <w:ilvl w:val="2"/>
          <w:numId w:val="1"/>
        </w:numPr>
        <w:rPr/>
      </w:pPr>
      <w:bookmarkStart w:id="518" w:name="__RefHeading___Toc4413874_3224264995"/>
      <w:bookmarkStart w:id="519" w:name="_Toc198"/>
      <w:bookmarkEnd w:id="517"/>
      <w:bookmarkEnd w:id="518"/>
      <w:r>
        <w:rPr>
          <w:rtl w:val="true"/>
        </w:rPr>
        <w:t>اساتید</w:t>
      </w:r>
      <w:bookmarkEnd w:id="519"/>
    </w:p>
    <w:p>
      <w:pPr>
        <w:pStyle w:val="BookText"/>
        <w:rPr/>
      </w:pPr>
      <w:r>
        <w:rPr>
          <w:rFonts w:ascii="IRNazanin" w:hAnsi="IRNazanin" w:eastAsia="IRNazanin"/>
          <w:color w:val="111111"/>
          <w:sz w:val="28"/>
          <w:sz w:val="28"/>
          <w:szCs w:val="28"/>
          <w:rtl w:val="true"/>
          <w:lang w:bidi="fa-IR"/>
        </w:rPr>
        <w:t>از اساتید وی ابتدا والد گرامیش بوده است و بعد از وفات ایشان تحصیلات خود را نزد آیات عظام، و بزرگان نامی اصفهان، مرحوم حاجی کلباسی صاحب منهاج، سید میرمحمد شهشهانی اصفهانی، سید ابوتراب بن محمد موسوی اصفهانی، سید محمدباقر حجت‌الاسلام شفتی و شیخ عبدالعلی ماسولجی رشتی فراگرفت و زانوی شاگردی در محضر این بزرگان به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مرحوم شهشهانی و شیخ عبدالعلی ماسولجی اجازه نقل روایت دریافت نمود و پس از رشد و کمال در حدود سی و سه سالگی،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زادگاه پدرش رشت و لاهیجان مسافرت نمود و تا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 ده سال در آنجا بود و به ترویج معارف اهل‌بیت عصمت و طهارت و رتق و فتق امور دینی مردم آن سامان همت گماشت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پس از آن به قزوین مهاجرت کرد و مدتی را در آنجا بود و ظاهراً در اواخر عمر شریفش در طهران ساکن بوده و همان جا وفات می‌نماید و جنازه ایشان را برای تدفین به نجف اشرف منتقل می‌کنند و در جوار مولی الموحدین امیرالمؤمنین علی علیه‌السلام دفن می‌کنند</w:t>
      </w:r>
      <w:r>
        <w:rPr>
          <w:rFonts w:eastAsia="IRNazanin" w:cs="IRNazanin"/>
          <w:color w:val="111111"/>
          <w:sz w:val="28"/>
          <w:szCs w:val="28"/>
          <w:rtl w:val="true"/>
          <w:lang w:bidi="fa-IR"/>
        </w:rPr>
        <w:t>.</w:t>
      </w:r>
      <w:r>
        <w:rPr>
          <w:rStyle w:val="FootnoteAnchor"/>
          <w:rtl w:val="true"/>
        </w:rPr>
        <w:footnoteReference w:id="865"/>
      </w:r>
    </w:p>
    <w:p>
      <w:pPr>
        <w:pStyle w:val="Heading3"/>
        <w:numPr>
          <w:ilvl w:val="2"/>
          <w:numId w:val="1"/>
        </w:numPr>
        <w:rPr/>
      </w:pPr>
      <w:bookmarkStart w:id="520" w:name="__RefHeading___Toc4413876_3224264995"/>
      <w:bookmarkStart w:id="521" w:name="_Toc199"/>
      <w:bookmarkEnd w:id="520"/>
      <w:r>
        <w:rPr>
          <w:rtl w:val="true"/>
        </w:rPr>
        <w:t>تألیفات</w:t>
      </w:r>
      <w:bookmarkEnd w:id="52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خاطر علاقه وافری که به نوشتن داشته و در ضمن اهل منبر و موعظه بوده بسیاری از سخنرانی‌های خود را به صورت رساله‌های مختصری نگاشته و آثار زیادی در قالب رساله‌های کوتاه و آثار مفصل و متنوعی، از خود بر جای گذاشته است</w:t>
      </w:r>
      <w:r>
        <w:rPr>
          <w:rFonts w:eastAsia="IRNazanin" w:cs="IRNazanin"/>
          <w:color w:val="111111"/>
          <w:sz w:val="28"/>
          <w:szCs w:val="28"/>
          <w:rtl w:val="true"/>
          <w:lang w:bidi="fa-IR"/>
        </w:rPr>
        <w:t xml:space="preserve">. </w:t>
      </w:r>
      <w:bookmarkStart w:id="522" w:name="pg17288_199841"/>
    </w:p>
    <w:p>
      <w:pPr>
        <w:pStyle w:val="BookText"/>
        <w:rPr/>
      </w:pPr>
      <w:bookmarkEnd w:id="522"/>
      <w:r>
        <w:rPr>
          <w:rFonts w:ascii="IRNazanin" w:hAnsi="IRNazanin" w:eastAsia="IRNazanin"/>
          <w:color w:val="111111"/>
          <w:sz w:val="28"/>
          <w:sz w:val="28"/>
          <w:szCs w:val="28"/>
          <w:rtl w:val="true"/>
          <w:lang w:bidi="fa-IR"/>
        </w:rPr>
        <w:t xml:space="preserve">آنچه از مقدمه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تعداد کتابها و رسائلی که به رشته تحریر درآورده تا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Style w:val="FootnoteAnchor"/>
          <w:rtl w:val="true"/>
        </w:rPr>
        <w:footnoteReference w:id="866"/>
      </w:r>
      <w:r>
        <w:rPr>
          <w:rFonts w:ascii="IRNazanin" w:hAnsi="IRNazanin" w:eastAsia="IRNazanin"/>
          <w:color w:val="111111"/>
          <w:sz w:val="28"/>
          <w:sz w:val="28"/>
          <w:szCs w:val="28"/>
          <w:rtl w:val="true"/>
          <w:lang w:bidi="fa-IR"/>
        </w:rPr>
        <w:t>و مؤلّف در سنین جوانی عهد نموده بود تألیفاتش را به هزار نسخه برساند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متأسفانه از آثار ایشان تاکنون تنها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و تصحیح محقق گرامی جناب حجت الاسلام علی صدرایی خویی در میراث حوزه اصفهان، دفتر سوم،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p>
    <w:p>
      <w:pPr>
        <w:pStyle w:val="Heading3"/>
        <w:numPr>
          <w:ilvl w:val="2"/>
          <w:numId w:val="1"/>
        </w:numPr>
        <w:rPr/>
      </w:pPr>
      <w:bookmarkStart w:id="523" w:name="__RefHeading___Toc4413878_3224264995"/>
      <w:bookmarkStart w:id="524" w:name="_Toc200"/>
      <w:bookmarkEnd w:id="523"/>
      <w:r>
        <w:rPr>
          <w:rtl w:val="true"/>
        </w:rPr>
        <w:t>نسخه‌شناسی</w:t>
      </w:r>
      <w:bookmarkEnd w:id="524"/>
    </w:p>
    <w:p>
      <w:pPr>
        <w:pStyle w:val="BookText"/>
        <w:rPr/>
      </w:pPr>
      <w:r>
        <w:rPr>
          <w:rFonts w:ascii="IRNazanin" w:hAnsi="IRNazanin" w:eastAsia="IRNazanin"/>
          <w:color w:val="111111"/>
          <w:sz w:val="28"/>
          <w:sz w:val="28"/>
          <w:szCs w:val="28"/>
          <w:rtl w:val="true"/>
          <w:lang w:bidi="fa-IR"/>
        </w:rPr>
        <w:t xml:space="preserve">آنچه از آثار ایشان تا به حال به دست ما رسیده و در فهرستها و کتابشناسی‌ها معرفی گردیده است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می‌باشد که از این تعداد تنها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معرفی شده و اثری از آنها موجود نمی‌باشد و تعداد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نیز نسخه‌هایی از آن موجود است و در فهرست نسخه‌های خطی کتابخانه‌های مختلف توسط فهرست‌نگاران محترم ثبت، ضبط و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نسخه‌های موجود از ایشان در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نسخه‌ها متأسفانه یک برگ بیشتر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این آثار در کتابهای الذریعة، دانشمندان و بزرگان اصفهان و تراجم الرجال، فقط نام نسخه‌ها آمده و اطلاعات دیگری از آنها در اختیار نبوده که ما هم به همان بسنده کرده‌ایم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کتابشناسی برای استفاده و دسترسی بهتر اهل دانش و تحقیق راه را هموار نموده و مجموعه آثار موجود ایشان را که در فهرستهای مختلف پراکنده بود را </w:t>
      </w:r>
    </w:p>
    <w:p>
      <w:pPr>
        <w:pStyle w:val="BookText"/>
        <w:rPr/>
      </w:pPr>
      <w:r>
        <w:rPr>
          <w:rFonts w:ascii="IRNazanin" w:hAnsi="IRNazanin" w:eastAsia="IRNazanin"/>
          <w:color w:val="111111"/>
          <w:sz w:val="28"/>
          <w:sz w:val="28"/>
          <w:szCs w:val="28"/>
          <w:rtl w:val="true"/>
          <w:lang w:bidi="fa-IR"/>
        </w:rPr>
        <w:t>جمع کردیم و به صورت منظم با ذکر آدرس و منبعی که آثار در آنجا آمده در اختیار عزیزان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بر خود لازم می‌دانم از محقق گرامی جناب حجت‌الاسلام محمدجواد نورمحمدی که هم و غم ایشان احیای آثار بزرگان اصفهان است و در این راه مجدّانه پیگیر و مشوّق بنده بوده‌اند تشکّر و قدردانی کنم و همچنین از راهنمایی‌های دوست گرامی جناب حجت‌الاسلام سید محمود نریمانی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 xml:space="preserve">اول رجب المرجب سال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21/02/1392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صادقی </w:t>
      </w:r>
      <w:bookmarkStart w:id="525" w:name="pg17288_199845"/>
    </w:p>
    <w:p>
      <w:pPr>
        <w:pStyle w:val="Heading3"/>
        <w:numPr>
          <w:ilvl w:val="2"/>
          <w:numId w:val="1"/>
        </w:numPr>
        <w:rPr/>
      </w:pPr>
      <w:bookmarkStart w:id="526" w:name="__RefHeading___Toc4413880_3224264995"/>
      <w:bookmarkStart w:id="527" w:name="_Toc201"/>
      <w:bookmarkEnd w:id="525"/>
      <w:bookmarkEnd w:id="526"/>
      <w:r>
        <w:rPr>
          <w:rtl w:val="true"/>
        </w:rPr>
        <w:t>کتابشناسی آثار عاصی اصفهانی</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اجابة المحب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اجابة المضطرین</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المضلین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مفصل در رد شبهات گوناگون، این کتاب به صورت ارشاد و سؤال و جواب؛ و نیمی از آن به فارسی و نیمه دیگر عربی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والصلوة علی سیدنا محمد صلی الله علیه و آله و آله الهدات علیهم‌السلام ، عرضه می‌دارد احقر بنده لغزنده ابن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اوراق سطوری چنداند که با نهایت کسالت به سبب برودت هوا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والآثار الغریبة 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اللّه عن الزلل و وفقه المجاوزة عن</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نسخه اصلی به خط مؤلّف، قزوین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مقابله شده با نشان بلغ،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عنوان و نشانیها مشکی، جلد تیماج قهوه‌ای ضربی با ترنج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متن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تهران ـ فهرست دانشگاه،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رحمة اللّه بن عنایة اللّه،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مقابله مؤلّف، عنوان و نشان شنگرف، جلد تیماج حنایی ضربی ترنجی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الاربعمائة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پرسشی است پیرامون اصول اربعمائه و اهمیت آنها و اینکه روایتهای آنها صحیح و روایتهای کتب قدماء مورد اطمینان است که احتمال می‌رود پرسش کننده همان شیخ محسن رشتی اصفهانی باشد که شاگرد مؤلّف نیز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تقول فی حکایة الاصول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سألتنی مسألة وها أنا لست بحاضری الکتب لئن اجبت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تحتاج بعد ذلک الی تکلفات الأخباریین فی تصحیح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2/2065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به خط مؤلّف، در پایان رساله دوم مهر بیضوی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ابوتراب بن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الاقلام السبعة</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و پرسش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 پرسش‌ها و شبهاتی است درباره عقاید شیعی که از طریق برخی از علمای نصاری القاء شده بوده است و این رساله را بنا بر گفته خودش به خواهش استادش حاج عبدالعلی رشتی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عرضه می‌دارد و عریضه می‌نگارد بنده شرمنده ابن المرحوم العلامة الفهامة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شیخ محمّد رفیع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بحرمة محسن فاطمه زهرا علیه‌السلام و پنج تن آل عبا که عمر طبیعی به ایشان عطا فرماید و بعلم و فضل و زهد و تقوی ایشان بیفزاید بحق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قم ـ فهرست مرکز مطالعات،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خوب، بی کا، ربیع 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در برگ اول مهر مربعی و بیضوی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رفیع بن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و نشانیها شنگرف و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أنیس الصالحین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أنیس العباد</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ایقاظات</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الاسرار</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استدلالی در بیان اعتقادات شیعه امامیه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مباحث توحید شروع شده و با مباحث عدالت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فرایض هست و امر کاهلان، و درود نامعدود و ثناء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الکلام بالنسبة الی الجمیع و لعل اجماع التحریر المتقدم شامل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ـ تهران ـ فهرست مجلس،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15365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نستعلیق، به خط مؤلّف، تصحیح شده و بعضی از رؤوس مطالب در حاشیه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الاقلام</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الامکان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الحسرة</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الحکم</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الرزایا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مجلس است در داستان کربلا و بعضی فضائل و مناقب معصومین علیهم‌السلام که برای اهل منبر و ذاکرین تألیف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و اصلی علی 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احقر الذاکرین، ابن المرحوم الحاج شیخ محمدرفیع الرشتی محمّدمحسن الاصفهانی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این کتاب هم که مجلّد یکصد و چهاردهم کتب مصنفه و مؤلّفه این روسیاه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نسخه دارای علامت بلاغ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خلقت حضرت امام حسین علیه‌السلام و امضای آن حضرت، نامه شهادت خود را با انشائی ادبی و اشعاری از مؤلّف نگاشته و با افزودگیهایی که پیوست شده به صورت مجالسی درآمده و شانزدهم ماه صفر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 اصلی علی احمده و بعد عرضه می‌دارد فقیر بنده مزمن کم نامترین خلق عالم روسیاه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آخرت این روسیاه و فرزند عالیجاه و سایر احباب گرداند، الا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2/7003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در حاشیه تصحیح و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الفکر</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المآرب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المصائب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المواعظ للحبیب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مجلس بسیار مفصل است در تفسیر آیه نور، در این تفسیر استشهاد بسیار به آیات و روایات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 فیقول العبد المزمن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الاول قوله تعالی اللّه نور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الزجاجة هو الحسین علیه‌السلام کأنها کوکب دری فاطمة تزهر لاهل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حاشیه‌ها تصحیح شده و اضافه دارد، جلد تیماج قهوه‌ای،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که مؤلّف در مدح باری و پیامبر و اهل بیت علیهم‌السلام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حمد خدایی احمد و لم یزل و قادر قدس قدیم صمد فرد توانا که برون آورد از گل گل و از کان زر از بطن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تو به فضل و کرمت این دلخسته بکن لطف و مدارا، شد به تاریخ هزار و صد و پنجاه ز هجرت به تمامید همین بحر طویلی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11/5890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بی‌کا،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الحکم</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المنیر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 مجلس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اول ـ بدر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شرح دوازده دعای کوتاه برای رفع گرفتاری و در هر مجلس احادیث چندی در پند و اندرز به نظم و نثر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ناصرالدین شاه قاجار تقدیم شده؛ و در روز چهارشنبه نهم صفر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و مدرسه ملاّ صالح قزوینی به پایان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مستغرق بحار درد و الم زمانی احقر ذاکرین و افقر 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تو عاصی چه تمنی کند ای شه که بهرره تو خبردارش از احوال و گواهش ز ضمیر</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غره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 قریه ابراهیم آباد قزوین،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بالفرض روضه خوانم و در شهر واعظم گه مُفتیم به حکم و گهی پیشه‌ام قضاست</w:t>
      </w:r>
    </w:p>
    <w:p>
      <w:pPr>
        <w:pStyle w:val="BookText"/>
        <w:rPr/>
      </w:pPr>
      <w:r>
        <w:rPr>
          <w:rFonts w:ascii="IRNazanin" w:hAnsi="IRNazanin" w:eastAsia="IRNazanin"/>
          <w:color w:val="111111"/>
          <w:sz w:val="28"/>
          <w:sz w:val="28"/>
          <w:szCs w:val="28"/>
          <w:rtl w:val="true"/>
          <w:lang w:bidi="fa-IR"/>
        </w:rPr>
        <w:t>گاهی به فکر آنکه مصنّف همین منم گاهی به فکر آنکه چون هست کَس کجاست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هفتاد و یک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وارد شده که گوسفند کمتر از شش ماهه را قربانی ننمایند بگو آنجناب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 کا، بی تا، عناوین و نشانیها مشکی، جلد تیماج قهوه‌ای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بدیهیات</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بروق اللوامع</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الجعفریه</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الاصول</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الناظرین فی کشف مدارک احکام فروع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محمدصادق که یکی از علماء گیلان بود، سی مسئله فقهی نزد مؤلّف فرستاد برای امتحان مراتب علمی وی، مؤلّف ده مسئله بر آنها افزود و از چهل مسئله در این کتاب به طور استدلالی پاسخ گفته و آن را به ناصرالدین شاه قاجار تقدیم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الغریق فی بحار الخطایا و المعاصی و المتخلص بالعاصی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عوالم البرزخ فی برهوت العیاذ باللّه أو وادی السلام إنشاء اللّه أو فی القیامة إنشاء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غره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 قریه ابراهیم آباد قزوین، پایان این رساله افزودگی و خط خوردگی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الاصول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الاخیار</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الایادی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مؤلّف از تألیف یکصد و شانزده جلد کتاب و رساله فارغ شد، آخوند ملا محمدتقی لنگرانی از وی درخواست نمود که مجالسی تنظیم کند تا وی در منبر از آنها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مجالس این کتاب بدین ترتیب تنظیم شده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عربی،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مناسب،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اهل بیت،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جری ملماسی بتحریر أحادیث حبیبه سید الناس و سند الکونین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نفر مضطر از آن جمله عباس و قاسم و علی اکبر و عون و عبداللّه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در حاشیه‌ها تصحیح شده و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خواص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استاد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شیخ عبدالعلی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یکی از شاگردان نگاشته شده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افاض الارواح من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نیازمند الطاف لم یزلی و امیدوار بکرم حضرت ازلی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پنج بار این کلمات را بخواند مراد او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گاهی مغلوط، در حواشی ادعیه و فوایدی افزوده شده است، 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تحفة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دوازده باب موافق اسامی دوازده امام و ماه‌های سال و بروج فلکی و پس از هر وردی به روش استادان علم اعداد، عددی را به ایامی معین به نحوی که از ائمه علیهم‌السلام رسیده تعیینی داده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قلوب و صفای باطن و اظهار 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متفرقه به هر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و اصلی علی احمد، و بعد عرضه می‌دارد احقر فقیر بی‌بضاعت و سرگشته وادی ندامت بنده ضعیف روسیاه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آیه را به یک نفس بخواند و بخود بدمد زبان خلایق بر وی بسته گردد و تمت کلمة ربک صدقاً 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گاهی مغلوط، در حواشی ادعیه و فوایدی افزوده شده است، جلد تیماج قهوه‌ای بدون مقوا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مجلس است در داستان ازدواج حضرت خدیجه با پیامبر اسلام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اصلی علی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 می‌دارد بنده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تألیف موازی سیصد مجلد و کثرت کتب در هر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هلال نشان، لای، ماه بسال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ـ قم ـ فهرست کتابخانه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3/13764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و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بیچون مثوبات آن را در یوم لاینفع مال و لابنون عاید این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مؤلّف مقابله و تصحیح شده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همراه با حواشی مختصر با امضای منه، جلد مقوا زرد، فاقد طبله راست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هفت قصیده است در درود بر معصومین علیهم‌السلام و تبرا از دشمنانشان و بعضی از پند و اندرزها، که به ترتیب حروف قافیه تنظیم شده و چهارده مقطوعه در آخر افزوده شده که باید در وقت غسل و کفن مؤلّف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بنی و عمر طرح مزرعة قری شهود بلاد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احقر بنده 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نجحک فی الدارین شیماً عن معاتبة الجزاء و لو بخلافی</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ـ قم ـ فهرست کتابخانه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معرب، عبدالجواد بن ملا لطفعلی، جمعه دهم شعبان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در حاشیه تصحیح شده و گاهی اضافه دارد، جلد تیماج 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گاهی مغلوط است، در حواشی ادعیه و فوایدی افزوده شده است، 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الاقوال فی فقه سید الرسل و آله المفضال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استدلالی بسیار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ـ تذکرة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13762</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جلد اول کتاب و شامل کتاب الطهارة می‌باشد که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بعد ما فرغت من تحریر ثلثمائة و سبعین و ثمان مجلدات کتب و رسائل فی امور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جزاء الولد الوارد 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الی الطریقة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نستعلیق، به خط مؤلّف،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1/4188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جزء دوم و از مباحث وضوء تا آخر غسل جنابت می‌باشد و در دهه آخر ماه صفر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در حاشیه تصحیح و اضافه شده،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 جلد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جلد سوم و از احکام حیض می‌باشد و به روز جمعه آخر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868"/>
      </w:r>
      <w:r>
        <w:rPr>
          <w:rFonts w:ascii="IRNazanin" w:hAnsi="IRNazanin" w:eastAsia="IRNazanin"/>
          <w:color w:val="111111"/>
          <w:sz w:val="28"/>
          <w:sz w:val="28"/>
          <w:szCs w:val="28"/>
          <w:rtl w:val="true"/>
          <w:lang w:bidi="fa-IR"/>
        </w:rPr>
        <w:t>،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به روز جمعه آخر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869"/>
      </w:r>
      <w:r>
        <w:rPr>
          <w:rFonts w:ascii="IRNazanin" w:hAnsi="IRNazanin" w:eastAsia="IRNazanin"/>
          <w:color w:val="111111"/>
          <w:sz w:val="28"/>
          <w:sz w:val="28"/>
          <w:szCs w:val="28"/>
          <w:rtl w:val="true"/>
          <w:lang w:bidi="fa-IR"/>
        </w:rPr>
        <w:t>،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ملا لطفعلی،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عناوین در متن و حاشیه مشکی، در حاشیه تصحیح شده است، قبل از کتاب پنج برگ اشعاری از مؤلّف و به خط وی آمده،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مجلد جلد چهارم و از احکام تیمم تا احکام اوانی را دارد که آن را به روز پنج‌شنبه غره جمادی‌الثانی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در قزوین 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لیس له شریک یعادله فی أحدیته و الشکر للّه الذی لیس له شبیه </w:t>
      </w:r>
    </w:p>
    <w:p>
      <w:pPr>
        <w:pStyle w:val="BookText"/>
        <w:rPr/>
      </w:pPr>
      <w:r>
        <w:rPr>
          <w:rFonts w:ascii="IRNazanin" w:hAnsi="IRNazanin" w:eastAsia="IRNazanin"/>
          <w:color w:val="111111"/>
          <w:sz w:val="28"/>
          <w:sz w:val="28"/>
          <w:szCs w:val="28"/>
          <w:rtl w:val="true"/>
          <w:lang w:bidi="fa-IR"/>
        </w:rPr>
        <w:t>یشاکله فی صمدیته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عناوین در حاشیه مشکی،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کریم قزوینی، دوم ذی الحجه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عناوین نسخ در متن و حاشیه،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فی تحقیق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مناظره‌ای است که هشام بن الحکم در مجلس هارون الرشید عباسی با گروهی از دانشمندان مذاهب داشته و در آن اثبات امامت حضرت امیرالمؤمنین علیه‌السلام می‌نماید این رساله یکصد و چهل و هشتمین کتاب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أصلی علی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الفضل عن ابیه قال اجتمع اصحاب الحدیث و الفقهاء و جماعة من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لهشام بجائزة و أرکبه مرکبا ورده الی الکوفة، و الحمد للّه علی ما أولی أهل الحق من النصر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5/3143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قزوین، عناوین با مشکی نشان دارد، در حاشیه به خط مؤلّف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5/986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ما اولی اهل الحق من النصر و الظفر و الحمدللّه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عبدالکریم بن معصوم قزوینی، شب چهارشنبه دهه اول ذی‌الحجة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نشانیها شنگرف، دست خط مؤلّف در اوّل و آخر نسخه دیده می‌شود، بی‌جلد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وعظ و خطابه که در آغاز هر مجلس با عنوان یک آیه به شرح و بسط موضوع پرداخته و هر مجلس را با ذکر مصیبت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اصلی علی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بنده شرمنده ابن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هل من مبارز مخالفان بگوشش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خوب، بی کا، ربیع 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عناوین و نشانیها شنگرف و مشکی، جلد تیماج قهوه‌ای، ضربی، ترنج با سر و لچکی با نقش گل و بوته، مجدول گرهی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صوم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در فضل و ثواب ماه رمضان روایت شده و شیخ صدوق ابن بابویه در أمالی خود آورده، بدون ذکر اسانید در این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و اصلی علی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کلمات شیخنا الصدوق فی امالیه فی ثواب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الوکیل ربی وفقنی؛ هذا آخر کلامه قدس سره و سیأتی منی حاشیة علیه مبینة لمعضلاته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تاریخ عمومی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بسیار بزرگ به بحر تقارب در فضائل و تاریخ زندگانی حضرت پیامبر اکرم و امیرالمؤمنین علیهماالسلام به تقلید از شاهنامه فردوسی و حمله حیدری و جز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که گردید جاری قلم به نام جهان آفرین زد رقم</w:t>
      </w:r>
    </w:p>
    <w:p>
      <w:pPr>
        <w:pStyle w:val="BookText"/>
        <w:rPr/>
      </w:pPr>
      <w:r>
        <w:rPr>
          <w:rFonts w:ascii="IRNazanin" w:hAnsi="IRNazanin" w:eastAsia="IRNazanin"/>
          <w:color w:val="111111"/>
          <w:sz w:val="28"/>
          <w:sz w:val="28"/>
          <w:szCs w:val="28"/>
          <w:rtl w:val="true"/>
          <w:lang w:bidi="fa-IR"/>
        </w:rPr>
        <w:t>ز تهلیل بنوشت نام خدای ز دهشت زبان قلم شد دو تای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ای خویش و اقوام من ز اخوان و اولاد و اعمام من</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ناظم، عناوین در آغاز شنگرف و در بیشتر نسخه نوشته نیست، 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ـ یزد ـ فهرست کاظمینی،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چهارستونی،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برگ آخر متفرقاتی کتابت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ـ اصفهان ـ فهرست امامی، دفتر اول،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حاضران را ببخشد نجات بحق نبی اشرف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جعفر خلف آقا ظهراب جونقاهی،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جلد گالینگور خاکستری تیره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تاریخ و مناقب،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جمع خطبه‌های گوناگون و نیز خطبه‌هایی که مؤلّف در آغاز برخی از کتاب‌هایش آورده و در واقع جلد دوّم از کتاب بحر العرفان او است و شامل دو دفتر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دفتر دوم را در شب سیزدهم ماه شعبان ظاهرا در قزوین آغاز نموده و چنین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یکصد و پنجمین تألیف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الصلوة فیقول العبد العاصی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الرسالة مجموعة منّی استدونت فیها بعض خطبتی التی انشدتها فی صدر کتبی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العقل الأوّل بمثابة الباء و سمّاها بعالم الجبروت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1/13761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نسخه اصل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در حاشیه تصحیح شده، یادداشتی از مؤلّف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برگ آغاز نسخه بوده که حذف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مجالسی است در ذکر آیات، روایات، مواعظ، نصایح و مصائب اهل بیت پیامبر صلی الله علیه و آله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قزوین اقامت داشت و این مجالس را جهت سخنرانی و منبر در آن شهر تنظیم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الصلوة عرضه می‌دارد فقیر عاصی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اوراق مجالسی چند است سودمند در ذکر برخی از آیات مبارکات و ترجمه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مجلد یکصد و سی و هفتم از مجلدات کتب و رسائل این فقیر سراپا تقصیر 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2/13761</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به خط مؤلّف، اندکی حاشیه نویسی دارد، در حاشیه تصحیح شده، کتابت </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المسائل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مصایب و واقعه شهادت حضرت امام حسین علیه‌السلام را آورده با اشاره به بعضی از فضائل آن حضرت و پدر بزرگوارش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صلی اللّه علی محمد و آله الطاهرین، و بعد عرضه می‌دارد غریق بحر خطایا و محن، بنده مزمن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قلیل مدت همه این مصائب بر آن معصومه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4/7003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جلد مقوائی،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عدن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الامان فی شرح دعاء کمیل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المزخرفات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غزلهایی است از سراینده با تخلص عاصی در حدود هزار و پانصد بیت، مرتب به ترتیب حروف، به روش غزلهای حافظ شیرازی یا استقبال غزلهای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العاصی اقم لیلا و شاملها که در شب لطف و بخشایش رسد زایزد بمحفلها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عاصیا گر بأمانی زدل زار بگوی ذکر لاحول و لا قوة الا باللّه</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7/2068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در آن تجدید نظر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احادیث ثواب صوم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احادیث ثواب روزه ماه رمضان که شیخ صدوق در امالی خود نوشته است، این حاشیه به دستور آخوند ملا اسداللّه رشتی انزلجی نوشته شده و در قزوین در صبح روز یکشنبه ماه جمادی الاولی به پایان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و أصلی علی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أمرنی من لم أقدر علی مخالفته و هو المولی الامجد المتشبت بتأییدات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نزید لک المزیدات عند التلاقی یوم نلقاک و 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6/7358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یعقوب بن مشهدی باقر سیاهدهی،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نسخ و با مشکی نشان دارد،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حدیث است در فضائل شیعیان حضرت امیرالمؤمنین و ائمه معصومین علیهم‌السلام و صفات آنان در اخلاق و اعتقادات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الشیعة عن اسحاق اللّیثی أنه قال قلت للإمام الباقر محمد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أعطاهم اللّه ثواب ألف شهید و قال اکرموا الضیف لو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قزوین، عناوین با مشکی نشان دارد، در حاشیه به خط مؤلّف تصحیح شده است،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8/968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و نفخت فیه من روحی و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وسط الکل هذا و قد جف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نشانیها شنگرف، در اوّل و آخر رساله دست خط مؤلّف موجود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العقود فی صیغ العقود</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موضوعات اعتقادی، اخلاقی و تاریخی که از دوازده فصل و دوازده خاتمه، ترتیب یافته که هر فصلی از سه مجلس، یک مقاله و پنج تکمله برخوردار </w:t>
      </w:r>
    </w:p>
    <w:p>
      <w:pPr>
        <w:pStyle w:val="BookText"/>
        <w:rPr/>
      </w:pPr>
      <w:r>
        <w:rPr>
          <w:rFonts w:ascii="IRNazanin" w:hAnsi="IRNazanin" w:eastAsia="IRNazanin"/>
          <w:color w:val="111111"/>
          <w:sz w:val="28"/>
          <w:sz w:val="28"/>
          <w:szCs w:val="28"/>
          <w:rtl w:val="true"/>
          <w:lang w:bidi="fa-IR"/>
        </w:rPr>
        <w:t xml:space="preserve">می‌باشد و مؤلّف در مقدمه این اثر می‌گوید که دارای بیش از هفتصد تألیف می‌باشد و این کتاب را به تاریخ نوزدهم محرم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علی آلائه، و الشکر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مسوّد این اوراق، سیاه روی‌ترین همه خلق از متمکّنین به عوالم انفس و آفاق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 در رکاب آن زبده ناس که آری، الاناء یترشح مما فیه، از کوزه همان طراود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1/14727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شکسته نستعلیق و نسخ، نسخه اصل به خط مؤلّف، محرم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در حاشیه تصحیح شده، اندکی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خطبه ادبی با تضمین قصیده هایی از مؤلّف که در مناسبتهای متبرکه انشاء شده و در هریک از آنها در چهار مرحله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فارسی،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به فارسی،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عربی،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علمای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خلق فی أحسن تقویم الانسان و علمه البیان و بنی بناء الترکیب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 ـ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ببند از گفت لایعنی و در دعوت بکوش در گذر زین وادی و بنیان برهبانان سپار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6/2068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در آنها تجدیدنظر شده و افزودگی دارد، با مهر بضوی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الفواید فی شرذمة من المسائل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فوائدی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بیان اسماء بهشت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بیان معنی ایجاد وجود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بیان سنخیت میان اسم و مسمی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تحمیده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معانی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ثم الحمد للغفور الصبور الّذی ظهر بأسمائه و هو فی غیب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الحقیر الفقیر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ـ مشهد ـ فهرست دانشکده الهیات،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شکسته نستعلیق، به خط مؤلّف، تحریر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الخلاصة</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بسیار مفصلی است به تقلید از شاهنامه فردوسی در مدح و منقبت و حالات و کرامات حضرت پیامبر اکرم صلی الله علیه و آله و تقدیم به منوچهرخان معتمد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وصالش گزیدند به پیش بغیر وصالش نخواندند خویش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ایست برجا، زبان کرد صامت بیان مان تو مهل که گشتیم ساکت</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عناوین و جدول صفحه‌ها شنگرف، نسخه را ناظم خوانده و تصحیح کرده، در صفحه آخر به تاریخ بیستم ربیع‌المولود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 البلیة فی ترجمة سورة الحمد و البقرة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بسیار مفصل و مزجی 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نگاشته شده و تا پایان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دارد و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گاه که مؤلّف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در قزوین به پایان رسیده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بر احادیث و روایات ائمه اطهار علیهم‌السلام می‌باشد با اشاره به مباحث ادبی و لغوی و عرفانی و نقل گفته‌های شیخ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نسخه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الَّذِینَ اعْتَدَوْا مِنکُمْ فِی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لَتَجِدَنَّهُمْ أَحْرَصَ النَّاسِ عَلَی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شامل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نسخه‌شناسی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یقول العبد الآثم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بعد ما فرغت بعون اللّه و حسن توفیقه من تألیف سبعمائة و سبع مجلد و کتب 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کسایر الکتب منّی مقاربة لألف مجلدة فصارت تسعة و سبعمائة مجلدة ملفقة مدففة و ان العبد الاحقر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 به خط مؤلّف، تاریخ کتابت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حاشیه نویسی دارد و در حاشیه تصحیح شده است، عنوان و نشانیها قرمز و مشکی، جلد تیماج سرمه‌ای ضربی مجدول با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در حاشیه تصحیح و اضافه شده، جلد تیماج 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4198</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آیه‌ها به شنگرف، جلد تیماج نیلی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دائما سرمدا للواقف علی الاسراف و الاعلان و من کرمه و فضله انزاله بجامع کلمة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جمادی الأول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آیه‌ها و عناوین با مشکی نشان دارد، در حاشیه تصحیح شده و اضافه دارد، جلد تیماج 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حاشیه تصحیح و اضافه شده، جلد تیماج 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ـ تهران ـ فهرست دانشگاه تهران،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اصل، خشتی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الدرایج</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دررالاقوال فی فقه سیدنا محمد و آله الاطهار المفضال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دوّم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شامل کتاب الصلاة می‌باشد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که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و تقدیم به ناصرالدین شاه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الاثیر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ارجوزة منا عن کرم اللّه المتعال فی فقه سید الرسل و آله المفضال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 المحمول علی الکراهة جمعا و قد تقدم و قیل بحرمته و لعله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اندکی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متاجر تا پایان مساقات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بکم محامد حمده و اصلّی و اسلم بکوایف تصلیة علی احمده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ایضاً ارجوزة منّا فی فقه السید الرسل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بالمساقاة و المغارسة معترضة بینه و بین ما قبله و اللّه اعلم بحقایق </w:t>
      </w:r>
    </w:p>
    <w:p>
      <w:pPr>
        <w:pStyle w:val="BookText"/>
        <w:rPr/>
      </w:pPr>
      <w:r>
        <w:rPr>
          <w:rFonts w:ascii="IRNazanin" w:hAnsi="IRNazanin" w:eastAsia="IRNazanin"/>
          <w:color w:val="111111"/>
          <w:sz w:val="28"/>
          <w:sz w:val="28"/>
          <w:szCs w:val="28"/>
          <w:rtl w:val="true"/>
          <w:lang w:bidi="fa-IR"/>
        </w:rPr>
        <w:t>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مقابله شده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محمد علی قزوینی، عناوین با مشکی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جلد نهم و از کتاب احیاء موات آغاز و تا پایان کتاب ارث به انجام می‌رسد و آن را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آلائه والشکر 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الاحقر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ایضا ارجوزة منّا فی شرح فقه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نرجوا منه ان ینفعنی به و سایر اهل الایمان اناء الدهر و اطراف الزمان و قد فرغت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 محمد بن علی قزوینی،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منه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13768</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از کتاب عتق آغاز و تا پایان لقطه به انجام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قهر بعزته الاعزاء و الشکر للّه الذی تواضع لعظمته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ایضا ارجوزة منّا فی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احوط و بعده فالاحوط القول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تألیفه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 ضربی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از احیاء موات تا احکام ارث را دارد، و 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در حاشیه تصحیح و اضافه شده است،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عتق تا لقطه می‌باشد و جلد نهم دانسته شده به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گویا به خط محمدعلی قزوینی، عناوین با مشکی نشان دارد،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 جلد 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توضیحی مختصری است بر ارجوزه‌ای که مؤلّف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الحمید الحامد المحمود و الصلاة و السلام علی محمد و آله الذین بهم بدأ ما أوجد و ختم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وقع الفراغ أیضا من هذا الکتاب و جف القلم منه بعون اللّه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آخر جمادی الثانی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متن با مشکی نشان دارد، در حاشیه تصحیح شده است،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ـ تهران ـ فهرست مجلس شورا،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17579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 جلد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59/10</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کتاب و مشتمل بر احکام قصاص و دیات می‌باشد و در تاریخ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عناوین با مشکی نشان دارد، در حاشیه تصحیح 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محمد بن علی قزوینی،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با مشکی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الوصیة است که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به پایان رسیده و آغاز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کدام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عصر مؤلّف، عناوین و نشانیها مشکی،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62/13</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نکاح و طلاق می‌باشد و در روز یکشنبه 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و مشخص نشده کدام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محمد بن علی قزوینی، عناوین با مشکی نشانی دارد،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 مسأله بدا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دعا و اسباب اجابت و موانع اجابت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عربی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شش هزار و پانصد بیت در مناجات و اخلاق و فضائل و مدائح اهل بیت علیهم‌السلام و پاره‌ای از قصاید با عناوین مخصوص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چند قطعه به فارسی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القول بالحمد الاعم من نجاح السؤل فی شکر النعم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مقدمش سازیم ما جان بگیریم از جنابش خوان احسان</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رحمت‌اللّه، رجب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روی برگ اول یادداشتی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ابراهیم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ذریعة الوداد و ذخیرة المعاد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کوتاه به سوره یوسف و بعضی از پرسشها و پاسخهای مربوط به آن پرداخته شده و یک مقدمه در فضایل قرآن و بابی دیگر در وجه نزول سوره یوسف و خاتمه در بعضی از سوالها و جوابها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گوهر حمد و سپاس مر کریم خداوند و خالق بی شبه و مانند و قیاس راست که خلاق ارض و سماست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بستان که بعد از من نکرده هیچ پیغمبر بیک ساعت دو قربانی یک اصغر یکی اکبر</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4/2068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تصحیح شده، تجدید نظر شده و افزودگی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ـ قم ـ فهرست مرکز إحیاء،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عبدالجواد بن ملا لطفعلی، سوم ماه محرم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کربلا، جلد مقوایی،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فرسوده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الرسائل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عشق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بسیار کوتاه در عشق و عرفان و پس از نوشتن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صلی اللّه علی محمد صلی الله علیه و آله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راقم نمیقه مؤلّف وریقه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با کهولت جوانی و ضعف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بسکه بار بستم از بهر دوستخواهی نامد بر گشایش در ره بقدر کاهی</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2/13769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نسخه اصل، به خط مؤلّف، یک برگ شامل پرسش و پاسخ از مؤلّف در پایان نسخه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 بعضی از اخلاق و صفاتی که وسیله فرج بعد از شدت می‌باشد، با انشائی ادبی رسا و اشعاری از مؤلّف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ابواب به بعضی از دستورات دینی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احقر العباد و احوجهم لدی المرصاد ابن المرحوم العلامة الفهامة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دولتخوانه ابد نشانه آن جناب مستطاب شد احل اللّه لنا برکات احساناته باحسانه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پنج‌شنبه، شعبان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نسخ با مشکی نشان دارد و برگ دوم کتاب افتاده،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الامال</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شرح مفصل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الارواض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دزدان به غارت بردند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خطاب تخطب باهدائه هدی العز و الشرف و اصدق بیان تصدق بادائه عروس الرحابة و العطف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من الناظرین الیه ان ینظروا بعین الانصاف لدیه و غمض الاعتساف عن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1/2065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روی برگ اول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می‌باشد در مواعظ ماه مبارک رمضان آنگاه که وی از قزوین به اصفهان مراجعه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فقیر بنده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ختم موازی یکصد و دو مجلد کتب و رسائل مؤلّفه و مصنفه در هر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بسی کشت و بسی انداخت تا باقی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پرده معاویه پس برگشت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3/13769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حاشیه تصحیح شده، اصفهان، جلد تیماج قهوه‌ای ضربی با ترنج</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الآمال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روضه‌ی حسینیه</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تراجم الروضة الحسینیة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الارواض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است بر معالم الاصول، نام کتاب و نگارنده در دیباچه آمده است و در پایان تاریخ نگارش یکم شعبان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الثالث من کتاب ریاض الارواض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أحمدک اللهم علی هدایتک بوسائل نبیک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من باب الشهادة او الروایة فی الاجزاء الآتیة، و قد وقع الفراغ من تألیف هذه الاسطر 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ـ تهران ـ فهرست مجلس،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شکسته نستعلیق، گویا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خط خوردگی و حاشیه‌هایی دارد، جلد تیماج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آداب سیر و سلوک و مسلکهایی که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الزکاة‌یا ارجوزة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منظومه‌ایست در یکصد و سی و نه بیت در احکام زکات و زکات فطره که در یک شبانه روز به نظم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العزیز الباری و الشکر للمهیمن المختار</w:t>
      </w:r>
    </w:p>
    <w:p>
      <w:pPr>
        <w:pStyle w:val="BookText"/>
        <w:rPr/>
      </w:pPr>
      <w:r>
        <w:rPr>
          <w:rFonts w:ascii="IRNazanin" w:hAnsi="IRNazanin" w:eastAsia="IRNazanin"/>
          <w:color w:val="111111"/>
          <w:sz w:val="28"/>
          <w:sz w:val="28"/>
          <w:szCs w:val="28"/>
          <w:rtl w:val="true"/>
          <w:lang w:bidi="fa-IR"/>
        </w:rPr>
        <w:t>ثم الصلاة و السلام الاسنی علی النبی و الولی مثنی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و صلی ماحما ناح حمام اللیل أو ترنما</w:t>
      </w:r>
    </w:p>
    <w:p>
      <w:pPr>
        <w:pStyle w:val="BookText"/>
        <w:rPr/>
      </w:pPr>
      <w:r>
        <w:rPr>
          <w:rFonts w:ascii="IRNazanin" w:hAnsi="IRNazanin" w:eastAsia="IRNazanin"/>
          <w:color w:val="111111"/>
          <w:sz w:val="28"/>
          <w:sz w:val="28"/>
          <w:szCs w:val="28"/>
          <w:rtl w:val="true"/>
          <w:lang w:bidi="fa-IR"/>
        </w:rPr>
        <w:t>علی النبی المصطفی و آله أهل العلی والجود من نواله</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معرب، ظاهراً به خط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است در مواعظ ماه مبارک رمضان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آن گاه که مؤلّف در قزوین سخنرانی می‌کرده و آنها را برای استفاده فرزندش یا دیگر سخنرانان گردآوری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واصلی علی احمده و اتبری ممن عاداه باحمده صلی الله علیه و آله و بعد، عرضه می‌دارد ابن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ختم موازی چهارصد و کسری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شد بر چهارصد و هفتاد و دو مجلّد دیگر از کتب مؤلّفه خود و هو العبد الجانی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3/13771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 مجدول با ترنج و سرترنج، عطف مشمع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به سبک مجالس وعظ و خطابه، مرتب بر سیزده مجلس و یک خاتمه، در آغاز هر مجلس آیه‌ای را مطرح و با استشهاد به احادیث و داستانهای تاریخی و اشعار به شرح و بسط موضوع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نامه نام خدای کریم که رحمان خلق است و باشد رحیم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آب تیری دو شعبه بر چلّه کمان گذاشتد و بر حلقوم آن طفل رضیع زدند که از بازوی آن حضرت بیرون شد الا لعنة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خوب، ربیع‌الثانی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عناوین و نشانیها شنگرف و مشکی، جلد تیماج قهوه‌ای، ضربی، ترنج با سر و لچکی با نقش گل و بوته، مجدول گرهی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السبل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اللحد فی شرح دعاء السمات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 مختصری است بر دعای سمات که مؤلّف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بنده روسیاه مزمن ابن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رحمت فرمای بر ملائکه و سعیدان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ترجمه این مناجات کثیرة‌البرکات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مؤلّف مقابله </w:t>
      </w:r>
    </w:p>
    <w:p>
      <w:pPr>
        <w:pStyle w:val="BookText"/>
        <w:rPr/>
      </w:pPr>
      <w:r>
        <w:rPr>
          <w:rFonts w:ascii="IRNazanin" w:hAnsi="IRNazanin" w:eastAsia="IRNazanin"/>
          <w:color w:val="111111"/>
          <w:sz w:val="28"/>
          <w:sz w:val="28"/>
          <w:szCs w:val="28"/>
          <w:rtl w:val="true"/>
          <w:lang w:bidi="fa-IR"/>
        </w:rPr>
        <w:t>و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سوانح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اتفاقاتی که برای خودش در طول سفر از اصفهان تا رشت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افتاده را همراه با بعضی از مطالب متفرقه بیان نموده و در آخر آن سه قصیده در مراثی امام حسین علیه‌السلام آورده و آن را برای رفیقش میرزا شهباز در اصفهان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 و السّلام علی محمد و آله الکرام العظام عرضه می‌دارد احقر بنده گرفتار به گل و باتلاق و هوای رطوبی بی تمیز عرصه 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تضمینی که بستی عاصیا بی سیم و زر اینجا ندانم کام ازو چون زرگر بی سیم و زر گیرد</w:t>
      </w:r>
    </w:p>
    <w:p>
      <w:pPr>
        <w:pStyle w:val="BookText"/>
        <w:rPr/>
      </w:pPr>
      <w:r>
        <w:rPr>
          <w:rFonts w:ascii="IRNazanin" w:hAnsi="IRNazanin" w:eastAsia="IRNazanin"/>
          <w:color w:val="111111"/>
          <w:sz w:val="28"/>
          <w:sz w:val="28"/>
          <w:szCs w:val="28"/>
          <w:rtl w:val="true"/>
          <w:lang w:bidi="fa-IR"/>
        </w:rPr>
        <w:t xml:space="preserve">تهران، مجلس،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ملا لطفعلی، شوال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جلد تیماج قهوه‌ای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و یک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خطبه‌ها که به نثر و نظم فارسی و عربی می‌باشد، در بیشتر آنها اشاره به واقعه کربلا و شهادت امام حسین علیه‌السلام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شنبه بیست و هشتم ذی الحجه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در قزوین 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حزینی شنود چون به عقب سر ملتفت شد، رأی ان أم الأساری زینب اخته تمشی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بد مرغ امین روبراه گرنمائی رحم باللّه بجاست</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1/7003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العضد</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الوثیق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شرح حال معصومین در چهارده باب آمده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 الصلوة عرضه می‌دارد بنده خاکسار فانی ابن المرحوم الحاج شیخ </w:t>
      </w:r>
    </w:p>
    <w:p>
      <w:pPr>
        <w:pStyle w:val="BookText"/>
        <w:rPr/>
      </w:pPr>
      <w:r>
        <w:rPr>
          <w:rFonts w:ascii="IRNazanin" w:hAnsi="IRNazanin" w:eastAsia="IRNazanin"/>
          <w:color w:val="111111"/>
          <w:sz w:val="28"/>
          <w:sz w:val="28"/>
          <w:szCs w:val="28"/>
          <w:rtl w:val="true"/>
          <w:lang w:bidi="fa-IR"/>
        </w:rPr>
        <w:t>محمد رفیع الرشتی محمد محسن الاصفهانی عفی اللّه عنه که این چند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زمان غیبت او، معتمد 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او عثمان ابن سعید و مقام غیبت او سرداب در سرّ من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فهرست مجلس، ش </w:t>
      </w:r>
      <w:r>
        <w:rPr>
          <w:rFonts w:eastAsia="IRNazanin" w:cs="IRNazanin"/>
          <w:color w:val="111111"/>
          <w:sz w:val="28"/>
          <w:szCs w:val="28"/>
          <w:lang w:bidi="fa-IR"/>
        </w:rPr>
        <w:t>4/11440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ملا لطفعلی،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الفیه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مزجی و کوتاه بر ألفیه ابن مالک در نحو و پیرامون سالهای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هو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مضاف مضاف الیه و لیس تکرار مالک ههنا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الغر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آل که این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که این صفت دارند که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حاشیه تصحیح شده، جلد تیماج قهوه‌ای ضربی با ترنج و سرترنج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عبادات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چگونگی احوال حضرات معصومین علیهم‌السلام هنگام عبادت و نیایش به درگاه حضرت اله مخصوصاً احوال حضرت امام سجاد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چند کلمه قلمی می‌شود درباره شرح عبادات ائمه علیهم‌السلام و کیفیت طاعات ایشان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الی الجمعة کفارة عن کافة الذنوب کبیرة کانت ام صغیرة و هکذا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2/2235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و نسخ به چند خط، عبدالغنی حسینی تنکابنی، سده چهاردهم، در حاشیه تصحیح شده است، 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اکرم صلی الله علیه و آله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چگونگی خلقت نور پیامبر اکرم صلی الله علیه و آله و زیبائی صورت و سیرت آن حضرت، به نظم و نثر شیوا با تخلص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پس از سلام و ثنا و لا متحیری که در آنچمن چه زنی بصفحه مدی ز محاورات سخن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عاصی چون شود گلشن خراب بوی گل را کس نجوید جز گلاب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عناوین با مشکی نشان دارد،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و شیرین</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مثل کتاب نان و حلوای شیخ بهایی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الاصول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صحت احادیث کتاب کافی و من لایحضر و استبصار و تهذیب که از اصول اربعمائة گرفته شده‌اند، پاسخ از اعتراضات یکی از علماء قزوین، و به تاریخ یکشنبه سوم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 ابراهیم آباد قزوین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فالشقی من أقر بعضا و لبعض أنکر و صلی علی أبیه السید القسور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تحتاج بعد ذلک الی تکلفات الاخباریین فی تصحیح الاخبار کما هو الحال، هذا آخر الجواب</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غره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 قریه ابراهیم آباد قزوین،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الذاکرین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العیون فی الاذکار</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الریاضات</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تصوف ـ عربی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عالم فناء و روزگاران آن که مؤلّف به درخواست بعضی از دوستان به روش عارفان یا شواهدی از احادیث و روایات اهل بیت علیهم‌السلام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احقر بنده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چند کلمه نوشته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تو ز شراب می‌شوی مست ما را ساقی رباید از دست</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4/2235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و نسخ به چند خط، عبدالغنی حسینی تنکابنی، سده چهاردهم، در حاشیه تصحیح شده است، 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العبادة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عبادت حقیقی و اطاعت واقعی که مطلوب شریعت و دین مقدس اسلام می‌باشد خصوصاً آنچه پیرامون نماز و احوال عرفانی نمازگزار از صاحب شریعت صلی الله علیه و آله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أصلی علی احمده و بعد فیقول 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ارجوزة عملتها لولدی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جان و جانان وصل و هجران من آن خواهم که آن جانان پسندد</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3/2235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و نسخ به چند خط، عبدالغنی حسینی تنکابنی، سده چهاردهم، در حاشیه تصحیح شده است، 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خیبر</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غوث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بسیار مختصر در اصول دین و دلیل هائی که می‌توان اقامه نمود،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جهت مبتدئین در علم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سالک سائل و قال ما الایمان قل هو التصدیق باللّه و بالرسول و الائمه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لایصال کل حق الی مستحقه لما ثبت من عدله و حکمته فثبت اعادة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قزوین، عناوین با مشکی نشان دارد،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7/986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لا یتصف بالقدرة و العلم فیکون اللّه تعالی حی، و الدلیل علی أ نّه تعالی سمیع بصیر أنه عالم بالأشیاء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امامة امیرالمؤمنین علی بن ابی‌طالب علیه‌السلام و اولاده الطاهرین لانه نص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و نشانها شنگرف،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الوری فی احوال السابقین اهل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حکاه الشیخ الحافظ الشهید ابی مسعود احمد بن الفوات الرازی رحمة اللّه علیه و جزاه عن اهل بیت النبی خیراً و ضاعف له ثواباً و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افضلهم عنداللّه سحرة العداة و مؤدی الامانات الداعی الی دارالسلام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2988</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6/986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نشانیها شنگرف، در اول نسخه عنوان کتاب به خط مؤلّف موجود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امیرالمومنین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داستان آب رسانی به پیر زال است که به حضرت امیرالمؤمنین نسبت داده شده، مؤلّف برخی از عبارات را به نظم کشیده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الذی تجلی ولایة اولیائه بولائه فی کلّ شیئ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سخن گرچه همه از بر زاری است مقصود، سرود کرم حضرت 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عاصیا چون مرگ گردد باغبان از روان زهر آورد بر شهد جان</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2/14727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در حاشیه تصحیح شده، و اندکی حاشیه نویسی دارد، جلد تیماج قهوه‌ای ضربی مجدول با ترنج و سرترنج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قبلة الآفاق</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الآفاق فی کشف رموز کلام الملک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قوائد و فوائد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المصائب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تفسیری است از آیات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نکاتی چند پیرامون علم الهی و نامهایی که به آدم آموخته شد و این کتاب دارای یک مقدمه و هشت عنوان به عدد ابواب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اصلّی علی احمده صلی الله علیه و آله و بعد، پیش از عرضه داری مدعی بدین رباعی عذرخواهی از کافه اهل دانش و 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فنبأ الاولین اقتدوا الاخیار فی المذهب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1/13771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تصحیح شده است، این نسخه از سوی مؤلّف مقابله شده است که در برگ پایانی این کتاب به آن اشاره کرده و تاریخ مقابله را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قزوین بیان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حکیم علی الاطلاق اغراء بجهل و تکلیف مالا یطاق بلکه به اشد مشاق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اقول فبالأولین اقتدوا الأخبار فی المذهب و الدین و بالاخرین اهتدوا فسقة الضالین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در حاشیه تصحیح و اضافه شده است،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کشایف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کوتاهی است در تحقیق حالات انسان که مؤلّف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حمداً لا واسطة له فی تجلّیات ذاته و صفاته إلاّ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اخطأنا فمن انفسنا منبع الشر و الضرر استغفرا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نشانی‌ها مشکی، توسط مؤلّف مقابله و تصحیح شده است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جلد مقوای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استدلالی است در مباحث توحید و جبر و اختیار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به این کتاب </w:t>
      </w:r>
    </w:p>
    <w:p>
      <w:pPr>
        <w:pStyle w:val="BookText"/>
        <w:rPr/>
      </w:pPr>
      <w:r>
        <w:rPr>
          <w:rFonts w:ascii="IRNazanin" w:hAnsi="IRNazanin" w:eastAsia="IRNazanin"/>
          <w:color w:val="111111"/>
          <w:sz w:val="28"/>
          <w:sz w:val="28"/>
          <w:szCs w:val="28"/>
          <w:rtl w:val="true"/>
          <w:lang w:bidi="fa-IR"/>
        </w:rPr>
        <w:t>مراجعه نموده و اصلاحاتی در آن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اصلاً و الثانی و الثلثون فی أن العالم اعیان و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أصبنا فی ذلک فمن اللّه الأکبر و من أنوار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ـ قم ـ فهرست کتابخانه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مقوای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الحجب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المقال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الاحباب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الاحزان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الاخوان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فی لب العقائد و فروع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دین پنجگانه و احکام طهارت و نماز بسیار مختصر و فتوایی که برای عوام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یجب علی کل مکلف حر و عبد ذکر و أنثی أن یعرف الأصول الخمسة التی هی أرکان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أیسر ما یجب علی المکلفین و من أخل بشی‌ء منه استحق العقاب فی الدارین، و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4/3143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قزوین، عناوین با مشکی نشان دارد،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ـ قم ـ فهرست کتابخانه گلپایگانی،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3390</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4/986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عبدالکریم بن معصوم قزوینی، شنبه ذیحجه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عناوین و نشانیها شنگرف، در اول و آخر نسخه خط مؤلّف موجود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کنزالمأمول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و سوّم از مثنوی بزرگ کنزالمأمول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فقیر راجی و متوسل بالطاف حضرت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عاصیا دم در کش از این ارغنون نای زن انا الیه راجعون</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1/13769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مختصری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فقیر بنده خاکسار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به توفیق اللّه فارغ شدم از انشاء دفتر اوّل از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تصحیح شده و مقابله شده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5/7003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دزدی ظاهر ای توان نقشی است از دزدی بطن این بدان</w:t>
      </w:r>
    </w:p>
    <w:p>
      <w:pPr>
        <w:pStyle w:val="BookText"/>
        <w:rPr/>
      </w:pPr>
      <w:r>
        <w:rPr>
          <w:rFonts w:ascii="IRNazanin" w:hAnsi="IRNazanin" w:eastAsia="IRNazanin"/>
          <w:color w:val="111111"/>
          <w:sz w:val="28"/>
          <w:sz w:val="28"/>
          <w:szCs w:val="28"/>
          <w:rtl w:val="true"/>
          <w:lang w:bidi="fa-IR"/>
        </w:rPr>
        <w:t>نستعلیق، به خط مؤلّف، 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المراثی</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دین به روشی ساده و مختصر به صورت سؤال و جواب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ـ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فصل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فهذه عقیدة قادنی الدلیل الیها و قور اعتمادی علیها جعلتها بعد التوضیح و التبیین تحفة لاخوانی المؤمنین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لنختمها بآیة من کتاب اللّه العزیز و هی سبحان ربک رب العزة عما یصفون و </w:t>
      </w:r>
    </w:p>
    <w:p>
      <w:pPr>
        <w:pStyle w:val="BookText"/>
        <w:rPr/>
      </w:pPr>
      <w:r>
        <w:rPr>
          <w:rFonts w:ascii="IRNazanin" w:hAnsi="IRNazanin" w:eastAsia="IRNazanin"/>
          <w:color w:val="111111"/>
          <w:sz w:val="28"/>
          <w:sz w:val="28"/>
          <w:szCs w:val="28"/>
          <w:rtl w:val="true"/>
          <w:lang w:bidi="fa-IR"/>
        </w:rPr>
        <w:t>سلام علی المرسلین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قزوین، عناوین با مشکی نشان دارد،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ما الدلیل علی أنّ کل ما جاء به النبی حق فالجواب الدلیل علی ذلک أ نّه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و نشانیها شنگرف، در اوّل و آخر نسخه خط مؤلّف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لوائح الطرائح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تفسیر آیة الکرسی و سوره قدر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ـ تهران ـ فهرست مجلس، 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عبدالجواد بن ملا لطفعلی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متروک الاخوان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متروک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مورد حوادثی است که در طول ماه و سال برای افراد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شش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شور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است در فقه، حدیث، تاریخ، حکایات، اشعار و مطالب دیگر و فهرست این مجالس در آغاز نسخه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در ذکر مکاسب حرام و مکروه، قتعه فوربک لنسألنهم اجمعین روز قیامت پروردگار عالم امر می‌فرماید جمیع مردم را در موقف حساب حاضر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از طبع عنقا داشتی از لعابی خیمه کی افراشتی</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حاشیه نویسی دارد، در حاشیه تصحیح شده، جلد تیماج قهوه‌ای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4/13761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مجالسی است در موعظه و مناقب اهل بیت پیامبر صلی الله علیه و آله این نسخه،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یا صاحب الملک و نشکرک اللهم یا مالک العظمة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سنج مجالس اهل نقل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نهایت پریشان حالی ببالین عمار رسانید بعد از گریه بسیار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 و نستعلیق، به خط مؤلّف، اندکی حاشیه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تصحیح شده است، جلد تیماج قهوه‌ای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4/13764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است در مورد جنگ احد و مطالبی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الاعجاز مرحوم آخوند ملا کاظم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اعجاز حضرت سیدالساجدین علیه‌السلام از عبداللّه بن سلیمان حضرمی در خبری طولانی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از شرف بر عرش برتری گزید و اکابر عرب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 و 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الاذکار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ارجوزه قواعد اصول فقه را با تفصیل در چند نور گزارش کرده و مخصوصا آراء دو استادش شیخ محمدحسین و سید ابوتراب خوانساری را مدّ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مقداری از آغاز ارجوزه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حمد خالق الأنام مصلیا لسید الکرام</w:t>
      </w:r>
    </w:p>
    <w:p>
      <w:pPr>
        <w:pStyle w:val="BookText"/>
        <w:rPr/>
      </w:pPr>
      <w:r>
        <w:rPr>
          <w:rFonts w:ascii="IRNazanin" w:hAnsi="IRNazanin" w:eastAsia="IRNazanin"/>
          <w:color w:val="111111"/>
          <w:sz w:val="28"/>
          <w:sz w:val="28"/>
          <w:szCs w:val="28"/>
          <w:rtl w:val="true"/>
          <w:lang w:bidi="fa-IR"/>
        </w:rPr>
        <w:t>حبیبنا محمد و آله ذی شرف و اشرف نواله</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3/7003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المعانی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مدائن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شرح کلی طبیعی و مسائل دیگر فلسفی و منطقی دارای چند مدینه و هر مدینه در چند شهر و اسبوع که به درخواست یکی از علماء و فضلا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در قزوین 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بأضعاف ما حمده الحامدون للمحمود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أمرنی وحید اخوانی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ارسل له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عاقبنی الممات فمن الاحباب المعذرة و طلب المغفرة کان ذلک تحریرا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2/13771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این نسخه از سوی مؤلّف مقابله شده و یادداشت وی در آغاز نسخه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در مراجعه و مقابله این رساله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روز یکشنبه دوازدهم شهر رفیع شریف ربیع‌المولود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ـ مشهد ـ فهرست دانشکده الهیات،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1/951</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بأضعاف ما حمده الحامدون المحمود الذی أظهر ارادته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شکسته، به خط مؤلّف،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الابحاث فی مسائل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منظومه‌ایست در سیصد و سی و شش بیت در احکام ارث و طبقات وارثین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حمد واهب العطایا مصلیاً لاشراف البرایا</w:t>
      </w:r>
    </w:p>
    <w:p>
      <w:pPr>
        <w:pStyle w:val="BookText"/>
        <w:rPr/>
      </w:pPr>
      <w:r>
        <w:rPr>
          <w:rFonts w:ascii="Amiri" w:hAnsi="Amiri" w:eastAsia="Amiri" w:cs="Amiri"/>
          <w:color w:val="111111"/>
          <w:sz w:val="28"/>
          <w:sz w:val="28"/>
          <w:szCs w:val="28"/>
          <w:rtl w:val="true"/>
          <w:lang w:bidi="ar-SA"/>
        </w:rPr>
        <w:t>و آله سادتنا العلاء أئمة الهداة بالولاء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 و ولدها الأطهارا ذوی العلی والمجد والفخارا</w:t>
      </w:r>
    </w:p>
    <w:p>
      <w:pPr>
        <w:pStyle w:val="BookText"/>
        <w:rPr/>
      </w:pPr>
      <w:r>
        <w:rPr>
          <w:rFonts w:ascii="IRNazanin" w:hAnsi="IRNazanin" w:eastAsia="IRNazanin"/>
          <w:color w:val="111111"/>
          <w:sz w:val="28"/>
          <w:sz w:val="28"/>
          <w:szCs w:val="28"/>
          <w:rtl w:val="true"/>
          <w:lang w:bidi="fa-IR"/>
        </w:rPr>
        <w:t>صلاة عمت ألسن الأملاکا دائمة مادارت الأفلاکا</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معرب، ظاهراً به خط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الشریعة فی أحکام الشریعة</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العاشقین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کوتاهی است به سبک گلشن راز شیخ محمود شبستری در سیر و سلوک و شرایط آن، مؤلّف این اشعار را در اصفهان سروده است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ای دل گرچه لالی از مقال سیّما بین الصلوتین و مقال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کن دستان و دم بند از کلام وعده ما و تو در یوم القیام</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توسط مؤلّف مقابله و تصحیح شده است، جلد مقوا، 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المسائل</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1004</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الضمائر فی شرح 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حاشیه‌های کوتاهی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الملک المنان و الشکر للّه القادر السبحان الذی قد أفاض من فیوضاته علینا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ـ قم ـ فهرست گپایگانی،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4276</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8869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 کا، بی تا، افتادگی از انجام، بی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الالهام فی مدارک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استدلالی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ـ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اقوال بزرگان دانشمندان اصول، مخصوصا دو استادش سید محمد شهشهانی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ابوتراب اصفهانی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واهب العطایا و یا غافر الخطایا هب لنا من لدنک رحمة و مقاماً محموداً صلیت و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به ما هو کالجزء فنعم الوفاق و اللّه الهادی إلی نهج الحق و طریق الاحتقاق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3/2065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الاحادیث المجموعه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مجالسی است در مواعظ و مناقب اهل بیت پیامبر اسلام صلی الله علیه و آله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نخست و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است و اصل کتاب ظاهرا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اضبط یا ولدی المکرم یا علی حماک اللّه من المکاره بسم اللّه و بعد، أحمده و اصلی علی احمده صلی الله علیه و آله هذا هو المجلد الأوّل المستنسخ بیدی البالیة من مجلدات مستطرفات الأحادیث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ندانم چرا نسبت بداود این امت حسین علیه‌السلام و عیال وی چنان نشد خصوص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3/13761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اندکی حاشیه دارد و در حاشیه تصحیح شده، در برگ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المقال فی تفسیر سورة الزلزال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مختصری است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جمله‌ای از نکات ادبی و عرفانی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الاوراق ترجمة سورة الزلزال نرسمها بعد رسم ثلاث و عشرین و مائة رسائل و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الأرواح منغمرة ههنا فی هذه الأجسام و فی القیامة علی عکس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غره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 قریه ابراهیم آباد قزوین،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کوتاهی است در مصایب حضرت سید الشهداء امام حسین علیه‌السلام که مؤلّف به تقاضای شیخ صالح یزدی در روستای ایزد اصفهان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مدت یک هفته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 اصلّی علی احمده و بعد عرضه می‌دارد بنده درگاه ابن المرحوم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فرماید و هرگاه استعداد نباشد هلاک فرماید والسلام تمام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توسط مؤلّف مقابله و تصحیح شده است، جلد مقوا، 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مصباح است دارای زجاجها در موضوعات اخلاقی که بنا به خواهش ملا علی فرزند ملا محمد حسین رودباری قزوینی پس از تألیف یکصد و بیست و دو مجلد کتاب نوشته و در قزوین به تاریخ سلخ شوال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 أصلی علی 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فقیر بنده روسیاه ابن المرحوم الحاج شیخ محمد رفیع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از تألیف این رساله، فقیر راقم آن بنده راجی گناهکار، در سلخ شهر شوال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مجلس است در مواعظ و آداب و اخلاق به جهت یک ماهه ماه مبارک رمضان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سی مجلس خواهد شد انشاء الله تعالی به جهت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ظاهر می‌گرداند که قتل عثمان به فرموده علی بن ابی طالب علیه‌السلام به وقوع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الاخوة</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است در مراثی امام حسین علیه‌السلام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هامش نسخه درج شده است، این منظومه حماسی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شباهت بین معراج امام حسین علیه‌السلام در کربلا و معراج جدش در مکه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بگذر از عاصی و جرمش روز محشر کو همیشه در عزایش از دل و جان نوحه خوانست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همهمه جز درهمی بخت ندارد عاصی بتو کرد عرض له الدار القائل</w:t>
      </w:r>
    </w:p>
    <w:p>
      <w:pPr>
        <w:pStyle w:val="BookText"/>
        <w:rPr/>
      </w:pPr>
      <w:r>
        <w:rPr>
          <w:rFonts w:ascii="IRNazanin" w:hAnsi="IRNazanin" w:eastAsia="IRNazanin"/>
          <w:color w:val="111111"/>
          <w:sz w:val="28"/>
          <w:sz w:val="28"/>
          <w:szCs w:val="28"/>
          <w:rtl w:val="true"/>
          <w:lang w:bidi="fa-IR"/>
        </w:rPr>
        <w:t>یارب دلم از غصه به تنگ آمده است مبیناد نوزاد مرا دست قضا هیچ تناول</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2/1766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ملا لطف علی، ماه رمضان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ـ فهرست مجلس، ش </w:t>
      </w:r>
      <w:r>
        <w:rPr>
          <w:rFonts w:eastAsia="IRNazanin" w:cs="IRNazanin"/>
          <w:color w:val="111111"/>
          <w:sz w:val="28"/>
          <w:szCs w:val="28"/>
          <w:lang w:bidi="fa-IR"/>
        </w:rPr>
        <w:t>3/11440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اصلّی علی احمده و بعد عرضه می‌دارد احقر بنده روسیاه و لغزنده نامه تباه و فقیر مبتلی به فنون نفس و وساوس شیطانی ابن المرحوم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هم بیانی آمد تمام که بر آل احمد صلوة و سلام</w:t>
      </w:r>
    </w:p>
    <w:p>
      <w:pPr>
        <w:pStyle w:val="BookText"/>
        <w:rPr/>
      </w:pPr>
      <w:r>
        <w:rPr>
          <w:rFonts w:ascii="IRNazanin" w:hAnsi="IRNazanin" w:eastAsia="IRNazanin"/>
          <w:color w:val="111111"/>
          <w:sz w:val="28"/>
          <w:sz w:val="28"/>
          <w:szCs w:val="28"/>
          <w:rtl w:val="true"/>
          <w:lang w:bidi="fa-IR"/>
        </w:rPr>
        <w:t xml:space="preserve">نستعلیق، عبدالجواد ملا لطفعلی،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التعبیر</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بسیار مفصل گویا در حالات معصومین علیهم‌السلام با مطالبی اعتقادی و کلامی و مباحثی در تفسیر مناسب با بحثهای امامت از دیدگاه تشیع و این کتاب به صورت مجالس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نسخه‌شناسی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ـ قم ـ فهرست مرکز مطالعات،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در مصائب حضرت سیدالشهداء علیه‌السلام است که مؤلّف به جهت نذر بر سلامتی ناصرالدین شاه قاجار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احقر بنده روسیاه فانی ماتمدارترین اهل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شامل بصد سال این صد ولد نسل آور بنابر زخم وقت عرض مناسل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علی قزوینی الاصل،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توسط مؤلّف مقابله و تصحیح شده، جلد مقوا، زرد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نسخه‌شناسی 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ـ قم ـ فهرست فیضیه،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 چون فارغ شدم از تألیف و تنظیم و تنشیر جلد ثالث کتاب مفتاح الألم و ختم نمودم به شهادت جناب والانسب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ملا لطفعلی قزوینی،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نسخه‌شناسی جلد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ـ مشهد ـ فهرست دانشکده الهیات،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3/951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احوال خروج امام حسین علیه‌السلام از مدینه به مکّه و از مکّه تا کربلا و شهادت آنجناب و اصحابش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احمده و اصلی علی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 می‌دارد احقر بنده روسیاه 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شکسته، به خط مؤلّف، تحریر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نسخه‌شناسی جلد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4200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مشتمل بر حالات حضرت حجة ابن الحسن علیهماالسلام می‌باشد و دارای ده مجلس است برای ده روز صبح و شب و برای هر مجلس فصلی مختصر و فصلی مطول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شدم از تحریر موازی چهارصد و هفتاد و </w:t>
      </w:r>
    </w:p>
    <w:p>
      <w:pPr>
        <w:pStyle w:val="BookText"/>
        <w:rPr/>
      </w:pPr>
      <w:r>
        <w:rPr>
          <w:rFonts w:ascii="IRNazanin" w:hAnsi="IRNazanin" w:eastAsia="IRNazanin"/>
          <w:color w:val="111111"/>
          <w:sz w:val="28"/>
          <w:sz w:val="28"/>
          <w:szCs w:val="28"/>
          <w:rtl w:val="true"/>
          <w:lang w:bidi="fa-IR"/>
        </w:rPr>
        <w:t>هشت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محمدعلی قزوینی،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با مشکی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1/13764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چون از آغاز افتادگی دارد مشخص نشده کدام جلد است و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مدرسه صالحیه درالسلطنه قزوین 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سند الممکنات الذی جعله أشرف البریة و مفخر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نامه کرمت خسرو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حضرت احمد صلی الله علیه و آله برمدد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 سالا ین صد ولد نسل آور بتابر زخم وقت عرض مناسل</w:t>
      </w:r>
    </w:p>
    <w:p>
      <w:pPr>
        <w:pStyle w:val="BookText"/>
        <w:rPr/>
      </w:pPr>
      <w:r>
        <w:rPr>
          <w:rFonts w:ascii="IRNazanin" w:hAnsi="IRNazanin" w:eastAsia="IRNazanin"/>
          <w:color w:val="111111"/>
          <w:sz w:val="28"/>
          <w:sz w:val="28"/>
          <w:szCs w:val="28"/>
          <w:rtl w:val="true"/>
          <w:lang w:bidi="fa-IR"/>
        </w:rPr>
        <w:t xml:space="preserve">نسخ و نستعلیق، به خط مؤلّف،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قزوین، مدرسه ی صالحیه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چند مقاله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در اعمال کیمیائی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در ماه ربیع‌الثانی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الرابعة جمیع الاعمال تکون بوجهین أما بالتفریق أو التحلیل أو الجمع </w:t>
      </w:r>
    </w:p>
    <w:p>
      <w:pPr>
        <w:pStyle w:val="BookText"/>
        <w:rPr/>
      </w:pPr>
      <w:r>
        <w:rPr>
          <w:rFonts w:ascii="IRNazanin" w:hAnsi="IRNazanin" w:eastAsia="IRNazanin"/>
          <w:color w:val="111111"/>
          <w:sz w:val="28"/>
          <w:sz w:val="28"/>
          <w:szCs w:val="28"/>
          <w:rtl w:val="true"/>
          <w:lang w:bidi="fa-IR"/>
        </w:rPr>
        <w:t>والتجمید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سید میرزا بن امیر عبدالعالی،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با مشکی نشان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ملتمس المحبوب</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برادری و آداب اسلامی آن، به روشی اخلاقی و عرفانی و دارای سطوری به عربی، در پاسخ نامه قبلة العلماء میرزا محمد صادق و به روز چهارشنبه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قزوین به پایان رسیده و این رساله دارای سه فصل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الحمد للّه رب العالمین و ضعف الصلاة و السلام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کدام یک از این حقوق را بزعم خود در برادری نمودم هداک اللّه و ایانا سبیل الرشاد و طریق الوداد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3/2659</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به خط مؤلّف، غره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در قریه ابراهیم آباد قزوین، جلد تیماج </w:t>
      </w:r>
    </w:p>
    <w:p>
      <w:pPr>
        <w:pStyle w:val="BookText"/>
        <w:rPr/>
      </w:pPr>
      <w:r>
        <w:rPr>
          <w:rFonts w:ascii="IRNazanin" w:hAnsi="IRNazanin" w:eastAsia="IRNazanin"/>
          <w:color w:val="111111"/>
          <w:sz w:val="28"/>
          <w:sz w:val="28"/>
          <w:szCs w:val="28"/>
          <w:rtl w:val="true"/>
          <w:lang w:bidi="fa-IR"/>
        </w:rPr>
        <w:t>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الدین فی اصول الدین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المحبة</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الوصول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مفصل در اصول فقه و ظاهرا جلد دوّم از کتاب مقالات اوست و در نیمه‌های ماه شعبان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مقدس قم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خلق الإنسان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کلمات منّی و أنا العبد العاصی الجانی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انّه لا حجیة فیها و وجهه ظاهر علی المتتبع هذا و قد جفّ القلم و سنأتی إلیک بالبواقی بعون اللّه الملک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13759</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به خط مؤلّف، با حواشی به خط وی،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منه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مقابله شده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جلد تیماج مشکی مجدول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دین همراه مواعظ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توحید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نبوت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معاد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آفریدگاری را که آسان فرموده است از برای ما سلوک شرایع دین مبین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احقر بنده مفتاق بغفران حضرت یزدانی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نبیه محمدا صلی الله علیه و آله و اهل بیته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2/13764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قزوین، حاشیه نویسی دارد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حاشیه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مهیج الآلام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مجلس مفصل است در مواعظ که از آیات و احادیث گرفته شده و شعر فراوان دارد، و در قزوین به تاریخ ربیع المولود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عرضه می‌دارد نیازمند فیض ازلی ابن المرحوم العلامة الفهامة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گفتم زیب عرش کبریاست بنده است اما بباطن چون خداست</w:t>
      </w:r>
    </w:p>
    <w:p>
      <w:pPr>
        <w:pStyle w:val="BookText"/>
        <w:rPr/>
      </w:pPr>
      <w:r>
        <w:rPr>
          <w:rFonts w:ascii="IRNazanin" w:hAnsi="IRNazanin" w:eastAsia="IRNazanin"/>
          <w:color w:val="111111"/>
          <w:sz w:val="28"/>
          <w:sz w:val="28"/>
          <w:szCs w:val="28"/>
          <w:rtl w:val="true"/>
          <w:lang w:bidi="fa-IR"/>
        </w:rPr>
        <w:t>عاصیا بس آنچه پختی خام شد زین شباهت مثنوی بدنام شد</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به خط مؤلّف،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العصات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 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دیوان عاصی، دیوان اشعار شاعر است با تخلص عاصی در مراثی سید الشهداء علیه‌السلام که نسخه حاضر جلد چهاردهم از دیوان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المستعان، جلد چهاردهم از نجاة العصات است از تألیفات و تصنیفات این عبد خالی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عاصی غمگین به لطف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بخشد او گنهم را سید الشهداء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ـ دستنویس فهرست‌نگار</w:t>
      </w:r>
      <w:r>
        <w:rPr>
          <w:rStyle w:val="FootnoteAnchor"/>
          <w:rtl w:val="true"/>
        </w:rPr>
        <w:footnoteReference w:id="871"/>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عبدالجواد ملا لطفعلی،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نجاة النسوان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حیض و استحاضه و نفاس مطابق آراء استادش سید میر محمد شهشهانی اصفهانی با آنچه خود مؤلّف در مسائل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اصلی علی احمده و بعد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چند سطری است از واجبات مسائل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نفاس نیز چون غسل حیض است بدون فرقی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5/2659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غره 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 قریه ابراهیم آباد قزوین،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النخبة و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فتوایی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مهمات از فروع 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چند مقصد که مؤلّف برای عمل مقلدین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به عرض برادران ایمانی و پیروان احکام ربانی سیما حبیب لبیب روحانی می‌رساند بدانکه این مختصری است موسوم به نخبه در واجبات و مهمات از فروع دینیه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صدقه مندوبه جایز است گرفتن ایشان از مؤمنین و دادن به ایشان بی‌اشکال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4774</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شکسته، محمد کریم بن حاجی ابوطالب تاجر قزوینی،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با تقریظی از خود مؤلّف مبنی بر مطالعه نسخه و تأیید آن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مقوا، عطف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نسج النسوج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ـ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بزرگی است در بیش از صد هزار بیت به پیروی از 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سوّم و در واقعه جنگ صفین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 پیگر گفتار و صورت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نثر گویم پس از این تمام که شد ختم دستان شه والسلام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1/2068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جلد مقوایی،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النکات المبارکات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شش مجلس است در احادیث و آیات اخلاقی و وظائف دینی و جز اینها که جلدی از کتاب بزرگ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کتاب است و در قزوین تألیف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مجلد من مجلدات کتابنا المسماة بالمستطرفات و هذه مجلد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فعلت مع علی بعد النبی، هذا آخر ما فی مجلد الأوّل من کتابنا هذا و سنؤتی الی الباقی بعون اللّه الملک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لطفعلی 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قزوین، عناوین با مشکی نشان دارد، در حاشیه به خط مؤلّف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ـ قم ـ فهرست گلپایگانی،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4820</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یتحدثون أنّ فی هذا الظهر روح کل مؤمن و بوادی برموت نسمة کل کافر</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 الذی بعثک بالحق مایملک رقبتی رجلا واحدا فالویل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فی </w:t>
      </w:r>
    </w:p>
    <w:p>
      <w:pPr>
        <w:pStyle w:val="BookText"/>
        <w:rPr/>
      </w:pPr>
      <w:r>
        <w:rPr>
          <w:rFonts w:ascii="IRNazanin" w:hAnsi="IRNazanin" w:eastAsia="IRNazanin"/>
          <w:color w:val="111111"/>
          <w:sz w:val="28"/>
          <w:sz w:val="28"/>
          <w:szCs w:val="28"/>
          <w:rtl w:val="true"/>
          <w:lang w:bidi="fa-IR"/>
        </w:rPr>
        <w:t>مجلد الاصل من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قزوین، عناوین و نشانیها شنگرف، در آخر و حواشی نسخه خط مؤلّف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وریقات الانیقات</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رساله جمله‌ای از علوم غریبه آمده است در هفت فصل و یک خاتمه که خاتمه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پس از آن دعاها و طلسم‌هایی آورده با فالنامه‌ای به نقل از امام صادق علیه‌السلام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صادقیه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بدان نور چشم من که اسانید علوم در برابر هر حرفی از حروف تهجی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ـ قم ـ فهرست 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گاهی مغلوط، در حواشی ادعیه و فوایدی افزوده شده، جلد تیماج قهوه‌ای بدون مقوا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النجاة در جبر و تفویض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به درخواست یکی از دوستان وی در مورد مسئله جبر و تفویض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اصلی علی احمده و بعد عرضه می‌دارد فقیر شرمنده ابن المرحوم العلامة الفهامة الحاج شیخ محمد رفیع الرشتی عفی اللّه عنه محمد محسن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اجل مرد به فرمان تو عاصی تا بشنود از تو شهدائی و عبیدی</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ـ تهران ـ فهرست مجلس، ش </w:t>
      </w:r>
      <w:r>
        <w:rPr>
          <w:rFonts w:eastAsia="IRNazanin" w:cs="IRNazanin"/>
          <w:color w:val="111111"/>
          <w:sz w:val="28"/>
          <w:szCs w:val="28"/>
          <w:lang w:bidi="fa-IR"/>
        </w:rPr>
        <w:t>2/11440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بن ملا لطفعلی،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المراد</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نامه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و اندرزهایی است از مؤلّف به کسانی که از وی و شیخ مرتضی انصاری و سید محمدباقر رشتی، تقلید می‌کنند 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نوشته شده و دارای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رساله‌ایست از من بسوی یک یک از کسانی که در امور دین خود تقلید 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أحذر علی دینی و نفسی و ما خوّلنی ربی من شر نفسی و شرکم علی و صلی اللّه علی محمد و آله الطاهرین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ولوج البروج</w:t>
      </w:r>
    </w:p>
    <w:p>
      <w:p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السادات و مجموعة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جلد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اعمال ماههای سال است که در چند جلد مشتمل بر دوازده لمعه، برای هر ماهی لمعه‌ای خواهد بود و این نسخه جلد دوم کتاب در نظر گرفته شد و دارای سه لمعه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مجلد هدیة السادات و مجموعة السعادات نموده امیدوار به اختتامش گشته در سلک تحریرش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ـ قم ـ فهرست کتابخانه مرعشی،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8855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در حاشیه مطالبی افزوده شده،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ـ مشهد ـ فهرست شیخ علی حیدر المؤید،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برای ماه مبارک رمضان تنظیم شده و قبل از شروع مقدمه مفصلی در مقتل امام حسین علیه‌السلام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اضاء دوجی العالم بنور نبیه محمد و آله الهادین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نیمه شب جمعه ز طبع تاریخ مه و سال وی از سلخ صفر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عبدالجواد ملا لطفعلی،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الاخوان</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مجلس است به نثر و نظم در ولادت حضرت امام حسین علیه‌السلام که روز اول رجب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بدو عمر تاکنون بهر سلکی که کلک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2/4188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به خط مؤلّف،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الریب فی رد اهل العیب و الریب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عقاید امامیه و اصو مذهب که مؤلّف آن را در دارالسلطنه قزوین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جعلنا من الفرقة الجلیلة الناجیة الامامیة الاثنی عشریة و وفّقنا لرفض سنن سَنَّها بُغات الخذلیة الامویة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تشرفه اللّه و اخوانه ببنان اهل العلم زمان حیوتی و بعد مماتی فی کل صباح و مساء و غداة و عشیة،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ـ قزوین ـ فهرست امام صادق،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جلی، به خط محمد بن علی قزوینی،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دارای مهر بیضوی با سجع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صفحات در حاشیه تصحیح شده است، جلد تیماج قهوه‌ای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بیش از هزار و پانصد بیت در قواعد اصولی که به تاریخ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قد اصطفی من أشرف القوم بنی المصطفی</w:t>
      </w:r>
    </w:p>
    <w:p>
      <w:pPr>
        <w:pStyle w:val="BookText"/>
        <w:rPr/>
      </w:pPr>
      <w:r>
        <w:rPr>
          <w:rFonts w:ascii="IRNazanin" w:hAnsi="IRNazanin" w:eastAsia="IRNazanin"/>
          <w:color w:val="111111"/>
          <w:sz w:val="28"/>
          <w:sz w:val="28"/>
          <w:szCs w:val="28"/>
          <w:rtl w:val="true"/>
          <w:lang w:bidi="fa-IR"/>
        </w:rPr>
        <w:t>و الشکر للّه الذی قد ارتضی لدینه الأعلی علی المرتضی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عطفته مصلیاً لاحمد بما لنا الدفتر و المجلد</w:t>
      </w:r>
    </w:p>
    <w:p>
      <w:pPr>
        <w:pStyle w:val="BookText"/>
        <w:rPr/>
      </w:pPr>
      <w:r>
        <w:rPr>
          <w:rFonts w:ascii="IRNazanin" w:hAnsi="IRNazanin" w:eastAsia="IRNazanin"/>
          <w:color w:val="111111"/>
          <w:sz w:val="28"/>
          <w:sz w:val="28"/>
          <w:szCs w:val="28"/>
          <w:rtl w:val="true"/>
          <w:lang w:bidi="fa-IR"/>
        </w:rPr>
        <w:t>فصار اربعمائه والتسعین تقرباً للّه فاذکر آمین</w:t>
      </w:r>
    </w:p>
    <w:p>
      <w:pPr>
        <w:pStyle w:val="BookText"/>
        <w:rPr/>
      </w:pPr>
      <w:r>
        <w:rPr>
          <w:rFonts w:ascii="IRNazanin" w:hAnsi="IRNazanin" w:eastAsia="IRNazanin"/>
          <w:color w:val="111111"/>
          <w:sz w:val="28"/>
          <w:sz w:val="28"/>
          <w:szCs w:val="28"/>
          <w:rtl w:val="true"/>
          <w:lang w:bidi="fa-IR"/>
        </w:rPr>
        <w:t>نسخه‌شناسی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ـ قم ـ فهرست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3/1379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معرب، ظاهراً به خط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الدرر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bookmarkStart w:id="528" w:name="pg17288_200021"/>
    </w:p>
    <w:p>
      <w:pPr>
        <w:pStyle w:val="Heading3"/>
        <w:numPr>
          <w:ilvl w:val="2"/>
          <w:numId w:val="1"/>
        </w:numPr>
        <w:rPr/>
      </w:pPr>
      <w:bookmarkStart w:id="529" w:name="__RefHeading___Toc4413882_3224264995"/>
      <w:bookmarkStart w:id="530" w:name="_Toc202"/>
      <w:bookmarkEnd w:id="528"/>
      <w:bookmarkEnd w:id="529"/>
      <w:r>
        <w:rPr>
          <w:rtl w:val="true"/>
        </w:rPr>
        <w:t>منابع تحقیق</w:t>
      </w:r>
      <w:bookmarkEnd w:id="530"/>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الرجال، سید احمد اشکوری،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آقا بزرگ تهرانی،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 مصلح الدین مهدوی،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 محمدرضا نیلفروشان،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کتابخانه آیة‌اللّه العظمی مرعشی نجفی،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531" w:name="pg17288_200023"/>
    </w:p>
    <w:p>
      <w:pPr>
        <w:pStyle w:val="Heading2"/>
        <w:numPr>
          <w:ilvl w:val="1"/>
          <w:numId w:val="1"/>
        </w:numPr>
        <w:rPr/>
      </w:pPr>
      <w:bookmarkStart w:id="532" w:name="__RefHeading___Toc4413884_3224264995"/>
      <w:bookmarkStart w:id="533" w:name="_Toc203"/>
      <w:bookmarkEnd w:id="531"/>
      <w:bookmarkEnd w:id="532"/>
      <w:r>
        <w:rPr>
          <w:rtl w:val="true"/>
        </w:rPr>
        <w:t>فهرست نسخه‌های خطی حوزه علمیه نجف‌آباد</w:t>
      </w:r>
      <w:bookmarkEnd w:id="533"/>
    </w:p>
    <w:p>
      <w:pPr>
        <w:pStyle w:val="Heading3"/>
        <w:numPr>
          <w:ilvl w:val="2"/>
          <w:numId w:val="1"/>
        </w:numPr>
        <w:rPr/>
      </w:pPr>
      <w:bookmarkStart w:id="534" w:name="__RefHeading___Toc4413886_3224264995"/>
      <w:bookmarkStart w:id="535" w:name="_Toc204"/>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BookText"/>
        <w:rPr/>
      </w:pPr>
      <w:r>
        <w:rPr>
          <w:rFonts w:ascii="IRNazanin" w:hAnsi="IRNazanin" w:eastAsia="IRNazanin"/>
          <w:color w:val="111111"/>
          <w:sz w:val="28"/>
          <w:sz w:val="28"/>
          <w:szCs w:val="28"/>
          <w:rtl w:val="true"/>
          <w:lang w:bidi="fa-IR"/>
        </w:rPr>
        <w:t>محمد داوری، سید محمود نریمانی</w:t>
      </w:r>
    </w:p>
    <w:p>
      <w:pPr>
        <w:pStyle w:val="Heading3"/>
        <w:numPr>
          <w:ilvl w:val="2"/>
          <w:numId w:val="1"/>
        </w:numPr>
        <w:rPr/>
      </w:pPr>
      <w:bookmarkStart w:id="536" w:name="__RefHeading___Toc4413888_3224264995"/>
      <w:bookmarkStart w:id="537" w:name="_Toc205"/>
      <w:bookmarkEnd w:id="536"/>
      <w:r>
        <w:rPr>
          <w:rtl w:val="true"/>
        </w:rPr>
        <w:t>مقدمه</w:t>
      </w:r>
      <w:bookmarkEnd w:id="537"/>
    </w:p>
    <w:p>
      <w:pPr>
        <w:pStyle w:val="BookText"/>
        <w:rPr/>
      </w:pPr>
      <w:r>
        <w:rPr>
          <w:rFonts w:ascii="IRNazanin" w:hAnsi="IRNazanin" w:eastAsia="IRNazanin"/>
          <w:color w:val="111111"/>
          <w:sz w:val="28"/>
          <w:sz w:val="28"/>
          <w:szCs w:val="28"/>
          <w:rtl w:val="true"/>
          <w:lang w:bidi="fa-IR"/>
        </w:rPr>
        <w:t>فهرست‌نویسی نسخ خطی دروازه ورود به گنجینه لایزال علوم و معارف دانشمندان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جرعه‌نوشان علوم و معارف قرآن و عترت‌اند و آثارشان شرح معارف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اسلامی از دیرباز مورد توجه دانشمندان علوم اسلامی بوده است و نفایس فراوانی از آن به همت محققان تراث‌پژوه تحقیق و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سه دهه اخیر توجه به نسخه‌های خطی و ضرورت تهیه فهرست‌هایی برای آنها، رشد چشمگیری داشت و صدها جلد از فهرست نسخه‌های خطی اسلامی، توسط مؤسسات و محققان نسخه‌پژوه به زیور طبع آراسته 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نسخه‌های خطی کتابخانه حوزه علمیه نجف‌آباد نیز از این خیزش علمی و تکاپوی فرهنگی در راستای احیای نسخه‌های خطی اسلامی بی‌نصیب نماند و به همت و زحمت حضرت حجت‌الاسلام سید صادق حسینی اشکوری، مسئول محترم مؤسسه مجمع ذخائر اسلامی عکس‌برداری گردید و از همان آغاز نظر مسئولان حوزه علمیه </w:t>
      </w:r>
      <w:bookmarkStart w:id="538" w:name="pg17288_200025"/>
    </w:p>
    <w:p>
      <w:pPr>
        <w:pStyle w:val="BookText"/>
        <w:rPr/>
      </w:pPr>
      <w:bookmarkEnd w:id="538"/>
      <w:r>
        <w:rPr>
          <w:rFonts w:ascii="IRNazanin" w:hAnsi="IRNazanin" w:eastAsia="IRNazanin"/>
          <w:color w:val="111111"/>
          <w:sz w:val="28"/>
          <w:sz w:val="28"/>
          <w:szCs w:val="28"/>
          <w:rtl w:val="true"/>
          <w:lang w:bidi="fa-IR"/>
        </w:rPr>
        <w:t>نجف‌آباد بر این بود که فهرست مناسبی از نسخه‌های خطی تهیه و در اختیار اهل فضل و دانش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اشتغالات گوناگون در مدیریت حوزه ارزشمند آن، این مهم را به تأخیر انداخت تا بهر حال این مجموعه به نتیجه رسید و مقرر گردید در دفاتر میراث حوزه علمیه اصفهان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کار با همکاری دوست گرامی جناب شیخ محمد داوری به این کار مبادرت ورزیدیم و همت پایانی جناب حجت‌الاسلام نریمانی این کار را برای ارائه در دفتر میراث اصفهان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دفتر یکصد نسخه از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مجموعه ارائه می‌گردد و به فضل خدا در دفاتر بعد نیز دو بخش دیگر آن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نسخه‌ها پس از عکس‌برداری، باز افزوده‌ای یافت که دارای عکس نیست و فهرست آن نسخه‌ها نیز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فهرست اطلاعات مفید و منحصر به فردی درباره عالمان نجف‌آباد به چشم می‌خورد که برای محققان تاریخ نجف‌آباد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قریب به اتفاق، این نسخه‌ها وقف حوزه علمیه الحجّه نجف‌آباد بوده است ـ که حوزه قدیم نجف‌آباد است و قدمتی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ـ و همه آنها در همان حوزه قدیم نگهداری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آماده شدن حوزه علمیه جدید نجف‌آباد به نام جامعة الامام المنتظر و در حدود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نسخه‌ها به کتابخانه حوزه علمیه جامعة الامام المنتظر،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جهت آشنایی با حوزه علمیه نجف‌آباد نگاهی کوتاه به سابقه این حوزه می‌اندازیم</w:t>
      </w:r>
      <w:r>
        <w:rPr>
          <w:rFonts w:eastAsia="IRNazanin" w:cs="IRNazanin"/>
          <w:color w:val="111111"/>
          <w:sz w:val="28"/>
          <w:szCs w:val="28"/>
          <w:rtl w:val="true"/>
          <w:lang w:bidi="fa-IR"/>
        </w:rPr>
        <w:t>.</w:t>
      </w:r>
    </w:p>
    <w:p>
      <w:pPr>
        <w:pStyle w:val="Heading3"/>
        <w:numPr>
          <w:ilvl w:val="2"/>
          <w:numId w:val="1"/>
        </w:numPr>
        <w:rPr/>
      </w:pPr>
      <w:bookmarkStart w:id="539" w:name="__RefHeading___Toc4413890_3224264995"/>
      <w:bookmarkStart w:id="540" w:name="_Toc206"/>
      <w:bookmarkEnd w:id="539"/>
      <w:r>
        <w:rPr>
          <w:rtl w:val="true"/>
        </w:rPr>
        <w:t>نگاهی به حوزه علمیه نجف‌آباد</w:t>
      </w:r>
      <w:bookmarkEnd w:id="54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الحجة نجف‌آباد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همت مرحوم آیت‌اللّه حاج شیخ ابراهیم ریاضی نجف‌آبادی ـ از شاگردان عارف کامل آیت‌اللّه حاج شیخ </w:t>
      </w:r>
    </w:p>
    <w:p>
      <w:pPr>
        <w:pStyle w:val="BookText"/>
        <w:rPr/>
      </w:pPr>
      <w:r>
        <w:rPr>
          <w:rFonts w:ascii="IRNazanin" w:hAnsi="IRNazanin" w:eastAsia="IRNazanin"/>
          <w:color w:val="111111"/>
          <w:sz w:val="28"/>
          <w:sz w:val="28"/>
          <w:szCs w:val="28"/>
          <w:rtl w:val="true"/>
          <w:lang w:bidi="fa-IR"/>
        </w:rPr>
        <w:t>محمدعلی شاه‌آبادی ـ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علمیه از همان زمان مرکز درس و بحث علوم اسلامی بود و طلاب زیادی دروس ابتدائی و مقدماتی علوم اسلامی را در آن حوزه گذرانیده و به حوزه‌های علمیه اصفهان و قم و نجف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حوزه خواستگاه دانشمندان و مجتهدان آن خطه در قرن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انقلاب اسلامی شکوهمند ایران به رهبری حضرت امام خمینی قدس‌سره پایگاه مهم انقلاب اسلامی گردیده است و در ایام دفاع مقدس یکی از بی‌نظیرترین حوزه‌های علمیه در حضور در عرصه‌های دفاع مقدس بوده است به طوری که از سیصد طلبه پذیرش شده در طول دفاع مقدس در مدرسه یک صد و ده طلبه به فیض شهادت نائل شده‌اند و تعدادی نیز جانباز و اسیر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درخشان، نشان از حضور فعال این حوزه علمیه در عرصه‌های مختلف دینی و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آیت اللّه حاج شیخ عباس ایزدی نجف‌آبادی، فعالیت این حوزه رویه افول گذاشت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تجدید و تعمیر بنا دوره جدیدی از فعالیتهای علمی و فرهنگی و اجتماعی این مدرسه آغاز گردید، و هم اکنون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حوزه‌های تابعه مرکز مدیریت حوزه علمیه اصفهان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فعال دیگری که در ابتدای انقلاب اسلامی در نجف‌آباد تأسیس گردید، جامعة الامام المنتظر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حوزه علمیه در مساحتی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احداث و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زیربنا می‌باشد و یکی از حوزه‌های موفق کشور و زیر نظر حوزه علمیه قم قرار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نیز فعالیت خود را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است و هم‌اکنون 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مرکز تحصیل، تدریس و پژوهش علوم اسلامی می‌باشد</w:t>
      </w:r>
      <w:r>
        <w:rPr>
          <w:rFonts w:eastAsia="IRNazanin" w:cs="IRNazanin"/>
          <w:color w:val="111111"/>
          <w:sz w:val="28"/>
          <w:szCs w:val="28"/>
          <w:rtl w:val="true"/>
          <w:lang w:bidi="fa-IR"/>
        </w:rPr>
        <w:t xml:space="preserve">. </w:t>
      </w:r>
      <w:bookmarkStart w:id="541" w:name="pg17288_200029"/>
    </w:p>
    <w:p>
      <w:pPr>
        <w:pStyle w:val="Heading3"/>
        <w:numPr>
          <w:ilvl w:val="2"/>
          <w:numId w:val="1"/>
        </w:numPr>
        <w:rPr/>
      </w:pPr>
      <w:bookmarkStart w:id="542" w:name="__RefHeading___Toc4413892_3224264995"/>
      <w:bookmarkStart w:id="543" w:name="_Toc207"/>
      <w:bookmarkEnd w:id="541"/>
      <w:bookmarkEnd w:id="542"/>
      <w:r>
        <w:rPr>
          <w:rtl w:val="true"/>
        </w:rPr>
        <w:t>معرفی نسخ خطی حوزه علمیه نجف آباد از نسخه یکم تا صدم</w:t>
      </w:r>
      <w:bookmarkEnd w:id="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 xml:space="preserve">نسخ معرب، بی‌کا، بی‌تا، در ابتدا یادداشتی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صادق دارد، انجام تا وسط سوره مبارکه نصر است، جلد صحافی شده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چهارگانه اصلی حدیث شیعه است که در سی و چهار کتاب تنظیم شده و شامل سیصد و بیست و شش باب است و بیش از شانزده هزار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سه بخش اصول، فروع و روضه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مؤلّف بزرگوار کتاب، آن را در بیست سال تألیف کرده است و توانسته کتابی ارزشمند در اخبار اهل بیت عصمت و طهارت علیهم‌السلام جمع‌آوری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اول اصول کافی تا پایان کتاب العشرة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فیه البیان و التبیان قرآناً عربیاً غیر ذی عوجٍ لعلّهم یتّقون قد بیّنه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أبیه عن ابن أبی عمیر عن محمد بن إسحق بن عمار عن أبی الحسن موسی علیه‌السلام فی الظهور التی فیها ذکر اللّه عز و جل قال اغسلها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و خوانا، محب علی شیرازی، ربیع‌الاول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شنگرف، در حاشیه و بین سطور </w:t>
      </w:r>
    </w:p>
    <w:p>
      <w:pPr>
        <w:pStyle w:val="BookText"/>
        <w:rPr/>
      </w:pPr>
      <w:r>
        <w:rPr>
          <w:rFonts w:ascii="IRNazanin" w:hAnsi="IRNazanin" w:eastAsia="IRNazanin"/>
          <w:color w:val="111111"/>
          <w:sz w:val="28"/>
          <w:sz w:val="28"/>
          <w:szCs w:val="28"/>
          <w:rtl w:val="true"/>
          <w:lang w:bidi="fa-IR"/>
        </w:rPr>
        <w:t xml:space="preserve">تصحیح شده و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نسخه مقابله شده و دارای امضای بلاغ می‌باشد، در بالای صفحه اول صورت وقفنامه ملاّ عبدالرحیم بن حاجی علیخان نجف‌آبادی، حسب الوصیه حاجی ابوطالب مازندرانی، ساکن دارالسلطنه اصفهان در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دارای مهر ملا عبدالرحیم نجف‌آبادی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معروفی در دو جلد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است که در آن به شرح و حل مشکلات عبارتی متن شهید اول پرداخته و اشاره به ادله بعض احکام می‌نماید، این کتاب از کتاب‌های درسی حوزه‌های علمیه شیعه است و از سالیان دور تدریس می‌شود و دانشمندان و فقهای زیادی بر آن حاشیه و شرح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تألیف آن ربیع الاول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عکسی،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یعنی از اول کتاب اجاره تا پایان کتاب دیات می‌باشد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الاجارة و هی العقد علی تملیک المنفعة المعلومة بعوض معلوم فالعقد </w:t>
      </w:r>
    </w:p>
    <w:p>
      <w:pPr>
        <w:pStyle w:val="BookText"/>
        <w:rPr/>
      </w:pPr>
      <w:r>
        <w:rPr>
          <w:rFonts w:ascii="IRNazanin" w:hAnsi="IRNazanin" w:eastAsia="IRNazanin"/>
          <w:color w:val="111111"/>
          <w:sz w:val="28"/>
          <w:sz w:val="28"/>
          <w:szCs w:val="28"/>
          <w:rtl w:val="true"/>
          <w:lang w:bidi="fa-IR"/>
        </w:rPr>
        <w:t>بمنزلة الجنس یشمل سایر العقود و خرج بتعلیقه بالمنفعة البیع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الباعث علیه أی علی المذکور المدلول علیه بالفعل أو علی تصنیف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طهرهم تطهیرا آخر کلام المصنف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پنجم محرم الحرام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شده و دارای حواشی است، عناوین شنگرف، در صفحه اول دستخط تملک ملا محمد حسین بن علی نجف‌آبادی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تملک سید هاشم فروخته شده به جناب حاجی ملا حسن به پانزده روپیه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دارای صورت وقفنامه ملا محمّدحسین بن ملا علی می‌باشد که این جلد کتاب را با سایر کتب اصولیه و فقهیه بر اولاد ذکور ایشان مادام الحیاة و بعد از اولاد ذکور بر طلاب ساکن نجف‌آباد وقف کرده است، جلد قهوه‌ای مجدول و همراه با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سیدنا و نبینا محمد و آله الطاهرین کتاب الطهارة و أرکانه أربعة الأول فی المیاه جمعه باعتبار تعداد أفراده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مضافة إلی الکتاب العزیز فی الأخیر عموماً و خصوصاً مستفیضة و </w:t>
      </w:r>
    </w:p>
    <w:p>
      <w:pPr>
        <w:pStyle w:val="BookText"/>
        <w:rPr/>
      </w:pPr>
      <w:r>
        <w:rPr>
          <w:rFonts w:ascii="IRNazanin" w:hAnsi="IRNazanin" w:eastAsia="IRNazanin"/>
          <w:color w:val="111111"/>
          <w:sz w:val="28"/>
          <w:sz w:val="28"/>
          <w:szCs w:val="28"/>
          <w:rtl w:val="true"/>
          <w:lang w:bidi="fa-IR"/>
        </w:rPr>
        <w:t>المراد بالاستطاعة عندنا الزاد و الراحلة إن لم یکن من أهل مکة و 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بی‌کا، بی‌تا، عناوین قرمز، دارای وقف‌نامه حسب الوصیه بهرام بیک بر طلاب علوم دینیه از ساکنین دارالسلطنه اصفهان در جمادی الثانی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امضای حاج شیخ نصرالله قضایی به تاریخ </w:t>
      </w:r>
      <w:r>
        <w:rPr>
          <w:rFonts w:eastAsia="IRNazanin" w:cs="IRNazanin"/>
          <w:color w:val="111111"/>
          <w:sz w:val="28"/>
          <w:szCs w:val="28"/>
          <w:lang w:bidi="fa-IR"/>
        </w:rPr>
        <w:t>21/10/1350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برگ اول، دارای دو مهر بیضوی ناخوانای بزرگ به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جلد رنگ و روغن گل و بوته روی جلد و داخل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فقهی استدلالی بسیار مفصلی است که ادله فقهی و اقوال علما و دانشمندان مذاهب اسلامی را به طور مفصل ذکر می‌کند و رد و ایرادهای فراوانی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به طور حتم از این کتاب تألیف شده، از آغاز کتاب طهارت تا اواخر کتاب نکاح است که در پانزده جلد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از فخر المحققین نقل می‌نماید و از آن عبارت استفاده می‌کند که کتاب تا پایان دیات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صفحه از اول کتاب بیع می‌باشد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القاعدة الثانیة فی العقود و فیه کتب، کتاب البیع و فیه مقاصد المقصد </w:t>
      </w:r>
    </w:p>
    <w:p>
      <w:pPr>
        <w:pStyle w:val="BookText"/>
        <w:rPr/>
      </w:pPr>
      <w:r>
        <w:rPr>
          <w:rFonts w:ascii="IRNazanin" w:hAnsi="IRNazanin" w:eastAsia="IRNazanin"/>
          <w:color w:val="111111"/>
          <w:sz w:val="28"/>
          <w:sz w:val="28"/>
          <w:szCs w:val="28"/>
          <w:rtl w:val="true"/>
          <w:lang w:bidi="fa-IR"/>
        </w:rPr>
        <w:t>الأول فی أرکانه و فیه فصول الأول فی ماهیته و هو انتقال عن 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تعلق برقبته حق آدمی فمنع صحة بیعه کالرهن بل حق الجنایة آکد لتقدمها علیه و الفرق أنّ الحق منحصر فی الرهن لا یملک 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شرایع الاسلام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محمدحسن بن باقر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نسبتاً مفصلی است که از ابتدای طهارت تا اواخر بحث نکاح، در پانزده جلد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پانزدهم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اواسط حرمة التکسب بالغناء تا فصل دهم از کتاب تجارت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الشافعی أ نّه تحسین الصوت و ترقیقه و فی محکی النهایة أنّ کل من رفع صوتاً و والاه قصوته عند العرب 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لایبعد الاقتصار علی کون المشتری رجلاً و بالجملة متی قام احتمال الفرق وجب العمل علی مقتضی القواعد و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ظاهراً کاتب پس از کتابتِ چند صفحه از تذکره به دلیلی از ادامه آن منصرف گشته و شروع به کتابت جواهر نموده است، در اول کتاب وقف‌نامه حاج ملا عبدالرحیم به تاریخ دهم رمضان المبارک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 البرهان فی شرح ارشاد الاذهان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 الی احکام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از ابواب آن ناتمام مانده و بنا به گفته ذریعه،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اردبیلی ناخوان بود، کسی نتوانست مقدار نقص را استنساخ کند تا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ابتداء کتاب متاجر تا پایان کتاب هبه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المتاجر و فیه مقاصد، الأول فی المقدمات و فیه مطالب، الأول فی أقسامها و ینقسم بانقسام الاحکام الخمسة هذا قسم العقود اعلم أنه لاخلاف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صریح فی کلامهم ذلک و لعل دلیلهم الاجماع مسنداً إلی اصل بقاء المال علی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الاسرار الفقهیة فی حاشیة الروضة البهیة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محمدعلی بن آقا محمدباقر هزار جریبی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لمعه شهید دوم، در این حاشیه به گفته‌های دیگران کمتر می‌پردازد و بیشتر آنچه خودش از ادله استنباط کرده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القضاء و هو واجب فوریٌ علی ما صرح به المصنف فی قواعده معللاً بأن المتعدی من الخصمین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استیفاء الحد و القود یسقطان و قد تم الجلد الأول من کتاب تکملة الروضة البهیة فی شرح اللمعة الدمشقیة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بی‌کا، در پایان کتاب متاجر تاریخ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 xml:space="preserve">است، در صفحه اول وقف‌نامه ملا عبدالرحیم نجف‌آبادی است حسب الوصیة مرحومه خانم کوکب زوجه حاجی ابوطالب در دارالسطنه اصفهان، 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انتهای وقفنامه دو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اندکی در حاشیه رساله اول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اول عناوین نانوشته، و در رساله دوم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رنگ و روغن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 بن حسین بن یحیی بن سعید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است بر کتاب خود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وزیر بهاءالدین محمد بن محمد جوینی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دارای مقدمه‌ای است در چهار فصل مشتمل بر مباحث اصولی و چند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تا مقداری از کتاب حج و چند مسأله از کتاب تجارت شرح شده و بقیه باب‌ها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فهرست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و دوم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القوة الباهرة و السطوة القاهرة و النعمة الغامرة و الرحمة الوافرة المرتفع عن تمثیل الخواطر الخاطرة و تحصیل النواظر الناظرة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یقول إن الإخلال بالإحرام إخلال بالنیة فی بقیة المناسک فنحن نتکلم علی تقدیر ایقاع نیة کل منسک فلا وجه لما قاله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بی کا،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قرمز یا نانوشته، در حواشی تصحیح شده و نسخه بدل دارد، در ابتدای نسخه دو مهر تملک دارد که در ترمیم بخشی از آن‌ها محو شده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عنایت‌اللّه زین‌العابدین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در همان صفحه رقعه‌ای از میرداماد به ملا مصطفی آمده است، در پایان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اسماعیل،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چرم حنایی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ابتداء کتاب المعیشة تا پایان کتاب القضاء و الاحکام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المعیشة باب دخول الصوفیة علی أبی عبداللّه علیه‌السلام و احتجاجهم علیه فیها ینهون الناس عنه من طلب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فاقام أحدهما علی صاحبه شاهدین و الآخر خمسة فقضی لصاحب الشهود خمسة أسهم و لصاحب الشاهدین سهمین هذا آخر کتاب الأحکام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حدوداً قرن یازدهم، عناوین شنگرف، در حاشیه تصحیح شده و نسخه بدل دارد، دارای حواشی زیادی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 ق رحمه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شیخ بهایی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صورت وقف‌نامه به خط محمدجعفر بن محمدصفی الفارس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چرم قرمز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محمدتقی بن مقصودعلی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مولی محمدتقی مجلسی شرح عربی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به شاه عباس صفوی تقدیم داشت، شاه عباس از وی درخواست کرد که شرحی فارسی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به همین دلیل مرحوم مجلسی، شرح فارسی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فراغت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مجلسی در این کتاب ترجمه روایت و شرح آن و حل عبارت آن است و با نقل اقوال علما در نهایت نظر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مقدمه مفصلی آورده که در آن دوازده فایده در فضیلت علم و علوم اهل بیت علیهم‌السلام و اوصاف عالمان دین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محامد و اثنیه مخصوص ذات مقدس خداوندی است که مستجمع جمیع کمالات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یک رکن اسلام شفقت علی خلق اللّه است و یکی تعظیم لامر اللّه است </w:t>
      </w:r>
    </w:p>
    <w:p>
      <w:pPr>
        <w:pStyle w:val="BookText"/>
        <w:rPr/>
      </w:pPr>
      <w:r>
        <w:rPr>
          <w:rFonts w:ascii="IRNazanin" w:hAnsi="IRNazanin" w:eastAsia="IRNazanin"/>
          <w:color w:val="111111"/>
          <w:sz w:val="28"/>
          <w:sz w:val="28"/>
          <w:szCs w:val="28"/>
          <w:rtl w:val="true"/>
          <w:lang w:bidi="fa-IR"/>
        </w:rPr>
        <w:t>و شفقت نیز تعظیم امر اللّه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محمّدمؤمن بن محمدطالب، عناوین و نشانها شنگرف، در ابتدای نسخه وقفنامه محمدجعفر بن محمدصفی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تای دیگر ناخوانا در اول نسخه می‌باشد، جلد چرم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و سیره پیامبران گذشته و تاریخ زندگانی حضرت رسول اکرم و ائمه طاهرین و حضرت زهرا علیهم‌السلام می‌باشد با مباحثی در پایان کتاب پیرامون امامت بر پایه احادیث و اخبار روایت شده از حضرات معصومین علیهم‌السلام با توضیحاتی از مجلسی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 ـ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شاه سلیمان صفوی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تقسیم مؤلّف در سه جلد است که جلد دوم کتاب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لنا مناهج الهدی بمفاتیح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مجلد سیم است از کتاب حیوة القلوب تألیف خادم اخبار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چون ظاهر شود انتقام خواهد کشید از بنی امیه و از آن‌ها که تکذیب ائمه کرده‌اند و از آن‌ها که عداوت ایشان داشته‌اند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سید مهدی بن حسین حسینی، صبح روز جمعه هفتم </w:t>
      </w:r>
    </w:p>
    <w:p>
      <w:p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تصحیح شده، عناوین و نشانها شنگرف، دارای وقف‌نامه مرحوم مصطفی زمانی نجف‌آبادی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6/4/1335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کتاب، در پایان دو صفحه متفرقه دارد در دعا و اطلاعاتی درباره رجال الغیب، جلد رنگ و روغن عالی دارای گل و بوته، ضربی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الطلاق تا پایان کتاب الروضة می‌باشد و ابواب و کتابها به ترتیب متعارف نیامده و غیرمرتب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کراهیة طلاق الزوجة الموافقة أخبرنا عدة من أصحابنا عن أحمد بن محمد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یخرجه من هدی إن الدنیا لا تذهب حتی یبعث اللّه عز و جل رجلا منا أهل البیت یعمل بکتاب اللّه لا یکری منکر إلاّ أنکره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علی بن محمدعیسی الحسینی المرعشی الشوشتری، ذی قعده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عناوین شنگرف، دارای حواشی مختصر، در حاشیه تصحیح شده است، در صفحه اول وقف‌نامه‌ای است به تاریخ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متولی کتاب را میر محمدجعفر طالقانی قرار داده تا نسخه را به عتبات عالیات </w:t>
      </w:r>
    </w:p>
    <w:p>
      <w:pPr>
        <w:pStyle w:val="BookText"/>
        <w:rPr/>
      </w:pPr>
      <w:r>
        <w:rPr>
          <w:rFonts w:ascii="IRNazanin" w:hAnsi="IRNazanin" w:eastAsia="IRNazanin"/>
          <w:color w:val="111111"/>
          <w:sz w:val="28"/>
          <w:sz w:val="28"/>
          <w:szCs w:val="28"/>
          <w:rtl w:val="true"/>
          <w:lang w:bidi="fa-IR"/>
        </w:rPr>
        <w:t xml:space="preserve">ببرند و پس از فوت متولی به سبب تعذر با نظر حاکم شرع در تاریخ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مدرسه علمیه محدثه اصفهان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صفحه دستخط عبدالوهاب حسینی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سرکار شریعت مدار فخر المجتهدین جناب مستطاب آقا میر سید حسن سلمه اللّه تعالی، برگ اول دارای چند مهر بیضوی ناخوانا می‌باشد، جلد تیماج سیاه زرکوب گل و بوته‌دار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مفصلی است که مؤلّف تا کتاب وصیت تحریر کرده و موفق به اتمام آن نشده است و این دوره اندیشمند فقهی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دوازده مقدمه آورده شده که اولین آن در مبانی احکام و آخرین آن در فرق بین اخباری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به روش اخباریون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مشتمل بر کتاب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الصلوة علی نبیه محمد و عترته الطیبین الطاهرین کتاب الحج و هو یطلق فی اللغة علی معان کما یستفاد من القاموس</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اللّه تعالی کتابه بها فی الآخرة، الفقیر إلی ربه الکریم یوسف بن احمد بن ابراهیم حامداً مصلیاً مسلماً مستغفراً آمین آمین بحرمة السادة المیامین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زیبا، در کربلا عبداللّه بن خواجه صادق اوشادی الاصل و دروقی مسکن، بی تا، نسخه تصحیح شده، عناوین درشت یا نانوشته، دارای وقف‌نامه مجتهد وقت آیت‌اللّه ملا عبدالرحیم نجف‌آبادی برحسب وصیت حاجی علیخان نجف‌آبادی است، تاریخ وقف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انتهاء وقف‌نامه،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الی تحصیل مسائل الشریعة یکی از کتاب‌های مهم حدیث است که دانشمندان و فقها بسیار به آن رجوع نموده و از آن حدیث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روش کتاب‌های فقهی از کتاب طهارت شروع شده و به احکام دیات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دوازده فائده در موضوعات حدیث و رجال آورده که در کتاب‌های دیگر نیست و ارزشمند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بنابر تقسیم مؤلّف در شش جلد می‌باشد و سه مرحله را طی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جمع و تألیف، و کتاب نکاح در این مرحله به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مرحله دوم تهذیب و تنظیم و اضافه که به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مرحله سوم دقت در تصحیح و مقابله و تحقیق روایتها که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ابتداء کتاب طلاق تا پایان وسائل الشیعه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الطلاق، فهرست انواع الابواب اجمالا ابواب مقدماته و شرائطه، ابواب اقسامه و احکامه، ابواب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مقدماته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اعظم وسائل النجاة یوم الحساب و الحمد للّه الکریم الوهاب و الصلاة و السلام علی محمد و آله الذین اوتوا الحکمة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هفدهم رمضان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نسخه تصحیح شده و نسخه بدل دارد، عناوین و نشانها شنگرف، جلد تیماج سیاه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من شرایع الاسلام کافیة فی بیان الخطاب و نور قلوبنا من لوامع دروس الأحکام بما فیه 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ملکه مع اصالة بقاء غیره و عدم انتقاله و ملک الغیر له و فی المدة یحلف المنکر لاصالة عدم ما یدعیه الآخر من الزیادة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نورالدین بن عنایت‌اللّه شوشتری ، در روز شنبه هشتم شعبان المعظم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نسخه تصحیح شده، امضای بلاغ دارد، عناوین و نشانها شنگرف، دارای حواشی بسیار در متن و حاشیه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نعمة‌اللّه الحسینی الجزائری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ر سلّمه‌اللّه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و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برخی اوراق وصالی شده، جلد مقوایی عطف تیماج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المناهج السویة فی شرح 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بهاءالدین محمّد بن تاج‌الدین حسن اصفهانی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کتاب طهارت در این شرح مزجی و باقی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تا کتاب اعتکاف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بحث صلاة در هفدهم ربیع الاول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حاصل کرده است و نگارش مبحث اعتکاف در بیست و دوم شعبان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صدر بحمده مفخر کتبه المعجز لعباده من الجن و الأنس تصدیراً و جعله آخر دعوی أهل الجنان و سطر ذلک فی الکتاب تسطیراً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تجدد الحدث و التمکن فی الماء فلا منع له فی هذه الصلاة کما لایمنع منه فی آخر الوقت لأنا نقول لا نسلم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بی‌کا، بی‌تا، در ابتداء نسخه صورت وقفنامه مجتهد ربانی ملا عبدالرحیم بن حاجی علیخان حسب فرمایش حاج </w:t>
      </w:r>
    </w:p>
    <w:p>
      <w:pPr>
        <w:pStyle w:val="BookText"/>
        <w:rPr/>
      </w:pPr>
      <w:r>
        <w:rPr>
          <w:rFonts w:ascii="IRNazanin" w:hAnsi="IRNazanin" w:eastAsia="IRNazanin"/>
          <w:color w:val="111111"/>
          <w:sz w:val="28"/>
          <w:sz w:val="28"/>
          <w:szCs w:val="28"/>
          <w:rtl w:val="true"/>
          <w:lang w:bidi="fa-IR"/>
        </w:rPr>
        <w:t xml:space="preserve">ابوطالب مازندرانی بر کافه مؤمنین با سجع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در حاشیه تصحیح شده، نسخه بدل دارد، عناوین و نشانها شنگرف و یا نانوشته،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من شرایع الاسلام کافیة فی بیان الخطاب و نور قلوبنا من لوامع دروس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ملکه مع اصالة بقاء غیره و عدم انتقاله و ملک الغیر له و فی المدة یحلف المنکر لأصالة عدم ما یدعیه الأخر من الزیادة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حسن بن شیخ ابوجعفر بن ملا اسد بن حاجی صالح بن ملا رفیع رشتی گیلانی، در اول جمادی الثانی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معلا، عناوین شنگرف، دارای حواشی فراوانی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نسخه سه برگ قصیده سید اسماعیل حمیری با ترجمه فارسی منظوم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برگ اول تاریخ ولادت ابوحمزه در ظهر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شده و در پایان ولادت محمد </w:t>
      </w:r>
    </w:p>
    <w:p>
      <w:pPr>
        <w:pStyle w:val="BookText"/>
        <w:rPr/>
      </w:pPr>
      <w:r>
        <w:rPr>
          <w:rFonts w:ascii="IRNazanin" w:hAnsi="IRNazanin" w:eastAsia="IRNazanin"/>
          <w:color w:val="111111"/>
          <w:sz w:val="28"/>
          <w:sz w:val="28"/>
          <w:szCs w:val="28"/>
          <w:rtl w:val="true"/>
          <w:lang w:bidi="fa-IR"/>
        </w:rPr>
        <w:t xml:space="preserve">جواد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است،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چهار کتاب روایتی مهم شیعه است که شیعه به روایتهایشان اهمیت فراوان می‌دهد و در استنباط احکام فقهی به آنها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کتاب طهارت تا دیات و در پایان کتاب، شیخ صدوق سندهای خود را در مشیخه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شیخ صدوق در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ایلاق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شریف ابوعبداللّه محمد بن الحسن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 شریف از وی درخواست کرد کتابی در احکام فقه،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ذکریای رازی تألیف نماید، مؤلّف این خواهش را پذیرفت و این کتاب را از منابع روایتی شیعه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أحمدک و أشکرک و أومن بک و أتوکل علیک و أقر بذنبی إلیک و أشهدک أ نّی مقر بواحدانیتک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انبیائک و رسلک ثقل و أهل بیت فعلی و فاطمة و الحسن و الحسین أهل بیتی و ثقلی فأذهب عنهم الرجس و طهّرهم تطهیرا یا رب العالمین آمین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کاتب، دوشنبه شانزدهم ذی قعده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ابتدای باب‌ها شنگرف، در ابتدای کتاب وقفنامه‌ای بر علما و طالبان علم است که تولیت آن با نور چشمی عبدالجواد و </w:t>
      </w:r>
    </w:p>
    <w:p>
      <w:pPr>
        <w:pStyle w:val="BookText"/>
        <w:rPr/>
      </w:pPr>
      <w:r>
        <w:rPr>
          <w:rFonts w:ascii="IRNazanin" w:hAnsi="IRNazanin" w:eastAsia="IRNazanin"/>
          <w:color w:val="111111"/>
          <w:sz w:val="28"/>
          <w:sz w:val="28"/>
          <w:szCs w:val="28"/>
          <w:rtl w:val="true"/>
          <w:lang w:bidi="fa-IR"/>
        </w:rPr>
        <w:t xml:space="preserve">بعد از آن با حاکم شرع به تاریخ 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سراسر نسخه دارای بلاغ و تصحیح می‌باشد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علیّ ایده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منّی ایده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حنایی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الافهام الی تنقیح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معروفی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که در بخش عبادات این کتاب نسبتاً با اختصار و در بخش معاملات با تفصیل بیشتر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عبادات روز چهارشنبه سوم ماه رمضان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دیات اول ذی الحجه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قسم عبادات تا اول کتاب رهن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مسالک الافهام إلی تنقیح شرایع الاسلام و شرّح صدور من اختارهم من الأنام بایضاح مسائل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 ثبوت الضمان علیه باقراره أو البینة تقبل قوله فی قیمت المتاع لان الأصل برائة ذمته من الزائد عما یقربه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و خوانا، بی کا، بی تا،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شنگرف، عناوین دیگر در حاشیه و متن به شنگرف، اول هر کتاب با کاغذ رنگی مشخص شده است، دارای </w:t>
      </w:r>
    </w:p>
    <w:p>
      <w:pPr>
        <w:pStyle w:val="BookText"/>
        <w:rPr/>
      </w:pPr>
      <w:r>
        <w:rPr>
          <w:rFonts w:ascii="IRNazanin" w:hAnsi="IRNazanin" w:eastAsia="IRNazanin"/>
          <w:color w:val="111111"/>
          <w:sz w:val="28"/>
          <w:sz w:val="28"/>
          <w:szCs w:val="28"/>
          <w:rtl w:val="true"/>
          <w:lang w:bidi="fa-IR"/>
        </w:rPr>
        <w:t xml:space="preserve">وقف‌نامه از آقا عنبر خواجه حرم‌سرای پادشاه و تولیت آن را به مرحوم محمدصفی آباده‌ای واگذاشته است به تاریخ رمضان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در انتهای وقفنامه یک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در حاشیه تصحیح شده، و نسخه بدل دارد، پس از پایان نسخه دو صفحه روایات باب دین آمده است، جلد تیماج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القوانین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بن حسن گیلانی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کتاب اصولی عصرهای متأخر می‌باشد که قواعد فن را با تفصیل و استدلال گزارش کرده و در گفته‌های دیگران رد و ایراد می‌نماید و مورد اهتمام حوزه‌ها قرار گرفته و حواشی فراوانی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جلد و دارای یک مقدمه و هفت باب و یک خاتمه می‌باشد، و میرزا هنگام تدریس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عاملی برای گروهی از طلاب به تحریر این کتاب پرداخته و سلخ ربیع الثانی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تألیف آن را به پایان برده است، عناوین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رسم الاصول و موضوعه و نبذ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المحکم و المتشابه و 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 الخصوص</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و التعادل و الترجیح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أصول الفروع و فروع الأصول و أرشدنا إلی شرایع الأحکام بمتابعة الاحکام و سنة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 علیه‌السلام قال رسول‌اللّه صلی الله علیه و آله إذا أصبح قال لاصحابه هل من مبشرات یعین به الرؤیا و فی معناها بادوات اخری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محمدصالح حسینی ابن اسدالله ملقب به میرزا بزرگ، با چند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صالح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الخاطی محمد صالح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اسداللّه بن محمد صالح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چهارگوش ناخوانا، شروع کتابت در دارالاماره خسرو خانا در قصبه سنندج در نوزده سالگی کاتب و پایان کتابت 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دارالسلطنه اصفهان، صفحات مجدول، عناوین و نشانها شنگرف، دارای دستخط‌های تملک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ابن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دستخط به تاریخ‌های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وقف‌نامه کتاب توسط ملا عبدالرحیم نجف‌آبادی از طرف مرحوم عبداللّه </w:t>
      </w:r>
    </w:p>
    <w:p>
      <w:pPr>
        <w:pStyle w:val="BookText"/>
        <w:rPr/>
      </w:pPr>
      <w:r>
        <w:rPr>
          <w:rFonts w:ascii="IRNazanin" w:hAnsi="IRNazanin" w:eastAsia="IRNazanin"/>
          <w:color w:val="111111"/>
          <w:sz w:val="28"/>
          <w:sz w:val="28"/>
          <w:szCs w:val="28"/>
          <w:rtl w:val="true"/>
          <w:lang w:bidi="fa-IR"/>
        </w:rPr>
        <w:t xml:space="preserve">اصفهانی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انتهاء وقفنامه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ابتداء نسخه دو صیغه طلاق خلعی و رجعی مشاهده می‌شود، نسخه تصحیح شده، دارای حواشی از عباسقلی خان ابن امان‌اللّه خان والی کردستان، محمّدباقر حسینی، محمّدعلی نجفی و سلطان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الاحکام فی شرح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موسوی عاملی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معروفی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که تا پایان کتاب حج تألیف شده است و مؤلّف در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آن دست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ابتداء تا پایان کتاب صلاة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لآلائه المشکور لنعمائه المعبود لکماله المرهوب لجلاله الذی ارتفع شأنه عن مشابهة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الصلاة فی السفر رکعتان لیس قبلهما شیء و اللّه سبحانه اعلم بحقائق الاحکام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بی‌تا، تا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لو وقعت علیه النجاسة و هو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نام محمد بن حسن رحمه اللّه دارد، عناوین و نشانها در متن و حاشیه اول </w:t>
      </w:r>
    </w:p>
    <w:p>
      <w:pPr>
        <w:pStyle w:val="BookText"/>
        <w:rPr/>
      </w:pPr>
      <w:r>
        <w:rPr>
          <w:rFonts w:ascii="IRNazanin" w:hAnsi="IRNazanin" w:eastAsia="IRNazanin"/>
          <w:color w:val="111111"/>
          <w:sz w:val="28"/>
          <w:sz w:val="28"/>
          <w:szCs w:val="28"/>
          <w:rtl w:val="true"/>
          <w:lang w:bidi="fa-IR"/>
        </w:rPr>
        <w:t xml:space="preserve">نسخه و اواسط آن شنگرف و در مابقی نسخه عناوین نانوشته می‌باشد، در داخل جلد آخر یادداشتی دارد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حاجی محمدجعفر و آقا سید حسین هرچه‌ای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باقر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الزکوة التی هی لغة الطهارة و منه قتلت نفسا زکیة، قد أفلح من زکّیها، ما زکی منکم من احد، و النمو من ازکی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انصراف الاتصال من الثلاثة التی هی أقل الاعتکاف و علی کل تقدیر فلا یخفی علیک التحقیق فی الجمیع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حسین بن مرحوم حاجی ملا ابراهیم نجف‌آبادی اصفهانی، شنبه دوازدهم ماه ربیع الثانی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رؤوس مطالب بر فراز آن خط شنگرف دارد، ابتدای نسخه وقف‌نامه ملا عبدالرحیم نجف‌آبادی از برای والده خود دارد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با دو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 اللبیب عن کتب الاعاریب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عبداللّه بن یوسف ابن هشام نحوی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معروفی است در علم نحو که در مکه به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گشته است، این کتاب در هشت باب تألیف شده و مورد توجه بزرگان علم نحو قرار گرفته و شرح و حواشی بسیاری برای آن نوشته‌اند و سالیان درازی متن درس حوزه‌های علوم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مجلس،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و سیدنا الشیخ الامام العلاّمة جمال‌الدین رحلة الطالبین و عمدة العلماء المعاندین ابو محمد عبداللّه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 ذلک و لو ذکرت احرف الجر و دخول بعضها علی بعض فی معناه لجاء من ذلک أمثلة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صفرعلی بن اسماعیل نجف‌آبادی اصفهانی، روز شنبه چهاردهم ربیع الاخر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در حاشیه تصحیح شده، دارای حواشی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عناوین و نشانیها در متن و حاشیه شنگرف است، جلد چرم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رفیع‌الدین محمد بن فتح‌اللّه واعظ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و اخلاق اسلامی و موعظه است و به صورت مجالس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نظر داشته کتاب را در هشت جلد به تعدد درهای بهشت همچنان که از نامگذاری آن معلوم است تألیف نماید، ولی موفق به این کار نشده است و تا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اول و دوم را تمام کرد و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پس از او </w:t>
      </w:r>
    </w:p>
    <w:p>
      <w:pPr>
        <w:pStyle w:val="BookText"/>
        <w:rPr/>
      </w:pPr>
      <w:r>
        <w:rPr>
          <w:rFonts w:ascii="IRNazanin" w:hAnsi="IRNazanin" w:eastAsia="IRNazanin"/>
          <w:color w:val="111111"/>
          <w:sz w:val="28"/>
          <w:sz w:val="28"/>
          <w:szCs w:val="28"/>
          <w:rtl w:val="true"/>
          <w:lang w:bidi="fa-IR"/>
        </w:rPr>
        <w:t>فرزندش محمدشفیع باب سوم را در مجلدی مستقل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مقالی که سرخیل کاروان فنون محاورات تواند بود و خوشترین کلامی که به شادابی لآلی کلماتش تیغ زبان بیان را آبگیری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را بر عیوب ظاهر و باطن بینایی داده جمله را به فکر اصلاح حال خود اندازد به محمد و آله الطاهرین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بی کا، بی تا، چند صفحه اول ترمیم شده و اطراف آن آبدیده است، ولی به نوشته آسیب نرسانده، در حاشیه تصحیح دارد، عناوین نانوشته، جملات عربی دارای اعراب می‌باشد و حاشیه‌نویسی مختصری دارد، در پایان تملک غلامحسین ذوالفقاری به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مشکی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باقر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اول کتاب الصلاة تا بطلان الصلاة بالحدث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أرجو من ربی الکریم الرحمن الرحیم العلیم الحکیم الاعانة علی اتمام کتاب أحکام الصلوة التی تنهی عن الفحشاء و المنکر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التخییر له فی أیّ مکان شاء قعد و تشهد حتی المکان البعید المستلزم لجلّ منافیات الصلاة و غیر ذلک حصل القطع بأ نّها خرجت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زیبا و خوانا، بی‌کا، بی‌تا، در ابتداء نسخه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علامت وقف بر روی نوشته‌های صفحه اول، نسخه تصحیح شده، عناوین و نشانها شنگرف، جلد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اصفهانی</w:t>
      </w:r>
    </w:p>
    <w:p>
      <w:pPr>
        <w:pStyle w:val="BookText"/>
        <w:rPr/>
      </w:pPr>
      <w:r>
        <w:rPr>
          <w:rFonts w:ascii="IRNazanin" w:hAnsi="IRNazanin" w:eastAsia="IRNazanin"/>
          <w:color w:val="111111"/>
          <w:sz w:val="28"/>
          <w:sz w:val="28"/>
          <w:szCs w:val="28"/>
          <w:rtl w:val="true"/>
          <w:lang w:bidi="fa-IR"/>
        </w:rPr>
        <w:t>در معجزات و خوارق عادات حضرات معصومین علیهم‌السلام و پاره‌ای از فضائل و مناقب آنان به نثری نیکو و اشعاری از مؤلّف یا دیگران و مناسب اهل منبر و واعظان در سه مجلد بزرگ می‌باشد، جلد اول در معجزات پیامبر اکرم صلی الله علیه و آله جلد دوم در معجزات حضرت علی و حضرت زهرا علیهماالسلام ، نسخه حاضر جلد سوم است که مشتمل بر یک مقدمه و دوازده باب و یک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و ابواب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اوصیاء بعد از سید انبیاء و اثبات ایشان به دلیل عقل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حسن مجتبی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شهادت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زین‌العابدین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محمد 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جعفر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موسی کاظم علیه‌السلام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رضا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محمدتقی جواد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معزات امام علی النقی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حسن 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معجزات امام زمان مهدی موعود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فواید متفرقه و منافع کثیره از قصص و مواعظ و اخلاق که از ائمه اطهار علیهم‌السلام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سبزپوش چمن آل عبا حضرت امام حسن مجتبی است باب دوم در ذکر معجزات لاله بستان شهادت و سرور ریاض شاه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نیست حسنه بالاتر از صبر و نیست بد خوارکننده‌تر از کبر و نیست المی دردناک‌تر از زشت‌خویی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 تا، عناوین شنگرف، مقداری از متن صفحه اول و آخر به دلیل چسبانده شدن عطف بر روی نوشته‌ها محو شده؛ و علامت وقف در برخی صفحات نسخه مشهود می‌باشد،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الزکوة و هی لغة مطلق علی معنیین؛ الطهارة و الزیادة و النمو و من الأول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الوبیص، الوبیص بالصاد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یوفقنی لاکماله و الفوز بسعادة </w:t>
      </w:r>
    </w:p>
    <w:p>
      <w:pPr>
        <w:pStyle w:val="BookText"/>
        <w:rPr/>
      </w:pPr>
      <w:r>
        <w:rPr>
          <w:rFonts w:ascii="IRNazanin" w:hAnsi="IRNazanin" w:eastAsia="IRNazanin"/>
          <w:color w:val="111111"/>
          <w:sz w:val="28"/>
          <w:sz w:val="28"/>
          <w:szCs w:val="28"/>
          <w:rtl w:val="true"/>
          <w:lang w:bidi="fa-IR"/>
        </w:rPr>
        <w:t>الاختتام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بی‌کا، یکشنبه هشتم صفر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نسخه تصحیح شده، دارای حواشی مختصر می‌باشد، عناوین با قلم درشت با همان جوهر نوشته شده است، برخی عناوین در کنار صفحه ثبت شده است، ابتدای نسخه دارای وقف‌نامه ملا عبدالرحیم نجف‌آبادی حسب الوصیة حاجی محمدعلی بن حاجی علیجان به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بالایی اوراق آب رسیده، ولی به نوشته آسیب نرسیده است، جلد تیماج قهوه‌ای سوخته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رفیع‌الدین محمد بن فتح‌اللّه واعظ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مقالی که سرخیل کاروان فنون محاورات تواند بود و خوشترین کلامی که به شادابی لآلی کلماتش تیغ زبان را آبگیری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ادویه‌ی آثار و اخبار مذکوره سازگار و گوارا گردانیده توفیق اتمام باقی ابواب را بر وجه خیر کرامت فرماید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اسداللّه بن عبدالرحیم شیروانی،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نشانها شنگرف، ابتدای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عبدالراجی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p>
    <w:p>
      <w:pPr>
        <w:pStyle w:val="BookText"/>
        <w:rPr/>
      </w:pPr>
      <w:r>
        <w:rPr>
          <w:rFonts w:ascii="IRNazanin" w:hAnsi="IRNazanin" w:eastAsia="IRNazanin"/>
          <w:color w:val="111111"/>
          <w:sz w:val="28"/>
          <w:sz w:val="28"/>
          <w:szCs w:val="28"/>
          <w:rtl w:val="true"/>
          <w:lang w:bidi="fa-IR"/>
        </w:rPr>
        <w:t>چند برگ اول پارگی دارد و مقداری از نسخه ترمیم شده است، جلد تیماج مشکی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فی احکام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مسائل اختلافی علماء شیعه در فقه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ذکر مسائل اختلافی، نظر خویش را بیان فرموده و مسائل غیر اختلافی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ابتدای طهارت تا دیات در هفت جلد است که حدود ده سال تألیف آن به طول انجامیده و در روز پانزدهم ذی قعده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التجارة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وجوه الاکتساب مسائل قال الشیخ فی النهایه جمیع النجاسات یحرم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 اولا لأ نّه لا یمین للعبد مع المولی فإذا حلف بغیر إذن مولاه کان للمولی منعه منها فلا کفارة لأ نّه فعل سائغ لا یوجب عقوبة التکفیر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علیرضا بن عباسعلی خوانساری، شنبه دهم رمضان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عناوین و نشانیها در حاشیه و متن شنگرف، برخی عناوین در حاشیه به شنگرف یا مشکی درشت آمده است، یادداشت تمکی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نسخه موجود است، جلد تیماج </w:t>
      </w:r>
    </w:p>
    <w:p>
      <w:pPr>
        <w:pStyle w:val="BookText"/>
        <w:rPr/>
      </w:pPr>
      <w:r>
        <w:rPr>
          <w:rFonts w:ascii="IRNazanin" w:hAnsi="IRNazanin" w:eastAsia="IRNazanin"/>
          <w:color w:val="111111"/>
          <w:sz w:val="28"/>
          <w:sz w:val="28"/>
          <w:szCs w:val="28"/>
          <w:rtl w:val="true"/>
          <w:lang w:bidi="fa-IR"/>
        </w:rPr>
        <w:t>مشکی و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 فتح‌اللّه بن شکراللّه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فارسی نسبتاً مفصلی است که به ذکر اقوال مفسرین پرداخته و مسائل ادبی که به فهم آیات کمک می‌کند ذکر کرده است، مؤلّف در این کتاب به بسیاری از اخبار اهل سنت اشاره داشته و آن را الزام و حجتی بر آنان قرار داده است، در ضمن تاریخ پایان بعضی قسمتهای آن بیان شده، مثلاً سوره انفال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ابتداء سوره مریم تا پایان سوره فاطر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مریم؛ ابی بن کعب روایت کرده از حضرت رسول صلی الله علیه و آله که هر که سوره مریم بخواند حق تعالی او را ده حسنه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می‌داند که متحقق هلاکت کیست و لایق نجات و خلاص کدام و هریک را فراخور او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بالخیر انشاء اللّه تعالی وحده العزیز</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بی کا، بی تا، آیات شنگرف و معرب، دارای وقفنامه از آقا محمد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نخودبریزان و تولیت آن را به زین‌العابدین نیکاقاری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وقفنامه محو شده است، در بالای نسخه شروع به صحافی را غرّه ذیقعده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برگ‌های فرسوده نسخه تماماً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سوره‌ها در بالای سمت چپ اکثر </w:t>
      </w:r>
    </w:p>
    <w:p>
      <w:pPr>
        <w:pStyle w:val="BookText"/>
        <w:rPr/>
      </w:pPr>
      <w:r>
        <w:rPr>
          <w:rFonts w:ascii="IRNazanin" w:hAnsi="IRNazanin" w:eastAsia="IRNazanin"/>
          <w:color w:val="111111"/>
          <w:sz w:val="28"/>
          <w:sz w:val="28"/>
          <w:szCs w:val="28"/>
          <w:rtl w:val="true"/>
          <w:lang w:bidi="fa-IR"/>
        </w:rPr>
        <w:t>صفحات آمده است، جلد تیماج حنایی در اطراف و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فی شرایع الاسلام کافیة فی بیان الخطاب و نوّر قلوبنا فی لوامع دروس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مقدار ما أخرجه منه عن ملکه مع اصالة بقاء غیره و عدم انتقاله و ملک الغیر له و فی المدة یحلف المنکر لاصالة عدم ما یدعیه الآخر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بی‌کا،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متن لمعه با خط مشکی بر روی آن مشخص شده است، نسخه تصحیح شده و دارای حواشی در متن و حاشیه به دو قلم آبی و مشکی می‌باشد، در آخر نسخه فهرست مختصری از مطالب کتاب و یک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باقر بن محمدتقی الحسینی کرونی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جلد چرم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من شرایع الاسلام کافیة فی بیان الخطاب و نوّر قلوبنا من لوامع دروس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الباعث علیه أی علی المذکور المدلول علیه بالفعل أو علی تصنیف الکتاب و إن کان اسمه مونثاً اقتضاء أی طلب بعض الطلاب و قد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محمدعلی بن مرحوم حاج حسین‌خان،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با 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رنگ اوراق متفاوت، متن لمعه شنگرف یا بر فراز آن خط شنگرف دارد، شیرازه اوراق بهم خورده است، آخر نسخه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مقداری از آن را محو کرده‌اند موجود می‌باشد، جلد چرم گل و بوته با رنگ و روغن و آسیب 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عبدالرحیم بن علی نجف‌آبادی اصفهانی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دوره بحث استدلالی در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حجیت مفاهیم آن در جمادی الاول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این کتاب در تهران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سنگی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أسس مبادی الأحکام لتمهید قواعد الدین و مهّد قوانین الأصول لتهذیب حقایق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لو کانا من الأئمة علیهم‌السلام لعدم جواز النسخ فیه مع عدم ترجیح الدلالتی و الخارجی فیرجح القطعی و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عناوین شنگرف، رؤوس مطالب با خط شنگرف بر فراز آن نشانی دارد، در چند جا مطالب نانوشته مانده، مثل برگ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السادس، مؤلّف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قسمت دوم کتاب را به پایان برده است، از حدود نیمه دوم کتاب حک و اصلاح فراوان دارد که با قلمی متفاوت از متن انجام گرفته است و به گمانم متن کتابت شده و مؤلّف متن را اصلاح نموده و برخی موارد خط زده و اصلاح کرده یا حتی یک صفحه را دوباره تحریر نموده است، دارای وقف‌نامه ملا عبدالرحیم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مؤلّف است که کاتب با عنوان روحی فداه تعبیر کرده است، در پایان وقفنامه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جلد چرم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اسماعیل حائری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شرح حال راویان حدیث را که در منهج المقال استرآبادی آمده است را به </w:t>
      </w:r>
    </w:p>
    <w:p>
      <w:pPr>
        <w:pStyle w:val="BookText"/>
        <w:rPr/>
      </w:pPr>
      <w:r>
        <w:rPr>
          <w:rFonts w:ascii="IRNazanin" w:hAnsi="IRNazanin" w:eastAsia="IRNazanin"/>
          <w:color w:val="111111"/>
          <w:sz w:val="28"/>
          <w:sz w:val="28"/>
          <w:szCs w:val="28"/>
          <w:rtl w:val="true"/>
          <w:lang w:bidi="fa-IR"/>
        </w:rPr>
        <w:t>همراه مطالب سودمندی از منابع رجالی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تحقیقات کوتاهی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ذکر راویان مجهول الحال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پنج مقدمه در احوال ائمه علیهم‌السلام ، و در پایان دوازده فایده رجالی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رفع منازل الرواة بقدر ما یحسنون من الروایة عن الائمة الهداة و نشکرک یا من عرفنا مراتبهم و درجاتهم علی نحو ضبطهم عن ائمتهم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ربما مشعر منه بکونه مرضیاً عنده سیما مع ما قدم فی أول کتابه و روی هو عن أبی القاسم 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عناوین و نشانها شنگرف، دارای حواشی اندکی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دارای حواشی منظمی تا پایان کتاب از محمد القاینی الخراسانی عفی عنه و در جایی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الاستاد السید محمدباقر دام ظله، روی برگ دوم وقفنامه‌ای است از ملا عبدالرحیم نجف‌آبادی به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در حاشیه نسخه اسم اشخاصی همچون عبدالعظیم حسینی، و شاه چراغ به شنگرف آمده است، جلد تیماج حنایی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جواهرالکلام فی 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محمدحسن بن باقر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الاقسام الأربعة التی بنی علیها الکتاب فی العقود جمع عقد و هی لغة ضد الحل و شرعاً قول من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 نّه یتعین الصحة حینئذٍ الإذن من المولی و الأمر سهل بعد أن اتضح لک تحقیق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از ابتدای کتاب تجارت تا کتاب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در حاشیه تصحیح شده، مهدی بن ملا زین‌العابدین، سوم ماه جمادی الاول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بالای عناوین خط شنگرف، در ابتدای نسخه وقفنامه ملا عبدالرحیم نجف‌آبادی به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قهوه‌ای سوخته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بن فضل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بسیار معروفی است و بنابر ادعای الذریعه، مثل آن نوشته نشده است؛ مولّف در این تفسیر پس از انتخاب قطعه‌ای از آیات، مکی یا مدنی بودن آن را مشخص کرده، سپس مواضع اختلاف قرائت را بیان کرده همچنین ابحاث لغوی، اعرابی، اسباب نزول، معنی، تأویل، احکام و قصص و آن را آورده، ایشان در ابتدای کتاب هفت فن را به </w:t>
      </w:r>
    </w:p>
    <w:p>
      <w:pPr>
        <w:pStyle w:val="BookText"/>
        <w:rPr/>
      </w:pPr>
      <w:r>
        <w:rPr>
          <w:rFonts w:ascii="IRNazanin" w:hAnsi="IRNazanin" w:eastAsia="IRNazanin"/>
          <w:color w:val="111111"/>
          <w:sz w:val="28"/>
          <w:sz w:val="28"/>
          <w:szCs w:val="28"/>
          <w:rtl w:val="true"/>
          <w:lang w:bidi="fa-IR"/>
        </w:rPr>
        <w:t xml:space="preserve">عنوان مقدمه ذکر کرده و فرموده که شناخت این فنون برای کسی که قصد ورود در علوم قرآن را دارد لازم است، کتاب در ده جزء بیان شده و در روز پنج شنبه نیمه ذی قعده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 تا پایان 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ارتفعت عن مطارح الفکر جلالته و جلت عن مطامع الهمم عزته و تعالت عن مشابهة الانام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لو ذکر الثواب جاز أن یتوهم أ نّه لم یکن منه عصیان و قیل اراد سبحانه، افتتح السورة بالحمد علی نعمه تعلیما و ختمها بالمغفرة و الرحمة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محمد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تفسیر سوره مائده، یادداشت مقابله‌ای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عبدالرحمن بن محمد العبائی؟ در همین صفحه آمده است، آیات و بسیاری از متون معرّب، عناوین شنگرف، اوراق ترمیم شده است و اکثر آنها آب دیده ولی به نوشته کمتر آسیب زده است، دو برگ از اول و آخر بازنویسی شده است، نسخه در حاشیه نشان تصحیح دارد، در ابتدای نسخه وقف‌نامه حاجی محمد خراسانی با تولیت دو فرزندش محمدقاسم و محمدابراهیم به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ابتداء نسخه تملک ابوالحسن امامی با مهر چهارگوش ناخوانا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دست خط مرحوم آیت‌اللّه احمدیان نجف‌آبادی موجود است، جلد تیماج قهوه‌ای سوخته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ابتداء تا پایان کتاب المعیشة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صلی اللّه علیه و آله رئوفا رحیما فلما انقضت مدته و استکملت أیامه توفاه اللّه عز و جل و قبضه إلیه و هو عنداللّه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سمعت رسول اللّه صلی الله علیه و آله یقول الرزق عشرة اجزاء تسعة اجزاء فی التجارة و واحدة فی غیرها تم کتاب المعیشة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خواجه علی بن محمد بن هاشم مشهدی،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نسخه دارای بلاغات و تصحیح است، دارای خاتمه بلاغ و قرائت است به چند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محرم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الفقیر الی اللّه الغنی بدرالدین بن احمد الحسینی العاملی، تملک محمد بن حاجی محمدمهدی مدعوبه مهدوی، عناوین و نشانها شنگرف، دارای حواشی مختصر، یادداشت تملکی از علی بن ملا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رویی ندارد، پشت جلد تیماج قهوه‌ای سوخته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نسخ معرب نیکو، ابراهیم بن کربلائی نادعلی ساکن نجف‌آباد،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سوره حمد را در آغاز ندارد، آغاز جزء و حزبها در حاشیه با شنگرف مشخص شده، علائم و نشانیها شنگرف، در ابتدا و پایان نسخه یادداشت شده که این قرآن وقف بر مدرسه آشیخ ابراهیم ریاضی نجف‌آبادی می‌باشد، برگ‌های اول و آخر کتاب فرسودگی دارد،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فتح‌اللّه بن شکراللّه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ابتدای سوره حمد تا انتهای سوره کهف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مشتمل باشد بر بیان احادیث و اخباری که دلالت کند بر ترغیب قرائت قرآن و دانستن معانی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ابوعبداللّه مروی است که هیچ کس نباشد که او نزد خوابیدن آخر سوره الکهف بخواند مگر بیدار شود در ساعتی که خواهد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محمدیار؟،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نسخه در حاشیه تصحیح شده، صفحات اول و آخر نسخه فرسوده شده و مقداری از نوشته‌ها از بین رفته و نسخه ترمیم شده است، آیات قرآن معرب درشت با خط شنگرف بر فراز آن نشانی </w:t>
      </w:r>
    </w:p>
    <w:p>
      <w:pPr>
        <w:pStyle w:val="BookText"/>
        <w:rPr/>
      </w:pPr>
      <w:r>
        <w:rPr>
          <w:rFonts w:ascii="IRNazanin" w:hAnsi="IRNazanin" w:eastAsia="IRNazanin"/>
          <w:color w:val="111111"/>
          <w:sz w:val="28"/>
          <w:sz w:val="28"/>
          <w:szCs w:val="28"/>
          <w:rtl w:val="true"/>
          <w:lang w:bidi="fa-IR"/>
        </w:rPr>
        <w:t>دارد، در پایان نسخه در برگ سفیدی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 و اهتمام اینجانب جعفر دیانی و به همراهی آمیرزا عباس ایران‌نژاد ولد مرحمت پناه حاجی محمدصادق صحافی شد، سلخ شوال المکرم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جلد تیماج حنائی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فتح‌اللّه بن شکراللّه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از ابتدای سوره مریم تا پایان سوره فاطر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بن کعب روایت است که رسول خدا صلی الله علیه و آله فرمود که هر که سوره مریم بخواند حق تعالی او را ده حسنه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 به نوائر غضب بگدازد و کسی را به قضا و قدرش کاری نیست و صلاح خلق را که خواهد می‌سازد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نیمه جمادی الثانیه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عناوین شنگرف، صفحه اول نسخه بازنویسی شده، آیات قرآن معرب و شنگرف یا بر فراز آن خط شنگرف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و در حاشیه نسخه بدل دارد، در ابتدای نسخه چند تاریخ تولد از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در کنار صفحه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الکتاب من جملة کتب آیة اللّه الحاج الشیخ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النجف‌آبادی و قد وقفه ابنه حجة‌الاسلام والمسلمین الحاج الآغا الحججی ج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جلد تیماج حنایی، جلد پشت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بن شکر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از ابتدای سوره توبه تا آخر کهف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التوبة، بسمله، رب تمّم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المجلدة الثالثة من المجلدات الخمس من تفسیر منهج الصادقین فی الزام المخالفین همه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خوابیدن آخر سوره الکهف بخواند مگر که بیدار شود در آن ساعتی که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خصایص آیات با برکات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و خوانا، بی کا، بی تا، آیات شنگرف، در حاشیه تصحیح شده و نسخه بدل دارد، دارای حواشی است که اغلب از تفسیر بیضاوی با نستعلیق نوشته شده است، این نسخه نیز از کتب آیت اللّه حاج شیخ احمد حججی می‌باشد که فرزندش در تاریخ جمادی الاولی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نموده است، مقداری از صفحه آخر به علت صحافی نامناسب قابل استفاده نیست، جلد تیماج قهوه‌ای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الصادقین فی الزام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فتح‌اللّه بن شکراللّه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از سوره یس است تا پایان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المجلدة الخامسة عن المجلدات الخمسة من تفسیر منهج الصادقین فی الزام المخالفین سورة یس؛ این سوره مکی است نزد جمیع 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ذریعة لشفاعة سید الأنبیاء و سید الأوصیاء و آلهما الذی هم مصابیح الدجی و أئمة الهدی و یرحم اللّه عبدا 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خوانا، بی کا، عصر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آیات معرب با خط شنگرف بر فراز آن نشانی دارد، در حاشیه تصحیح شده و نسخه بدل دارد، با تطابق خط این نسخه و نسخه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کاتب هر دو یکی بوده است، این نسخه نیز از کتب آیت‌اللّه حاج شیخ احمد حججی می‌باشد که فرزندش در جمادی 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نموده است، در حاشیه صفحه آخر چند تاریخ تولد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الاذهان الی احکام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نسبتاً مختصری است که شامل تمام ابواب فقهی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پانزده هزار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این کتاب را به درخواست فرزندش فخر المحققین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شوال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پایان رسیده است، بر این کتاب شروح بسیاری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عدداً و الا فالعدد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الثالث فی أسباب الغسل إنّما یجب بالجنابة و الحیض و الاستحاضة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یتساوی المرأة و الرجل فی دیات الأعضاء و الجراح حتی یبلغ ثلث دیة الطفل الرجل ثم تصیر علی النصف سواء کان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در حاشیه تصحیح شده، صفحات اول نسخه دارای حواشی بسیار با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عناوین و نشانها شنگرف و از اواسط نسخه عناوین نانوشته می‌باشد، جلد روی نسخه موجود نمی‌باشد، جلد پشت تیماج حنائی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بن محمدنقی حجت‌الاسلام شفتی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سؤال و جواب‌هایی را به ترتیب کتب فقهی از احکام طهارت تا دیات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پاسخ‌ها به صورت استدلالی و مفصل بیان شده و بعضی دیگر به صورت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ابتدای کتاب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احکام متفرقه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فی الاصول سؤال هرگاه شخصی تقلید مجتهدی را از مجتهدین زاد اللّه </w:t>
      </w:r>
    </w:p>
    <w:p>
      <w:pPr>
        <w:pStyle w:val="BookText"/>
        <w:rPr/>
      </w:pPr>
      <w:r>
        <w:rPr>
          <w:rFonts w:ascii="IRNazanin" w:hAnsi="IRNazanin" w:eastAsia="IRNazanin"/>
          <w:color w:val="111111"/>
          <w:sz w:val="28"/>
          <w:sz w:val="28"/>
          <w:szCs w:val="28"/>
          <w:rtl w:val="true"/>
          <w:lang w:bidi="fa-IR"/>
        </w:rPr>
        <w:t>امثالهم نماید در حال حیات آن مجتهد آیا بعد از ممات او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اختیار تا مظنه به تحقق این حالت در حق او همه سه بعد از مظنه بتحقق حالت مسطوره محکوم به عدالت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بسیار زیبا، غلامرضا عطار ابن محمدحسین الاصفهانی، روز چهارشنبه بیست و چهارم جمادی الاول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عناوین شنگرف و صفحات مجدول به زر و مشکی و لاجورد، برخی حواشی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مقابله شده و امضای بلاغ دارد، در حاشیه تصحیح شده، اول نسخه فهرست مطالب کتاب توسط کاتب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همچنین در ابتداء نسخه یادداشت وقف کتاب به تاریخ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دارای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محمدهادی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هر بخشی مقداری صفحه‌های سفید گذاشته شده تا افزوده شود، جلد تیماج حنایی و مقوا و از نسخه نیست و نسخه را بین آن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اصفهانی</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چنین گوید تراب اقدام دوستان ابوتراب امیرالمؤمنین و گل چین بساطین مناقب ائمه طاهرین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سید من حکم میان من و آنها که بر من ستم کردند خداوندا حکم کن میان من و آنها که فرزندان مرا شهید کردند پس دریای قهاریت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 تا، عناوین شنگرف، بر فراز برخی کلمات با خط شنگرف نشانی دارد، نسخه در حاشیه تصحیح شده، و دارای حواشی مختصری می‌باشد، در برخی صفحات بین سطور علامت وقف دارد، مقداری از برگ‌ها فرسوده و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وقف‌نامه مشهدی نورمحمد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خیراللّه نجف‌آبادی وقف بر مؤمنین و متوطنین قریه نجف‌آباد به تاریخ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المبارک سنه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بر روی جلد کتاب تملک کربلائی احمد مشهد علی محمد نجف‌آبادی مشهود است، جلد تیماج سیاه و عطف قهوه‌ای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مجاهد حائری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ابتدا مصابیح نام داشته که مؤلّف بعداً عناوین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ـ 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مناهل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نگارش این کتاب در چهارشنبه دهه آخر شوال سال </w:t>
      </w:r>
      <w:r>
        <w:rPr>
          <w:rFonts w:eastAsia="IRNazanin" w:cs="IRNazanin"/>
          <w:color w:val="111111"/>
          <w:sz w:val="28"/>
          <w:szCs w:val="28"/>
          <w:lang w:bidi="fa-IR"/>
        </w:rPr>
        <w:t>1238</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 و الصلوة و السلام علی خیر خلقه محمد و آله الطاهرین القول فی کتاب الزکوة، منهل الزکوة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مخالفة مثل الشیخ و غیره من علمائنا،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کثیر من الاخبار الواردة فی الحدود من اختصاص اقامتها بالامام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عبدالحسین بن حاج عباس، جمعه جمادی الاول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کتاب خمس، عناوین و نشانیها شنگرف، ابتدای نسخه وقفنامه حاج ملا عبدالرحیم نجف‌آبادی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در حاشیه تصحیح شده و دارای حواشی مختصری می‌باشد، در حاشیه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پایان کتاب الحج آمده، قد تم بالخیر لا بالشر لاخ الاعز ملا عبدالرحیم الاصفهانی الاصل، جلد تیماج سیاه ضربی گل و بوته‌دار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فی شرح 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نعمت‌اللّه بن عبداللّه موسوی الجزایری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شرحی مفصل در دوازده جلد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 و پس از مدتی شرح حاضر را که در هشت جلد است از آن شرح با دگرگونیهائی اختصار نموده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شرح به چند روایت باب یکجا اشاره کرده، پس از آن در هر کدام از حیث سند و متن گفتگو می‌کند، و در آغاز مقدمه‌ای است دارای مطالبی پیرامون بحثهائی در </w:t>
      </w:r>
    </w:p>
    <w:p>
      <w:pPr>
        <w:pStyle w:val="BookText"/>
        <w:rPr/>
      </w:pPr>
      <w:r>
        <w:rPr>
          <w:rFonts w:ascii="IRNazanin" w:hAnsi="IRNazanin" w:eastAsia="IRNazanin"/>
          <w:color w:val="111111"/>
          <w:sz w:val="28"/>
          <w:sz w:val="28"/>
          <w:szCs w:val="28"/>
          <w:rtl w:val="true"/>
          <w:lang w:bidi="fa-IR"/>
        </w:rPr>
        <w:t>درایه و مربوط به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نستعین الحمد للّه الذی جعل احادیث اهل البیت علیهم‌السلام مرقاة للنجاة و تهذیب کلامهم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یدخلها فی حج و لا عمرة یجوز أن یکون الإشارة إلی أ نّه صلی الله علیه و آله لو دخلها فیهما صلی صلوة الطواف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صفرعلی بن مرحوم اسماعیل صفرعلی نجف‌آبادی اصفهانی، چهاردهم ربیع‌الاول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عناوین و نشانیها شنگرف، اول نسخه وقفنامه کتاب به تاریخ 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محمدجعفر بن محمدصفی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حاشیه تصحیحات مختصری دارد، جلد تیماج قهوه‌ای سوخته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باقر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کتاب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الذی هو فی اللغة للوطی عند المشهور بل عن المختلف الاجماع علیه بمعنی اتفاق أهل اللغة قال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فرق فی الأموال بین العقار و الکتب و الثیاب و غیرها و التحقیق عدم </w:t>
      </w:r>
    </w:p>
    <w:p>
      <w:pPr>
        <w:pStyle w:val="BookText"/>
        <w:rPr/>
      </w:pPr>
      <w:r>
        <w:rPr>
          <w:rFonts w:ascii="IRNazanin" w:hAnsi="IRNazanin" w:eastAsia="IRNazanin"/>
          <w:color w:val="111111"/>
          <w:sz w:val="28"/>
          <w:sz w:val="28"/>
          <w:szCs w:val="28"/>
          <w:rtl w:val="true"/>
          <w:lang w:bidi="fa-IR"/>
        </w:rPr>
        <w:t>حرمة ما لا یعد سفهاً و سرفاً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عصر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بالای عناوین و رؤوس مطالب خط شنگرف، دارای حواشی در صفحات اول نسخه و دارای نسخه بدل می‌باشد، علامت بلاغ دارد و در پایان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و الحمد للّه رب العالمین مقابلةً علی نسخة المصنف سلمه اللّه تعالی و ابقاه بمحمدٍ و آله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قهوه‌ای سوخته ضربی زرکوب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مطلع الخصوص فی 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محمود بن محمد رومی قیصری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معروفی بر فصوص الحکم محی الدین عربی است که دارای مقدمه‌ای در چند فصل است مؤلّف اصول عرفان و تصوف را بیان فرموده و این کتاب را به غیاث الدین رشیدالدین تقدیم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عین الأعیان بفیضه الاقدس الاقدم و قدّرها بعلمه فی غیب ذاته و تمم و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یقول الحق بلسان الکاملین و یهدی سبیله للمتوجهین إلیه و الطالبین و هو الموفق إلی الرشاد و منه المبدأ و إلیه المعاد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بی‌کا،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مقدمه، عناوین و نشانیها شنگرف، جلد تیماج مشکی ضربی فرسوده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کتاب الزکاة تا پایان کتاب الاعتکاف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نبیه محمد و آله، کتاب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الزکوة و هی لغة تطلق علی معنیین الطهارة و الزیادة و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أن یقال إنّ الحکم بوجوب شیء موقوف علی الدلیل الواضح و أمثال هذه التعلیلات لتأسیس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علی بن حبیب بن شکراللّه اصفهانی الاصل و النجفی مسکنا، دوازدهم جمادی الاول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دارای علائم بلاغ است، در حاشیه نسخه بدل دارد، عناوین مشکی درشت یا نانوشته، چرم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الی تنقیح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شرایع الاسلام محقق حلی، در قسمت عبادات به طور مختصر و در قسمت معاملات مفصل و همراه استدلال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مدت نه ماه تألیف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اواسط کتاب طلاق تا پایان کتاب دیات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الربع بینهن بالسویة و لو کان له ولد تساوین فی الثمن، و وجه التقیید بالدخول بالجدیدات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الاسلام و الاصح مراعات الابتداء و الخاتمة کما مر و هو یرجع بناء إلی اعتبار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محمدحسن، نهم شعبان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عناوین شنگرف، بالای متن شرائع خط شنگرف، در حاشیه تصحیح شد، و نسخه بدل دارد، دارای وقف‌نامه حاجی ملا محمد بر طلبه علوم دینی نجف‌آباد به تاریخ رجب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محمدنقی حجت‌الاسلام شفتی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بسیار مفصلی است در شش جلد بر کتاب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سال‌های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أحکم شرایع الدین بمطالع الانوار و مسالک الیقین و اتقنها بمدارک الاحکام و قواعد الارشاد تهذیبا للعالمین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به ختمت شرافة الرسالة و أشرف أولیائک الذی حاز مراتب الولایة و </w:t>
      </w:r>
    </w:p>
    <w:p>
      <w:pPr>
        <w:pStyle w:val="BookText"/>
        <w:rPr/>
      </w:pPr>
      <w:r>
        <w:rPr>
          <w:rFonts w:ascii="IRNazanin" w:hAnsi="IRNazanin" w:eastAsia="IRNazanin"/>
          <w:color w:val="111111"/>
          <w:sz w:val="28"/>
          <w:sz w:val="28"/>
          <w:szCs w:val="28"/>
          <w:rtl w:val="true"/>
          <w:lang w:bidi="fa-IR"/>
        </w:rPr>
        <w:t>آلهما أصحاب العصمة و الجلالة و الطهارة علیه و علیهم آلاف السلام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 تا، عناوین شنگرف و مباحث در کنار صفحه با شنگرف مشخص شده است، در حاشیه تصحیح شده است، در حاشیه امضای بلاغ و نسخه بدل دارد،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فی احکام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محمدمهدی نراقی کاشانی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دوره فقه کامل استدلالی است که کتاب صلاة آن در روز جمعه دهم شعبان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مطاعم و مشارب آن دهه آخر جمادی الاول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قضا شب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 و لها معان؛ منها المعروف بین المتشرعه و لیست فیه حقیقة لغویة لاصالة عدم الاشتراک وعده جماعة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الروایه و إن کان الوجوب إلاّ أنه لا قائل به فیحمل علی مطلق الثبوت أو تأکد الاستحباب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نام کاتب پاک شده،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دارای حواشی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نانوشته مانده و در متن آمده که جدول رسم </w:t>
      </w:r>
    </w:p>
    <w:p>
      <w:pPr>
        <w:pStyle w:val="BookText"/>
        <w:rPr/>
      </w:pPr>
      <w:r>
        <w:rPr>
          <w:rFonts w:ascii="IRNazanin" w:hAnsi="IRNazanin" w:eastAsia="IRNazanin"/>
          <w:color w:val="111111"/>
          <w:sz w:val="28"/>
          <w:sz w:val="28"/>
          <w:szCs w:val="28"/>
          <w:rtl w:val="true"/>
          <w:lang w:bidi="fa-IR"/>
        </w:rPr>
        <w:t>کنند، ولی در نسخه جدول‌ها رسم نشده است، نسخه در حاشیه تصحیح شده، در چند جای نسخه بلاغ دارد، جلد تیماج سیاه با رنگ و روغن و مجدول که فرسوده شده است عطفِ جلد تیماج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اصفهانی</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جامع المعجزات کلام حکمت نظام متکلمی است دل کلامه علی کماله که لآلی حمد و ثنایش درّة التاج تارک سخن‌سنجان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شهر و دیار ثمین و سودمند نماید بحق محمد و آله اجمعین لمؤلّفه شکر که پیش از اجل کار به سامان رسید؛ عمر به سر نامده نامه به عنوان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نهم ذی الحجه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عناوین در متن و حاشیه شنگرف و برخی بالای آن خط شنگرف کشیده شده است، آیات قرآن و عبارات عربی معرب و بر فراز آن خط شنگرف دارد، نسخه تصحیح شده، دارای وقف‌نامه ملاّ عبدالرحیم نجف‌آبادی است، وصایت از طرف حاجی محمدابراهیم اخ اعیانی خود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تیماج قهوه‌ای ضربی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الی تنقیح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حمدله، القسم الثانی فی العقود و فیه خمسة عشر کتابا؛ کتاب التجارة، قد سبق فی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 یا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لو طلق أربعاً فی مرضه و تزوج إربعاً و دخل بهنّ ثم 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الوصایا، عناوین با خط شنگرف مشخص شده و برخی نیز با شنگرف نوشته شده، صفحات آغازین تصحیح‌هایی در حاشیه دارد، در حاشیه نسخه بدل دارد، نسخه مقابله شده با علائم بلاغ، عبارات متن شرائع بر فراز آن خط شنگرف دارد، در ابتداء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اولاد ذکور و طلبه علوم قریه نجف‌آباد می‌باشد و تفصیل آن در ظهر کتب دیگر که از مرحمت پناه غفران مآب حاجی ملاّ محمد است، رجب‌المرجب سنه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در اواسط نسخه یک ورق با قلم دیگر بازنویسی شده است، حدود بیست صفحه آخر اوراق آسیب دیده ولی نوشته‌ها سالم و خوانا است، جلد تیماج مشکی با رنگ و روغن و گل و بوته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جلد و به زبان فارسی نوشته شده، جلد اول آن درباره اثبات نبوت خاصه و حالات پیامبر اکرم صلی الله علیه و آله است و جلد دوم درباره اثبات امامت و فضائل و مناقب ائمه اطهار علیهم‌السلام است که بر اساس کتابهای معتبر شیعه و اهل سنت است و دلایل عقلی و نقلی را بر امامت ائمه اطهار علیهم‌السلام با قلمی ساده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حدیقة‌الشیعة، تصحیح صادق حسن زاده، مقدمه،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زیب و آرایش آغاز و انجام نعوت و صفات انبیای عظام و اوصیای کرام حمد و سپاس ملکی است علام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مخالفان را باعث اهتدا و استبصار شود و این ضعیف را حق تعالی از دوستان دوستان امیرالمؤمنین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غلام حسین بن کربلایی علی‌اکبر اطوکش تهرانی الاصل رشتی المسکن، یک شنبه نهم جمادی الاول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عناوین و رؤوس مطالب شنگرف، صفحات مجدول، عبارات عربی معرب، چند برگ اول آن مرمت شده، تملک کربلایی علی‌اکبر اطوکش تهرانی الاصل رشتی المسکن ابن مشهدی ابوالحسن تهرانی، در ابتداء اهداء جناب مستطاب مروج الاحکام حاج شیخ غلامحسین ذاکر به کتابخانه مدرسه الحجه نجف‌آباد به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حسینعلی منتظری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اواسط کتاب الصلاة تا پایان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بقیة الصلوات و فیه فصول؛ الفصل الاول فی صلوة الجمعة و فیه مقدمة و مطالب المقدمة فی فضل یوم الجمعة و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اعانته بتوفیقه للاتمام و الفوز بسعادة الاختتام و صلی اللّه علی محمد و آله بدور التمام و مصابیح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با عناوین مشکی درشت، در حاشیه تصحیح شده، در ابتدای نسخه وقف نامه ملا عبدالرحیم نجف‌آبادی حسب الوصایه والد خودشان به تاریخ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بن محمدحسن کرباسی اصفهانی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قواعد علم اصول فقه به صورت مفصل و به روش استدلالی در دو جلد تنظیم شده است که جلد اول آن در مباحث الفاظ و جلد دوم در ادله عقلیه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العاشر فی الأدلة الشرعیة و فیه مطالب مقدمة تشتمل علی امور الاول الدلیل لغة فعیل بمعنی الفاعل و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یدی غیر اسباب و صلات الدنیا بل عن التوبة و الانابة و ابتلی بعملی و ایدی الاحبة عنی منقطعة أعوذ باللّه سبحانه منه و من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محمدصادق بن حاج محمدتقی ورنوسفادرانی، بیستم شعبان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عناوین و رؤوس مطالب با خط شنگرف در بالای آن نشانی دارد و عناوین مباحث در کنار صفحه هم با شنگرف نوشته شده است، در ابتدای نوشته یک تظلم خواهی است که حاجی محمدابراهیم نوشته و در ذیل آن محمد بن علی الطباطبایی تأیید کرده و نیز آخوند بر آن صحه گذاشته است؛ دارای مهر و خط تملک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حاشیه تصحیح شده، دارای حواشی، در متن و حاشیه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جلد تیماج حنایی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ابی 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یکی از چهار کتاب حدیثی مهمی است که نزد شیعه اهمیت فراوان دارد و </w:t>
      </w:r>
    </w:p>
    <w:p>
      <w:pPr>
        <w:pStyle w:val="BookText"/>
        <w:rPr/>
      </w:pPr>
      <w:r>
        <w:rPr>
          <w:rFonts w:ascii="IRNazanin" w:hAnsi="IRNazanin" w:eastAsia="IRNazanin"/>
          <w:color w:val="111111"/>
          <w:sz w:val="28"/>
          <w:sz w:val="28"/>
          <w:szCs w:val="28"/>
          <w:rtl w:val="true"/>
          <w:lang w:bidi="fa-IR"/>
        </w:rPr>
        <w:t xml:space="preserve">به عنوان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نگاشته شده است که در هر مسأله روایت‌های مناسب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 تا پایان کتاب الصوم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ذاکرنی بعض الأصدقاء أیّده اللّه ممن أوجب حقه بأحادیث أصحابنا أیّدهم اللّه و رحم السلف منهم و ما وقع فیها من الاختلاف و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بعضهم یقول بالصاع العراقی فکتب إلی ستة أرطال بالمدنی و تسعة أرطال بالعراقی قال و یکون بالوزن ألفاً و مأئة و سبعین وزنة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خوانا و زیبا، ابوطالب ابن حاجی عنایت اللّه رشخاری، اتمام جزء اول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عناوین شنگرف، دارای تصحیح در حاشیه، در حاشیه نسخه بدل دارد، نسخه مقابله شده و دارای علامت بلاغ می‌باشد، برگ بدرقه دارای تملک محمد رسول ابن عبدالعزیز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قلم و کاغذ تغییر کرده و به نظر می‌رسد که اوراق قبلی متقدم‌تر از اوراق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باشد و در بالای این صفحه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شرعت فی عصر یوم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جمادی الاولی سنة </w:t>
      </w: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حواشی و علائم بلاغی که در صفحات ابتدائی نسخه بود از این صفحات به بعد دیده نمی‌شود، در پایان و یکی از صفحات نسخه مهر بیضوی کاتب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اهدایی مرحوم </w:t>
      </w:r>
    </w:p>
    <w:p>
      <w:pPr>
        <w:pStyle w:val="BookText"/>
        <w:rPr/>
      </w:pPr>
      <w:r>
        <w:rPr>
          <w:rFonts w:ascii="IRNazanin" w:hAnsi="IRNazanin" w:eastAsia="IRNazanin"/>
          <w:color w:val="111111"/>
          <w:sz w:val="28"/>
          <w:sz w:val="28"/>
          <w:szCs w:val="28"/>
          <w:rtl w:val="true"/>
          <w:lang w:bidi="fa-IR"/>
        </w:rPr>
        <w:t xml:space="preserve">حاج شیخ غلامحسین منصور و یک رباعی در مدح کتب اربعه، دارای حواشی در متن و حاشیه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بن فضل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سوره سجده تا پایان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سورة السجدة مکیّة عدد آیها أربع و خمسون آیة کوفی ثلاث حجازی آیتان بصری شامی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الوسواس الخناس فیؤید اللّه المؤمن بالملک و هو قوله سبحانه 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العلی العظیم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محمدحسین بن شاه محمد رنانی صفاهانی، جزء نهم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عناوین شنگرف، آیات قرآن معرب و بر فراز آن با خط شنگرف نشانی دارد، در حاشیه و بین سطور نسخه بدل دارد، دارای حواشی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نسخه مقابله شده و علامت بلاغ دارد، در حاشیه تصحیح شده است، دارای وقف‌نامه کاتب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در ابتدا یادداشتی مبنی بر موقوفات حاج محمدحسین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ذیقعدة 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و تصحیح است، جلد </w:t>
      </w:r>
    </w:p>
    <w:p>
      <w:pPr>
        <w:pStyle w:val="BookText"/>
        <w:rPr/>
      </w:pPr>
      <w:r>
        <w:rPr>
          <w:rFonts w:ascii="IRNazanin" w:hAnsi="IRNazanin" w:eastAsia="IRNazanin"/>
          <w:color w:val="111111"/>
          <w:sz w:val="28"/>
          <w:sz w:val="28"/>
          <w:szCs w:val="28"/>
          <w:rtl w:val="true"/>
          <w:lang w:bidi="fa-IR"/>
        </w:rPr>
        <w:t>لبه برگردان تیماج زرشکی در عطف فرسودگی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دارای یک مقدمه، دوازده باب و هر باب دوازده فصل و یک خاتمه؛ مؤلّف آن، از استادان آقا حسین خوانساری و معاصر شاه عباس دوم بوده است که به نام او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ستایش بی عدد معبودی را بسزد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مرویست از حضرت امام موسی علیه‌السلام فرمود که هر که زیارت قبر فرزند من علی را باشد من او را نزد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در حاشیه و متن و نشانها شنگرف، عبارات عربی بر فراز آن با خط شنگرف نشانی دارد، ابتدای نسخه وقفنامه محمدحسین بن کربلایی جعفر به تاریخ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از وقفنامه به علت فرسودگی از بین رفته و مرمت شده است، پایان وقفنامه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اخلاقی از ملا حسن عطار به تاریخ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تصحیح شده، نسخه فرسوده شده و اول و آخر آن ترمیم شده است، جلد تیماج قهوه‌ای سوخته فرسوده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بن محمدحسن کرباسی اصفهانی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اشارات 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اشارات إلی مفاتیح الأحکام حسب ما یقتضیه الأوقات و الأیام و أرجوا من اللّه الحفظ من الذلل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المجمل والمبین و المنطوق و المفهوم و النسخ و یتلوه الجزء الثانی فی الأدلة الشرعیة و التعرض و الترجح و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بسیار زیبا، 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کاتب گویا به عمد از میان نوشته آخر پاک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مجدول طلایی دارای کتیبه آغازین زیبا، عناوین در متن و حاشیه شنگرف، نسخه در حاشیه و بین سطور تصحیح شده، دارای حواشی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ادام اللّه ایامه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نسخه دارای بلاغات است و در پایان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 المقابلة من نسخة قابلها مع نسخة الاصل بقدر الوسع و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قرمز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علی حریری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پنجاه مقامه ادبی است که مؤلّف در آن از روش نگارش مقامات بدیع الزمان همدانی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 در این مقامات، شخصی است به نام ابو زید سروجی و شخصیت اصلی داستان نیز حارث بن همام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مقامات دارای استعاره‌ها و کنایه‌ها و امثال و معماهای بسیاری است که فهم آنها نیاز به قدرت ادبی بالایی دارد و ادبا در شرح لغات و مشکلات آن کتابهایی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کتاب مطالبی به صورت پند و اندرز، لطایف و ظرایف و شعر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اللّهم إنّا نحمدک علی ما علمت من البیان و الهمت من التبیان کما نحمدک علی ما اسبغت من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المغفرة و ولیّ الخیرات فی الدنیا و الآخرة الحمد للّه رب العالمین و صلوته علی سیدنا محمد النبی الأمی و آله الأکرمین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بی‌کا،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مجدول طلایی، دارای کتیبه آغازین زیبا، اول نسخه یادداشت تولدی به تاریخ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عناوین شنگرف یا نانوشته، دارای حواشی مختصر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سطور و حاشیه، جلد تیماج حنایی ضربی طلائی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اللّهم إنّی أحمدک و أشکرک و أومن بک و أتوکل علیک و أقرّ بذنبی إلیک و أشهدک أ نّی مقر بوحدانیتک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من انبیائک و رسلک ثقل و أهل بیت فعلی و فاطمة و الحسن و الحسین أهل بیتی و ثقلی 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شنگرف، کاغذ و خط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با بقیه نسخه فرق دارد، دارای حواشی بسیار در متن و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 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حاشیه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ملا محمد تقی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متن و حاشیه تصحیح شده و نسخه بدل دارد، مقابله شده و نشانه بلاغ دارد، نسخه به علت فرسودگی مرمت شده است، در پایان نسخه مشیخه من لایحضر آمده و ناقص است، جلد تیماج قهوه‌ای سوخته اطراف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نستعین علی القوم الظالمین، بسمله، اللهم اجعلنی من المتطهرین التوابین </w:t>
      </w:r>
    </w:p>
    <w:p>
      <w:pPr>
        <w:pStyle w:val="BookText"/>
        <w:rPr/>
      </w:pPr>
      <w:r>
        <w:rPr>
          <w:rFonts w:ascii="IRNazanin" w:hAnsi="IRNazanin" w:eastAsia="IRNazanin"/>
          <w:color w:val="111111"/>
          <w:sz w:val="28"/>
          <w:sz w:val="28"/>
          <w:szCs w:val="28"/>
          <w:rtl w:val="true"/>
          <w:lang w:bidi="fa-IR"/>
        </w:rPr>
        <w:t>برحمتک یا أرحم الراحمین الحمد للّه الذی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فالبحث هنا یقع فی مقاصد ثلثة، الأول فی بیان الحیض و هو الدم المتصف اشتباهه بالعذرة التی تراه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جعفر بن عبدالحسین عطار طریحی، بی‌تا، در ابتدای نسخه وقفنامه نسخه توسط حاج ملا عبدالرحیم نجف‌آبادی به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عناوین در متن و حاشیه شنگرف یا درشت با شنگرف تزیین شده، در حاشیه تصحیح شده و نسخه بدل دارد، دو ورق از اواسط کتاب با قلم دیگر بازنویسی شده است، جلد تیماج مشکی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ابی‌جعفر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کتاب زیارات تا پایان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من 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أنساب النبی و الأئمة علیهم‌السلام و زیارتهم و تواریخ ذکر مشاهدهم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المسلمون ثم علم الامام بعد فقال یعتق رقبة مؤمنة و ذلک قول اللّه عز و جل و إن کان من قوم عدو 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یوسف بن یعقوب طالقانی،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نکاح، در پایان همین صفحه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جملة کتب استکتب لی اخی و انا صاحب فضل اللّه بن حبیب اللّه بن جعفر بن حسن بن علی بن مرتضی بن علی الحسینی الخورزنی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سجع مهر دایره‌ای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الغنی فضل اللّه بن حبیب‌اللّه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ابتداء نسخه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و نشانها شنگرف یا درشت، در حاشیه تصحیح شده و نسخه بدل دارد، مقابله شده و علامت بلاغ دارد، نسخه مرمت شده است، جلد تیماج زرشکی فرسوده با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پنج گانه و ضروریات اعتقادات دینی و شماره گناهان کبیره و پاره‌ای از موضوعات اخلاقی و آداب اسلامی را به طور نسبتاً مفصل که به بسیاری از ادله تقلید در آن تمسک شده است، مخصوصاً بحث امامت را با توضیحاتی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و گویند آخرین تألیفات علاّمه مجلسی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شاه سلطان حسین صفوی تألیف شده و آخر ماه شعبان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و دارای شش باب و یک خاتمه مشتمل بر فصول و مقاصد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چنانچه نازل شده لفظاً و معنی برای ایشان بیان کند تا طریق </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دیگر خواهد که او را بیگانگی عبادت کنند و زمین دیگر خواهد آفرید که ایشان را بر دارد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زیبا، بی‌کا، بی‌تا، عناوین و نشانیها شنگرف، فراز رؤوس مطالب با خط شنگرف نشانی دارد، نسخه صحافی و ترمیم شده و اشتباهاً یک ورق از خاتمه کتاب در ابتداء نسخه صحافی شده است، تنها یک مورد تصحیح در نسخه دیده می‌شود، جلد تیماج قهوه‌ای سوخته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فی تحقیق الاحکام بالدلائل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محمدعلی طباطبائی حائری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مفصل مشهوری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این شرح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الدالة بظاهرها علی النجاسة کما استدل بها لها و لا اعتبار للنیة فی حصول التطهیر فیحصل مع عدمها و یدل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مع عدمها، لعدم انصراف إطلاق الکفالة إلاّ إلی احضار المکفول حال الحیاة، و لکن الأحوط ذلک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صفرعلی بن اسماعیل صباغ نجف‌آبادی، روز </w:t>
      </w:r>
    </w:p>
    <w:p>
      <w:pPr>
        <w:pStyle w:val="BookText"/>
        <w:rPr/>
      </w:pPr>
      <w:r>
        <w:rPr>
          <w:rFonts w:ascii="IRNazanin" w:hAnsi="IRNazanin" w:eastAsia="IRNazanin"/>
          <w:color w:val="111111"/>
          <w:sz w:val="28"/>
          <w:sz w:val="28"/>
          <w:szCs w:val="28"/>
          <w:rtl w:val="true"/>
          <w:lang w:bidi="fa-IR"/>
        </w:rPr>
        <w:t xml:space="preserve">دوشنبه هفتم جمادی اول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کتاب صلات و در پایان نسخه روز سه شنبه هجدهم ماه محرم الحرام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نسخه مقابله شده و در انتهاء یادداشت مقابله توسط حامد بن محمدحسن خراسانی قاینی در شب جمعه دهه اول ماه مبارک رمضان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دارالسلطنه اصفهان موجود است، عناوین شنگرف، متن مختصر بر فراز آن با خط شنگرف نشانی دارد، در حاشیه تصحیح شده و نسخه بدل دارد، نسخه وقفی است و علامت وقف بر برخی صفحات دیده می‌شود، در پایان کتاب صلات دو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روی جلد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سیاه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معرب، بی‌کا، بی‌تا، نام سوره‌ها شنگرف و فواصل آیه‌ها با علامت شنگرف مشخص شده، دارای علائم تجویدی با خط شنگرف می‌باشد، در آخر نسخه افتادگی دارد که تا اواسط سوره فجر آمده، اوراقش فرسودگی زیاد دارد، و مرمت شده و مقداری از آن بازنویسی شده، ابتداء هر سوره فضیلت آن به صورت مختصر در حاشیه آمده </w:t>
      </w:r>
    </w:p>
    <w:p>
      <w:pPr>
        <w:pStyle w:val="BookText"/>
        <w:rPr/>
      </w:pPr>
      <w:r>
        <w:rPr>
          <w:rFonts w:ascii="IRNazanin" w:hAnsi="IRNazanin" w:eastAsia="IRNazanin"/>
          <w:color w:val="111111"/>
          <w:sz w:val="28"/>
          <w:sz w:val="28"/>
          <w:szCs w:val="28"/>
          <w:rtl w:val="true"/>
          <w:lang w:bidi="fa-IR"/>
        </w:rPr>
        <w:t>است، پشت جلد موجود نیست، جلد تیماج قهوه‌ای فرسوده عطف تیماج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حدیثی که پیامبر اکرم صلی الله علیه و آله در آن پندها و اندرزهای اخلاقی و دینی به ابوذر غفاری می‌دهد، آن حدیث را طبرسی در مکارم الاخلاق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فصول بسیار مفصل و زیبایی در مکارم اخلاق که مؤمنان باید بدان‌ها متصف باشند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قمست‌هایی از این شرح در بیان فضیلت قرآن، دعا و اذکار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لآلی حمد و جواهر ثنا تحفه بارگاه جلال کبریای حکیمی که الواح ارواح قابله نوع بشر را که مظهر غرایب صنع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حیات و ممات این حقیر خاکسار و ذره بیمقدار از دعای طلب مغفرت سئیات و رفع درجات محروم نگردانند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خوانا، حسن بن مرحوم اللّه‌وردی، اول ماه ربیع‌الاول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عناوین شنگرف، وقفنامه کتاب به تاریخ ذی الحجه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دوم نسخه موجود است، عبارات عربی معرب، در آخر نسخه یادداشت تسلیم ارثی به تاریخ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ظاهراً نسخه تصحیح شده است، در ابتداء نسخه یادداشت فوت ملا عبدالرحیم بن محمدجعفر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p>
    <w:p>
      <w:pPr>
        <w:pStyle w:val="BookText"/>
        <w:rPr/>
      </w:pPr>
      <w:r>
        <w:rPr>
          <w:rFonts w:ascii="IRNazanin" w:hAnsi="IRNazanin" w:eastAsia="IRNazanin"/>
          <w:color w:val="111111"/>
          <w:sz w:val="28"/>
          <w:sz w:val="28"/>
          <w:szCs w:val="28"/>
          <w:rtl w:val="true"/>
          <w:lang w:bidi="fa-IR"/>
        </w:rPr>
        <w:t>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القوانین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بن حسن گیلانی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أصول الفروع و فروع الأصول و أرشدنا إلی شرائع الأحکام بمتابعة الکتاب و سنن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غافر الخطیئات و صلی اللّه علی محمد و أهل بیته الطاهرین المطهرین علی الأرجاس و الأدناس أفضل الصلوات و أکمل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عبدالهدی بن عبدالمؤمن،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در پایان تاریخ کتابت دو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کرمعلی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و نشانیها شنگرف، در ابتدا و انتهاء کتاب یادداشت وقف کتاب به کتابخانه الحجه نجف آباد به تاریخ </w:t>
      </w:r>
      <w:r>
        <w:rPr>
          <w:rFonts w:eastAsia="IRNazanin" w:cs="IRNazanin"/>
          <w:color w:val="111111"/>
          <w:sz w:val="28"/>
          <w:szCs w:val="28"/>
          <w:lang w:bidi="fa-IR"/>
        </w:rPr>
        <w:t>10/5/51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صفحه اول کتاب بازنویسی شده است، نسخه در حاشیه تصحیح شده و نسخه بدل دارد، دارای حواشی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ابتداء نسخه یادداشت تملکی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مجمع الفائدة و البرهان فی شرح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الأول فی شرایط الاصطیاد قد یطلق علی أخذ الصید و اثباته بأیّ وجه اتفق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المؤمنین ثم من الذین یفهم مسائل الحلال و الحرام من أدلتها من الکتاب و السنة و الاجماع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بی‌تا، عناوین نانوشته، ابتداء نسخه وقفنامه کتاب توسط ملا عبدالرحیم نجف‌آبادی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العاملی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رافع منه و التیمم بدلاً منهما إن قیل به و ینتقض فی 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کلام المصنف قدّس اللّه روحه و نحن نحمد اللّه تعالی علی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اختم بخیر یا کریم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شنگرف، بر فراز متن لمعه خط شنگرف دارد، نسخه در متن و حاشیه تصحیح شده و نسخه بدل دارد، دارای حواشی بسیار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w:t>
      </w:r>
    </w:p>
    <w:p>
      <w:pPr>
        <w:pStyle w:val="BookText"/>
        <w:rPr/>
      </w:pP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جعفریه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زین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بدرالدین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 نعمه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علی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رضی‌الدین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مقابله شده دارای علائم بلاغ می‌باشد، نسخه فرسوده شده و مقداری پارگی دارد، در چند جای نسخه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عبده مهر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جلد تیماج زرکوب گل و بوته‌دار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محمدعلی طباطبائی حائری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بالعشر للصحیح و بالذی ینبت اللحم و الدم فقال کان یقال عشر رضعات و نحوه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بجنایة الآدمی علی مثله خطأً لا مطلقاً و حیث انتهی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 جابرا بذلک حتی شکر و من اللّه أجراً جزیلاً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نسخه دارای بلاغات است، عناوین شنگرف، متن مختصرالنافع بر فراز آن خط شنگرف دارد، در متن و حاشیه تصحیح شده نسخه بدل دارد، نسخه </w:t>
      </w:r>
    </w:p>
    <w:p>
      <w:pPr>
        <w:pStyle w:val="BookText"/>
        <w:rPr/>
      </w:pPr>
      <w:r>
        <w:rPr>
          <w:rFonts w:ascii="IRNazanin" w:hAnsi="IRNazanin" w:eastAsia="IRNazanin"/>
          <w:color w:val="111111"/>
          <w:sz w:val="28"/>
          <w:sz w:val="28"/>
          <w:szCs w:val="28"/>
          <w:rtl w:val="true"/>
          <w:lang w:bidi="fa-IR"/>
        </w:rPr>
        <w:t>وقفی است و علامت وقف بر روی نوشته‌ها موجود است، جلد چرم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محمدعلی طباطبائی حائری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العتق؛ العتق و هو لغة الخلوص و منه یسمی عتیقا خلوصه من ایدی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یقف علی هذا التعلیق و یری فیه خطاً أو ذللاً أن یصلحه و بینه علیه و یوضحه و یشیر إلیه بذلک منی شکرا جمیلاً و من اللّه أجرا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محمدحسین بن محمدعلی، عصر روز دوازده ماه ذی الحجة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عناوین شنگرف یا نانوشته، برخی متن عبارات مختصر النافع بر فراز آن خط شنگرف دارد، جلد تیماج قرمز ضربی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السنیة فی الاحادیث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بن کریم خوی</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ذره بی مقدار التماس نمودند که کتاب در بیان احادیث سنه و دلایل مستحسنه که از طریق مستقیمه ائمه طاهرین علیهم‌السلام به اسانید معتبره به این قلیل البضاعت رسیده باشد تحریر نماید، این کتاب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شده است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توحید و معرفت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احوالات سید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تولد سید لولاک خاتم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احوالات سید الاوصیاء علی بن ابی‌طالب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سید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فاطمه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سید الساجدین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امام محمد 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امام جعفر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امام موسی علیه‌السلام و تولد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امام رضا علیه‌السلام تولد و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امام محمدتقی علیه‌السلام و تولد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امام علی نقی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امام حسن عسکری علیه‌السلام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صاحب الامر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عرش و ماتحته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قاف و ما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ابتدای خلقت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المدبر للملک و الملوک المتفرد بالعز و الجبروت یا مبدع الارکان و الاصول و یا خالق النفوس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انزلنی شفاعتهم فإنهم الحق و الحق معهم و لا تفرق بینی و بینهم أبداً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علی اصغر بن کریم،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و نشانیها شنگرف، بر فراز رؤوس مطالب با خط شنگرف نشانی دارد، صفحات مجدول با رنگ مشکی و شنگرف می‌باشد، نسخه تصحیح شده، فهرست عناوین و احادیث کتاب در اول نسخه به صورت جدول با شنگرف و مشکی آمده است، بر روی برخی اوراق علامت وقف دیده می‌شود، چند برگ آخر نسخه روایاتی از مشارق انوار الیقین و غیره آمده است، جلد تیماج قهوه‌ای سوخته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اصفهانی</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حمدله، اما بعد چنین گوید تراب اقدام دوستان ابو تراب امیرالمؤمنین و گل چین بساطین مناقب ائمه طاهرین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نماند احدی از فرزندان ما مگر آنکه یک مرتبه ایشان را به قتل رساند پس در آن وقت خشم ما و شیعیان ما فرو نشیند و اندوه ما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خوانا، بی کا، بیست و هشتم ماه شعبان المعظم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ابتدای نسخه وقفنامه کتاب توسط ملا عبدالرحیم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عناوین شنگرف، عبارات عربی با خط شنگرف بر فراز آن نشانی دارد، جلد تیماج مشکی عطف آن ترمیم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داود خادم استرآبادی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تاریخ، نسب و حالات گروهی از کسانی که با حضرت علی علیه‌السلام دشمنی ورزیده‌اند را به طور مفصل ذکر می‌کند که در پنجاه و یک باب تألیف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بیحد و قیاس، خالقی راست جل شأنه و عظم سلطانه که طینت طیبه انبیا و اولیا را از میاه لطیفه نظیفه هذا عذبٌ فراتٌ سرشته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لجمیع المؤمنین و المؤمنات بحق محمد سید المرسلین و علی خیر الوصیین و الائمة المعصومین صلوات اللّه علیهم اجمعین برحمتک یا ارحم الراحمین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شنگرف یا نانوشته، فراز برخی عبارات با خط شنگرف نشانی دارد، جلد تیماج مشکی </w:t>
      </w:r>
    </w:p>
    <w:p>
      <w:pPr>
        <w:pStyle w:val="BookText"/>
        <w:rPr/>
      </w:pPr>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حسام‌الدین رمضان الخجندی</w:t>
      </w:r>
    </w:p>
    <w:p>
      <w:pPr>
        <w:pStyle w:val="BookText"/>
        <w:rPr/>
      </w:pPr>
      <w:r>
        <w:rPr>
          <w:rFonts w:ascii="IRNazanin" w:hAnsi="IRNazanin" w:eastAsia="IRNazanin"/>
          <w:color w:val="111111"/>
          <w:sz w:val="28"/>
          <w:sz w:val="28"/>
          <w:szCs w:val="28"/>
          <w:rtl w:val="true"/>
          <w:lang w:bidi="fa-IR"/>
        </w:rPr>
        <w:t>فرهنگ عربی است به عربی با ترجمه لغات به فارسی بین سطرها، الفاظ به ترتیب ابواب مجرد و مزید صرفی تنظیم شده و در هر باب فاء الفعل و عین الفعل و لام الفعل رعایت می‌شود، چون آغاز کتاب افتاده مشخصات کتاب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جَذَبَهُ جَذْباً وَ ِهیَ الجَذْبَةُ جَلَبَهُ یَجْلِبُهُ وَ یَجْلُبُهُ جَلْباً وَ جَلَباً وَ هُوَ الجَلِیْبُ وَ الجَلَبُ حَصَبَهُ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یطفق طفقا علق یفعل کذا لیس زید ذاهبا هات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رمضان الخجندی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خوارزم سنه خمسة و اربعین و سبع مأته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بی کا، بی تا، عناوین و نشانیها شنگرف، چند برگ آخر نسخه پارگی دارد و مقداری از آن ترمیم شده است، نسخه تصحیح شده و دارای حواشی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هنا الکتاب فی دار یهودای اصفهان محمدجعفر امامی؟ و حاجی الحرمین الشریفین حاجی کلب علی بیک امامی؟ فی شهر رمضان المبارک سنة ستة و عشرین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حنائی لبه‌دار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الادب فی مجاری کلام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عبدالملک بن محمد ثعالبی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اسماء چیزهای مخصوص، دارای سی باب در هر بابی چند فصل است، قسم دوم در بعضی از قواعد ادبی که عرب در کلام خود آنها را می‌آورند، با شواهدی از قرآن کریم، و این قسم دارای فصول کوتاه زیادی است، قسم دوم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أما بعد حمد اللّه علی آلائه و الصلوة علی محمد و آله فإنّ من أحب اللّه أحب رسوله محمد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ربا النبت زکا الزرع أراع الطعام من الریع و هو النزل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 فی ترتیب المعرب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ناصر بن عبدالسید مطرزی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لغوی در این کتاب به ترتیب حروف آغاز کلمات تنظیم شده و مقید است که الفاظ غریبی که فقها به کار می‌بندند یا در بعضی از احادیث آمده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احمده علی أن خول جزیل الطول و سدد الاصابة فی الفعل و القول و أرشد الی مناهج الهدی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یناق البطریق بتخفیف النون بعد الیاء المفتوحة کذا قرأناه و فی معرفة الصحابة </w:t>
      </w:r>
    </w:p>
    <w:p>
      <w:pPr>
        <w:pStyle w:val="BookText"/>
        <w:rPr/>
      </w:pPr>
      <w:r>
        <w:rPr>
          <w:rFonts w:ascii="IRNazanin" w:hAnsi="IRNazanin" w:eastAsia="IRNazanin"/>
          <w:color w:val="111111"/>
          <w:sz w:val="28"/>
          <w:sz w:val="28"/>
          <w:szCs w:val="28"/>
          <w:rtl w:val="true"/>
          <w:lang w:bidi="fa-IR"/>
        </w:rPr>
        <w:t>مقید بالتشدید و هو الذی برأسه ابوبکر لیومها فی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ناصر بن عبدالسید مطرزی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کم حجم و پرمحتوایی است که مؤلّف، آن را ذیل کتاب المغرب فی ترتیب المعرب قرار داده است، این رساله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تصریف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لایتصرف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ذیلت بها کتابی هذا مضمنا إیاها ما تشتت فی أصل العرب من الادوات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له شرح فیه طول و فیما ذکرت هنا مقنع و من اللّه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علی فیومی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 است به ترتیب حروف آغاز کلمه، برای الفاظ غریبی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آمده با زیادتهایی از لغت و الفاظ مشتبه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اول بسیار مفصل و با شرح شواهد و ذکر تعاریف کلمه بود، که به علت طولانی شدن، مؤلّف به اختصار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در دهه آخر شعبان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گفته شده این کتاب از بیش از هفتاد کتاب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قال العبد الفقیر إلی اللّه تعالی احمد بن محمد بن علی المغربی الحمد </w:t>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کنت جمعت کتاباً و أوسعت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نسأل اللّه تعالی حسن العاقبة فی الدنیا و الآخرة و أن ینفع به طالبه و الناظر فیه و أن یعاملنا بما هو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فتحعلی بن محمدعلی نجف‌آبادی،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پایان رساله اول، عناوین و نشانیها شنگرف کاتب سه رساله اول با رساله چهارم فرق دارد، سه رساله اول در حاشیه نسخه بدل دارد، چند جای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 بن محمد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رساله چهارم در حاشیه تصحیح شده است، وقفنامه کتاب در اول نسخه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 بن محمد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ولی نوشته‌های وقفنامه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ضربی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ابتدای کتاب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الاجارة و هی العقد علی تملک المنفعة المعلومة بعوض معلوم فالعقد بمنزل الجنس یشمل سایر العقود و خرج بتعلقه بالمنفعة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عفی عن سیئاته و زلاته بجوده و کرمه علی ضیق المجال و تراکم الأهوال الموجبة لتشویش البال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خوانا، بی کا، عناوین اصلی شنگرف یا نانوشته، بقیه </w:t>
      </w:r>
    </w:p>
    <w:p>
      <w:pPr>
        <w:pStyle w:val="BookText"/>
        <w:rPr/>
      </w:pPr>
      <w:r>
        <w:rPr>
          <w:rFonts w:ascii="IRNazanin" w:hAnsi="IRNazanin" w:eastAsia="IRNazanin"/>
          <w:color w:val="111111"/>
          <w:sz w:val="28"/>
          <w:sz w:val="28"/>
          <w:szCs w:val="28"/>
          <w:rtl w:val="true"/>
          <w:lang w:bidi="fa-IR"/>
        </w:rPr>
        <w:t xml:space="preserve">عناوین و همچنین مطالب مهم با خط شنگرف بر بالای آن و در مواردی هم با خط سیاه نشانی دارد، نسخه در حاشیه و بین سطور تصحیح شده و نسخه بدل دارد، دارای حواشی با رمزهای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وقف‌نامه حاج شیخ نصراللّه قضایی نجف‌آبادی به تاریخ </w:t>
      </w:r>
      <w:r>
        <w:rPr>
          <w:rFonts w:eastAsia="IRNazanin" w:cs="IRNazanin"/>
          <w:color w:val="111111"/>
          <w:sz w:val="28"/>
          <w:szCs w:val="28"/>
          <w:lang w:bidi="fa-IR"/>
        </w:rPr>
        <w:t>21/10/1350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آمده، جلد تیماج قهوه‌ای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میرازی قمی، ابوالقاسم بن حسن گیلانی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الصلوة و السلام علی خیر خلقه محمد و آله أجمعین فهذه نبذة من المسائل الأصولیة و جملة من مبان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ولیّ الخیرات و غافر الخطیئات و صلی اللّه علی محمد و أهل بیته الطاهرین المطهرین من الارجاس و الادناس افضل صلوت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عصر مؤلّف، عناوین مشکی درشت یا نانوشته، در حاشیه و متن تصحیح شده و نسخه بدل دارد، نسخه مقابله شده و امضای بلاغ دارد، دارای حواشی در بین سطور و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برخی عبارات خط خوردگی دارد، جلد تیماج </w:t>
      </w:r>
    </w:p>
    <w:p>
      <w:pPr>
        <w:pStyle w:val="BookText"/>
        <w:rPr/>
      </w:pPr>
      <w:r>
        <w:rPr>
          <w:rFonts w:ascii="IRNazanin" w:hAnsi="IRNazanin" w:eastAsia="IRNazanin"/>
          <w:color w:val="111111"/>
          <w:sz w:val="28"/>
          <w:sz w:val="28"/>
          <w:szCs w:val="28"/>
          <w:rtl w:val="true"/>
          <w:lang w:bidi="fa-IR"/>
        </w:rPr>
        <w:t>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الی احکام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بالقدم و الدوام المتنزه عن مشابهة الأعراض و الأجسام، المتفضل بسوابغ الأنعام، المتطول بالفواضل الجسام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ضربه علی رأسه فذهب عقله انتظر سنة فإن مات فالدیة فی النفس و إن بقی و لم یرجع فالدیة للعقل و لو اشتبه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عناوین و نشانیها شنگرف یا نانوشته یا مشکی درشت می‌باشد، نسخه در متن و حاشیه تصحیح شده، نسخه بدل دارد و دارای حواشی بسیار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شرایع 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عد 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فی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اول نسخه ابیات پراکنده و چند یادداشت به تاریخهای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چند برگ اول بازنویسی شده، نسخه ترمیم و وصالی شده، یادداشت ملکیت عبداللّه بن محمد حسین به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قهوه‌ای ضربی فرسوده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احادیث و روایت‌هایی را که از جهت سند به معصوم کوتاه باشد را آورده است، در این کتاب احادیث معصوم جداگانه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قسمت‌های آن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مسعدة بن صدقة قال حدثنا جعفر عن أبیه قال کان علی علیه‌السلام یقول فی دعائه 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 تبتلینی ببلیة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ظهری فتأتیها الشهوة و تنزل الماء أفعلیها غسل أم لا قال نعم اذا جاءت الشهوة و انزلت الماء وجب علیها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ابی‌جعفر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پیرامون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وجود آن حضرت و علت طولانی شدن غیبت ایشان، به درخواست یکی از بزرگان نگاشته‌اند و به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کار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لحمده و جعلنا من أهله و وفقنا للتمسک لدینه و الانقیاد لسبیله و لم یجعلنا من الجاحدین لنعمته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تسع عشرة سنة ثم یخرج المنتصر فیطلب بدم الحسین و دماء أصحابه </w:t>
      </w:r>
    </w:p>
    <w:p>
      <w:pPr>
        <w:pStyle w:val="BookText"/>
        <w:rPr/>
      </w:pPr>
      <w:r>
        <w:rPr>
          <w:rFonts w:ascii="IRNazanin" w:hAnsi="IRNazanin" w:eastAsia="IRNazanin"/>
          <w:color w:val="111111"/>
          <w:sz w:val="28"/>
          <w:sz w:val="28"/>
          <w:szCs w:val="28"/>
          <w:rtl w:val="true"/>
          <w:lang w:bidi="fa-IR"/>
        </w:rPr>
        <w:t>فیقتل فیسیر حتی یخرج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بی‌کا، بی تا، عناوین و نشانیها شنگرف، در حاشیه و متن تصحیح شده و نسخه بدل دارد، نسخه مقابله شده و نشانه بلاغ دارد، ابتدای نسخه وقفنامه کتاب به تاریخ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بن محمد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پایان هر دو رساله یادداشتی از تاج‌الدین حسن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تاریخهای </w:t>
      </w:r>
      <w:r>
        <w:rPr>
          <w:rFonts w:eastAsia="IRNazanin" w:cs="IRNazanin"/>
          <w:color w:val="111111"/>
          <w:sz w:val="28"/>
          <w:szCs w:val="28"/>
          <w:lang w:bidi="fa-IR"/>
        </w:rPr>
        <w:t>1087</w:t>
      </w:r>
      <w:r>
        <w:rPr>
          <w:rStyle w:val="FootnoteAnchor"/>
          <w:rtl w:val="true"/>
        </w:rPr>
        <w:footnoteReference w:id="8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برگه آخر نسخه فهرست مختصری از کتاب الغیبة آمده است، جلد تیماج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الصفا فی سیرة الأنبیاء و الملوک و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میرخواند محمد بن خاوند شاه بن محمود خوارزمشاهی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تاریخ عمومی از آغاز خلقت جهان تا عصر مؤلّف است، بنا بود در یک مقدمه و هفت جلد و یک خاتمه باشد، ولی موفق به نوشتن جلد هفتم و خاتمه نشد و </w:t>
      </w:r>
    </w:p>
    <w:p>
      <w:pPr>
        <w:pStyle w:val="BookText"/>
        <w:rPr/>
      </w:pPr>
      <w:r>
        <w:rPr>
          <w:rFonts w:ascii="IRNazanin" w:hAnsi="IRNazanin" w:eastAsia="IRNazanin"/>
          <w:color w:val="111111"/>
          <w:sz w:val="28"/>
          <w:sz w:val="28"/>
          <w:szCs w:val="28"/>
          <w:rtl w:val="true"/>
          <w:lang w:bidi="fa-IR"/>
        </w:rPr>
        <w:t>نوه او خواندمیر، آن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جلد 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سپاسی که مقدسان ملأ اعلی از ادای شمه از آن عاجز آیند و شکر و سپاسی که معتکفان صوامع بالا در گفتن آن به تقصیر اعتراف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حسود تو در دست روزگار ذلیل زهی وجود تو بر صنع کردگار گواه</w:t>
      </w:r>
    </w:p>
    <w:p>
      <w:pPr>
        <w:pStyle w:val="BookText"/>
        <w:rPr/>
      </w:pPr>
      <w:r>
        <w:rPr>
          <w:rFonts w:ascii="IRNazanin" w:hAnsi="IRNazanin" w:eastAsia="IRNazanin"/>
          <w:color w:val="111111"/>
          <w:sz w:val="28"/>
          <w:sz w:val="28"/>
          <w:szCs w:val="28"/>
          <w:rtl w:val="true"/>
          <w:lang w:bidi="fa-IR"/>
        </w:rPr>
        <w:t>ز جود لا نرود بر وجود تو هرگز مگر در اشهد ان لا اله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روز چهارشنبه ماه صفر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عناوین و نشانیها شنگرف و برخی نانوشته، با خط مشکی و قهوه‌ای جدول‌بندی شده، نسخه صحافی و ترمیم شده است، در حاشیه تصحیح شده، در حاشیه چند برگ اول مطالبی تاریخی آمده است، جلد تیماج قهوه‌ای ضربی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بی‌کا، بی‌تا،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اول سوره بقره افتادگی دارد، این قرآن از طرف غلامرضا عرشی نجف‌آبادی در روز پانزدهم جمادی الاول، وقف مدرسه الحجه نجف‌آباد گردیده است، بعضی علائم و نام سوره‌ها و علائم تجدید و سررسید جزءها با شنگرف، نسخه ترمیم و وصالی شده و برخی عبارات بازنویسی شده است، نسخه فرسوده شده، برخی عبارات به علت آب خوردگی و رطوبت از بین رفته </w:t>
      </w:r>
    </w:p>
    <w:p>
      <w:pPr>
        <w:pStyle w:val="BookText"/>
        <w:rPr/>
      </w:pPr>
      <w:r>
        <w:rPr>
          <w:rFonts w:ascii="IRNazanin" w:hAnsi="IRNazanin" w:eastAsia="IRNazanin"/>
          <w:color w:val="111111"/>
          <w:sz w:val="28"/>
          <w:sz w:val="28"/>
          <w:szCs w:val="28"/>
          <w:rtl w:val="true"/>
          <w:lang w:bidi="fa-IR"/>
        </w:rPr>
        <w:t>و چند برگ اول و آخر نسخه پارگی دارد، جلد تیماج مشکی ضربی فرسوده با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ابی 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تفسیر مفصل شیعی است که شامل علوم قرآنی، قرائت، اعراب و اسباب نزول و عقائد و وجوه ادبی و روایات ائمه اطهار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اقوال مفسرین شیعه و سنی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مقدمه مفصلی در اهمیت قرآن و تفسیر و چگونگی نزول و نام‌های قرآن و تعداد کلمات و حروف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 فِرْعَوْنَ إِنَّ هذَا لَساحِرٌ عَلیمٌ یُریدٌ أنْ یُخْرِجَکُمْ مِنْ أَرْضِکُمْ فَماذا تَأمُرُونَ، آیتان بلاخلاف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الأول لا یقع إلاّ حقا و الآخر یجوز أن یکون حقاً فی الظاهر و إن کان فاسداً فی الباطن؛ هذا آخر سورة یونس</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 بن ابی المیامین علی بن احمد بن علی بن امینا، این نسخه نفیس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تا آخر سوره یونس می‌باشد، البته از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بلاغات است و چند جای نسخه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قبوبل بأصله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کتاب معرب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مشکی درشت، اول نسخه دو یادداشت تملک به تاریخهای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وقفنامه محمدجعفر بن محمد صفی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تصحیح شده است، نسخه ترمیم و وصالی شده است، و در پایان چند معجزه از پیامبر اکرم از کشف الغمه نقل شده است، جلد تیماج قهوه‌ای ضربی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احادیث و روایت‌های کتب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من لا یحضره الفقیه، تهذیب و استبصار را در سه مقدمه و چهارده کتاب و یک خاتمه گردآورده که در هر فصل ابتدا آیات مناسب را ذکر و پس از آن احادیث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را که احتیاج به تفسیر و توضیح داشته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است، تألیف آن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و سوم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هدانا بأنوار القرآن و الحدیث لمعرفة الفرایض و السنن و نجانا بسفینة أهل بیت نبیه من أمواج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علیه‌السلام شفاعتنا لأهل الکبایر من شیعتنا و أما التائبون فإنّ اللّه تعالی یقول ما عَلَی الْمُحْسِنِینَ مِنْ سَبِیْلٍ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شنگرف یا مشکی درشت، در متن و حاشیه تصحیح شده و دارای نسخه بدل و حواشی در متن و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p>
    <w:p>
      <w:pPr>
        <w:pStyle w:val="BookText"/>
        <w:rPr/>
      </w:pP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و آخر جزء دوم وافی دو صورت وقفنامه از محمد جعفر بن محمد صفی به تاریخ‌های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غره 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موریانه به نسخه آسیب رسانده است، 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من شرایع الاسلام کافیة فی بیان الخطاب و نوّر قلوبنا من لوامع دروس الأحکام بما فیه 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انتقاله و ملک الغیر له و فی المدة یحلف المنکر لأصالة عدم ما یدعیه الآخر من الزیادة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محمدباقر بن قربانعلی مازندرانی، چهاردهم ربیع‌الاول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دارالخلافه تهران، عناوین و نشانیها شنگرف یا مشکی درشت، متن لمعه با خط شنگرف بر فراز آن نشانی دارد، اول نسخه یادداشت ملکیتی با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دارای حواشی بسیار در حاشیه و بین سطور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دلماج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 نسخه بین سطور و حاشیه تصحیح شده و نسخه بدل دارد، پایان نسخه دو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کاغذها الوان،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و مطلع النیّرین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بن محمد علی طریحی نجفی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است به ترتیب حروف آخر کلمه در بیست و هشت کتاب، که هر کتاب شامل چند باب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از کلمات لغوی مشکل که در قرآن کریم و احادیث شریفه به کار رفته بحث می‌کند، و بسیاری از مطالب متفرق مفید را نیز به طور مختصر می‌آورد، و در آخر کتاب سی و یک فایده لغوی و ادبی را اضافه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در روز سه شنبه، ششم 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خلق الانسان و علمه البیان و التبیان و اوضح له الهدی و الایمان و الصلوة علی من خص بالفرقان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شیء یسیر أی هیّن و منه الحدیث إنّ الکیّس لدیّ الحق یسیرا أی هیّن لین و فیه قلة العیال الیسارین و هو ظاهر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علی ابن سلطان نجف‌آبادی بهشت بنیاد، سه‌شنبه ماه ربیع الآخر سال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در آغاز کتاب وقف اولاد ذکور و طلبه علوم دینی نجف‌آباد گردیده به سال </w:t>
      </w:r>
    </w:p>
    <w:p>
      <w:pPr>
        <w:pStyle w:val="BookText"/>
        <w:rPr/>
      </w:pP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عناوین و لغات در متن و حاشیه شنگرف، در حاشیه تصحیح شده، دارای مهری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از عالیجناب ملا عبدالرحیم نزدش امانت بوده است، جلد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عظیمی ظاهر شود که جمیع حوریان کریم منان برای دوستان خود در قصرهای جنان مهیا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ندا کردند در میان مردم الصلاة جامعة و میان دو درخت را از برای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بی‌کا، بی‌تا، عناوین شنگرف و برخی عناوین در حاشیه با مشکی درشت، موریانه به نسخه آسیب رسانیده و نسخه وصالی و صحافی شده و برخی اوراق آن جابه جا شده است و نسخه دارای تصحیحاتی در حاشیه می‌باشد، لازم به تذکر است که در ابتداء این نسخه، نصاب الصبیان سنگی صحافی شده است، جلد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 مشهوری است که بیشتر به مضامین احادیث اهل‌بیت علیهم‌السلام در تفسیر آیات می‌پردازد و کمتر به گفته‌های مفسران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دوازده مقدمه است در فضیلت قرآن و جمع و تدوین آن و چگونگی تفسیر و نزول آیات و کیفیت تلاوت و آداب آن در اواخر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تراث،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سوره کهف تا پایان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الرقیم فهما لوحان من نحاس مرقوم مکتوب فیهما أمر الفتیة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القوت من الطعام و الماء البارد فقال لئن أوقفک اللّه یوم القیامة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عصر مؤلّف، عناوین و نشانیها شنگرف، آیات قرآن معرب و بر فراز آن با خط شنگرف نشانی دارد، آغاز هر جزء با شنگرف در حاشیه مشخص شده است، در حاشیه تصحیح شده و نسخه بدل دارد، نسخه مقابله شده و دارای امضای بلاغ می‌باشد،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نسخه وقفی در برخی اوراق بر روی نوشته‌ها علامت وقف دارد، جلد مقوایی با عطف پارچه‌ای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تفسیر مفصلی شروع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پس از نگارش جلد اول آن کار تألیف به تعویق افتاد، بدین جهت این تفسیر مزجی بسیار مختصر را به نام میرعلی شیرنوائی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با فرصت بیشتر و در وقت مناسب به تفسیر مفصل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کتاب شروع کرده و دوم شوال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ز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مزجی مختصر، بعضی از وجوه تفسیری و اشاره به اسباب نزول صحیح و قصص انبیاء و برخی سخنان ارباب تحقیق و کاشفی آمده در بیشتر جاها قرائت عاصم را اختیار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تراث،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سوره مریم تا پایان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 در موهبه صوفیا بادیه از مواهب الهی که حضرت شیخ رکن‌الدین علاءالدولة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مه و سال و روز و تاریخ نویس فی الحال دوم ز شهر شوال نوشت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صفرعلی بن آقا اسماعیل نجف‌آبادی،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عناوین و نشانیها شنگرف، آیات قرآن مشکی درشتر از متن، معرب بر فراز آن با خط شنگرف نشانی دارد، ابتداء نسخه وقفنامه کتاب توسط مهدی‌باقر بن محمدعلی نجف‌آبادی به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یک یادداشت تولد به تاریخ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یادداشت مبنی بر کتابهایی که نزد مردم دارم به 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w:t>
      </w:r>
    </w:p>
    <w:p>
      <w:pPr>
        <w:pStyle w:val="BookText"/>
        <w:rPr/>
      </w:pPr>
      <w:r>
        <w:rPr>
          <w:rFonts w:ascii="IRNazanin" w:hAnsi="IRNazanin" w:eastAsia="IRNazanin"/>
          <w:color w:val="111111"/>
          <w:sz w:val="28"/>
          <w:sz w:val="28"/>
          <w:szCs w:val="28"/>
          <w:rtl w:val="true"/>
          <w:lang w:bidi="fa-IR"/>
        </w:rPr>
        <w:t>دیده می‌شود، دارای حواشی مختصر، در حاشیه تصحیح شده، موریانه به نسخه آسیب زده ولی به نوشته‌ها آسیب نرسیده، در ابتداء هر سوره روایتی از ابن ابی‌کعب در فضیلت قرائت آن سوره در حاشیه آمده است، برخی از اوراق نسخه مخصوصاً اواخر آن مفقود شده، چند برگ آخر پارگی دارد، جلد تیماج قهوه‌ای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ابی‌جعفر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ابتدای کتاب صوم تا پایان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الصیام، باب فرض الصیام، قال اللّه تعالی یا أیها الذین آمنوا کتب علیکم 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الأخرس حق و لا طلبة بوجه من الوجوه و لا سبب من الأسباب ثم غسله و أمر الأخرس أن یشریه فامتنع فالزمه الدین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محمدقاسم بن محمدصفی، جمادی الثانی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عناوین و نشانیها شنگرف، نسخه دارای بلاغات است و در آخر نسخه و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اعزه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را کسی بررسی سندی کرده و صحیح و ضعیف بودن آن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ر مد ظله </w:t>
      </w:r>
    </w:p>
    <w:p>
      <w:pPr>
        <w:pStyle w:val="BookText"/>
        <w:rPr/>
      </w:pP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مجلسین می‌باشند، نسخه در حاشیه تصحیح شده و نسخه بدل دارد، دارای وقف‌نامه‌ای از واقف که ملا حبیب‌اللّه فرزند ملا حسنعلی می‌باشد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در تملک شیخ جعفر نجف‌آبادی بوده است، جلد تیماج قهوه‌ای لبه‌دار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محمد بن الحسین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دوم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بیشتر این حاشیه به توضیح گفته‌های شهید و ادله مسائل پرداخته و در بعضی فرازها به گفتگو می‌پردازد، تألیف کتاب در ماه رمضان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الصلوة علی خیر خلقه محمد و آله الطاهرین قوله فی الحاشیة ما کان متعلقه عاماً أی من الأفعال العامة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سقوط التیمم بدل الغسل، إذ لا شاهد له أصلا و قد ظهر بما ذکرنا بعض الشواهد علی ترجیح التفسیر الأخیر فتأمل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زیبا، بی کا، بی تا،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و بیشتر نانوشته، نسخه مقابله شده و امضای بلاغ دارد، در حاشیه تصحیح شده است، ابتداء نسخه وقفنامه کتاب </w:t>
      </w:r>
    </w:p>
    <w:p>
      <w:pPr>
        <w:pStyle w:val="BookText"/>
        <w:rPr/>
      </w:pPr>
      <w:r>
        <w:rPr>
          <w:rFonts w:ascii="IRNazanin" w:hAnsi="IRNazanin" w:eastAsia="IRNazanin"/>
          <w:color w:val="111111"/>
          <w:sz w:val="28"/>
          <w:sz w:val="28"/>
          <w:szCs w:val="28"/>
          <w:rtl w:val="true"/>
          <w:lang w:bidi="fa-IR"/>
        </w:rPr>
        <w:t xml:space="preserve">توسط ملا عبدالرحیم مذکور در نسخه‌های قبل به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برگ دوم یادداشت شده که این کتاب از جمله کتب مرحوم آیت‌اللّه شیخ احمد نجف‌آبادی است که به کتابخانه مدرسه الحجه نجف‌آباد هدیه داده است با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محمدحسن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رو را ندارد، پشت جلد تیماج قهوه‌ای ضربی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ابی 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 مستحقه و صلوته علی خیرته من خلقه محمد و آله و سلم تسلیما ذاکرنی بعض الأصدقاء أیده اللّه ممن أوجب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علیه‌السلام قال سألته عن الجنازة لم أدرکها حتی بلغت القبر صلی علیها قال إن ادرکتها قبل أن یدفن فإن شئت فصل علیها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عبدالرزاق بن علیشر بن کمال‌الدین العباسی، هفتم ماه صفر سال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عناوین و نشانیها شنگرف، دارای سرلوح بسیار زیبا در آغاز هر کتاب، نسخه در بین سطور و حاشیه تصحیح شده و نسخه بدل دارد، صفحات مجدول به زر و لاجورد،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پایان </w:t>
      </w:r>
    </w:p>
    <w:p>
      <w:pPr>
        <w:pStyle w:val="BookText"/>
        <w:rPr/>
      </w:pPr>
      <w:r>
        <w:rPr>
          <w:rFonts w:ascii="IRNazanin" w:hAnsi="IRNazanin" w:eastAsia="IRNazanin"/>
          <w:color w:val="111111"/>
          <w:sz w:val="28"/>
          <w:sz w:val="28"/>
          <w:szCs w:val="28"/>
          <w:rtl w:val="true"/>
          <w:lang w:bidi="fa-IR"/>
        </w:rPr>
        <w:t xml:space="preserve">کتاب طهارت و پایان نسخه متن بلاغی مهمی دارد که نشان می‌دهد ملا محمدباقر سبزواری صاحب ذخیره متن را دو مرتبه با نسخ مصحح مقابله کرده و در مرتبه سوم با نسخه‌ای که دارای بلاغ از شهید ثانی است مقابله کرده و در نسخه متن بلاغی شهید ثانی را که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نیز به تمامه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بلاغ مرحوم سبزواری در پایان کتاب طهارت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ابتداء نسخه وقفنامه کتاب توسط محمدجعفر بن محمدصفی فارسی به 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قهوه‌ای زرکوب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 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عبداللّه بن عمر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مزجی مختصری است که با اضافه از چند تفسیر دیگر تلخیص شده و با استنباط آنچه بیضاوی خود به دست آورده است نگاشته شده، بنا به گفته وی این تفسیر چکیده و تلخیص بیانات صحابه و تابعین و علمای سلف و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 علی عبده لیکون للعالمین نذیرا فتحدی بأقصر سورة من سوره مصاقع الخطباء من العرب العرباء</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 استحقاق الحمد علی إنزاله تنبیها علی أ نّه أعظم نعمائه و ذلک لأ نّه الهادی إلی ما فیه کمال العباد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بی کا، حدود قرن دهم، عناوین مشکی درشت، بر فراز آیات قرآن با خط شنگرف نشانی دارد، نسخه در حاشیه و بین سطور تصحیح شده و نسخه بدل دارد، برخی اوراق نسخه از اول و آخر و وسط بازنویسی شده، ابتداء نسخه چند یادداشت تملک به تاریخهای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دایره‌ای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منصور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نجف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وقفنامه کتاب به 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نسخه موجود می‌باشد، نسخه به علت پارگی زیاد، صحافی و وصالی شده است، جلد تیماج حنایی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نام معزالدین ابوالحسین محمد کوت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جرجان خوارزم به تاریخ دوشنبه دوم رمضان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است و در هرات به تاریخ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ألهمنا حقائق المعانی و دقائق البیان و خصصنا ببدائع الایادی و روایع الاحسان، اتقن بحکمته نظام العالم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الأصول المذکورة فی الفنون الثلاثة و تفاصیل ذلک مما لا تفی بها الدفاتر بل لا یمکن الاطلاع علی کونها إلاّ لعلاّم الغیوب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و نسخ، بی کا، بی تا، متن با خط شنگرف یا مشکی بر فراز آن نشانی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 عفی عنه،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در اواخر نسخه حواشی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قلم نسخه تغییر می‌کند ظاهراً دو کاتب با کمک هم کتاب را نگاشته‌اند، کاغذها الوان می‌باشد، دو یادداشت تملک یکی به تاریخ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اسماعیل بن حاج ملا علی طهرانی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اسماعیل بن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به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موجود می‌باشد،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فضل بن حسن بن فضل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النساء هی مدنیة کلها و قیل أنها مدنیة إلاّ قوله إن اللّه یأمرکم أن تؤدوا الأمانات إلی أهلها الآیة و قوله و یستفتونک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أرفع درجة منه تجری من تحتهم الأنهار قیل إنّه فی موضع الحال أی یجری ماء الأنهار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حاضر جلد چهارم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امین الدین محمد بن حبیب‌اللّه سنعر یزدی، شعبان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عناوین شنگرف، در حاشیه تصحیح شده و نسخه بدل دارد، ابتداء نسخه وقفنامه کتاب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همچنین یادداشت تملک و امانتی با مهر چهارگوش ناخوانا در ابتداء نسخه دیده می‌شود، جلد تیماج مشکی پشت جلد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مختلفی است در اخلاق و آداب اسلامی که با روایات و اشعار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چهارده مجلس مطابق فصل آخر باب اول مرتب گردانیده و در هر مجلس انشاء اللّه تعالی به ذکر قسمی از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اشک گوشه چشمی رسم وداع بازماندگان بجا می‌آورد و پای بر رکاب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آینه یک تسبیح که خدای تعالی آن را قبول کند بهتر است از آنکه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بی کا، 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نانوشته، در حاشیه تصحیح شده، سه یادداشت یکی به تاریخ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تاریخ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w:t>
      </w:r>
    </w:p>
    <w:p>
      <w:pPr>
        <w:pStyle w:val="BookText"/>
        <w:rPr/>
      </w:pPr>
      <w:r>
        <w:rPr>
          <w:rFonts w:ascii="IRNazanin" w:hAnsi="IRNazanin" w:eastAsia="IRNazanin"/>
          <w:color w:val="111111"/>
          <w:sz w:val="28"/>
          <w:sz w:val="28"/>
          <w:szCs w:val="28"/>
          <w:rtl w:val="true"/>
          <w:lang w:bidi="fa-IR"/>
        </w:rPr>
        <w:t>نسخه فرسوده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 سوخته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ابتدای نکاح تا آخر اطعمه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التیملی عن أیوب بن نوح عن محمد بن سنان عن رجل عن أبی عبداللّه علیه‌السلام قال أتی رجل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طالبها غرموا له الثمن فقیل یا أمیرالمؤمنین علیه‌السلام لا یدرس سفرة مسلم أو سفرة مجوسی فقال هم فی سعة حتی یعلموا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عناوین و نشانیها شنگرف، بر فراز مطالبی که خود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 خط شنگرف نشانی دارد، نسخه در حیات مصنف با نسخه‌ای که با خط مؤلّف بوده به تاریخ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تصحیح شده است، یادداشت عاریتی به تاریخ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علامة الزمان و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بن احمد بن حسین بن عبدالجبار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عفو الغفار حسین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آمده است، دارای حواشی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موریانه به نسخه آسیب رسانیده و برخی اوراق نسخه رطوبت دیده است، جلد </w:t>
      </w:r>
    </w:p>
    <w:p>
      <w:pPr>
        <w:pStyle w:val="BookText"/>
        <w:rPr/>
      </w:pPr>
      <w:r>
        <w:rPr>
          <w:rFonts w:ascii="IRNazanin" w:hAnsi="IRNazanin" w:eastAsia="IRNazanin"/>
          <w:color w:val="111111"/>
          <w:sz w:val="28"/>
          <w:sz w:val="28"/>
          <w:szCs w:val="28"/>
          <w:rtl w:val="true"/>
          <w:lang w:bidi="fa-IR"/>
        </w:rPr>
        <w:t>مقوایی فرسوده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من لا یحضره الفقیه شماره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من لا یحضره الفقیه شماره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مقامات الحریری شماره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من لا یحضره الفقیه شماره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مسالک الافهام شماره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قرب الاسناد شماره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جواهر السنیه شماره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تهذیب الاحکام شماره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الغیبة شیخ طوسی شماره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التبیان شماره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اشارت الاصول شماره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وسائل الشیعة شماره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من لا یحضره الفقیه شماره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خطی مجمع البیان شماره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7288_200244"/>
      <w:bookmarkStart w:id="545" w:name="pg17288_200244"/>
      <w:bookmarkEnd w:id="545"/>
    </w:p>
    <w:p>
      <w:pPr>
        <w:pStyle w:val="Heading3"/>
        <w:numPr>
          <w:ilvl w:val="2"/>
          <w:numId w:val="1"/>
        </w:numPr>
        <w:rPr/>
      </w:pPr>
      <w:bookmarkStart w:id="546" w:name="pg17288_200244"/>
      <w:bookmarkStart w:id="547" w:name="__RefHeading___Toc4413894_3224264995"/>
      <w:bookmarkStart w:id="548" w:name="_Toc208"/>
      <w:bookmarkEnd w:id="546"/>
      <w:bookmarkEnd w:id="547"/>
      <w:r>
        <w:rPr>
          <w:rtl w:val="true"/>
        </w:rPr>
        <w:t>فهرست موضوعی رساله‌های میراث اول تا دهم</w:t>
      </w:r>
      <w:bookmarkEnd w:id="548"/>
    </w:p>
    <w:p>
      <w:pPr>
        <w:pStyle w:val="BookText"/>
        <w:rPr/>
      </w:pPr>
      <w:r>
        <w:rPr>
          <w:rFonts w:ascii="IRNazanin" w:hAnsi="IRNazanin" w:eastAsia="IRNazanin"/>
          <w:color w:val="111111"/>
          <w:sz w:val="28"/>
          <w:sz w:val="28"/>
          <w:szCs w:val="28"/>
          <w:rtl w:val="true"/>
          <w:lang w:bidi="fa-IR"/>
        </w:rPr>
        <w:t>اجازات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خاندان روضاتیان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خاندان روضاتیان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اجازات علاّمه ملاّ محمّدتقی 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اخلاق و عرفان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رساله اخلاق آیت اللّه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اقل و اکثر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الأخبار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 التناول و سهل التداول فی مسئلة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اصفهان؛ گزارشی از وضعیت حوزه‌های اصفهان برای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آیت اللّه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ماه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العلامة الشیخ محمدحسین النجفی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التختم بالعقیق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اللاّمعة لزوار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نماز زیارت در زیارت از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فقره‌ای از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مناجات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الجنان در 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دیوان قَدْریه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گلشن 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العاشقین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ذی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علاّمه فقیه شیخ محمّدرضا نجفی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أسئلة و أجوبة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تهذیب الأحکام از کتاب طلاق تا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حجلة العرایس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منی، مذی، وذی، 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الحبوة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عدم انفعال 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 الغلیان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شصت استفتاء فقهی از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قبض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اللؤلؤ المکنون فی وقت فضیلة الظهرین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مشارع الاحکام فی تحقیق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استفتای فقهی از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الرّقیمة النّوریّة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 النظر فی علم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حوزه علمیه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فهرستواره نسخه‌های خطی شهرداری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کتابشناسی آثار ملاّ حبیب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بهاءالدین محمّد مختاری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محمد رفیع رشتی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إجالة 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طاهریه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المهدیة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اعتقادیه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معانی و 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التبیان فی 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منشآت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منشآت و مکاتبات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فصل در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عوامل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نجعد المرتاد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هیئت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قبلة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549" w:name="pg17288_200249"/>
    </w:p>
    <w:p>
      <w:pPr>
        <w:pStyle w:val="Heading3"/>
        <w:numPr>
          <w:ilvl w:val="2"/>
          <w:numId w:val="1"/>
        </w:numPr>
        <w:rPr/>
      </w:pPr>
      <w:bookmarkStart w:id="550" w:name="__RefHeading___Toc4413896_3224264995"/>
      <w:bookmarkStart w:id="551" w:name="_Toc209"/>
      <w:bookmarkEnd w:id="549"/>
      <w:bookmarkEnd w:id="550"/>
      <w:r>
        <w:rPr>
          <w:rtl w:val="true"/>
        </w:rPr>
        <w:t>فهرست مؤلفین رساله‌های میراث اوّل تا دهم</w:t>
      </w:r>
      <w:bookmarkEnd w:id="551"/>
    </w:p>
    <w:p>
      <w:pPr>
        <w:pStyle w:val="BookText"/>
        <w:rPr/>
      </w:pPr>
      <w:r>
        <w:rPr>
          <w:rFonts w:ascii="IRNazanin" w:hAnsi="IRNazanin" w:eastAsia="IRNazanin"/>
          <w:color w:val="111111"/>
          <w:sz w:val="28"/>
          <w:sz w:val="28"/>
          <w:szCs w:val="28"/>
          <w:rtl w:val="true"/>
          <w:lang w:bidi="fa-IR"/>
        </w:rPr>
        <w:t>فاضل هندی، بهاءالدین فاضل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إجالة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عوامل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محقق خواجوئی، محمّد اسماعیل خواجوئی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تهذیب الأحکام از کتاب طلاق تا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کلباسی، میرزا ابوالمعالی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موسوی شفتی، سیّد محمدباقر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نجفی، ابوالمجد شیخ محمّدرضا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نجعة المرتاد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حسینی زنجانی، سیّد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علاّمه فقیه شیخ</w:t>
      </w:r>
    </w:p>
    <w:p>
      <w:pPr>
        <w:pStyle w:val="BookText"/>
        <w:rPr/>
      </w:pPr>
      <w:r>
        <w:rPr>
          <w:rFonts w:ascii="IRNazanin" w:hAnsi="IRNazanin" w:eastAsia="IRNazanin"/>
          <w:color w:val="111111"/>
          <w:sz w:val="28"/>
          <w:sz w:val="28"/>
          <w:szCs w:val="28"/>
          <w:rtl w:val="true"/>
          <w:lang w:bidi="fa-IR"/>
        </w:rPr>
        <w:t>محمّدرضا نجفی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ادیب، شیخ عبّاسعلی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قبلة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بروجردی اصفهانی، شیخ منیرالدّین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أسئلة وأجوبة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قبض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مجلسی، محمّدتقی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اجازات علاّمه ملاّ محمّدتقی 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چهارسوقی، سیّد محمّدباقر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خاندان روضاتیان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معلم حبیب‌آبادی، محمّدعلی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نجفی اصفهانی، آیة‌اللّه مجدالدین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العلامة الشیخ محمدحسین النجفی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گلشن 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کلباسی، آیت اللّه حاج میرزا 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الجنان در 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عاصی اصفهانی رشتی، شیخ محسن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العاشقین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ریاضی نجف‌آبادی، آیت‌اللّه شیخ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رساله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خوزانی، مولا محمّد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التختم بالعقیق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رازی نجفی اصفهانی، شیخ محمدتقی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 الغلیان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شهدادی مصاحبی نائینی، میرزا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اللؤلؤ المکنون فی وقت فضیلة الظهرین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حجّت نجف‌آبادی، آیت‌اللّه سیّد ناصرالدین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دیوان قَدْریه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فاضل سراب، محمّد بن عبدالفتاح تنکابنی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التعلیقات علی زبدة‌البیان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الأخبار 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خوانساری، آقا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منشآت و مکاتبات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چهارسوقی، آیت‌اللّه میرزا محمّد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خاندان روضاتیان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علوی عاملی، میر سیّد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نماز زیارت در زیارت از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فقره‌ای از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شیخ‌بهایی، بهاءالدین محمد بن حسین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استفتای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اصفهانی، شیخ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مشارع الاحکام فی تحقیق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کاشانی، ملاّ حبیب‌اللّه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مناجات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آثار ملاّ حبیب‌اللّه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لب النظر فی علم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نخبة‌التبیان فی 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نوری، ملاّ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الرّقیمة النّوریّة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اعتقادیه،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جزائری، شیخ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شصت استفتاء فقهی از شیخ‌بهائی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عاملی، 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اقل و اکثر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اصفهانی، محمدنصیر بن محمّدصادق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اصفهانی، محمدنصیر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فصل در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نخعی،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ماه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ناشناخته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اصفهان گزارشی از وضعیت حوزه‌های اصفهان برای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پاچناری اصفهانی، عبدالرّحیم بن کرم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طاهریه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اصفهانی، مولی محمد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المهدیة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حجّت نجف‌آبادی، حکیم سید ناصرالدین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عدم انفعال 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دیوان قَدْریه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امامی، حکیم میرزا 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اصفهانی، سید حسن بن محمدتقی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شفتی، سید اسداللّه بن محمدباقر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الحبوة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آرانی کاشانی، محمدعلی بن محمدحسن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خاتون‌آبادی، ملا محمدباقر بن اسماعیل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حجلة العرایس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موسوی خوانساری، زین‌العابدین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 التناول و سهل التداول فی مسئله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کلباسی، محمدجعفر بن محمدطاهر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منی، مذی، وذی، 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فهرستواره دستنوشت‌های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فهرست نسخه‌های خطّی کتابخانه آستانه حضرت معصومه علیهاالسلام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فهرست نسخه‌های خطّی کتابخانه آیة اللّه گلپایگانی،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همین جا از لطف و بزرگواری مسئول محترم آن کتابخانه، جناب آقای ابوالفضل عرب‌زاده، کمال تشکّر را می‌نماییم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مطالع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رجال و مشاهیر اصفهان، میر سید علی جناب،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مکارم الآثار، معلم حبیب‌آبادی،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امّا آغا بزرگ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تصویر کامل این اجازه نامه چهار برگی را که به خطّ شریف مرحوم صاحب جواهر است، در پایان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مرحوم حاج سیّد اسداللّه، که به سال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کتابخانه مسجد سیّد اصفهان به چاپ رسیده، آورده‌ایم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المحقّق الحلّی قدس‌سره فی الشرائع، کتاب الفرائض،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ثقة عین؛ جش صه،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رجال النجاشی،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ثیاب جلده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هنا بیاض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یخالفون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ذکروه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الإنتصار،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رسائل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الحبوة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رسائل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الحبوة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کشف اللثام،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أنظر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أنظر رسائل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الحبوة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الإنتصار،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أنظر غنیة النزوع،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یعنی مصنّف الشرائع المحقّق الحلّی قدس‌سره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کفایة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کشف اللثام،ج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إصباح الشیعة،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کشف اللثام،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استحبابًا کما فی الأحمدی و الغنیة و الإصباح و الرسالة النصیریّة فی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إیضاح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یفیده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تلخیص المرام،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التنقیح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الإعلام،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الإنتصار،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الغنیة،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نوادر المیراث،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بناء علی ما قال فی أوّل الفقیه من التزامه أن لا یروی فیه إلاّ ما یعمل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المخطوطة، و لعلّه سقط من البین شیء، و ذلک لأنّ ابن الجنید زاد علی المشهور السلاح؛ حکاه عنه فی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تصوّر 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 النقل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دفتر پانزدهم،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زندگی خودنوشت ملا محمدعلی آرانی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بتوانیم در شماره بعدی کتابشناسی و نسخه‌پژوهی آثار ملا محمدعلی آرانی را به پژوهشگران تقدیم داریم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صفحه همین رساله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 اکبر، اسم معجونی است که در دفع سودا منفعت عظیمی دارد و بدل تریاق فاروق است و گفته‌اند که این دو ترکیب از تأییدات آسمانی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مادة الحیوة، اسم معجونی است که قوّت اشتها را زیاد می‌کند و تقویت بدن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در موارد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منابع روایی نیامده، و تنها منبعی که برای آن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اعتقادات مجلسی،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الصلاة فی الکتاب و السنة،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پاورقی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کثرة تداولها علی الألسن بحیث صارت من أشهر الکلمات فی وصف الصلاة، لم نجد لها مصدرا مسندا إلی النبی صلی الله علیه و آله أو الأئمة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أنها لیست بروایة، بل من عبارات علمائنا المتأخرین رضوان اللّه تعالی علیهم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یا پرده دل را گویند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احسام و بعضی 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الآیات، صدر المتألهین،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قاعدة فی العرش و الکرسی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بَلْ رَانَ عَلَی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الحکم و درر الکلم،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استغلقت علی قلوبکم اقفال الرَین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عَلَی قُلُوبِهِمْ فَهُمْ لاَ یَفْقَهُونَ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المؤمن أجرد فیه سراج یزهر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نوادر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 مفتوح فیه مصباح یزهر 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فی ترک دعاء الناس،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فی قلبه نکتة بیضاء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وجوب اجتناب الخطایا،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نص روایت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إلا و فی قلبه نکتة بیضاء فإذا أذنب ذنبا خرج فی النکتة سوداء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المؤمن أجرد فیه سراج یزهر و قلب الکافر أسود منکوس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فی ظلمة قلب المنافق،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 ثلاثة، قلب منکوس لایعی علی شیء من الخیر و هو قلب الکافر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الثانی فی العبودیة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أعبد اللّه کأنک تراه، فإن لم تکن تراه، فإنّه یراک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مجلس یوم الجمعه الرابع من المحرم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إذا اشتغل بالصلاة جاءه شیطان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 کذا، اذکر کذا، حتی یضل الرجل أن یدری کم 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در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نودی للصلاة أدبر الشیطان و له ضراط حتی لایسمع التأذین فإذا قضی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أذکر کذا، أذکر کذا لما لم یکن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المعجم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معنای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و فرمانبردار شد، خوار و ذلیل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ماعون،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المحجة البیضاء، ملا محسن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فضیلة الخشوع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ذمهم علی الغفلة عنها مع کونهم مصلین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میزان، من وفی استوفی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نشائه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الرجلین من أمتی یقومان فی الصلاة و رکوعهما و سجودهما واحد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یخاف الذی یحول وجهه فی الصلاة أن یحول اللّه وجهه وجه حمار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رکعتین و لم یحدث فیهما نفسه بشیءٍ من أمور الدنیا غفر اللّه له ذنوبه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استحباب الجلوس فی المسجد،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حبس نفسه علی صلاة فریضة ینتظر وقتها فصلاها فی أول وقتها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آداب الصلاة،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الصلاة لما یقبل نصفها و ثلثها و ربعها و خمسها إلی العشر و إن منها لما یلف کما یلف الثوب الخلق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اقام العبد المؤمن فی صلاته نظر اللّه إلیه أو قال أقبل اللّه علیه حتی ینصرف و أظلته الرحمة من فوق رأسه إلی أفق السماء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ثواب الورع و الزهد؛ امالی مفید،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المجلس الثامن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لایجمع اللّه المؤمن الورع و الزهد فی الدنیا إلاّ رجوت له الجنة،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لأحب للرجل المؤمن منکم إذا قام فی صلاته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العلة التی من أجلها سمی علی بن الحسین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رأیت علی بن الحسین علیهماالسلام یصلی فسقط رداءه عن أحد منکبیه،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یسوه حتی فرغ</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یقبل من صلاة الساهی،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احکام السهو،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لک من صلاتک ما أقبلت علیه منها، فإن أوهمها کلها أو غفل عن أدائها لفت فضرب بها وجه صاحبها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الخشوع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اقمت فی الصلاة فعلیک بالإقبال علی صلاتک فإنّما بحسب لک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تعبث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احکام السهو،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لیرفع له من صلاته نصفها و ثلثها و ربعها و خمسها فما 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لیتم لهم بها ما نقصوا من الفریضة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یقبل من صلاة الساهی،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لأبی عبداللّه علیه‌السلام و أنا أسمع، جعلت فداک أنّی کثیر السهو فی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قدر سهوه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الخشوع فی الصلاة،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علیهماالسلام إذا قام فی الصلاة، کأ نّه ساق شجرة لایتحرّک منه شیء إلاّ ما حرکهُ الریح 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علیهماالسلام إذا قام فی الصلاة، تغیّر لونه، فإذا سجد لم یرفع رأسه حتی یرفَضَّ عرقاً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ما یحاسب به العبد، الصلاة، فإن قبلت، قبل ما سواها، إن الصلاة إذا ارتفعت فی أول وقتها رجعت إلی 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یحاسب به العبد، الصلاة، فإذا قبلت، قبل منه سائر عمله و إذا ردّت علیه ردّ علیه سائر عمله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إنّه لیأتی علی الرجل خمسون سنة و ما قبل اللّه منه صلاة واحدة و أی شیء أشد من هذا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العبد فی الصلاة فخفف صلاته، قال اللّه تبارک و تعالی لملائکته أما ترون إلی عبدی کأ نّه یری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الاخلاص،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لِیَبْلُوَکُمْ أَیُّکُمْ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یعنی أکثر عملاً و لکن أصوبکم عملا و إنّما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أخلص اللّه العبادة و الدعاء و لم یشغل قلبه بما تری عیناه و لم ینس ذکر اللّه بما تسمع أذناه و لم یحزن صدره بما أعطی غیره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أَتَی اللَّهَ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أحد سواه و کل قلب فیه شرک أو شک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أوضیعها،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صلیت خلف أبی عبداللّه علیه‌السلام بالمزدلفة فلمّا انصرف التفت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الخمس المفروضات من أقام حدودهن و حافظ علی مواقیتهن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امالی صدوق یافت نشد و لیکن 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السادس باب الامام علی السجاد علیه‌السلام ؛ مناقب آل ابی‌طالب علیهم‌السلام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فصل فی معجزاته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إبلیس لعنة اللّه ناجی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رأیت العابدین لک من عبادک منذ أول العهد إلی عهد علی بن الحسین علیهماالسلام فلم أر أعبد لک و لا أخشع 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امالی صدوق یافت نشد و لیکن 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السادس باب الامام علی السجاد علیه‌السلام ؛ دلائل الامامة،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خبر أمّه و السبب فی تزویجها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قائماً یصلی حتی زحف ابنه محمد علیهماالسلام و هو طفل إلی بئرٍ کانت فی داره بالمدینة عمیقة فسقط فیه فنظرت إلیه أمه فصرخت و انقلبت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نسخه ناخوانا است و گویا چنین است نیز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امیدها به سوی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شعیری،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الفصل السادس و الخمسون فی الاخلاص؛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الاخلاص و معنی 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لاینظر إلی صورکم و أعمالکم و إنّما ینظر إلی قلوبکم و نیاتکم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 صلی فی حائط له فیه شجر فأعجبه ریش طائر فی الشجر یلتمس مخرجا فاتبعه نظره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بعضهم اذا فاتته صلاة فی جماعة اُحیی تلک اللیلة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تحت شجرة أراد أن یصفو له فکره و کانت أصوات العصافیر تشوش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أردت الخلاص فاقلع الشجرة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رأس کل خطیئة؛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ذم الدنیا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معراج المومن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بالدنیا،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المعایش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بالدنیا،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المعایش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حب الدنیا،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و أمسی و الدنیا اکبر همّه جعل اللّه تعالی الفقر بین عینیه و شتت أمره و لم ینل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تعلق قلبه بالدنیا، تعلق قلبه بثلاث خصال، همّ لا یفنی، و أمل لایدرک و رجاءٍ لاینال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مؤلّف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کشیده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مؤلّف مرتبگی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حب الدنیا و الحرص علیها،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علی بن الحسین علیهماالسلام أیّ الأعمال أفضل عنداللّه،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عمل بعد معرفة اللّه عزوجل و معرفة رسوله صلی الله علیه و آله أفضل من بغض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مناجاة موسی علیه‌السلام یا موسی إنّ الدنیا دار عقوبة، عاقبت فیها آدم عند خطیئته و جعلتها ملعونة، ملعون ما فیها إلاّ ما کان فیها لی یا موسی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خَلَطُوا عَمَلاً صَالِحاً وَ آخَرَ سَیِّئاً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الفصل الثانی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الدنیا و الآخرة کرجل له امرتان إذا أرضی أحداهما أسخط الأخری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اخبار الحسن بن ابی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الدنیا و الآخرة، مثل المشرق و المغرب، متی ازددت من أحدهما قربا، ازددت من الآخرة بُعداً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فی الوضوء بغسل الوجه لأنّ التوجه و الإقبال بوجه القلب علی اللّه تعالی به فیه أکثر الحواس الظاهرة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الستون فی الطهارة؛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السابع سنن الوضوء و آدابه،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 الخالص کمثل الماء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اشتباه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علل الشرائع و أصول الإسلام،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علة الوضوء، 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الطهارة، باب النوادر،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ثواب من ذکر اسم اللّه علی طهور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یتوضأ الرجل حتی یسمی و یقول قبل أن یمس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التوابین و اجعلنی من المتطهرین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حد الوضوء و ترتیبه،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زکاة الوضوء أن یقول المتوضی ـ اللّهم إنّی أسألک تمام الوضوء و تمام الصلاة و تمام رضوانک والجنة ـ فهذا زکاة الوضوء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کُلَّ شَیْ‌ءٍ حَیٍّ أَ فَلاَ یُؤْمِنُونَ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الباب الستون فی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الطهارة و الوضوء فتقدم إلی الماء تقدمک إلی رحمة اللّه قد جعل الماء مفتاح قربته و مناجاته و دلیلا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 کل شعرة جنابة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فصل فی ذکر الآثار الواردة فی الصلاة؛ عدة الداعی،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یحدثنا و نحدثه، فإذا حضرت الصلاة فکأ نّه لم یعرفنا و لم نعرفه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بنگرید به رباعی بابا افضل کاشانی که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ناکرده دمی آنچه تو را فرمودند خواهی که چنان شوی که مردان بودند</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فی ذکر ما کتب به الرضا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غسل الجنابة النظافة و تطهیر الإنسان نفسه مما أصاب من أذاه و تطهیر سائر جسده، لأنّ الجنابة خارجة من کل جسده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العلة التی من اجلها وجب الغسل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علة التخفیف فی البول و الغائط أ نّه أکثر و أدوم من الجنابة فرضی فیه بالوضوء لکثرته و مشقّته و مجیئه بغیر إرادة منه و لا شهوة و الجنابة لاتکون إلاّ بالاستلذاذ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منابع روایی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بنگرید، العقد الحسینی،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مصابیح الظلام فی شرح مفاتیح الشرایع،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کردن و تکیه نمودن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التاسع و الخمسون فی التبرز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سمّی المستراح مستراحا لاستراحة الأنفس من أثقال النجاسات و استفراغ الکثافات و القذر فیها و المؤمن یعتبر عندها أن الخالص من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کبر، خودپسندی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فصل القیام إلی الصلاة فی أول وقتها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حدیثی یافت نشد و لیکن 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حبب إلی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قرة عینی فی الصلاة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آرامی کردن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فصل فی المسابقة بصالح الأعمال؛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عبادته و خوفه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حضر وقت الصلاة تلوّن و تزلزل، فقیل له ما 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وقت أمانة عرضها اللّه تعالی علی السماوات و الأرض و الجبال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ذکر صفات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إذا توضأ للصلاة و أخذ فی الدخول فیها أصفر وجهه و تغیّر لونه فقیل له مرة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أرید الوقوف بین یدی ملک عظیم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یخاف الذی یحول وجهه فی الصلاة أن یحول اللّه وجهه وجه حمار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آداب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أقام العبد إلی الصلاة فکان هواه و قلبه إلی اللّه تعالی انصرف کیوم ولدته أمه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الباب التاسع و الثلاثون فی افتتاح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استقبلت القبلة فآیس من الدنیا و ما فیها و الخلق و ما هم فیه و فرغ قلبک عن کل شاغل یشغلک عن اللّه تعالی و عاین بسرک عظمة اللّه عزوجل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الباب الواحد و الستون فی دخول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بلغت باب المسجد فاعلم أ نّک قد قصدت باب ملک عظیم لا یطَأَ بساطه إلاّ المطهّرون و لا یؤذن لمجالسته إلاّ الصدیقون فهب القدوم إلی بساطه هیبة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الاْءَوَّلُ وَ الاْآخِرُ وَ الظَّاهِرُ وَ الْبَاطِنُ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بدء الاذان و الاقامة،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الاذان و الاقامه، حدیث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سمع المؤذن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أشهد أنّ محمدا رسول اللّه، فقال مصدقاً 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أشهد أن لا إله إلاّ اللّه و أشهد أنّ محمدا رسول اللّه صلی الله علیه و آله و اکتفی بهما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افتتاح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افتتحت الصلاة فارفع کفّیک، ثم ابسطهما بسطا، ثم کبّر ثلاث تکبیرات،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الْمَلِکُ الْحَقُّ لا إِلهَ إِلاّ أَنْتَ سُبْحَانَکَ إِنِّی ظَلَمْتُ نَفْسِی فَاغْفِرْ لِی ذَنْبِی إنَّهُ لا یَغْفِرُ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متن روایت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مجلس فی ذکر الحیاء؛ مشکاة الانوار،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قیل 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 من اللّه کما تستحی من الرجل الصالح من قومک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الحدیث الرابع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 إلی صلاتک، فاقبل علی اللّه بوجهک یقبل علیک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الصلاة؛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ذکر الکلام و الأعمال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أبصر رجلا یبعث بلحیته فی صلاته،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خشع قلبه لخشعت جوارحه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الأول فی العبادة؛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المسلک الرابع فی أحادیث رواها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عبدتک خوفا من نارک و لا شوقا إلی جنّتک و لکن رأیتک أهلا للعبادة فعبدتک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أوضیعها،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إنّه لیأتی علی الرجل خمسون سنة، ما قبل اللّه منه صلاة واحدة، فأی شیءٍ أشد من هذا و اللّه إنّکم لتعرفون من جیرانکم و أصحابکم من لو کان یصلی لبعضکم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الخشوع فی الصلاة و کراهیة العبث،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الثالث و العشرون فی النیة،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النیة الصادقه صاحب القلب السلیم، لأنّ سلامة القلب من هواجس المحذورات بتخلیص النیة للّه تعالی فی الأمور کلها، قال اللّه تعالی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الباب السادس عشر فی الإخلاص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الإخلاص یجمع فواضل الأعمال و هو معنی مفتاحه القبول و توقیعه الرضا فمن تقبل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ادنی حدَّ الإخلاص بذل العبد طاقته، ثم لایجعل لعلمه عند اللّه قدراً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الباب الثالث و العشرون فی النیة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فلابد للعبد من خالص النیة فی کل حرکة و سکون لأ نّه إذا لم یکن بهذا المعنی، یکون غافلا و الغافلون، قد ذمّهم اللّه تعالی،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 إلاّ کالأنعام بل هم أضل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مؤلّف گرانقدر موفق به تحریر اسرار الصلاة شده است و به انجام بقیه آن توفیق نیافته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الاعوام،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دوشیزه‌گان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تحلیّات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تحلّیات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نظامی، بخش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نعت رسول اکرم صلی الله علیه و آله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الروضة،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اشباه است، نهمت به معنای کمال مطلوب، غایت آرزو می‌باشد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 و قصدی که انسان آن را پنهان می‌کند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را به یاری اجزاء سر سبز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را به آبیاری اجرای سنن سنیه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سیرآب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طلب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دوشیزه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معمور و مسکون از کره زمین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داده شده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طره‌ای که بر بالای نامه، پیش از بسمله با قلم درشت نوشته می‌شود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جلالتش چون 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جلالش چون سیارات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یافتن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بندگان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خورده‌گیری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می‌پسندد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اتمام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فی العقد؛ 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یشترط تعیین المرأة عند العقد؛ الحدائق الناضرة،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اشتراط تعیین الزوجة؛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یشترط فی النکاح امتیاز الزوجة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حاضر باشند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کنند به این دو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اشاره کنند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کتاب الصداق؛ غنیة النزوع،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المهر لیس من شرط صحة العقد الدائم؛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احکام الصداق؛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فی احکام المهور و</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الکافی للحلبی،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النکاح الدائم؛ شرح اللمعة،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می‌توان داد مثل آنکه مردی مهر زن را این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معینه را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نوادر فی المهر،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المهور و الأجور و ما ینعقد من النکاح من ذلک و ما لا ینعقد،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 متن حدیث این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حکم التزویج بالفارسیة إذا کانا عاجزین عن العربیة؛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الجامع للشرایع،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فی احکام العقد؛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ارکان النکاح، احکام الصیغة؛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اللمعة الدمشقیة،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بیان حکم العقد بالعربیة و غیرها؛ شرح اللمعة،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 و عارف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 نموده تا صیغه را جاری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 نمود تا به عربی صیغه را جاری سازد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بیان حکم العقد بالعربیة و غیرها؛ الحدائق الناضرة،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المشهور بین الاصحاب عدم جواز العدول عن العربیة الی الترجمة بالفارسیة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قدر المتعاقدان علی القبول و الایجاب بالعربیة عقدا بها استحبابا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و احوط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را تا به عربی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بالعجمیة مع القدرة علی العربیة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کرده‌اند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آنکه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احکام الوکالة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الجامع للشرایع،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فی آداب النکاح؛ 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تولی طرفی العقد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ینعقد به النکاح؛ غنیة النزوع،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النکاح؛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صیغة عقد النکاح؛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 و النظر فی الصیغة و الحکم و</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إِنِّی أُرِیدُ أَنْ أُنکِحَکَ إِحْدَی ابْنَتَیَّ هَاتَیْنِ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خطبة النکاح،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الرجل یزوّج عبده امته،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مفعول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مواضع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کتاب القضاء، باب النوادر،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که در روایت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قد زوّجت هذا الغلام من هذه الجاریة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شیخ صدوق،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السبعون،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إنّی أشهدتکم أنّی قد زوّجت فاطمة بنت محمد من علی بن أبیطالب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فی العقد؛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شرح اللمعة،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أولیاء العقد؛ مسالک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استحباب الاذن من الاب و الاخ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به لزوم رضای ولیّ با وجود ثیّبه بودن زن شده‌اند؛ و چون بعضی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استیمار البکر و من یجب علیها استیمارها،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الثیب فإنّها تستأذن و إن کانت بین أبویها إذا أرادا أن یزوجاها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نکاح المرأة بغیر ولیّ؛ غنیة النزوع،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النکاح؛ المختصر النافع،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أولیاء العقد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اقوال مختلف،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فاضل آبی قائل این اقوال مختلف را این طور بیان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الأول للمرتضی و المفید فی أحکام النساء، و هو اختیار الشیخ فی التبیان و صاحب الواسطة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ادریس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سلار و شیخنا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نصوا جمیعاً أنّ المستحب أن لا تعقد إلاّ بإذن الأب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وکالت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وکالت ولی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ولیّ جدا می‌گفته باشد و صیغه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جدا می‌گفته و صیغ</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موت پدر نیز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عبارت ابوالصلاح حلبی در کافی،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صریح عبارت غنیة النزوع،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النکاح مشروط بودن به وجود پدر می‌باشد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که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احتیاط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اجتمعت الأب و الجد؛ تذکرة الفقهاء، چاپ سنگی،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ترتیب الاولیاء و تزاحمهم؛ 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تقدیم اختیار الجد علی اختیار الاب عند الاختلاف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وقتی است که ولی مانع نباشد از شوهر دادن باکره رشیده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تکراری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الروضة، حدیث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الاستخارة للنکاح و الدعاء قبله،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و القمر فی العقرب لم یر الحسنی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الوقت الذی یکره فیه التزویج، حدیث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کراهة التزویج و القمر فی العقرب و فی محاق الشهر،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 نّه یکره التزویج فی محاق الشهر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یستحب فیه الاعلان؛ المراسم العلویة،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من یجوز له العقد فی النکاح و من لایجوز؛ شرح اللمعة،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مهمانی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تکراری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الاطعام عند التزویج،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الخمسة،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خطب النکاح،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که میان علماء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مشهوره که بعضی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دختر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خطبه مشهوره این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روایی تا اینجا ـ یعنی آخر آیه ـ جزء خطبه آمده و ادامه خطبه نیامده است،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مجلس فی ذکر إمامة أبی جعفر، محمد بن علی و مناقبه علیه‌السلام ؛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استحباب الخطبة للتزویج،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رسوله الکریم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استحبابه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احادیث تتضمن شیئا من الآداب الدینیة،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النکاح،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که این روایت در این کتب با عبارات مختلف آمده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وکیل مرد با زن می‌خواند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 بگویند تا صیغه را به فارسی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علیحده می‌گوید و نیز علیحده اضافه می‌کند بر آنچه در قسم اول گذشت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این قیاس عبارات دیگر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مرد قبول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الصَّدَاقِ الْمَعْلُومِ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این منوال، باقی عبارات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وکیل زن می‌گوید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وِکَالَةً عَنْ مُوَکِّلَتِی وَ عَنْ أبیهَا أنْکَحْتهَا نَفْسَکَ عَلَی الصَّداقِ الْمَعْلِومِ پس مرد قبول می‌کند، پس وکیل می‌گوید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 را می‌گوید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وکیل مرد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النِّکاحَ لِمُوَکِّلِی عَلَی الصَّداقِ الْمَعْلُومِ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أَنْکَحْتُ وَ زَوَّجْتُ نَفْسِی مِنْ مُوَکِّلِکَ عَلَی الصَّداقِ الْمَعْلُومِ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هر عبارت إصالَةً وَ وِکالَةً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داشته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وکیل زن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مُوَکِّلَکَ بِمُوَکِّلَتی عَلَی الصَّداقِ الْمَعْلُومِ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وکیل زن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را می‌گوید که گذشت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وکیل زن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وکیل مرد قبول می‌کند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صیغهای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تشریک به وکالت زوجه و ولیّ هر دو در شق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وکالت ولیّ زوجه علیحده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باید که رعایت شود و فرق میان نکاح دائم و متعه 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در الناصریات،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ادریس حلی در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به این دو لفظ، عقد نکاح دائم واقع می‌شود، و محقق حلی در المختصر النافع،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صیغة العقد و فاضل آبی در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کیفیة صیغة عقد النکاح،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هر سه لفظ عقد نکاح دائم واقع می‌شود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الإیجاز،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مختصر النافع،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النکاح المنقطع؛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النکاح المتعة؛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اباحة نکاح المتعة؛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اقسام النکاح؛ غنیة النزوع،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نکاح المتعة؛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الجامع للشرایع،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احکام المتعة؛ مختلف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نکاح المتعة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النکاح المتعة؛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فی اباحة نکاح المتعة؛ النهایة،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ضروب النکاح 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المتعة و احکامها؛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نکاح المتعة؛ غنیة النزوع،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نکاح المتعة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در کتاب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فی نکاح المتعة، برخلاف نظرش در کتاب الخلاف و النهایة نظر داده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کانت المدة مجهولة لم یصح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علامه حلی در تبصرة المتعلمین،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الفصل الرابع فی المتعه،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یذکر الاجل فالاقرب البطلان و در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نکاح المتعة،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یبطل العقد و هو الاقوی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الفرق بین نکاح الغبطة و نکاح المتعة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آن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اقوی 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فی نکاح المنقطع؛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نکاح المتعة؛ مسالک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یشترط فی العقد ذکر الاجل؛ الحدائق الناضرة،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فی أن ذکر الاجل شرط فی صحة نکاح المتعة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المتعة و احکامها؛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نکاح المتعة؛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فی النکاح المنقطع؛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الاجل؛ مسالک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نمودن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فی النکاح المنقطع؛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نکاح المتعة؛ الدر المنضود،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المنقطع؛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اشتراط الاجل؛ مسالک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فی النکاح المنقطع؛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نکاح المتعة؛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اشتراط الاجل؛ الدر المنضود،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المنقطع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وجه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شرط میراث نبردن کرده باشند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گذارده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آمده است که این قول نقل شده از ابن براج،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نکاح المتعة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الایجاز،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احکام المتعة؛ الکافی للحلبی،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النکاح المتعة؛ غنیة النزوع،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نکاح المتعة؛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توارث نکاح المؤجل؛ مختلف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هل یثبت التوارث بعقد المتعة؟؛ الدر المنضود،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المنقطع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المتعة و احکامها؛ الوسیلة،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فصل فی بیان نکاح المتعة؛ مختصر النافع،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نکاح المنقطع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دو قول اخیر در نسخه م و ل مشوش و مجمل است و آنچه در متن آمده از نسخه ج می‌باشد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نکاح المتعة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مُوَکِّلَکَ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دوازده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گذشت در عقد متعه نیز به تفصیل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ج از اینجا به بعد تا آخر نسخه عناوین و رؤوس مطالب نانوشته است که کاتب می‌خواسته آن را با قلم قرمز بنویسد، ولی ظاهراً فراموش کرده است، مثلا در اینجا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جایش سفید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سکّه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بِسِتّینَ عَبّاسِیّاً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بگویند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گردد و مهر به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معروض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بِخَمْسِمِائَةٍ وَ أَرْبَعِینَ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بِعَشْرِ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سبعمأة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بِسَبْعِمِائَةٍ وَ ثَمانِیْنَ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مدت نوزده سال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 الضَّرْبِ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 وَ مِأَتَیْنِ وَ 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هِلالِیّةً مِبْتَدَأَةً مِنَ الانِ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أَرْبَعِمِائَةٍ وَ أَرْبَعِینَ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خَمْسِمِائَةٍ وَ سِتِّیْنَ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شش سال و بیست و هفت سال تکرار شده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سَبْعِمِائَةٍ وَ أَرْبَعِینَ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سِتِّمِائَةٍ وَ ثَمانِینَ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ثَلاثِینَ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مدت سی و شش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 الضَّرْبِ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مدت سی و نه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 الضَّرْبِ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می‌گوید در این قسم زن پیش از مَتَّعْتُکَ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قسم زن پیش از مَتَّعْتُکَ می‌گوید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وَ وِکالَةً عَنْ أَبی، اگر پدر او را وکیل نموده باشد؛ و می‌گوید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مَتَّعْتُکَ نَفْسی سَنَةً هِلالِیَّةً مُبْتَدَأَةً مِنَ الاْنِ بِسِتّینَ عَبّاسِیّاً جَدِیدَ الضَّرْبِ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باقی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آنچه را که در این قسم گذشت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احتیاط صیغه انفراد نماید هر آنچه در قسم سیم گذشت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احتیاط صیغه انفراد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می‌گوید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اگر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قسم اگر پدر ولیّ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مُوَکِّلَتِی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بی‌فاصله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ششم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صیغه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مذکور 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زیاده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زیادتی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گوید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 زن با وکیل مرد صیغه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 زن می‌گوید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 الضَّرْبِ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می‌گوید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صیغهای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دو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ذکر دو فصل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چکمه‌های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تا هفت روز</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خوردن شیر و از سرکه تا هفت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خوردن شیر و سرکه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خوردن این چیز رحم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 این چهار چیز رحم سرد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مجلس السادس و السبعون،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حمد خدا بگو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ائتلاف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استحباب الدخول علی طهر و صلاة رکعتین و الدعاء بالمأثور،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استحباب الدخول علی طهر و صلاة رکعتین و الدعاء بالمأثور،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فِی أمانَتِکَ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باهله،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الاستخارة للنکاح و الدعاء قبله،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آن قبلا در صفحه پاورقی آمده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 حیض با نفاس جمع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حیض یا نفاس قطع شده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قائلی برای تحریم این مطلب به دست نیاوردیم، برای اطلاعات بیشتر رجوع شود به مدارک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جواز وطی‌ء الحائض قبل أن تغتسل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فی کفارة وطی‌ء الحائض؛ 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ما یکره للحائض؛ روض الجنان،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حکم وطی‌ء الحائض بعد انقطاعه؛ مجمع الفائدة،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حکم وطیها بعد انقطاع الدم قبل الغسل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 جماع کردن با او جایز است و اگر تقصیر کند و غسل را به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تکراری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حکم الحیض و الاستحاضة؛ النهایة،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حکم الحائض و المستحاضة؛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فی جواز وطی‌ء المستحاضة؛ تحریر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الاستحاضة؛ روض الجنان،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احکام الاستحاضة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فصل فی بیان احکام الزفاف و آداب الخلوة، ایشان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 علیه وطؤها فی المحاش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فاضل آبی در کشف الرموز خود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القدماء القمیین، و الشیخ السعید جمال الدین أبو الفتوح، و صاحب الواسطة یذهبون إلی تحریم ذلک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وطی‌ء المرأة فی الدبر؛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کراهیة اتیان النساء فی ادبارهن؛ الرسائل التسع،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وطی‌ء الحلائل فی الدبر؛ نزهة الناظر فی الجمع بین الاشباه و النظائر،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المواضع التی یکره الجماع فیها؛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حکم النکاح فی الدبر و تعلق الاحکام به؛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حکم الوطی‌ء فی الدبر؛ و</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الذی یدخل بالمرأة فیه،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انّه لایجوز الدخول بالزوجة حتی تبلغ تسع سنین،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رضای او چنان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رضای او مرد چنین نکند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هر دو روزه داشته باشند به روزه‌ای که افطار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هر دو روزه‌دار باشند که افطار از آن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این قول را نیافتیم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فی آداب الغشیان، در عبارت اکثر علماء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کردن در سفر هنگامی که برای غسل کردن نداشته باشد کراهت دارد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فی آداب النکاح؛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الآداب؛ 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مکروهات الجماع؛ مشارق الشموس،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التسمیة عند الجماع،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تأکّد استحباب التسمیة و الاستعاذة،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أحدکم أهله فلم یذکر اللّه عند الجماع و کان منه ولد کان شرک الشیطان و یعرف ذلک بحبّنا و بغضنا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الدعاء فی طلب الولد،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کردن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کراهة الکلام عند الجماع،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کراهة الجماع مستقبل القبلة و مستدبرها،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کراهة جماع المرأة و الجاریة و فی البیت صبی،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بیند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کراهیة أن یواقع الرجل أهله و فی البیت صبی،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مجامعة الحرة بین یدی الحرة؛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کراهة جماع الحرة عند الحرة و جواز جماع الأمة عند الأمة،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تجامع الحرة بین یدی الحرة، فأما الإماء بین یدی الإماء، فلا بأس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کراهیّت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خدمت‌کاران را دور می‌نمود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کراهیة أن یواقع الرجل أهله و فی البیت صبی،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کراهة جماع المرأة و الجاریة و فی البیت صبی،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جواز الجماع عاریا علی کراهیة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عریان باشد و چنین کنند، ملائکه ایشان را دور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عریان باشند و اگر چنین کنند، ملائکه از ایشان دور می‌شوند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النوادر،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کراهة جماع المتخضب،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المجلس الخمسون،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جواز النظر إلی جمیع بدن الزوجة حتی الفرج فی حال الجماع علی کراهیة فیها،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در حال 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در میان رخت خواب بول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الثمانون،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که منبع روایت ذکر نشده همان روایت مفصلی است که شیخ صدوق در امالی 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ما آن را مفصلا در آینده می‌آوریم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رسد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الاوقات التی یکره فیها الجماع، حدیث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کراهة الجماع بعد الاحتلام قبل الغسل،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استحباب الوضوء لجماع الحامل و العود الی الجماع و إن تکرر،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نیست که دیوانه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فرزندی به هم رسد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کراهة الجماع بعد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السماء،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کراهة الجماع مستقبل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ظهر الطریق،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پیش</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راحت اختیار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آخرت اختیار نماید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یک چیز را دو می‌بیند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وقت غروب آفتاب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کراهة الجماع مابین طلوع الفجر إلی طلوع الشمس و من مغیب الشمس الی مغیب الشفق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کراهة الجماع فی اول شهر إلا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سال ساقط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 می‌شود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کراهة الجماع فی اول شهر إلا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وقت الذی یکره فیه التزویج،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دهانش خوشبو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باشد دهانش خوشبو</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فرزندی بهم رسد، خطیب 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جماع کنی در شب جمعه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فرزندی که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الثمانون،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چون مؤلّف اکثر بخشهای این روایت را ذکر کرده‌اند، ما هم نص این روایت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الجلیل أبو جعفر محمد بن علی بن الحسین بن موسی ابن بابویه القمی رضی‌الله‌عنه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رضی‌الله‌عنه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سعید الحسن بن علی العدوی،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یوسف بن یحیی الأصبهانی أبو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إسماعیل بن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أحمد بن صالح بن سعید المکی،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حفص، عن إسحاق بن نجیح، عن خصیف، عن مجاهد،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رسول اللّه صلی الله علیه و آله علی بن أبی‌طالب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العروس بیتک فاخلع خفها حین تجلس، و اغسل رجلیها، وصب الماء من باب دارک إلی أقصی دارک، فإنّک إذا فعلت ذلک أخرج اللّه من دارک سبعین ألف لون من الفقر، و أدخل فیها سبعین ألف لون من البرکة، و أنزل علیک سبعین رحمة ترفرف علی رأس العروس حتی تنال برکتها کل زاویة من بیتک، و تأمن العروس من الجنون و الجذام و البرص أن یصیبها ما دامت فی تلک الدار، و امنع العروس فی أسبوعها من الألبان و الخل والکزبرة و التفاح الحامض، من هذه الأربعة أشیاء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دستمالی با خود داشته باشی به جهت خود و زن به جهت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دستمالی به جهت خود داشته باشی و زن دستمالی به جهت خود داشته باشد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استحباب ملاعبة الزوجة و مداعبتها،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رمضان را که 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ماه مبارک رمضان بر او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روزه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دانستن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أکل أو شرب ناسیا فی شهر رمضان،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أنّ من أکل أو شرب أو جامع أو قاء ناسیاً، لم یفسد صومه،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أ نّه سئل عن رجل نسی فأکل و شرب ثم ذکر؟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یفطر، إنما هو شیء رزقه اللّه فلیتم صومه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روزه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ما یشترط فی افساد الصوم بالإفطار أمور ثلاثة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 و کفاره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الکفارة فی اعتماد افطار یوم من شهر رمضان،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ما یجب علی الصائم اجتنابه فیما لو جامع زوجته نهاراً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حکم صوم من فعل المفطر جاهلاً بالتحریم؛ 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حکم الإفطار سهوا، و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کفارة الإفطار فی رمضان؛ ذخیرة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حکم من أفطر سهواً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معتاد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نوافل شهر رمضان و دخوله؛ المقنع،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من أفطر أو جامع فی شهر رمضان؛ الانتصار،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کفارة الافطار فی رمضان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بنابر فرمایش فاضل آبی از ابن أبی عقیل می‌باشد،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آزاد کردن مقدور باشد، واجب است که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مرکز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مرض</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یک دفعه یا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حلال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 اقوال این مطلب در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احکام الصوم؛ تحریر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الاحکام؛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فی تعیین الکفارة، التنقیح الرائع لمختصر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تکرر الکفارة مع تغایر الأیام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فی القضاء و الکفارة؛ و یحیی بن سعید حلی در الجامع للشرایع،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افطر علی حرام أو جامع حراما، فعلیه الثلاثة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کرّر الجماع فی یومه تکررت الکفارة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کرّر الأکل أو الشرب، أو أکل ثم جامع أو شرب، فکفارة واحدة لأ نّه أفطر بالأول لا بالثانی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صیمری در تلخیص الخلاف و خلاصة الاختلاف،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در مورد این مطلب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تکرر فعل المفطر غیر الجماع تکررت الکفارة مع تغایر جنس المفطر لا مع اتحاده، إلاّ أن یتخلل التکفیر و هو مذهب القواعد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شهید اول در اللمعة الدمشقیة،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تکرّر الکفارة بتکرّر الوطئ أو تغایر الجنس أو تخلل التکفیر أو اختلاف الأیام و إلاّ فواحدة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آشامیدن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روز افطار آورده باشد، کفاره مکرر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روز بار دویم منافی روزه را به عمل آورده باشد، کفاره مکرر می‌شود و اگر کفاره دادن در میان واقع نشده باشد، مکرر نمی‌شود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عدم تکرر الکفارة بتکرّر الإفطار، به نقل از ابن جنید؛ الرسائل العشر،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ما یجب الإمساک عنه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منافی روزه را به عمل آورده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منافی روزه از کسی به عمل آید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این قول را نیافتیم و محقق خوانساری در مشارق الشموس،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هفت قول برای این مسأله ذکر کرده‌اند که این قول در بین آن اقوال نیست و آن هفت قول از این قرار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احکام الصوم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الجامع للشرایع،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یقدر تصدق بما یطیق، فإن لم یقدر صام ثمانیة عشر یوما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 یجب علی من أفطر أو جامع فی شهر رمضان، ذیل حدیث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ذکر کفارة الجمع؛ ایضاح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قضاء الصوم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هل تجب کفارة الجمع بالافطار المحرم؟؛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کفارة الافطار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تعالی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بیته الطاهرین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ناخوانا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یشهد له قول المصلّی فی تشهّده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أشهد أنّ محمّداً 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التقدّم الوضعی یکشف عن التقدّم الوجودی الطبیعی الذاتی، و من هنا قال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فخری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استخدامی است در کلام از شعر عارف شیراز خواجه شمس‌الدین محمد شیرازی که فرمود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روائی چنین حدیثی یافت نشد، لکن این کلام بسیار شهرت دارد؛ جناب مولوی معنوی قدّس سرّه العزیز نیز در دفتر چهارم مثنوی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این فرمود آن شاه نبیه مصطفی که الولد سرّ ابیه</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 حدیث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موتوا قبل أن تموتوا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ناخوانا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گلستان سعدی باب اوّل حکایت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در بعضی نسخ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بدان یار گشت همسر لوط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از اشعار مرحوم فیض کاشانی رحمه‌الله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غاشیه،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دعای هفتم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شرح،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از اشعار حاجی سلیمان کاشانی متخلص به صباحی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اصول فقه، ص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نیز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واژه‌شناسی اصطلاحات اصول فقه،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الأیّام،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عائده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الفقهیة،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معنای اجازات، جایگاه آن در فرهنگ اسلامی و نیز اقسام اجازات، نگر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اجازات آیة اللّه العظمی سید ابوالحسن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متن این اجازه را مرحوم استاد روضاتی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نموده‌اند؛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سید حسن فقیه امامی،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و ملا اسماعیل خواجویی و شیخ الشریعه اصفهانی نیز هر یک رساله‌ای در این موضوع نوشته‌اند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اهل سلوک،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 و تصرف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فوق را مرحوم استاد روضاتی در یکی از این دیدارها که معمولاً پس از اذان ظهر صورت می‌گرفت، فرمودند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قسمت‌هایی از مقابله این رساله در تاریخ‌های زیر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 هجدهم و نوزدهم اردیبهشت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مرعشی نجفی،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دنا،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106473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سی نفر از مشایخ روایی مرحوم آیة اللّه سید محمد علی روضاتی را نگر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سید حسن فقیه امامی،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تخت‌فولاد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الأحکام،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فی تذکرة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نهایة‌الإحکام،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الشهید فی الذکری،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یسیر فی الألفاظ</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ورد فی 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ورقة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إلیک نص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باسناده، عن الحسین بن سعید، عن علی بن اسماعیل، عن إبن أبی عمیر، عن حفص بن البختری،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علیه‌السلام متی تجب الکفارة علی المظاهر؟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أن یواقع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صححناها من المصدر و لکن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إلیک نصّ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عن احمد بن محمّد، عن علی بن الحکم، عن العلا، عن محمّد بن مسلم، عن أحدهما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ظاهر من إمرأته خمس مرّات أو اکثر،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کلّ مرة کفارة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إلیک نصّ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علی بن ابراهیم، عن أبیه، عن إبن أبی عمیر، عن حمّاد، عن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رجل ظاهر من إمرأته ثلاث مرّات،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یکفّر ثلاث مرّات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إلیک نصّ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أبی علی الأشعری، عن محمّد بن عبدالجبّار، 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الحسین بن مهران أباالحسن الرضا علیه‌السلام عن رجل ظاهر من أربع نسوة،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واحدة منهنّ کفارة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إلیک نصّ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باسناده، عن محمّد بن احمد بن یحیی، عن محمد بن الحسین، عن محمّد بن سنان، عن أبی الجارود زیاد بن منذر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أبوالورد أبا جعفر علیه‌السلام و أنا عنده عن رجل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علی کظهر أمی مائة مرّة، فقال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یطیق لکلّ مرّة عتق نسمة؟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یطیق أطعام ستین مسکیناً مائة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فیطیق صیام شهرین متتابعین مائة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 بینهما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 الاحتمال، بطل الاستدلال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شرعیّة 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شرعیّة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مع تلخیص و تصرف من المؤلّف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المحقّق الخوانساری قدس‌سره فی المشارق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مع تصرف فی العبارات من المؤلّف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العلاّمة الحلّی فی مختلف الشیعة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العلاّمة الحلّی قدس‌سره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العلاّمة الحلّی قدس‌سره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أعنّی ما سوی الأمور العامّة و الإلهیات، منه عفی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هامش النسخة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العلاّمة الحلّی قدس‌سره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المجال،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کشف الالتباس،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مشارع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حوزه اصفهان،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وجوب سجدتی السهو علی من تکلم ناسیا فی الصلاة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مع تلخیص و تصرف من المؤلّف، و إلیک نصّ کلامه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تکلّم فی صلاته ساهیاً، بما لایکون مثله فی الصلاة، فعلیه سجدتا السهو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الظهار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البیان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المؤلّف هذا الکلام من المحقق الخوانساری و جعلها فی بدایة رسالته و لکن جعلناها هاهنا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نامیده شدن ایشان به اسم‌های مختلف این است که چون در خراسان به دنیا آمدند و نوجوانی را در آنجا گذرانده‌اند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شدند و چون تحصیلات و تدریس را در اصفهان گذرانده‌اند،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مدّتی را در بازار نیم‌آورد اصفهان مشغول به تجارت کرباس بودند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معروفند و بالاخره چون چند سال آخر عمر و محل دفن این شخصیت در یزد بوده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عبارت صاحب الروضات این چنین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ایشان در اوّل کتاب نوادر الاخبار خود تصریح کرده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اکلیل المنهج فی تحقیق المطلب،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القرن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حاشیه جامع الرواة اردبیلی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دو کتاب اصحاب امیرالمؤمنین و اصحاب النبی جزئی از تلخیص سرّ السلف است که به کتاب إکلیل المنهج ضمیمه شده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سؤالات، مجموعه‌ای است از مسائلی که بعضی از بزرگان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بن فیاض اصفهانی، حاج محمود میبدی، حاج محمد شریف بیرجندی، مجدالدین شوشتری و غیرهم از علاّمه مجلسی پرسیده‌اند و مولی محمدجعفر کرباسی این جوابها را به خواهش بعضی از اهالی مشهد و سبزوار جمع‌آوری و مدوّن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أن التقاء الختانین یوجب الغسل،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حکم الجنابة و صفة الطهارة منها،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أن خروج المنی یوجب الغسل علی کل حال،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حکم الجنابة و صفة الطهارة منها،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احتلام الرجل و المرأة،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أنّ التقاء الختانین یوجب الغسل،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المذی ما یخرج قبل المنی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از کسی از اصحاب یافت نکردیم، إلاّ در کتاب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 علامه مجلسی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المذی فهو ما یخرج عقیب الملاعبه و التقبیل کما فی الصحاح و القاموس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ماء لزج رقیق یخرج عقیب الشهوة علی طرف الذکر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عبارت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علمائنا عدم النقض به، سواءٌ القبل و الدّبر، منه أو من غیره رجلاً أو امرأةً، باطناً أوْ ظاهراً، بشهوةٍ أو غیرها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الجنید نقل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خرج عقیب الشهوة ففیه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مذی بعد از شهوت خارج شود، پس در آن وضو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 عبارت علاّمه مجلسی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ما عرفت من کلام الفقهاء و أهل اللغة لایظهر لتقیید ابن الجنید رحمة اللّه علیه وجهٌ وجیهٌ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عبارت علاّمه مجلسی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الأظهر ما ذهب الیه الاکثر و ما ذهب إلیه ابن الجنید، فلا نعرف له معنی، إذ الظاهر من کلام أهل اللغة و غیرهم لزوم کون المذی عقیب الشهوة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عبارت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نحمله علی أنه إذا کان خارجاً عن المعهود لأنّ المعهود المعتاد لایجب منه إعادة الوضوء، سواء خرج عن شهوة أو عن غیر شهوة أو یکون المراد بما ضربٌ من الإستحباب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عبارت علاّمه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یشعر کلام الشیخ فی التهذیب بنقضه إذا کان کثیراً خارجاً عن المعتاد، قال علی سبیل الإحتمال للجمع بین الأخبار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الوذی، ما یخرج بعد المنی علی أثره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عبارت علاّمه مجلسی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نجد بالمعجمة فی اللغة، و لکن ذکر الشهید رحمه‌الله أنه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عقیب الإنزال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شرائع الإسلام،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عبارت شهید ثانی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یخرجُ عقیب الإنزال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الخدش و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الوجع و المرض، و الماء القلیل و العیب؛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عبارت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الوذی بالمعجمة فلم یذکر فیما عندنا من کتب اللغة معنی مناسب له، و قد مر تفسیره فی الخبر، و الأدواء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الداء و لعل المعنی ما یخرج بسبب الأمراض</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متن النجاسة می‌باشد ولی در روایت النخامة می‌باشد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الودی، ما یخرج علی أثر البول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الودی بالدال المهملة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ثخین یخرج عقیب البول و لا خلاف بین علمائنا رضوان اللّه علیهم فی عدم نقض المذی المجرد عن الشهوة کما لاخلاف بینهم فی عدم نقض الودی مطلقاً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الکعب و الرکبة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و سیقان و أسؤق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حکم البلل المشتبه الخارج بعد البول و المنی،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حکم المذی و الوذی،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ملا عبداللّه علی التهذیب،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الفوائد العلیة،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یا ارسطاطالیس یا ارسطوطالیس، حکیم معروف یونانی است که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میلاد مسیح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مستعمرات یونان و 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متولد شده و در حدود 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خرد، دیپاچه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الاوّل هو أرسطوطالیس الحکیم الشهیر الیونانی الذی وُلد فی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المیلاد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اسطاغرا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کانت إحدی المستعمرات الیونانیّة و التابعة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حوالی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 خرد، المقدمة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الإسکندر المقدونی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فی مدخل الشفاء یقول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للمنطقی من حیث هو منطقی شغل أوّل بالألفاظ إلاّ من جهة المخاطبة و المحاورة و لو أمکن أن یتعلّم المنطقُ بفکرة ساذجة إنّما تلحظ فیها المعانی وحدها، لکان ذلک کافیاً و لو أمکن أن یطّلع المحاور فیه علی ما فی نفسه بحیلة أخری لکان یغنی عن اللفظ ألبتة، منطق الشفاء، المجلد الأوّل،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الأعمّ و بمعنی الأخص</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معدولة المحمول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معدولة الطرفین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حکم فیها بالتنافی فی الصدق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حکم فیها بالتنافی فی الکذب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الصدق و الکیف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الثانی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الأوّل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عین کل جزء إثبات لنقیض الآخر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إیجاب الصغری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الإستدلال بالمعلول علی العلة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الموعظة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وعظه فاتَّعظ</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الحیات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تاریخ پایان کتاب در فهرست مرعشی،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اختلافی ده ساله وجود دارد که بیان نشده مربوط به تألیف است یا کتابت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مرعشی،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متن نسخه شماره </w:t>
      </w:r>
      <w:r>
        <w:rPr>
          <w:rFonts w:eastAsia="IRNazanin" w:cs="IRNazanin"/>
          <w:b w:val="false"/>
          <w:bCs w:val="false"/>
          <w:i w:val="false"/>
          <w:iCs w:val="false"/>
          <w:color w:val="333333"/>
          <w:sz w:val="20"/>
          <w:szCs w:val="20"/>
        </w:rPr>
        <w:t>13767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همچنین جلد سوم از کتاب زکات، خمس و صوم تا حج، شرح بر کتاب جنة المأوی، سید محمد بن عبدالصمد شهشهانی اصفهانی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نگار مخطوطات کتابخانه طبسی قم جناب حجة‌الاسلام شیخ ابوالفضل حافظیان می‌باشد و لازم به تذکر است فهرست مخطوطات طبسی تا این تاریخ هنوز به چاپ نرسیده است و ایشان لطف کرده و اطلاعات این نسخه را مرحمت فرموده‌اند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ابتداء نسخه نام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بن محمدتقی بن محمدکریم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در آخر نسخه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تمت المجلد الأول الجواهر السنیة فی أسرار معرفة الجبار و أسرار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تصنیفها و تألیفها و کاتبها علی یدالضعیف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بن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نام مطابق است با نامی که در نسخه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ملی آمده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ظاهر نسخه نام مؤلّف و تاریخ تألیف کتاب باشد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الذریعه،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جاهای دیگر تاریخ فوت پدر فاضل هندی را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می‌کند و در این جلد احتمال فوت ایشان را در تاریخ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 با توجه به این یادداشت معلوم می‌شود که تاریخ اولی درست نیست و احتمال دوم تقویت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110331</Words>
  <Characters>431157</Characters>
  <CharactersWithSpaces>536121</CharactersWithSpaces>
  <Paragraphs>5870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2026-08-23T22:33:31Z</dcterms:created>
  <dc:creator>ghaemiyeh.com</dc:creator>
  <dc:description/>
  <dc:language>en-US</dc:language>
  <cp:lastModifiedBy/>
  <dcterms:modified xsi:type="dcterms:W3CDTF">2026-08-24T02:03:46Z</dcterms:modified>
  <cp:revision>1</cp:revision>
  <dc:subject/>
  <dc:title>میراث حوزه اصفهان جلد 10</dc:title>
</cp:coreProperties>
</file>

<file path=docProps/custom.xml><?xml version="1.0" encoding="utf-8"?>
<Properties xmlns="http://schemas.openxmlformats.org/officeDocument/2006/custom-properties" xmlns:vt="http://schemas.openxmlformats.org/officeDocument/2006/docPropsVTypes"/>
</file>