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6216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346218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346220_3224264995">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3346222_3224264995">
            <w:r>
              <w:rPr>
                <w:webHidden/>
                <w:rStyle w:val="IndexLink"/>
                <w:rtl w:val="true"/>
              </w:rPr>
              <w:t>المقصد الثانی فی النواهی</w:t>
            </w:r>
            <w:r>
              <w:rPr>
                <w:rStyle w:val="IndexLink"/>
                <w:rtl w:val="true"/>
              </w:rPr>
              <w:tab/>
            </w:r>
            <w:r>
              <w:rPr>
                <w:rStyle w:val="IndexLink"/>
              </w:rPr>
              <w:t>11</w:t>
            </w:r>
          </w:hyperlink>
        </w:p>
        <w:p>
          <w:pPr>
            <w:pStyle w:val="Contents3"/>
            <w:tabs>
              <w:tab w:val="clear" w:pos="8459"/>
              <w:tab w:val="right" w:pos="9026" w:leader="dot"/>
            </w:tabs>
            <w:rPr/>
          </w:pPr>
          <w:hyperlink w:anchor="__RefHeading___Toc3346224_322426499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346226_3224264995">
            <w:r>
              <w:rPr>
                <w:webHidden/>
                <w:rStyle w:val="IndexLink"/>
                <w:rtl w:val="true"/>
              </w:rPr>
              <w:t>الفصل الأوّل فی مفاد هیئة النهی</w:t>
            </w:r>
            <w:r>
              <w:rPr>
                <w:rStyle w:val="IndexLink"/>
                <w:rtl w:val="true"/>
              </w:rPr>
              <w:tab/>
            </w:r>
            <w:r>
              <w:rPr>
                <w:rStyle w:val="IndexLink"/>
              </w:rPr>
              <w:t>12</w:t>
            </w:r>
          </w:hyperlink>
        </w:p>
        <w:p>
          <w:pPr>
            <w:pStyle w:val="Contents4"/>
            <w:tabs>
              <w:tab w:val="clear" w:pos="8176"/>
              <w:tab w:val="right" w:pos="9026" w:leader="dot"/>
            </w:tabs>
            <w:rPr/>
          </w:pPr>
          <w:hyperlink w:anchor="__RefHeading___Toc3346228_3224264995">
            <w:r>
              <w:rPr>
                <w:webHidden/>
                <w:rStyle w:val="IndexLink"/>
                <w:rtl w:val="true"/>
              </w:rPr>
              <w:t>متعلّق الطلب فی النهی</w:t>
            </w:r>
            <w:r>
              <w:rPr>
                <w:rStyle w:val="IndexLink"/>
                <w:rtl w:val="true"/>
              </w:rPr>
              <w:tab/>
            </w:r>
            <w:r>
              <w:rPr>
                <w:rStyle w:val="IndexLink"/>
              </w:rPr>
              <w:t>12</w:t>
            </w:r>
          </w:hyperlink>
        </w:p>
        <w:p>
          <w:pPr>
            <w:pStyle w:val="Contents4"/>
            <w:tabs>
              <w:tab w:val="clear" w:pos="8176"/>
              <w:tab w:val="right" w:pos="9026" w:leader="dot"/>
            </w:tabs>
            <w:rPr/>
          </w:pPr>
          <w:hyperlink w:anchor="__RefHeading___Toc3346230_3224264995">
            <w:r>
              <w:rPr>
                <w:webHidden/>
                <w:rStyle w:val="IndexLink"/>
                <w:rtl w:val="true"/>
              </w:rPr>
              <w:t>دلالة النهی علی التکرار</w:t>
            </w:r>
            <w:r>
              <w:rPr>
                <w:rStyle w:val="IndexLink"/>
                <w:rtl w:val="true"/>
              </w:rPr>
              <w:tab/>
            </w:r>
            <w:r>
              <w:rPr>
                <w:rStyle w:val="IndexLink"/>
              </w:rPr>
              <w:t>14</w:t>
            </w:r>
          </w:hyperlink>
        </w:p>
        <w:p>
          <w:pPr>
            <w:pStyle w:val="Contents3"/>
            <w:tabs>
              <w:tab w:val="clear" w:pos="8459"/>
              <w:tab w:val="right" w:pos="9026" w:leader="dot"/>
            </w:tabs>
            <w:rPr/>
          </w:pPr>
          <w:hyperlink w:anchor="__RefHeading___Toc3346232_3224264995">
            <w:r>
              <w:rPr>
                <w:webHidden/>
                <w:rStyle w:val="IndexLink"/>
                <w:rtl w:val="true"/>
              </w:rPr>
              <w:t>الفصل الثانی فی جواز اجتماع الأمر و النهی</w:t>
            </w:r>
            <w:r>
              <w:rPr>
                <w:rStyle w:val="IndexLink"/>
                <w:rtl w:val="true"/>
              </w:rPr>
              <w:tab/>
            </w:r>
            <w:r>
              <w:rPr>
                <w:rStyle w:val="IndexLink"/>
              </w:rPr>
              <w:t>19</w:t>
            </w:r>
          </w:hyperlink>
        </w:p>
        <w:p>
          <w:pPr>
            <w:pStyle w:val="Contents4"/>
            <w:tabs>
              <w:tab w:val="clear" w:pos="8176"/>
              <w:tab w:val="right" w:pos="9026" w:leader="dot"/>
            </w:tabs>
            <w:rPr/>
          </w:pPr>
          <w:hyperlink w:anchor="__RefHeading___Toc3346234_322426499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346236_3224264995">
            <w:r>
              <w:rPr>
                <w:webHidden/>
                <w:rStyle w:val="IndexLink"/>
                <w:rtl w:val="true"/>
              </w:rPr>
              <w:t>و قبل الخوض فی المقصود لا بدّ من تقدیم امور</w:t>
            </w:r>
            <w:r>
              <w:rPr>
                <w:rStyle w:val="IndexLink"/>
                <w:rtl w:val="true"/>
              </w:rPr>
              <w:t>:</w:t>
              <w:tab/>
            </w:r>
            <w:r>
              <w:rPr>
                <w:rStyle w:val="IndexLink"/>
              </w:rPr>
              <w:t>19</w:t>
            </w:r>
          </w:hyperlink>
        </w:p>
        <w:p>
          <w:pPr>
            <w:pStyle w:val="Contents5"/>
            <w:tabs>
              <w:tab w:val="clear" w:pos="7892"/>
              <w:tab w:val="right" w:pos="9026" w:leader="dot"/>
            </w:tabs>
            <w:rPr/>
          </w:pPr>
          <w:hyperlink w:anchor="__RefHeading___Toc3346238_3224264995">
            <w:r>
              <w:rPr>
                <w:webHidden/>
                <w:rStyle w:val="IndexLink"/>
                <w:rtl w:val="true"/>
              </w:rPr>
              <w:t>الأوّل</w:t>
            </w:r>
            <w:r>
              <w:rPr>
                <w:rStyle w:val="IndexLink"/>
                <w:rtl w:val="true"/>
              </w:rPr>
              <w:t xml:space="preserve">: </w:t>
            </w:r>
            <w:r>
              <w:rPr>
                <w:rStyle w:val="IndexLink"/>
                <w:rtl w:val="true"/>
              </w:rPr>
              <w:t>تحریر محلّ النزاع</w:t>
            </w:r>
            <w:r>
              <w:rPr>
                <w:rStyle w:val="IndexLink"/>
                <w:rtl w:val="true"/>
              </w:rPr>
              <w:tab/>
            </w:r>
            <w:r>
              <w:rPr>
                <w:rStyle w:val="IndexLink"/>
              </w:rPr>
              <w:t>19</w:t>
            </w:r>
          </w:hyperlink>
        </w:p>
        <w:p>
          <w:pPr>
            <w:pStyle w:val="Contents5"/>
            <w:tabs>
              <w:tab w:val="clear" w:pos="7892"/>
              <w:tab w:val="right" w:pos="9026" w:leader="dot"/>
            </w:tabs>
            <w:rPr/>
          </w:pPr>
          <w:hyperlink w:anchor="__RefHeading___Toc3346240_3224264995">
            <w:r>
              <w:rPr>
                <w:webHidden/>
                <w:rStyle w:val="IndexLink"/>
                <w:rtl w:val="true"/>
              </w:rPr>
              <w:t>الثانی</w:t>
            </w:r>
            <w:r>
              <w:rPr>
                <w:rStyle w:val="IndexLink"/>
                <w:rtl w:val="true"/>
              </w:rPr>
              <w:t xml:space="preserve">: </w:t>
            </w:r>
            <w:r>
              <w:rPr>
                <w:rStyle w:val="IndexLink"/>
                <w:rtl w:val="true"/>
              </w:rPr>
              <w:t>الفرق بین هذه المسألة و مسألة النهی فی العبادة</w:t>
            </w:r>
            <w:r>
              <w:rPr>
                <w:rStyle w:val="IndexLink"/>
                <w:rtl w:val="true"/>
              </w:rPr>
              <w:tab/>
            </w:r>
            <w:r>
              <w:rPr>
                <w:rStyle w:val="IndexLink"/>
              </w:rPr>
              <w:t>20</w:t>
            </w:r>
          </w:hyperlink>
        </w:p>
        <w:p>
          <w:pPr>
            <w:pStyle w:val="Contents5"/>
            <w:tabs>
              <w:tab w:val="clear" w:pos="7892"/>
              <w:tab w:val="right" w:pos="9026" w:leader="dot"/>
            </w:tabs>
            <w:rPr/>
          </w:pPr>
          <w:hyperlink w:anchor="__RefHeading___Toc3346242_3224264995">
            <w:r>
              <w:rPr>
                <w:webHidden/>
                <w:rStyle w:val="IndexLink"/>
                <w:rtl w:val="true"/>
              </w:rPr>
              <w:t>الثالث</w:t>
            </w:r>
            <w:r>
              <w:rPr>
                <w:rStyle w:val="IndexLink"/>
                <w:rtl w:val="true"/>
              </w:rPr>
              <w:t xml:space="preserve">: </w:t>
            </w:r>
            <w:r>
              <w:rPr>
                <w:rStyle w:val="IndexLink"/>
                <w:rtl w:val="true"/>
              </w:rPr>
              <w:t>فی اصولیة مسألة جواز الاجتماع</w:t>
            </w:r>
            <w:r>
              <w:rPr>
                <w:rStyle w:val="IndexLink"/>
                <w:rtl w:val="true"/>
              </w:rPr>
              <w:tab/>
            </w:r>
            <w:r>
              <w:rPr>
                <w:rStyle w:val="IndexLink"/>
              </w:rPr>
              <w:t>22</w:t>
            </w:r>
          </w:hyperlink>
        </w:p>
        <w:p>
          <w:pPr>
            <w:pStyle w:val="Contents5"/>
            <w:tabs>
              <w:tab w:val="clear" w:pos="7892"/>
              <w:tab w:val="right" w:pos="9026" w:leader="dot"/>
            </w:tabs>
            <w:rPr/>
          </w:pPr>
          <w:hyperlink w:anchor="__RefHeading___Toc3346244_3224264995">
            <w:r>
              <w:rPr>
                <w:webHidden/>
                <w:rStyle w:val="IndexLink"/>
                <w:rtl w:val="true"/>
              </w:rPr>
              <w:t>الرابع</w:t>
            </w:r>
            <w:r>
              <w:rPr>
                <w:rStyle w:val="IndexLink"/>
                <w:rtl w:val="true"/>
              </w:rPr>
              <w:t xml:space="preserve">: </w:t>
            </w:r>
            <w:r>
              <w:rPr>
                <w:rStyle w:val="IndexLink"/>
                <w:rtl w:val="true"/>
              </w:rPr>
              <w:t>فی اعتبار قید المندوحة</w:t>
            </w:r>
            <w:r>
              <w:rPr>
                <w:rStyle w:val="IndexLink"/>
                <w:rtl w:val="true"/>
              </w:rPr>
              <w:tab/>
            </w:r>
            <w:r>
              <w:rPr>
                <w:rStyle w:val="IndexLink"/>
              </w:rPr>
              <w:t>24</w:t>
            </w:r>
          </w:hyperlink>
        </w:p>
        <w:p>
          <w:pPr>
            <w:pStyle w:val="Contents5"/>
            <w:tabs>
              <w:tab w:val="clear" w:pos="7892"/>
              <w:tab w:val="right" w:pos="9026" w:leader="dot"/>
            </w:tabs>
            <w:rPr/>
          </w:pPr>
          <w:hyperlink w:anchor="__RefHeading___Toc3346246_3224264995">
            <w:r>
              <w:rPr>
                <w:webHidden/>
                <w:rStyle w:val="IndexLink"/>
                <w:rtl w:val="true"/>
              </w:rPr>
              <w:t>الخامس</w:t>
            </w:r>
            <w:r>
              <w:rPr>
                <w:rStyle w:val="IndexLink"/>
                <w:rtl w:val="true"/>
              </w:rPr>
              <w:t xml:space="preserve">: </w:t>
            </w:r>
            <w:r>
              <w:rPr>
                <w:rStyle w:val="IndexLink"/>
                <w:rtl w:val="true"/>
              </w:rPr>
              <w:t>عدم ابتناء النزاع علی تعلّق الأحکام بالطبائع</w:t>
            </w:r>
            <w:r>
              <w:rPr>
                <w:rStyle w:val="IndexLink"/>
                <w:rtl w:val="true"/>
              </w:rPr>
              <w:tab/>
            </w:r>
            <w:r>
              <w:rPr>
                <w:rStyle w:val="IndexLink"/>
              </w:rPr>
              <w:t>27</w:t>
            </w:r>
          </w:hyperlink>
        </w:p>
        <w:p>
          <w:pPr>
            <w:pStyle w:val="Contents5"/>
            <w:tabs>
              <w:tab w:val="clear" w:pos="7892"/>
              <w:tab w:val="right" w:pos="9026" w:leader="dot"/>
            </w:tabs>
            <w:rPr/>
          </w:pPr>
          <w:hyperlink w:anchor="__RefHeading___Toc3346248_3224264995">
            <w:r>
              <w:rPr>
                <w:webHidden/>
                <w:rStyle w:val="IndexLink"/>
                <w:rtl w:val="true"/>
              </w:rPr>
              <w:t>السادس</w:t>
            </w:r>
            <w:r>
              <w:rPr>
                <w:rStyle w:val="IndexLink"/>
                <w:rtl w:val="true"/>
              </w:rPr>
              <w:t xml:space="preserve">: </w:t>
            </w:r>
            <w:r>
              <w:rPr>
                <w:rStyle w:val="IndexLink"/>
                <w:rtl w:val="true"/>
              </w:rPr>
              <w:t>فی عدم ابتناء النزاع علی إحراز المناط</w:t>
            </w:r>
            <w:r>
              <w:rPr>
                <w:rStyle w:val="IndexLink"/>
                <w:rtl w:val="true"/>
              </w:rPr>
              <w:tab/>
            </w:r>
            <w:r>
              <w:rPr>
                <w:rStyle w:val="IndexLink"/>
              </w:rPr>
              <w:t>28</w:t>
            </w:r>
          </w:hyperlink>
        </w:p>
        <w:p>
          <w:pPr>
            <w:pStyle w:val="Contents6"/>
            <w:tabs>
              <w:tab w:val="clear" w:pos="7609"/>
              <w:tab w:val="right" w:pos="9026" w:leader="dot"/>
            </w:tabs>
            <w:rPr/>
          </w:pPr>
          <w:hyperlink w:anchor="__RefHeading___Toc3346250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346252_3224264995">
            <w:r>
              <w:rPr>
                <w:webHidden/>
                <w:rStyle w:val="IndexLink"/>
                <w:rtl w:val="true"/>
              </w:rPr>
              <w:t>الفرق بین باب الاجتماع و باب التعارض</w:t>
            </w:r>
            <w:r>
              <w:rPr>
                <w:rStyle w:val="IndexLink"/>
                <w:rtl w:val="true"/>
              </w:rPr>
              <w:tab/>
            </w:r>
            <w:r>
              <w:rPr>
                <w:rStyle w:val="IndexLink"/>
              </w:rPr>
              <w:t>29</w:t>
            </w:r>
          </w:hyperlink>
        </w:p>
        <w:p>
          <w:pPr>
            <w:pStyle w:val="Contents5"/>
            <w:tabs>
              <w:tab w:val="clear" w:pos="7892"/>
              <w:tab w:val="right" w:pos="9026" w:leader="dot"/>
            </w:tabs>
            <w:rPr/>
          </w:pPr>
          <w:hyperlink w:anchor="__RefHeading___Toc3346254_3224264995">
            <w:r>
              <w:rPr>
                <w:webHidden/>
                <w:rStyle w:val="IndexLink"/>
                <w:rtl w:val="true"/>
              </w:rPr>
              <w:t>السابع</w:t>
            </w:r>
            <w:r>
              <w:rPr>
                <w:rStyle w:val="IndexLink"/>
                <w:rtl w:val="true"/>
              </w:rPr>
              <w:t xml:space="preserve">: </w:t>
            </w:r>
            <w:r>
              <w:rPr>
                <w:rStyle w:val="IndexLink"/>
                <w:rtl w:val="true"/>
              </w:rPr>
              <w:t>فی ثمرة النزاع علی القول بالجواز</w:t>
            </w:r>
            <w:r>
              <w:rPr>
                <w:rStyle w:val="IndexLink"/>
                <w:rtl w:val="true"/>
              </w:rPr>
              <w:tab/>
            </w:r>
            <w:r>
              <w:rPr>
                <w:rStyle w:val="IndexLink"/>
              </w:rPr>
              <w:t>31</w:t>
            </w:r>
          </w:hyperlink>
        </w:p>
        <w:p>
          <w:pPr>
            <w:pStyle w:val="Contents5"/>
            <w:tabs>
              <w:tab w:val="clear" w:pos="7892"/>
              <w:tab w:val="right" w:pos="9026" w:leader="dot"/>
            </w:tabs>
            <w:rPr/>
          </w:pPr>
          <w:hyperlink w:anchor="__RefHeading___Toc3346256_3224264995">
            <w:r>
              <w:rPr>
                <w:webHidden/>
                <w:rStyle w:val="IndexLink"/>
                <w:rtl w:val="true"/>
              </w:rPr>
              <w:t>الثامن</w:t>
            </w:r>
            <w:r>
              <w:rPr>
                <w:rStyle w:val="IndexLink"/>
                <w:rtl w:val="true"/>
              </w:rPr>
              <w:t xml:space="preserve">: </w:t>
            </w:r>
            <w:r>
              <w:rPr>
                <w:rStyle w:val="IndexLink"/>
                <w:rtl w:val="true"/>
              </w:rPr>
              <w:t>فی ثمرة النزاع علی القول بالامتناع</w:t>
            </w:r>
            <w:r>
              <w:rPr>
                <w:rStyle w:val="IndexLink"/>
                <w:rtl w:val="true"/>
              </w:rPr>
              <w:tab/>
            </w:r>
            <w:r>
              <w:rPr>
                <w:rStyle w:val="IndexLink"/>
              </w:rPr>
              <w:t>36</w:t>
            </w:r>
          </w:hyperlink>
        </w:p>
        <w:p>
          <w:pPr>
            <w:pStyle w:val="Contents5"/>
            <w:tabs>
              <w:tab w:val="clear" w:pos="7892"/>
              <w:tab w:val="right" w:pos="9026" w:leader="dot"/>
            </w:tabs>
            <w:rPr/>
          </w:pPr>
          <w:hyperlink w:anchor="__RefHeading___Toc3346258_3224264995">
            <w:r>
              <w:rPr>
                <w:webHidden/>
                <w:rStyle w:val="IndexLink"/>
                <w:rtl w:val="true"/>
              </w:rPr>
              <w:t>التاسع</w:t>
            </w:r>
            <w:r>
              <w:rPr>
                <w:rStyle w:val="IndexLink"/>
                <w:rtl w:val="true"/>
              </w:rPr>
              <w:t xml:space="preserve">: </w:t>
            </w:r>
            <w:r>
              <w:rPr>
                <w:rStyle w:val="IndexLink"/>
                <w:rtl w:val="true"/>
              </w:rPr>
              <w:t>فی شروط جریان النزاع فی المقام</w:t>
            </w:r>
            <w:r>
              <w:rPr>
                <w:rStyle w:val="IndexLink"/>
                <w:rtl w:val="true"/>
              </w:rPr>
              <w:tab/>
            </w:r>
            <w:r>
              <w:rPr>
                <w:rStyle w:val="IndexLink"/>
              </w:rPr>
              <w:t>39</w:t>
            </w:r>
          </w:hyperlink>
        </w:p>
        <w:p>
          <w:pPr>
            <w:pStyle w:val="Contents4"/>
            <w:tabs>
              <w:tab w:val="clear" w:pos="8176"/>
              <w:tab w:val="right" w:pos="9026" w:leader="dot"/>
            </w:tabs>
            <w:rPr/>
          </w:pPr>
          <w:hyperlink w:anchor="__RefHeading___Toc3346260_3224264995">
            <w:r>
              <w:rPr>
                <w:webHidden/>
                <w:rStyle w:val="IndexLink"/>
                <w:rtl w:val="true"/>
              </w:rPr>
              <w:t>مقتضی التحقیق هو القول بجواز الاجتماع</w:t>
            </w:r>
            <w:r>
              <w:rPr>
                <w:rStyle w:val="IndexLink"/>
                <w:rtl w:val="true"/>
              </w:rPr>
              <w:tab/>
            </w:r>
            <w:r>
              <w:rPr>
                <w:rStyle w:val="IndexLink"/>
              </w:rPr>
              <w:t>41</w:t>
            </w:r>
          </w:hyperlink>
        </w:p>
        <w:p>
          <w:pPr>
            <w:pStyle w:val="Contents4"/>
            <w:tabs>
              <w:tab w:val="clear" w:pos="8176"/>
              <w:tab w:val="right" w:pos="9026" w:leader="dot"/>
            </w:tabs>
            <w:rPr/>
          </w:pPr>
          <w:hyperlink w:anchor="__RefHeading___Toc3346262_3224264995">
            <w:r>
              <w:rPr>
                <w:webHidden/>
                <w:rStyle w:val="IndexLink"/>
                <w:rtl w:val="true"/>
              </w:rPr>
              <w:t>دفع الإشکالات الواردة علی القول بجواز الاجتماع</w:t>
            </w:r>
            <w:r>
              <w:rPr>
                <w:rStyle w:val="IndexLink"/>
                <w:rtl w:val="true"/>
              </w:rPr>
              <w:tab/>
            </w:r>
            <w:r>
              <w:rPr>
                <w:rStyle w:val="IndexLink"/>
              </w:rPr>
              <w:t>47</w:t>
            </w:r>
          </w:hyperlink>
        </w:p>
        <w:p>
          <w:pPr>
            <w:pStyle w:val="Contents4"/>
            <w:tabs>
              <w:tab w:val="clear" w:pos="8176"/>
              <w:tab w:val="right" w:pos="9026" w:leader="dot"/>
            </w:tabs>
            <w:rPr/>
          </w:pPr>
          <w:hyperlink w:anchor="__RefHeading___Toc3346264_3224264995">
            <w:r>
              <w:rPr>
                <w:webHidden/>
                <w:rStyle w:val="IndexLink"/>
                <w:rtl w:val="true"/>
              </w:rPr>
              <w:t>تنبیه فی أدلّة القول بالامتناع و الجواز</w:t>
            </w:r>
            <w:r>
              <w:rPr>
                <w:rStyle w:val="IndexLink"/>
                <w:rtl w:val="true"/>
              </w:rPr>
              <w:tab/>
            </w:r>
            <w:r>
              <w:rPr>
                <w:rStyle w:val="IndexLink"/>
              </w:rPr>
              <w:t>52</w:t>
            </w:r>
          </w:hyperlink>
        </w:p>
        <w:p>
          <w:pPr>
            <w:pStyle w:val="Contents4"/>
            <w:tabs>
              <w:tab w:val="clear" w:pos="8176"/>
              <w:tab w:val="right" w:pos="9026" w:leader="dot"/>
            </w:tabs>
            <w:rPr/>
          </w:pPr>
          <w:hyperlink w:anchor="__RefHeading___Toc3346266_3224264995">
            <w:r>
              <w:rPr>
                <w:webHidden/>
                <w:rStyle w:val="IndexLink"/>
                <w:rtl w:val="true"/>
              </w:rPr>
              <w:t>فیما استدلّ به للقول بالامتناع</w:t>
            </w:r>
            <w:r>
              <w:rPr>
                <w:rStyle w:val="IndexLink"/>
                <w:rtl w:val="true"/>
              </w:rPr>
              <w:tab/>
            </w:r>
            <w:r>
              <w:rPr>
                <w:rStyle w:val="IndexLink"/>
              </w:rPr>
              <w:t>52</w:t>
            </w:r>
          </w:hyperlink>
        </w:p>
        <w:p>
          <w:pPr>
            <w:pStyle w:val="Contents4"/>
            <w:tabs>
              <w:tab w:val="clear" w:pos="8176"/>
              <w:tab w:val="right" w:pos="9026" w:leader="dot"/>
            </w:tabs>
            <w:rPr/>
          </w:pPr>
          <w:hyperlink w:anchor="__RefHeading___Toc3346268_3224264995">
            <w:r>
              <w:rPr>
                <w:webHidden/>
                <w:rStyle w:val="IndexLink"/>
                <w:rtl w:val="true"/>
              </w:rPr>
              <w:t>فیما استدلّ به للقول بالجواز</w:t>
            </w:r>
            <w:r>
              <w:rPr>
                <w:rStyle w:val="IndexLink"/>
                <w:rtl w:val="true"/>
              </w:rPr>
              <w:tab/>
            </w:r>
            <w:r>
              <w:rPr>
                <w:rStyle w:val="IndexLink"/>
              </w:rPr>
              <w:t>56</w:t>
            </w:r>
          </w:hyperlink>
        </w:p>
        <w:p>
          <w:pPr>
            <w:pStyle w:val="Contents4"/>
            <w:tabs>
              <w:tab w:val="clear" w:pos="8176"/>
              <w:tab w:val="right" w:pos="9026" w:leader="dot"/>
            </w:tabs>
            <w:rPr/>
          </w:pPr>
          <w:hyperlink w:anchor="__RefHeading___Toc3346270_3224264995">
            <w:r>
              <w:rPr>
                <w:webHidden/>
                <w:rStyle w:val="IndexLink"/>
                <w:rtl w:val="true"/>
              </w:rPr>
              <w:t>خاتمة فی حکم المتوسط فی أرض مغصوبة</w:t>
            </w:r>
            <w:r>
              <w:rPr>
                <w:rStyle w:val="IndexLink"/>
                <w:rtl w:val="true"/>
              </w:rPr>
              <w:tab/>
            </w:r>
            <w:r>
              <w:rPr>
                <w:rStyle w:val="IndexLink"/>
              </w:rPr>
              <w:t>60</w:t>
            </w:r>
          </w:hyperlink>
        </w:p>
        <w:p>
          <w:pPr>
            <w:pStyle w:val="Contents3"/>
            <w:tabs>
              <w:tab w:val="clear" w:pos="8459"/>
              <w:tab w:val="right" w:pos="9026" w:leader="dot"/>
            </w:tabs>
            <w:rPr/>
          </w:pPr>
          <w:hyperlink w:anchor="__RefHeading___Toc3346272_3224264995">
            <w:r>
              <w:rPr>
                <w:webHidden/>
                <w:rStyle w:val="IndexLink"/>
                <w:rtl w:val="true"/>
              </w:rPr>
              <w:t>الفصل الثالث فی أنّ النهی عن الشی‌ء هل یکشف عن فساده أو لا؟</w:t>
            </w:r>
            <w:r>
              <w:rPr>
                <w:rStyle w:val="IndexLink"/>
                <w:rtl w:val="true"/>
              </w:rPr>
              <w:tab/>
            </w:r>
            <w:r>
              <w:rPr>
                <w:rStyle w:val="IndexLink"/>
              </w:rPr>
              <w:t>68</w:t>
            </w:r>
          </w:hyperlink>
        </w:p>
        <w:p>
          <w:pPr>
            <w:pStyle w:val="Contents4"/>
            <w:tabs>
              <w:tab w:val="clear" w:pos="8176"/>
              <w:tab w:val="right" w:pos="9026" w:leader="dot"/>
            </w:tabs>
            <w:rPr/>
          </w:pPr>
          <w:hyperlink w:anchor="__RefHeading___Toc3346274_3224264995">
            <w:r>
              <w:rPr>
                <w:webHidden/>
                <w:rStyle w:val="IndexLink"/>
                <w:rtl w:val="true"/>
              </w:rPr>
              <w:t>و لنمهّد قبل ذلک اموراً</w:t>
            </w:r>
            <w:r>
              <w:rPr>
                <w:rStyle w:val="IndexLink"/>
                <w:rtl w:val="true"/>
              </w:rPr>
              <w:t>:</w:t>
              <w:tab/>
            </w:r>
            <w:r>
              <w:rPr>
                <w:rStyle w:val="IndexLink"/>
              </w:rPr>
              <w:t>68</w:t>
            </w:r>
          </w:hyperlink>
        </w:p>
        <w:p>
          <w:pPr>
            <w:pStyle w:val="Contents5"/>
            <w:tabs>
              <w:tab w:val="clear" w:pos="7892"/>
              <w:tab w:val="right" w:pos="9026" w:leader="dot"/>
            </w:tabs>
            <w:rPr/>
          </w:pPr>
          <w:hyperlink w:anchor="__RefHeading___Toc3346276_3224264995">
            <w:r>
              <w:rPr>
                <w:webHidden/>
                <w:rStyle w:val="IndexLink"/>
                <w:rtl w:val="true"/>
              </w:rPr>
              <w:t>الأمر الأوّل</w:t>
            </w:r>
            <w:r>
              <w:rPr>
                <w:rStyle w:val="IndexLink"/>
                <w:rtl w:val="true"/>
              </w:rPr>
              <w:t xml:space="preserve">: </w:t>
            </w:r>
            <w:r>
              <w:rPr>
                <w:rStyle w:val="IndexLink"/>
                <w:rtl w:val="true"/>
              </w:rPr>
              <w:t>فی عنوان البحث</w:t>
            </w:r>
            <w:r>
              <w:rPr>
                <w:rStyle w:val="IndexLink"/>
                <w:rtl w:val="true"/>
              </w:rPr>
              <w:tab/>
            </w:r>
            <w:r>
              <w:rPr>
                <w:rStyle w:val="IndexLink"/>
              </w:rPr>
              <w:t>68</w:t>
            </w:r>
          </w:hyperlink>
        </w:p>
        <w:p>
          <w:pPr>
            <w:pStyle w:val="Contents5"/>
            <w:tabs>
              <w:tab w:val="clear" w:pos="7892"/>
              <w:tab w:val="right" w:pos="9026" w:leader="dot"/>
            </w:tabs>
            <w:rPr/>
          </w:pPr>
          <w:hyperlink w:anchor="__RefHeading___Toc3346278_3224264995">
            <w:r>
              <w:rPr>
                <w:webHidden/>
                <w:rStyle w:val="IndexLink"/>
                <w:rtl w:val="true"/>
              </w:rPr>
              <w:t>الأمر الثانی</w:t>
            </w:r>
            <w:r>
              <w:rPr>
                <w:rStyle w:val="IndexLink"/>
                <w:rtl w:val="true"/>
              </w:rPr>
              <w:t xml:space="preserve">: </w:t>
            </w:r>
            <w:r>
              <w:rPr>
                <w:rStyle w:val="IndexLink"/>
                <w:rtl w:val="true"/>
              </w:rPr>
              <w:t>فی کون المسألة عقلیة لفظیة</w:t>
            </w:r>
            <w:r>
              <w:rPr>
                <w:rStyle w:val="IndexLink"/>
                <w:rtl w:val="true"/>
              </w:rPr>
              <w:tab/>
            </w:r>
            <w:r>
              <w:rPr>
                <w:rStyle w:val="IndexLink"/>
              </w:rPr>
              <w:t>69</w:t>
            </w:r>
          </w:hyperlink>
        </w:p>
        <w:p>
          <w:pPr>
            <w:pStyle w:val="Contents5"/>
            <w:tabs>
              <w:tab w:val="clear" w:pos="7892"/>
              <w:tab w:val="right" w:pos="9026" w:leader="dot"/>
            </w:tabs>
            <w:rPr/>
          </w:pPr>
          <w:hyperlink w:anchor="__RefHeading___Toc3346280_3224264995">
            <w:r>
              <w:rPr>
                <w:webHidden/>
                <w:rStyle w:val="IndexLink"/>
                <w:rtl w:val="true"/>
              </w:rPr>
              <w:t>الأمر الثالث</w:t>
            </w:r>
            <w:r>
              <w:rPr>
                <w:rStyle w:val="IndexLink"/>
                <w:rtl w:val="true"/>
              </w:rPr>
              <w:t xml:space="preserve">: </w:t>
            </w:r>
            <w:r>
              <w:rPr>
                <w:rStyle w:val="IndexLink"/>
                <w:rtl w:val="true"/>
              </w:rPr>
              <w:t>فی شمول البحث للنهی التنزیهی و الغیری و التبعی</w:t>
            </w:r>
            <w:r>
              <w:rPr>
                <w:rStyle w:val="IndexLink"/>
                <w:rtl w:val="true"/>
              </w:rPr>
              <w:tab/>
            </w:r>
            <w:r>
              <w:rPr>
                <w:rStyle w:val="IndexLink"/>
              </w:rPr>
              <w:t>70</w:t>
            </w:r>
          </w:hyperlink>
        </w:p>
        <w:p>
          <w:pPr>
            <w:pStyle w:val="Contents5"/>
            <w:tabs>
              <w:tab w:val="clear" w:pos="7892"/>
              <w:tab w:val="right" w:pos="9026" w:leader="dot"/>
            </w:tabs>
            <w:rPr/>
          </w:pPr>
          <w:hyperlink w:anchor="__RefHeading___Toc3346282_3224264995">
            <w:r>
              <w:rPr>
                <w:webHidden/>
                <w:rStyle w:val="IndexLink"/>
                <w:rtl w:val="true"/>
              </w:rPr>
              <w:t>الأمر الرابع</w:t>
            </w:r>
            <w:r>
              <w:rPr>
                <w:rStyle w:val="IndexLink"/>
                <w:rtl w:val="true"/>
              </w:rPr>
              <w:t xml:space="preserve">: </w:t>
            </w:r>
            <w:r>
              <w:rPr>
                <w:rStyle w:val="IndexLink"/>
                <w:rtl w:val="true"/>
              </w:rPr>
              <w:t>فی المراد من العبادات و المعاملات فی المسألة</w:t>
            </w:r>
            <w:r>
              <w:rPr>
                <w:rStyle w:val="IndexLink"/>
                <w:rtl w:val="true"/>
              </w:rPr>
              <w:tab/>
            </w:r>
            <w:r>
              <w:rPr>
                <w:rStyle w:val="IndexLink"/>
              </w:rPr>
              <w:t>71</w:t>
            </w:r>
          </w:hyperlink>
        </w:p>
        <w:p>
          <w:pPr>
            <w:pStyle w:val="Contents5"/>
            <w:tabs>
              <w:tab w:val="clear" w:pos="7892"/>
              <w:tab w:val="right" w:pos="9026" w:leader="dot"/>
            </w:tabs>
            <w:rPr/>
          </w:pPr>
          <w:hyperlink w:anchor="__RefHeading___Toc3346284_3224264995">
            <w:r>
              <w:rPr>
                <w:webHidden/>
                <w:rStyle w:val="IndexLink"/>
                <w:rtl w:val="true"/>
              </w:rPr>
              <w:t>الأمر الخامس</w:t>
            </w:r>
            <w:r>
              <w:rPr>
                <w:rStyle w:val="IndexLink"/>
                <w:rtl w:val="true"/>
              </w:rPr>
              <w:t xml:space="preserve">: </w:t>
            </w:r>
            <w:r>
              <w:rPr>
                <w:rStyle w:val="IndexLink"/>
                <w:rtl w:val="true"/>
              </w:rPr>
              <w:t>فی المراد من الصحّة و الفساد</w:t>
            </w:r>
            <w:r>
              <w:rPr>
                <w:rStyle w:val="IndexLink"/>
                <w:rtl w:val="true"/>
              </w:rPr>
              <w:tab/>
            </w:r>
            <w:r>
              <w:rPr>
                <w:rStyle w:val="IndexLink"/>
              </w:rPr>
              <w:t>71</w:t>
            </w:r>
          </w:hyperlink>
        </w:p>
        <w:p>
          <w:pPr>
            <w:pStyle w:val="Contents5"/>
            <w:tabs>
              <w:tab w:val="clear" w:pos="7892"/>
              <w:tab w:val="right" w:pos="9026" w:leader="dot"/>
            </w:tabs>
            <w:rPr/>
          </w:pPr>
          <w:hyperlink w:anchor="__RefHeading___Toc3346286_3224264995">
            <w:r>
              <w:rPr>
                <w:webHidden/>
                <w:rStyle w:val="IndexLink"/>
                <w:rtl w:val="true"/>
              </w:rPr>
              <w:t>الأمر السادس</w:t>
            </w:r>
            <w:r>
              <w:rPr>
                <w:rStyle w:val="IndexLink"/>
                <w:rtl w:val="true"/>
              </w:rPr>
              <w:t xml:space="preserve">: </w:t>
            </w:r>
            <w:r>
              <w:rPr>
                <w:rStyle w:val="IndexLink"/>
                <w:rtl w:val="true"/>
              </w:rPr>
              <w:t>فی مجعولیة الصحّة و الفساد</w:t>
            </w:r>
            <w:r>
              <w:rPr>
                <w:rStyle w:val="IndexLink"/>
                <w:rtl w:val="true"/>
              </w:rPr>
              <w:tab/>
            </w:r>
            <w:r>
              <w:rPr>
                <w:rStyle w:val="IndexLink"/>
              </w:rPr>
              <w:t>73</w:t>
            </w:r>
          </w:hyperlink>
        </w:p>
        <w:p>
          <w:pPr>
            <w:pStyle w:val="Contents5"/>
            <w:tabs>
              <w:tab w:val="clear" w:pos="7892"/>
              <w:tab w:val="right" w:pos="9026" w:leader="dot"/>
            </w:tabs>
            <w:rPr/>
          </w:pPr>
          <w:hyperlink w:anchor="__RefHeading___Toc3346288_3224264995">
            <w:r>
              <w:rPr>
                <w:webHidden/>
                <w:rStyle w:val="IndexLink"/>
                <w:rtl w:val="true"/>
              </w:rPr>
              <w:t>الأمر السابع</w:t>
            </w:r>
            <w:r>
              <w:rPr>
                <w:rStyle w:val="IndexLink"/>
                <w:rtl w:val="true"/>
              </w:rPr>
              <w:t xml:space="preserve">: </w:t>
            </w:r>
            <w:r>
              <w:rPr>
                <w:rStyle w:val="IndexLink"/>
                <w:rtl w:val="true"/>
              </w:rPr>
              <w:t>فی تحقیق الأصل فی المقام</w:t>
            </w:r>
            <w:r>
              <w:rPr>
                <w:rStyle w:val="IndexLink"/>
                <w:rtl w:val="true"/>
              </w:rPr>
              <w:tab/>
            </w:r>
            <w:r>
              <w:rPr>
                <w:rStyle w:val="IndexLink"/>
              </w:rPr>
              <w:t>75</w:t>
            </w:r>
          </w:hyperlink>
        </w:p>
        <w:p>
          <w:pPr>
            <w:pStyle w:val="Contents4"/>
            <w:tabs>
              <w:tab w:val="clear" w:pos="8176"/>
              <w:tab w:val="right" w:pos="9026" w:leader="dot"/>
            </w:tabs>
            <w:rPr/>
          </w:pPr>
          <w:hyperlink w:anchor="__RefHeading___Toc3346290_3224264995">
            <w:r>
              <w:rPr>
                <w:webHidden/>
                <w:rStyle w:val="IndexLink"/>
                <w:rtl w:val="true"/>
              </w:rPr>
              <w:t>التحقیق فی دلالة النهی علی الفساد</w:t>
            </w:r>
            <w:r>
              <w:rPr>
                <w:rStyle w:val="IndexLink"/>
                <w:rtl w:val="true"/>
              </w:rPr>
              <w:tab/>
            </w:r>
            <w:r>
              <w:rPr>
                <w:rStyle w:val="IndexLink"/>
              </w:rPr>
              <w:t>77</w:t>
            </w:r>
          </w:hyperlink>
        </w:p>
        <w:p>
          <w:pPr>
            <w:pStyle w:val="Contents5"/>
            <w:tabs>
              <w:tab w:val="clear" w:pos="7892"/>
              <w:tab w:val="right" w:pos="9026" w:leader="dot"/>
            </w:tabs>
            <w:rPr/>
          </w:pPr>
          <w:hyperlink w:anchor="__RefHeading___Toc3346292_3224264995">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346294_3224264995">
            <w:r>
              <w:rPr>
                <w:webHidden/>
                <w:rStyle w:val="IndexLink"/>
                <w:rtl w:val="true"/>
              </w:rPr>
              <w:t>المقام الأوّل</w:t>
            </w:r>
            <w:r>
              <w:rPr>
                <w:rStyle w:val="IndexLink"/>
                <w:rtl w:val="true"/>
              </w:rPr>
              <w:t>:</w:t>
              <w:tab/>
            </w:r>
            <w:r>
              <w:rPr>
                <w:rStyle w:val="IndexLink"/>
              </w:rPr>
              <w:t>77</w:t>
            </w:r>
          </w:hyperlink>
        </w:p>
        <w:p>
          <w:pPr>
            <w:pStyle w:val="Contents5"/>
            <w:tabs>
              <w:tab w:val="clear" w:pos="7892"/>
              <w:tab w:val="right" w:pos="9026" w:leader="dot"/>
            </w:tabs>
            <w:rPr/>
          </w:pPr>
          <w:hyperlink w:anchor="__RefHeading___Toc3346296_3224264995">
            <w:r>
              <w:rPr>
                <w:webHidden/>
                <w:rStyle w:val="IndexLink"/>
                <w:rtl w:val="true"/>
              </w:rPr>
              <w:t>المقام الثانی</w:t>
            </w:r>
            <w:r>
              <w:rPr>
                <w:rStyle w:val="IndexLink"/>
                <w:rtl w:val="true"/>
              </w:rPr>
              <w:t>:</w:t>
              <w:tab/>
            </w:r>
            <w:r>
              <w:rPr>
                <w:rStyle w:val="IndexLink"/>
              </w:rPr>
              <w:t>78</w:t>
            </w:r>
          </w:hyperlink>
        </w:p>
        <w:p>
          <w:pPr>
            <w:pStyle w:val="Contents5"/>
            <w:tabs>
              <w:tab w:val="clear" w:pos="7892"/>
              <w:tab w:val="right" w:pos="9026" w:leader="dot"/>
            </w:tabs>
            <w:rPr/>
          </w:pPr>
          <w:hyperlink w:anchor="__RefHeading___Toc3346298_3224264995">
            <w:r>
              <w:rPr>
                <w:webHidden/>
                <w:rStyle w:val="IndexLink"/>
                <w:rtl w:val="true"/>
              </w:rPr>
              <w:t>المقام الثالث</w:t>
            </w:r>
            <w:r>
              <w:rPr>
                <w:rStyle w:val="IndexLink"/>
                <w:rtl w:val="true"/>
              </w:rPr>
              <w:t>:</w:t>
              <w:tab/>
            </w:r>
            <w:r>
              <w:rPr>
                <w:rStyle w:val="IndexLink"/>
              </w:rPr>
              <w:t>79</w:t>
            </w:r>
          </w:hyperlink>
        </w:p>
        <w:p>
          <w:pPr>
            <w:pStyle w:val="Contents5"/>
            <w:tabs>
              <w:tab w:val="clear" w:pos="7892"/>
              <w:tab w:val="right" w:pos="9026" w:leader="dot"/>
            </w:tabs>
            <w:rPr/>
          </w:pPr>
          <w:hyperlink w:anchor="__RefHeading___Toc3346300_3224264995">
            <w:r>
              <w:rPr>
                <w:webHidden/>
                <w:rStyle w:val="IndexLink"/>
                <w:rtl w:val="true"/>
              </w:rPr>
              <w:t>المقام الرابع</w:t>
            </w:r>
            <w:r>
              <w:rPr>
                <w:rStyle w:val="IndexLink"/>
                <w:rtl w:val="true"/>
              </w:rPr>
              <w:t>:</w:t>
              <w:tab/>
            </w:r>
            <w:r>
              <w:rPr>
                <w:rStyle w:val="IndexLink"/>
              </w:rPr>
              <w:t>81</w:t>
            </w:r>
          </w:hyperlink>
        </w:p>
        <w:p>
          <w:pPr>
            <w:pStyle w:val="Contents4"/>
            <w:tabs>
              <w:tab w:val="clear" w:pos="8176"/>
              <w:tab w:val="right" w:pos="9026" w:leader="dot"/>
            </w:tabs>
            <w:rPr/>
          </w:pPr>
          <w:hyperlink w:anchor="__RefHeading___Toc3346302_3224264995">
            <w:r>
              <w:rPr>
                <w:webHidden/>
                <w:rStyle w:val="IndexLink"/>
                <w:rtl w:val="true"/>
              </w:rPr>
              <w:t>فی التمسّک بالروایات علی فساد المعاملة المنهی عنها</w:t>
            </w:r>
            <w:r>
              <w:rPr>
                <w:rStyle w:val="IndexLink"/>
                <w:rtl w:val="true"/>
              </w:rPr>
              <w:tab/>
            </w:r>
            <w:r>
              <w:rPr>
                <w:rStyle w:val="IndexLink"/>
              </w:rPr>
              <w:t>84</w:t>
            </w:r>
          </w:hyperlink>
        </w:p>
        <w:p>
          <w:pPr>
            <w:pStyle w:val="Contents4"/>
            <w:tabs>
              <w:tab w:val="clear" w:pos="8176"/>
              <w:tab w:val="right" w:pos="9026" w:leader="dot"/>
            </w:tabs>
            <w:rPr/>
          </w:pPr>
          <w:hyperlink w:anchor="__RefHeading___Toc3346304_3224264995">
            <w:r>
              <w:rPr>
                <w:webHidden/>
                <w:rStyle w:val="IndexLink"/>
                <w:rtl w:val="true"/>
              </w:rPr>
              <w:t>تذنیب</w:t>
            </w:r>
            <w:r>
              <w:rPr>
                <w:rStyle w:val="IndexLink"/>
                <w:rtl w:val="true"/>
              </w:rPr>
              <w:t xml:space="preserve">: </w:t>
            </w:r>
            <w:r>
              <w:rPr>
                <w:rStyle w:val="IndexLink"/>
                <w:rtl w:val="true"/>
              </w:rPr>
              <w:t>فی دعوی دلالة النهی علی الصحّة</w:t>
            </w:r>
            <w:r>
              <w:rPr>
                <w:rStyle w:val="IndexLink"/>
                <w:rtl w:val="true"/>
              </w:rPr>
              <w:tab/>
            </w:r>
            <w:r>
              <w:rPr>
                <w:rStyle w:val="IndexLink"/>
              </w:rPr>
              <w:t>88</w:t>
            </w:r>
          </w:hyperlink>
        </w:p>
        <w:p>
          <w:pPr>
            <w:pStyle w:val="Contents4"/>
            <w:tabs>
              <w:tab w:val="clear" w:pos="8176"/>
              <w:tab w:val="right" w:pos="9026" w:leader="dot"/>
            </w:tabs>
            <w:rPr/>
          </w:pPr>
          <w:hyperlink w:anchor="__RefHeading___Toc3346306_3224264995">
            <w:r>
              <w:rPr>
                <w:webHidden/>
                <w:rStyle w:val="IndexLink"/>
                <w:rtl w:val="true"/>
              </w:rPr>
              <w:t>تنبیه</w:t>
            </w:r>
            <w:r>
              <w:rPr>
                <w:rStyle w:val="IndexLink"/>
                <w:rtl w:val="true"/>
              </w:rPr>
              <w:t xml:space="preserve">: </w:t>
            </w:r>
            <w:r>
              <w:rPr>
                <w:rStyle w:val="IndexLink"/>
                <w:rtl w:val="true"/>
              </w:rPr>
              <w:t>فی حکم تعلّق النهی بجزء العبادة أو شرطها أو وصفها</w:t>
            </w:r>
            <w:r>
              <w:rPr>
                <w:rStyle w:val="IndexLink"/>
                <w:rtl w:val="true"/>
              </w:rPr>
              <w:tab/>
            </w:r>
            <w:r>
              <w:rPr>
                <w:rStyle w:val="IndexLink"/>
              </w:rPr>
              <w:t>90</w:t>
            </w:r>
          </w:hyperlink>
        </w:p>
        <w:p>
          <w:pPr>
            <w:pStyle w:val="Contents2"/>
            <w:tabs>
              <w:tab w:val="clear" w:pos="8743"/>
              <w:tab w:val="right" w:pos="9026" w:leader="dot"/>
            </w:tabs>
            <w:rPr/>
          </w:pPr>
          <w:hyperlink w:anchor="__RefHeading___Toc3346308_3224264995">
            <w:r>
              <w:rPr>
                <w:webHidden/>
                <w:rStyle w:val="IndexLink"/>
                <w:rtl w:val="true"/>
              </w:rPr>
              <w:t>المقصد الثالث فی المفاهیم</w:t>
            </w:r>
            <w:r>
              <w:rPr>
                <w:rStyle w:val="IndexLink"/>
                <w:rtl w:val="true"/>
              </w:rPr>
              <w:tab/>
            </w:r>
            <w:r>
              <w:rPr>
                <w:rStyle w:val="IndexLink"/>
              </w:rPr>
              <w:t>93</w:t>
            </w:r>
          </w:hyperlink>
        </w:p>
        <w:p>
          <w:pPr>
            <w:pStyle w:val="Contents3"/>
            <w:tabs>
              <w:tab w:val="clear" w:pos="8459"/>
              <w:tab w:val="right" w:pos="9026" w:leader="dot"/>
            </w:tabs>
            <w:rPr/>
          </w:pPr>
          <w:hyperlink w:anchor="__RefHeading___Toc3346310_3224264995">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346312_3224264995">
            <w:r>
              <w:rPr>
                <w:webHidden/>
                <w:rStyle w:val="IndexLink"/>
                <w:rtl w:val="true"/>
              </w:rPr>
              <w:t>مقدّمة فی تعریف المفهوم</w:t>
            </w:r>
            <w:r>
              <w:rPr>
                <w:rStyle w:val="IndexLink"/>
                <w:rtl w:val="true"/>
              </w:rPr>
              <w:tab/>
            </w:r>
            <w:r>
              <w:rPr>
                <w:rStyle w:val="IndexLink"/>
              </w:rPr>
              <w:t>94</w:t>
            </w:r>
          </w:hyperlink>
        </w:p>
        <w:p>
          <w:pPr>
            <w:pStyle w:val="Contents3"/>
            <w:tabs>
              <w:tab w:val="clear" w:pos="8459"/>
              <w:tab w:val="right" w:pos="9026" w:leader="dot"/>
            </w:tabs>
            <w:rPr/>
          </w:pPr>
          <w:hyperlink w:anchor="__RefHeading___Toc3346314_3224264995">
            <w:r>
              <w:rPr>
                <w:webHidden/>
                <w:rStyle w:val="IndexLink"/>
                <w:rtl w:val="true"/>
              </w:rPr>
              <w:t>الفصل الأوّل فی مفهوم الشرط</w:t>
            </w:r>
            <w:r>
              <w:rPr>
                <w:rStyle w:val="IndexLink"/>
                <w:rtl w:val="true"/>
              </w:rPr>
              <w:tab/>
            </w:r>
            <w:r>
              <w:rPr>
                <w:rStyle w:val="IndexLink"/>
              </w:rPr>
              <w:t>98</w:t>
            </w:r>
          </w:hyperlink>
        </w:p>
        <w:p>
          <w:pPr>
            <w:pStyle w:val="Contents4"/>
            <w:tabs>
              <w:tab w:val="clear" w:pos="8176"/>
              <w:tab w:val="right" w:pos="9026" w:leader="dot"/>
            </w:tabs>
            <w:rPr/>
          </w:pPr>
          <w:hyperlink w:anchor="__RefHeading___Toc3346316_3224264995">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346318_3224264995">
            <w:r>
              <w:rPr>
                <w:webHidden/>
                <w:rStyle w:val="IndexLink"/>
                <w:rtl w:val="true"/>
              </w:rPr>
              <w:t>الأمر الأوّل فی کون المفهوم هو انتفاء سنخ الحکم</w:t>
            </w:r>
            <w:r>
              <w:rPr>
                <w:rStyle w:val="IndexLink"/>
                <w:rtl w:val="true"/>
              </w:rPr>
              <w:tab/>
            </w:r>
            <w:r>
              <w:rPr>
                <w:rStyle w:val="IndexLink"/>
              </w:rPr>
              <w:t>105</w:t>
            </w:r>
          </w:hyperlink>
        </w:p>
        <w:p>
          <w:pPr>
            <w:pStyle w:val="Contents5"/>
            <w:tabs>
              <w:tab w:val="clear" w:pos="7892"/>
              <w:tab w:val="right" w:pos="9026" w:leader="dot"/>
            </w:tabs>
            <w:rPr/>
          </w:pPr>
          <w:hyperlink w:anchor="__RefHeading___Toc3346320_3224264995">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346322_3224264995">
            <w:r>
              <w:rPr>
                <w:webHidden/>
                <w:rStyle w:val="IndexLink"/>
                <w:rtl w:val="true"/>
              </w:rPr>
              <w:t>الإشکال فیما إذا کان مفاد الجزاء معنی حرفیاً</w:t>
            </w:r>
            <w:r>
              <w:rPr>
                <w:rStyle w:val="IndexLink"/>
                <w:rtl w:val="true"/>
              </w:rPr>
              <w:tab/>
            </w:r>
            <w:r>
              <w:rPr>
                <w:rStyle w:val="IndexLink"/>
              </w:rPr>
              <w:t>105</w:t>
            </w:r>
          </w:hyperlink>
        </w:p>
        <w:p>
          <w:pPr>
            <w:pStyle w:val="Contents4"/>
            <w:tabs>
              <w:tab w:val="clear" w:pos="8176"/>
              <w:tab w:val="right" w:pos="9026" w:leader="dot"/>
            </w:tabs>
            <w:rPr/>
          </w:pPr>
          <w:hyperlink w:anchor="__RefHeading___Toc3346324_3224264995">
            <w:r>
              <w:rPr>
                <w:webHidden/>
                <w:rStyle w:val="IndexLink"/>
                <w:rtl w:val="true"/>
              </w:rPr>
              <w:t>الأمر الثانی فی تعدّد الشرط و اتّحاد الجزاء</w:t>
            </w:r>
            <w:r>
              <w:rPr>
                <w:rStyle w:val="IndexLink"/>
                <w:rtl w:val="true"/>
              </w:rPr>
              <w:tab/>
            </w:r>
            <w:r>
              <w:rPr>
                <w:rStyle w:val="IndexLink"/>
              </w:rPr>
              <w:t>108</w:t>
            </w:r>
          </w:hyperlink>
        </w:p>
        <w:p>
          <w:pPr>
            <w:pStyle w:val="Contents4"/>
            <w:tabs>
              <w:tab w:val="clear" w:pos="8176"/>
              <w:tab w:val="right" w:pos="9026" w:leader="dot"/>
            </w:tabs>
            <w:rPr/>
          </w:pPr>
          <w:hyperlink w:anchor="__RefHeading___Toc3346326_3224264995">
            <w:r>
              <w:rPr>
                <w:webHidden/>
                <w:rStyle w:val="IndexLink"/>
                <w:rtl w:val="true"/>
              </w:rPr>
              <w:t>الأمر الثالث فی تداخل الأسباب و المسبّبات</w:t>
            </w:r>
            <w:r>
              <w:rPr>
                <w:rStyle w:val="IndexLink"/>
                <w:rtl w:val="true"/>
              </w:rPr>
              <w:tab/>
            </w:r>
            <w:r>
              <w:rPr>
                <w:rStyle w:val="IndexLink"/>
              </w:rPr>
              <w:t>112</w:t>
            </w:r>
          </w:hyperlink>
        </w:p>
        <w:p>
          <w:pPr>
            <w:pStyle w:val="Contents5"/>
            <w:tabs>
              <w:tab w:val="clear" w:pos="7892"/>
              <w:tab w:val="right" w:pos="9026" w:leader="dot"/>
            </w:tabs>
            <w:rPr/>
          </w:pPr>
          <w:hyperlink w:anchor="__RefHeading___Toc3346328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346330_3224264995">
            <w:r>
              <w:rPr>
                <w:webHidden/>
                <w:rStyle w:val="IndexLink"/>
                <w:rtl w:val="true"/>
              </w:rPr>
              <w:t>و قبل الخوض نقدّم مقدّمات</w:t>
            </w:r>
            <w:r>
              <w:rPr>
                <w:rStyle w:val="IndexLink"/>
                <w:rtl w:val="true"/>
              </w:rPr>
              <w:t>:</w:t>
              <w:tab/>
            </w:r>
            <w:r>
              <w:rPr>
                <w:rStyle w:val="IndexLink"/>
              </w:rPr>
              <w:t>112</w:t>
            </w:r>
          </w:hyperlink>
        </w:p>
        <w:p>
          <w:pPr>
            <w:pStyle w:val="Contents6"/>
            <w:tabs>
              <w:tab w:val="clear" w:pos="7609"/>
              <w:tab w:val="right" w:pos="9026" w:leader="dot"/>
            </w:tabs>
            <w:rPr/>
          </w:pPr>
          <w:hyperlink w:anchor="__RefHeading___Toc3346332_3224264995">
            <w:r>
              <w:rPr>
                <w:webHidden/>
                <w:rStyle w:val="IndexLink"/>
                <w:rtl w:val="true"/>
              </w:rPr>
              <w:t>الاولی</w:t>
            </w:r>
            <w:r>
              <w:rPr>
                <w:rStyle w:val="IndexLink"/>
                <w:rtl w:val="true"/>
              </w:rPr>
              <w:t xml:space="preserve">: </w:t>
            </w:r>
            <w:r>
              <w:rPr>
                <w:rStyle w:val="IndexLink"/>
                <w:rtl w:val="true"/>
              </w:rPr>
              <w:t>فی تحریر محل النزاع</w:t>
            </w:r>
            <w:r>
              <w:rPr>
                <w:rStyle w:val="IndexLink"/>
                <w:rtl w:val="true"/>
              </w:rPr>
              <w:tab/>
            </w:r>
            <w:r>
              <w:rPr>
                <w:rStyle w:val="IndexLink"/>
              </w:rPr>
              <w:t>112</w:t>
            </w:r>
          </w:hyperlink>
        </w:p>
        <w:p>
          <w:pPr>
            <w:pStyle w:val="Contents6"/>
            <w:tabs>
              <w:tab w:val="clear" w:pos="7609"/>
              <w:tab w:val="right" w:pos="9026" w:leader="dot"/>
            </w:tabs>
            <w:rPr/>
          </w:pPr>
          <w:hyperlink w:anchor="__RefHeading___Toc3346334_3224264995">
            <w:r>
              <w:rPr>
                <w:webHidden/>
                <w:rStyle w:val="IndexLink"/>
                <w:rtl w:val="true"/>
              </w:rPr>
              <w:t>الثانیة</w:t>
            </w:r>
            <w:r>
              <w:rPr>
                <w:rStyle w:val="IndexLink"/>
                <w:rtl w:val="true"/>
              </w:rPr>
              <w:t xml:space="preserve">: </w:t>
            </w:r>
            <w:r>
              <w:rPr>
                <w:rStyle w:val="IndexLink"/>
                <w:rtl w:val="true"/>
              </w:rPr>
              <w:t>فی المراد من تداخل الأسباب و المسبّبات</w:t>
            </w:r>
            <w:r>
              <w:rPr>
                <w:rStyle w:val="IndexLink"/>
                <w:rtl w:val="true"/>
              </w:rPr>
              <w:tab/>
            </w:r>
            <w:r>
              <w:rPr>
                <w:rStyle w:val="IndexLink"/>
              </w:rPr>
              <w:t>112</w:t>
            </w:r>
          </w:hyperlink>
        </w:p>
        <w:p>
          <w:pPr>
            <w:pStyle w:val="Contents6"/>
            <w:tabs>
              <w:tab w:val="clear" w:pos="7609"/>
              <w:tab w:val="right" w:pos="9026" w:leader="dot"/>
            </w:tabs>
            <w:rPr/>
          </w:pPr>
          <w:hyperlink w:anchor="__RefHeading___Toc3346336_3224264995">
            <w:r>
              <w:rPr>
                <w:webHidden/>
                <w:rStyle w:val="IndexLink"/>
                <w:rtl w:val="true"/>
              </w:rPr>
              <w:t>الثالثة</w:t>
            </w:r>
            <w:r>
              <w:rPr>
                <w:rStyle w:val="IndexLink"/>
                <w:rtl w:val="true"/>
              </w:rPr>
              <w:t xml:space="preserve">: </w:t>
            </w:r>
            <w:r>
              <w:rPr>
                <w:rStyle w:val="IndexLink"/>
                <w:rtl w:val="true"/>
              </w:rPr>
              <w:t>فی اختصاص النزاع بالماهیة القابلة للتکثّر</w:t>
            </w:r>
            <w:r>
              <w:rPr>
                <w:rStyle w:val="IndexLink"/>
                <w:rtl w:val="true"/>
              </w:rPr>
              <w:tab/>
            </w:r>
            <w:r>
              <w:rPr>
                <w:rStyle w:val="IndexLink"/>
              </w:rPr>
              <w:t>113</w:t>
            </w:r>
          </w:hyperlink>
        </w:p>
        <w:p>
          <w:pPr>
            <w:pStyle w:val="Contents6"/>
            <w:tabs>
              <w:tab w:val="clear" w:pos="7609"/>
              <w:tab w:val="right" w:pos="9026" w:leader="dot"/>
            </w:tabs>
            <w:rPr/>
          </w:pPr>
          <w:hyperlink w:anchor="__RefHeading___Toc3346338_3224264995">
            <w:r>
              <w:rPr>
                <w:webHidden/>
                <w:rStyle w:val="IndexLink"/>
                <w:rtl w:val="true"/>
              </w:rPr>
              <w:t>الرابعة</w:t>
            </w:r>
            <w:r>
              <w:rPr>
                <w:rStyle w:val="IndexLink"/>
                <w:rtl w:val="true"/>
              </w:rPr>
              <w:t xml:space="preserve">: </w:t>
            </w:r>
            <w:r>
              <w:rPr>
                <w:rStyle w:val="IndexLink"/>
                <w:rtl w:val="true"/>
              </w:rPr>
              <w:t>فی إمکان التداخل و عدمه</w:t>
            </w:r>
            <w:r>
              <w:rPr>
                <w:rStyle w:val="IndexLink"/>
                <w:rtl w:val="true"/>
              </w:rPr>
              <w:tab/>
            </w:r>
            <w:r>
              <w:rPr>
                <w:rStyle w:val="IndexLink"/>
              </w:rPr>
              <w:t>114</w:t>
            </w:r>
          </w:hyperlink>
        </w:p>
        <w:p>
          <w:pPr>
            <w:pStyle w:val="Contents6"/>
            <w:tabs>
              <w:tab w:val="clear" w:pos="7609"/>
              <w:tab w:val="right" w:pos="9026" w:leader="dot"/>
            </w:tabs>
            <w:rPr/>
          </w:pPr>
          <w:hyperlink w:anchor="__RefHeading___Toc3346340_3224264995">
            <w:r>
              <w:rPr>
                <w:webHidden/>
                <w:rStyle w:val="IndexLink"/>
                <w:rtl w:val="true"/>
              </w:rPr>
              <w:t>الخامسة</w:t>
            </w:r>
            <w:r>
              <w:rPr>
                <w:rStyle w:val="IndexLink"/>
                <w:rtl w:val="true"/>
              </w:rPr>
              <w:t xml:space="preserve">: </w:t>
            </w:r>
            <w:r>
              <w:rPr>
                <w:rStyle w:val="IndexLink"/>
                <w:rtl w:val="true"/>
              </w:rPr>
              <w:t>فی أنحاء تعدّد الشرط</w:t>
            </w:r>
            <w:r>
              <w:rPr>
                <w:rStyle w:val="IndexLink"/>
                <w:rtl w:val="true"/>
              </w:rPr>
              <w:tab/>
            </w:r>
            <w:r>
              <w:rPr>
                <w:rStyle w:val="IndexLink"/>
              </w:rPr>
              <w:t>116</w:t>
            </w:r>
          </w:hyperlink>
        </w:p>
        <w:p>
          <w:pPr>
            <w:pStyle w:val="Contents5"/>
            <w:tabs>
              <w:tab w:val="clear" w:pos="7892"/>
              <w:tab w:val="right" w:pos="9026" w:leader="dot"/>
            </w:tabs>
            <w:rPr/>
          </w:pPr>
          <w:hyperlink w:anchor="__RefHeading___Toc3346342_3224264995">
            <w:r>
              <w:rPr>
                <w:webHidden/>
                <w:rStyle w:val="IndexLink"/>
                <w:rtl w:val="true"/>
              </w:rPr>
              <w:t>نقل آراء الأعلام فی تداخل الأسباب و المسبّبات و نقدها</w:t>
            </w:r>
            <w:r>
              <w:rPr>
                <w:rStyle w:val="IndexLink"/>
                <w:rtl w:val="true"/>
              </w:rPr>
              <w:tab/>
            </w:r>
            <w:r>
              <w:rPr>
                <w:rStyle w:val="IndexLink"/>
              </w:rPr>
              <w:t>116</w:t>
            </w:r>
          </w:hyperlink>
        </w:p>
        <w:p>
          <w:pPr>
            <w:pStyle w:val="Contents6"/>
            <w:tabs>
              <w:tab w:val="clear" w:pos="7609"/>
              <w:tab w:val="right" w:pos="9026" w:leader="dot"/>
            </w:tabs>
            <w:rPr/>
          </w:pPr>
          <w:hyperlink w:anchor="__RefHeading___Toc3346344_3224264995">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346346_3224264995">
            <w:r>
              <w:rPr>
                <w:webHidden/>
                <w:rStyle w:val="IndexLink"/>
                <w:rtl w:val="true"/>
              </w:rPr>
              <w:t>المقام الأوّل فیما إذا تعدّد الشرط ماهیة و نوعاً</w:t>
            </w:r>
            <w:r>
              <w:rPr>
                <w:rStyle w:val="IndexLink"/>
                <w:rtl w:val="true"/>
              </w:rPr>
              <w:tab/>
            </w:r>
            <w:r>
              <w:rPr>
                <w:rStyle w:val="IndexLink"/>
              </w:rPr>
              <w:t>117</w:t>
            </w:r>
          </w:hyperlink>
        </w:p>
        <w:p>
          <w:pPr>
            <w:pStyle w:val="Contents6"/>
            <w:tabs>
              <w:tab w:val="clear" w:pos="7609"/>
              <w:tab w:val="right" w:pos="9026" w:leader="dot"/>
            </w:tabs>
            <w:rPr/>
          </w:pPr>
          <w:hyperlink w:anchor="__RefHeading___Toc3346348_3224264995">
            <w:r>
              <w:rPr>
                <w:webHidden/>
                <w:rStyle w:val="IndexLink"/>
                <w:rtl w:val="true"/>
              </w:rPr>
              <w:t>الاستدلال علی عدم تداخل الأسباب</w:t>
            </w:r>
            <w:r>
              <w:rPr>
                <w:rStyle w:val="IndexLink"/>
                <w:rtl w:val="true"/>
              </w:rPr>
              <w:tab/>
            </w:r>
            <w:r>
              <w:rPr>
                <w:rStyle w:val="IndexLink"/>
              </w:rPr>
              <w:t>117</w:t>
            </w:r>
          </w:hyperlink>
        </w:p>
        <w:p>
          <w:pPr>
            <w:pStyle w:val="Contents6"/>
            <w:tabs>
              <w:tab w:val="clear" w:pos="7609"/>
              <w:tab w:val="right" w:pos="9026" w:leader="dot"/>
            </w:tabs>
            <w:rPr/>
          </w:pPr>
          <w:hyperlink w:anchor="__RefHeading___Toc3346350_3224264995">
            <w:r>
              <w:rPr>
                <w:webHidden/>
                <w:rStyle w:val="IndexLink"/>
                <w:rtl w:val="true"/>
              </w:rPr>
              <w:t>فی تداخل المسبّبات ثبوتاً و إثباتاً</w:t>
            </w:r>
            <w:r>
              <w:rPr>
                <w:rStyle w:val="IndexLink"/>
                <w:rtl w:val="true"/>
              </w:rPr>
              <w:tab/>
            </w:r>
            <w:r>
              <w:rPr>
                <w:rStyle w:val="IndexLink"/>
              </w:rPr>
              <w:t>130</w:t>
            </w:r>
          </w:hyperlink>
        </w:p>
        <w:p>
          <w:pPr>
            <w:pStyle w:val="Contents6"/>
            <w:tabs>
              <w:tab w:val="clear" w:pos="7609"/>
              <w:tab w:val="right" w:pos="9026" w:leader="dot"/>
            </w:tabs>
            <w:rPr/>
          </w:pPr>
          <w:hyperlink w:anchor="__RefHeading___Toc3346352_3224264995">
            <w:r>
              <w:rPr>
                <w:webHidden/>
                <w:rStyle w:val="IndexLink"/>
                <w:rtl w:val="true"/>
              </w:rPr>
              <w:t>المقام الثانی فیما إذا تعدّد الشرط شخصاً لا نوعاً</w:t>
            </w:r>
            <w:r>
              <w:rPr>
                <w:rStyle w:val="IndexLink"/>
                <w:rtl w:val="true"/>
              </w:rPr>
              <w:tab/>
            </w:r>
            <w:r>
              <w:rPr>
                <w:rStyle w:val="IndexLink"/>
              </w:rPr>
              <w:t>132</w:t>
            </w:r>
          </w:hyperlink>
        </w:p>
        <w:p>
          <w:pPr>
            <w:pStyle w:val="Contents6"/>
            <w:tabs>
              <w:tab w:val="clear" w:pos="7609"/>
              <w:tab w:val="right" w:pos="9026" w:leader="dot"/>
            </w:tabs>
            <w:rPr/>
          </w:pPr>
          <w:hyperlink w:anchor="__RefHeading___Toc3346354_3224264995">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346356_3224264995">
            <w:r>
              <w:rPr>
                <w:webHidden/>
                <w:rStyle w:val="IndexLink"/>
                <w:rtl w:val="true"/>
              </w:rPr>
              <w:t>تتمّة فی أنّ مفهوم العامّ الاستغراقی جزئی لا کلّی</w:t>
            </w:r>
            <w:r>
              <w:rPr>
                <w:rStyle w:val="IndexLink"/>
                <w:rtl w:val="true"/>
              </w:rPr>
              <w:tab/>
            </w:r>
            <w:r>
              <w:rPr>
                <w:rStyle w:val="IndexLink"/>
              </w:rPr>
              <w:t>133</w:t>
            </w:r>
          </w:hyperlink>
        </w:p>
        <w:p>
          <w:pPr>
            <w:pStyle w:val="Contents3"/>
            <w:tabs>
              <w:tab w:val="clear" w:pos="8459"/>
              <w:tab w:val="right" w:pos="9026" w:leader="dot"/>
            </w:tabs>
            <w:rPr/>
          </w:pPr>
          <w:hyperlink w:anchor="__RefHeading___Toc3346358_3224264995">
            <w:r>
              <w:rPr>
                <w:webHidden/>
                <w:rStyle w:val="IndexLink"/>
                <w:rtl w:val="true"/>
              </w:rPr>
              <w:t>الفصل الثانی فی مفهوم الوصف</w:t>
            </w:r>
            <w:r>
              <w:rPr>
                <w:rStyle w:val="IndexLink"/>
                <w:rtl w:val="true"/>
              </w:rPr>
              <w:tab/>
            </w:r>
            <w:r>
              <w:rPr>
                <w:rStyle w:val="IndexLink"/>
              </w:rPr>
              <w:t>137</w:t>
            </w:r>
          </w:hyperlink>
        </w:p>
        <w:p>
          <w:pPr>
            <w:pStyle w:val="Contents3"/>
            <w:tabs>
              <w:tab w:val="clear" w:pos="8459"/>
              <w:tab w:val="right" w:pos="9026" w:leader="dot"/>
            </w:tabs>
            <w:rPr/>
          </w:pPr>
          <w:hyperlink w:anchor="__RefHeading___Toc3346360_3224264995">
            <w:r>
              <w:rPr>
                <w:webHidden/>
                <w:rStyle w:val="IndexLink"/>
                <w:rtl w:val="true"/>
              </w:rPr>
              <w:t>الفصل الثالث فی مفهوم الغایة</w:t>
            </w:r>
            <w:r>
              <w:rPr>
                <w:rStyle w:val="IndexLink"/>
                <w:rtl w:val="true"/>
              </w:rPr>
              <w:tab/>
            </w:r>
            <w:r>
              <w:rPr>
                <w:rStyle w:val="IndexLink"/>
              </w:rPr>
              <w:t>141</w:t>
            </w:r>
          </w:hyperlink>
        </w:p>
        <w:p>
          <w:pPr>
            <w:pStyle w:val="Contents4"/>
            <w:tabs>
              <w:tab w:val="clear" w:pos="8176"/>
              <w:tab w:val="right" w:pos="9026" w:leader="dot"/>
            </w:tabs>
            <w:rPr/>
          </w:pPr>
          <w:hyperlink w:anchor="__RefHeading___Toc3346362_3224264995">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346364_3224264995">
            <w:r>
              <w:rPr>
                <w:webHidden/>
                <w:rStyle w:val="IndexLink"/>
                <w:rtl w:val="true"/>
              </w:rPr>
              <w:t>الأوّل</w:t>
            </w:r>
            <w:r>
              <w:rPr>
                <w:rStyle w:val="IndexLink"/>
                <w:rtl w:val="true"/>
              </w:rPr>
              <w:t xml:space="preserve">: </w:t>
            </w:r>
            <w:r>
              <w:rPr>
                <w:rStyle w:val="IndexLink"/>
                <w:rtl w:val="true"/>
              </w:rPr>
              <w:t>فی دلالة الغایة علی ارتفاع الحکم عمّا بعدها</w:t>
            </w:r>
            <w:r>
              <w:rPr>
                <w:rStyle w:val="IndexLink"/>
                <w:rtl w:val="true"/>
              </w:rPr>
              <w:tab/>
            </w:r>
            <w:r>
              <w:rPr>
                <w:rStyle w:val="IndexLink"/>
              </w:rPr>
              <w:t>141</w:t>
            </w:r>
          </w:hyperlink>
        </w:p>
        <w:p>
          <w:pPr>
            <w:pStyle w:val="Contents4"/>
            <w:tabs>
              <w:tab w:val="clear" w:pos="8176"/>
              <w:tab w:val="right" w:pos="9026" w:leader="dot"/>
            </w:tabs>
            <w:rPr/>
          </w:pPr>
          <w:hyperlink w:anchor="__RefHeading___Toc3346366_3224264995">
            <w:r>
              <w:rPr>
                <w:webHidden/>
                <w:rStyle w:val="IndexLink"/>
                <w:rtl w:val="true"/>
              </w:rPr>
              <w:t>المقام الثانی</w:t>
            </w:r>
            <w:r>
              <w:rPr>
                <w:rStyle w:val="IndexLink"/>
                <w:rtl w:val="true"/>
              </w:rPr>
              <w:t xml:space="preserve">: </w:t>
            </w:r>
            <w:r>
              <w:rPr>
                <w:rStyle w:val="IndexLink"/>
                <w:rtl w:val="true"/>
              </w:rPr>
              <w:t>فی أنّ الغایة داخلة فی المغیّی أو لا؟</w:t>
            </w:r>
            <w:r>
              <w:rPr>
                <w:rStyle w:val="IndexLink"/>
                <w:rtl w:val="true"/>
              </w:rPr>
              <w:tab/>
            </w:r>
            <w:r>
              <w:rPr>
                <w:rStyle w:val="IndexLink"/>
              </w:rPr>
              <w:t>144</w:t>
            </w:r>
          </w:hyperlink>
        </w:p>
        <w:p>
          <w:pPr>
            <w:pStyle w:val="Contents3"/>
            <w:tabs>
              <w:tab w:val="clear" w:pos="8459"/>
              <w:tab w:val="right" w:pos="9026" w:leader="dot"/>
            </w:tabs>
            <w:rPr/>
          </w:pPr>
          <w:hyperlink w:anchor="__RefHeading___Toc3346368_3224264995">
            <w:r>
              <w:rPr>
                <w:webHidden/>
                <w:rStyle w:val="IndexLink"/>
                <w:rtl w:val="true"/>
              </w:rPr>
              <w:t>الفصل الرابع فی مفهوم الاستثناء</w:t>
            </w:r>
            <w:r>
              <w:rPr>
                <w:rStyle w:val="IndexLink"/>
                <w:rtl w:val="true"/>
              </w:rPr>
              <w:tab/>
            </w:r>
            <w:r>
              <w:rPr>
                <w:rStyle w:val="IndexLink"/>
              </w:rPr>
              <w:t>147</w:t>
            </w:r>
          </w:hyperlink>
        </w:p>
        <w:p>
          <w:pPr>
            <w:pStyle w:val="Contents2"/>
            <w:tabs>
              <w:tab w:val="clear" w:pos="8743"/>
              <w:tab w:val="right" w:pos="9026" w:leader="dot"/>
            </w:tabs>
            <w:rPr/>
          </w:pPr>
          <w:hyperlink w:anchor="__RefHeading___Toc3346370_3224264995">
            <w:r>
              <w:rPr>
                <w:webHidden/>
                <w:rStyle w:val="IndexLink"/>
                <w:rtl w:val="true"/>
              </w:rPr>
              <w:t>المقصد الرابع فی العامّ و الخاصّ</w:t>
            </w:r>
            <w:r>
              <w:rPr>
                <w:rStyle w:val="IndexLink"/>
                <w:rtl w:val="true"/>
              </w:rPr>
              <w:tab/>
            </w:r>
            <w:r>
              <w:rPr>
                <w:rStyle w:val="IndexLink"/>
              </w:rPr>
              <w:t>150</w:t>
            </w:r>
          </w:hyperlink>
        </w:p>
        <w:p>
          <w:pPr>
            <w:pStyle w:val="Contents3"/>
            <w:tabs>
              <w:tab w:val="clear" w:pos="8459"/>
              <w:tab w:val="right" w:pos="9026" w:leader="dot"/>
            </w:tabs>
            <w:rPr/>
          </w:pPr>
          <w:hyperlink w:anchor="__RefHeading___Toc3346372_3224264995">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3346374_3224264995">
            <w:r>
              <w:rPr>
                <w:webHidden/>
                <w:rStyle w:val="IndexLink"/>
                <w:rtl w:val="true"/>
              </w:rPr>
              <w:t>و قبل الخوض فیها نقدّم البحث عن امور</w:t>
            </w:r>
            <w:r>
              <w:rPr>
                <w:rStyle w:val="IndexLink"/>
                <w:rtl w:val="true"/>
              </w:rPr>
              <w:t>:</w:t>
              <w:tab/>
            </w:r>
            <w:r>
              <w:rPr>
                <w:rStyle w:val="IndexLink"/>
              </w:rPr>
              <w:t>150</w:t>
            </w:r>
          </w:hyperlink>
        </w:p>
        <w:p>
          <w:pPr>
            <w:pStyle w:val="Contents4"/>
            <w:tabs>
              <w:tab w:val="clear" w:pos="8176"/>
              <w:tab w:val="right" w:pos="9026" w:leader="dot"/>
            </w:tabs>
            <w:rPr/>
          </w:pPr>
          <w:hyperlink w:anchor="__RefHeading___Toc3346376_3224264995">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346378_3224264995">
            <w:r>
              <w:rPr>
                <w:webHidden/>
                <w:rStyle w:val="IndexLink"/>
                <w:rtl w:val="true"/>
              </w:rPr>
              <w:t>الأمر الأوّل فی تعریف العامّ</w:t>
            </w:r>
            <w:r>
              <w:rPr>
                <w:rStyle w:val="IndexLink"/>
                <w:rtl w:val="true"/>
              </w:rPr>
              <w:tab/>
            </w:r>
            <w:r>
              <w:rPr>
                <w:rStyle w:val="IndexLink"/>
              </w:rPr>
              <w:t>151</w:t>
            </w:r>
          </w:hyperlink>
        </w:p>
        <w:p>
          <w:pPr>
            <w:pStyle w:val="Contents4"/>
            <w:tabs>
              <w:tab w:val="clear" w:pos="8176"/>
              <w:tab w:val="right" w:pos="9026" w:leader="dot"/>
            </w:tabs>
            <w:rPr/>
          </w:pPr>
          <w:hyperlink w:anchor="__RefHeading___Toc3346380_3224264995">
            <w:r>
              <w:rPr>
                <w:webHidden/>
                <w:rStyle w:val="IndexLink"/>
                <w:rtl w:val="true"/>
              </w:rPr>
              <w:t>الأمر الثانی فی الفرق بین المطلق و العامّ</w:t>
            </w:r>
            <w:r>
              <w:rPr>
                <w:rStyle w:val="IndexLink"/>
                <w:rtl w:val="true"/>
              </w:rPr>
              <w:tab/>
            </w:r>
            <w:r>
              <w:rPr>
                <w:rStyle w:val="IndexLink"/>
              </w:rPr>
              <w:t>154</w:t>
            </w:r>
          </w:hyperlink>
        </w:p>
        <w:p>
          <w:pPr>
            <w:pStyle w:val="Contents4"/>
            <w:tabs>
              <w:tab w:val="clear" w:pos="8176"/>
              <w:tab w:val="right" w:pos="9026" w:leader="dot"/>
            </w:tabs>
            <w:rPr/>
          </w:pPr>
          <w:hyperlink w:anchor="__RefHeading___Toc3346382_3224264995">
            <w:r>
              <w:rPr>
                <w:webHidden/>
                <w:rStyle w:val="IndexLink"/>
                <w:rtl w:val="true"/>
              </w:rPr>
              <w:t>الأمر الثالث فی عدم احتیاج العامّ إلی مقدّمات الحکمة</w:t>
            </w:r>
            <w:r>
              <w:rPr>
                <w:rStyle w:val="IndexLink"/>
                <w:rtl w:val="true"/>
              </w:rPr>
              <w:tab/>
            </w:r>
            <w:r>
              <w:rPr>
                <w:rStyle w:val="IndexLink"/>
              </w:rPr>
              <w:t>156</w:t>
            </w:r>
          </w:hyperlink>
        </w:p>
        <w:p>
          <w:pPr>
            <w:pStyle w:val="Contents4"/>
            <w:tabs>
              <w:tab w:val="clear" w:pos="8176"/>
              <w:tab w:val="right" w:pos="9026" w:leader="dot"/>
            </w:tabs>
            <w:rPr/>
          </w:pPr>
          <w:hyperlink w:anchor="__RefHeading___Toc3346384_3224264995">
            <w:r>
              <w:rPr>
                <w:webHidden/>
                <w:rStyle w:val="IndexLink"/>
                <w:rtl w:val="true"/>
              </w:rPr>
              <w:t>الأمر الرابع فی أقسام العموم</w:t>
            </w:r>
            <w:r>
              <w:rPr>
                <w:rStyle w:val="IndexLink"/>
                <w:rtl w:val="true"/>
              </w:rPr>
              <w:tab/>
            </w:r>
            <w:r>
              <w:rPr>
                <w:rStyle w:val="IndexLink"/>
              </w:rPr>
              <w:t>158</w:t>
            </w:r>
          </w:hyperlink>
        </w:p>
        <w:p>
          <w:pPr>
            <w:pStyle w:val="Contents5"/>
            <w:tabs>
              <w:tab w:val="clear" w:pos="7892"/>
              <w:tab w:val="right" w:pos="9026" w:leader="dot"/>
            </w:tabs>
            <w:rPr/>
          </w:pPr>
          <w:hyperlink w:anchor="__RefHeading___Toc3346386_3224264995">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346388_3224264995">
            <w:r>
              <w:rPr>
                <w:webHidden/>
                <w:rStyle w:val="IndexLink"/>
                <w:rtl w:val="true"/>
              </w:rPr>
              <w:t>تنبیه</w:t>
            </w:r>
            <w:r>
              <w:rPr>
                <w:rStyle w:val="IndexLink"/>
                <w:rtl w:val="true"/>
              </w:rPr>
              <w:t xml:space="preserve">: </w:t>
            </w:r>
            <w:r>
              <w:rPr>
                <w:rStyle w:val="IndexLink"/>
                <w:rtl w:val="true"/>
              </w:rPr>
              <w:t>فی نقد کلام المحقّق الخراسانی فی وجه انقسام العامّ</w:t>
            </w:r>
            <w:r>
              <w:rPr>
                <w:rStyle w:val="IndexLink"/>
                <w:rtl w:val="true"/>
              </w:rPr>
              <w:tab/>
            </w:r>
            <w:r>
              <w:rPr>
                <w:rStyle w:val="IndexLink"/>
              </w:rPr>
              <w:t>161</w:t>
            </w:r>
          </w:hyperlink>
        </w:p>
        <w:p>
          <w:pPr>
            <w:pStyle w:val="Contents4"/>
            <w:tabs>
              <w:tab w:val="clear" w:pos="8176"/>
              <w:tab w:val="right" w:pos="9026" w:leader="dot"/>
            </w:tabs>
            <w:rPr/>
          </w:pPr>
          <w:hyperlink w:anchor="__RefHeading___Toc3346390_3224264995">
            <w:r>
              <w:rPr>
                <w:webHidden/>
                <w:rStyle w:val="IndexLink"/>
                <w:rtl w:val="true"/>
              </w:rPr>
              <w:t>الأمر الخامس فی الألفاظ الدالّة علی العموم</w:t>
            </w:r>
            <w:r>
              <w:rPr>
                <w:rStyle w:val="IndexLink"/>
                <w:rtl w:val="true"/>
              </w:rPr>
              <w:tab/>
            </w:r>
            <w:r>
              <w:rPr>
                <w:rStyle w:val="IndexLink"/>
              </w:rPr>
              <w:t>162</w:t>
            </w:r>
          </w:hyperlink>
        </w:p>
        <w:p>
          <w:pPr>
            <w:pStyle w:val="Contents3"/>
            <w:tabs>
              <w:tab w:val="clear" w:pos="8459"/>
              <w:tab w:val="right" w:pos="9026" w:leader="dot"/>
            </w:tabs>
            <w:rPr/>
          </w:pPr>
          <w:hyperlink w:anchor="__RefHeading___Toc3346392_3224264995">
            <w:r>
              <w:rPr>
                <w:webHidden/>
                <w:rStyle w:val="IndexLink"/>
                <w:rtl w:val="true"/>
              </w:rPr>
              <w:t>الفصل الأوّل فی حجّیة العامّ المخصّص فی الباقی</w:t>
            </w:r>
            <w:r>
              <w:rPr>
                <w:rStyle w:val="IndexLink"/>
                <w:rtl w:val="true"/>
              </w:rPr>
              <w:tab/>
            </w:r>
            <w:r>
              <w:rPr>
                <w:rStyle w:val="IndexLink"/>
              </w:rPr>
              <w:t>164</w:t>
            </w:r>
          </w:hyperlink>
        </w:p>
        <w:p>
          <w:pPr>
            <w:pStyle w:val="Contents3"/>
            <w:tabs>
              <w:tab w:val="clear" w:pos="8459"/>
              <w:tab w:val="right" w:pos="9026" w:leader="dot"/>
            </w:tabs>
            <w:rPr/>
          </w:pPr>
          <w:hyperlink w:anchor="__RefHeading___Toc3346394_3224264995">
            <w:r>
              <w:rPr>
                <w:webHidden/>
                <w:rStyle w:val="IndexLink"/>
                <w:rtl w:val="true"/>
              </w:rPr>
              <w:t>الفصل الثانی فی سرایة إجمال المخصِّص إلی العامّ</w:t>
            </w:r>
            <w:r>
              <w:rPr>
                <w:rStyle w:val="IndexLink"/>
                <w:rtl w:val="true"/>
              </w:rPr>
              <w:tab/>
            </w:r>
            <w:r>
              <w:rPr>
                <w:rStyle w:val="IndexLink"/>
              </w:rPr>
              <w:t>170</w:t>
            </w:r>
          </w:hyperlink>
        </w:p>
        <w:p>
          <w:pPr>
            <w:pStyle w:val="Contents4"/>
            <w:tabs>
              <w:tab w:val="clear" w:pos="8176"/>
              <w:tab w:val="right" w:pos="9026" w:leader="dot"/>
            </w:tabs>
            <w:rPr/>
          </w:pPr>
          <w:hyperlink w:anchor="__RefHeading___Toc3346396_3224264995">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346398_3224264995">
            <w:r>
              <w:rPr>
                <w:webHidden/>
                <w:rStyle w:val="IndexLink"/>
                <w:rtl w:val="true"/>
              </w:rPr>
              <w:t>التمسّک بالعامّ فی الشبهة المفهومیة</w:t>
            </w:r>
            <w:r>
              <w:rPr>
                <w:rStyle w:val="IndexLink"/>
                <w:rtl w:val="true"/>
              </w:rPr>
              <w:tab/>
            </w:r>
            <w:r>
              <w:rPr>
                <w:rStyle w:val="IndexLink"/>
              </w:rPr>
              <w:t>170</w:t>
            </w:r>
          </w:hyperlink>
        </w:p>
        <w:p>
          <w:pPr>
            <w:pStyle w:val="Contents4"/>
            <w:tabs>
              <w:tab w:val="clear" w:pos="8176"/>
              <w:tab w:val="right" w:pos="9026" w:leader="dot"/>
            </w:tabs>
            <w:rPr/>
          </w:pPr>
          <w:hyperlink w:anchor="__RefHeading___Toc3346400_3224264995">
            <w:r>
              <w:rPr>
                <w:webHidden/>
                <w:rStyle w:val="IndexLink"/>
                <w:rtl w:val="true"/>
              </w:rPr>
              <w:t>التمسّک بالعامّ فی الشبهة المصداقیة للمخصّص المنفصل اللفظی</w:t>
            </w:r>
            <w:r>
              <w:rPr>
                <w:rStyle w:val="IndexLink"/>
                <w:rtl w:val="true"/>
              </w:rPr>
              <w:tab/>
            </w:r>
            <w:r>
              <w:rPr>
                <w:rStyle w:val="IndexLink"/>
              </w:rPr>
              <w:t>174</w:t>
            </w:r>
          </w:hyperlink>
        </w:p>
        <w:p>
          <w:pPr>
            <w:pStyle w:val="Contents4"/>
            <w:tabs>
              <w:tab w:val="clear" w:pos="8176"/>
              <w:tab w:val="right" w:pos="9026" w:leader="dot"/>
            </w:tabs>
            <w:rPr/>
          </w:pPr>
          <w:hyperlink w:anchor="__RefHeading___Toc3346402_3224264995">
            <w:r>
              <w:rPr>
                <w:webHidden/>
                <w:rStyle w:val="IndexLink"/>
                <w:rtl w:val="true"/>
              </w:rPr>
              <w:t>القول فی الشبهة المصداقیة للمخصّص اللبّی</w:t>
            </w:r>
            <w:r>
              <w:rPr>
                <w:rStyle w:val="IndexLink"/>
                <w:rtl w:val="true"/>
              </w:rPr>
              <w:tab/>
            </w:r>
            <w:r>
              <w:rPr>
                <w:rStyle w:val="IndexLink"/>
              </w:rPr>
              <w:t>180</w:t>
            </w:r>
          </w:hyperlink>
        </w:p>
        <w:p>
          <w:pPr>
            <w:pStyle w:val="Contents4"/>
            <w:tabs>
              <w:tab w:val="clear" w:pos="8176"/>
              <w:tab w:val="right" w:pos="9026" w:leader="dot"/>
            </w:tabs>
            <w:rPr/>
          </w:pPr>
          <w:hyperlink w:anchor="__RefHeading___Toc3346404_3224264995">
            <w:r>
              <w:rPr>
                <w:webHidden/>
                <w:rStyle w:val="IndexLink"/>
                <w:rtl w:val="true"/>
              </w:rPr>
              <w:t>تنبیهات</w:t>
            </w:r>
            <w:r>
              <w:rPr>
                <w:rStyle w:val="IndexLink"/>
                <w:rtl w:val="true"/>
              </w:rPr>
              <w:tab/>
            </w:r>
            <w:r>
              <w:rPr>
                <w:rStyle w:val="IndexLink"/>
              </w:rPr>
              <w:t>182</w:t>
            </w:r>
          </w:hyperlink>
        </w:p>
        <w:p>
          <w:pPr>
            <w:pStyle w:val="Contents5"/>
            <w:tabs>
              <w:tab w:val="clear" w:pos="7892"/>
              <w:tab w:val="right" w:pos="9026" w:leader="dot"/>
            </w:tabs>
            <w:rPr/>
          </w:pPr>
          <w:hyperlink w:anchor="__RefHeading___Toc3346406_3224264995">
            <w:r>
              <w:rPr>
                <w:webHidden/>
                <w:rStyle w:val="IndexLink"/>
                <w:rtl w:val="true"/>
              </w:rPr>
              <w:t>التنبیه الأوّل</w:t>
            </w:r>
            <w:r>
              <w:rPr>
                <w:rStyle w:val="IndexLink"/>
                <w:rtl w:val="true"/>
              </w:rPr>
              <w:t xml:space="preserve">: </w:t>
            </w:r>
            <w:r>
              <w:rPr>
                <w:rStyle w:val="IndexLink"/>
                <w:rtl w:val="true"/>
              </w:rPr>
              <w:t>التمسّک بالعامّ مع کون الخاصّ معلّلًا</w:t>
            </w:r>
            <w:r>
              <w:rPr>
                <w:rStyle w:val="IndexLink"/>
                <w:rtl w:val="true"/>
              </w:rPr>
              <w:tab/>
            </w:r>
            <w:r>
              <w:rPr>
                <w:rStyle w:val="IndexLink"/>
              </w:rPr>
              <w:t>182</w:t>
            </w:r>
          </w:hyperlink>
        </w:p>
        <w:p>
          <w:pPr>
            <w:pStyle w:val="Contents5"/>
            <w:tabs>
              <w:tab w:val="clear" w:pos="7892"/>
              <w:tab w:val="right" w:pos="9026" w:leader="dot"/>
            </w:tabs>
            <w:rPr/>
          </w:pPr>
          <w:hyperlink w:anchor="__RefHeading___Toc3346408_3224264995">
            <w:r>
              <w:rPr>
                <w:webHidden/>
                <w:rStyle w:val="IndexLink"/>
                <w:rtl w:val="true"/>
              </w:rPr>
              <w:t>التنبیه الثانی فی العامّین من وجه المتنافیی الحکم</w:t>
            </w:r>
            <w:r>
              <w:rPr>
                <w:rStyle w:val="IndexLink"/>
                <w:rtl w:val="true"/>
              </w:rPr>
              <w:tab/>
            </w:r>
            <w:r>
              <w:rPr>
                <w:rStyle w:val="IndexLink"/>
              </w:rPr>
              <w:t>183</w:t>
            </w:r>
          </w:hyperlink>
        </w:p>
        <w:p>
          <w:pPr>
            <w:pStyle w:val="Contents5"/>
            <w:tabs>
              <w:tab w:val="clear" w:pos="7892"/>
              <w:tab w:val="right" w:pos="9026" w:leader="dot"/>
            </w:tabs>
            <w:rPr/>
          </w:pPr>
          <w:hyperlink w:anchor="__RefHeading___Toc3346410_3224264995">
            <w:r>
              <w:rPr>
                <w:webHidden/>
                <w:rStyle w:val="IndexLink"/>
                <w:rtl w:val="true"/>
              </w:rPr>
              <w:t>التنبیه الثالث فی إحراز المشتبه بالأصل الموضوعی</w:t>
            </w:r>
            <w:r>
              <w:rPr>
                <w:rStyle w:val="IndexLink"/>
                <w:rtl w:val="true"/>
              </w:rPr>
              <w:tab/>
            </w:r>
            <w:r>
              <w:rPr>
                <w:rStyle w:val="IndexLink"/>
              </w:rPr>
              <w:t>184</w:t>
            </w:r>
          </w:hyperlink>
        </w:p>
        <w:p>
          <w:pPr>
            <w:pStyle w:val="Contents6"/>
            <w:tabs>
              <w:tab w:val="clear" w:pos="7609"/>
              <w:tab w:val="right" w:pos="9026" w:leader="dot"/>
            </w:tabs>
            <w:rPr/>
          </w:pPr>
          <w:hyperlink w:anchor="__RefHeading___Toc3346412_3224264995">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346414_3224264995">
            <w:r>
              <w:rPr>
                <w:webHidden/>
                <w:rStyle w:val="IndexLink"/>
                <w:rtl w:val="true"/>
              </w:rPr>
              <w:t>مقتضی التحقیق فی المقام</w:t>
            </w:r>
            <w:r>
              <w:rPr>
                <w:rStyle w:val="IndexLink"/>
                <w:rtl w:val="true"/>
              </w:rPr>
              <w:tab/>
            </w:r>
            <w:r>
              <w:rPr>
                <w:rStyle w:val="IndexLink"/>
              </w:rPr>
              <w:t>187</w:t>
            </w:r>
          </w:hyperlink>
        </w:p>
        <w:p>
          <w:pPr>
            <w:pStyle w:val="Contents6"/>
            <w:tabs>
              <w:tab w:val="clear" w:pos="7609"/>
              <w:tab w:val="right" w:pos="9026" w:leader="dot"/>
            </w:tabs>
            <w:rPr/>
          </w:pPr>
          <w:hyperlink w:anchor="__RefHeading___Toc3346416_3224264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3346418_3224264995">
            <w:r>
              <w:rPr>
                <w:webHidden/>
                <w:rStyle w:val="IndexLink"/>
                <w:rtl w:val="true"/>
              </w:rPr>
              <w:t>الاولی</w:t>
            </w:r>
            <w:r>
              <w:rPr>
                <w:rStyle w:val="IndexLink"/>
                <w:rtl w:val="true"/>
              </w:rPr>
              <w:t xml:space="preserve">: </w:t>
            </w:r>
            <w:r>
              <w:rPr>
                <w:rStyle w:val="IndexLink"/>
                <w:rtl w:val="true"/>
              </w:rPr>
              <w:t>فی أقسام القضایا بلحاظ النسبة</w:t>
            </w:r>
            <w:r>
              <w:rPr>
                <w:rStyle w:val="IndexLink"/>
                <w:rtl w:val="true"/>
              </w:rPr>
              <w:tab/>
            </w:r>
            <w:r>
              <w:rPr>
                <w:rStyle w:val="IndexLink"/>
              </w:rPr>
              <w:t>187</w:t>
            </w:r>
          </w:hyperlink>
        </w:p>
        <w:p>
          <w:pPr>
            <w:pStyle w:val="Contents6"/>
            <w:tabs>
              <w:tab w:val="clear" w:pos="7609"/>
              <w:tab w:val="right" w:pos="9026" w:leader="dot"/>
            </w:tabs>
            <w:rPr/>
          </w:pPr>
          <w:hyperlink w:anchor="__RefHeading___Toc3346420_3224264995">
            <w:r>
              <w:rPr>
                <w:webHidden/>
                <w:rStyle w:val="IndexLink"/>
                <w:rtl w:val="true"/>
              </w:rPr>
              <w:t>الثانیة</w:t>
            </w:r>
            <w:r>
              <w:rPr>
                <w:rStyle w:val="IndexLink"/>
                <w:rtl w:val="true"/>
              </w:rPr>
              <w:t xml:space="preserve">: </w:t>
            </w:r>
            <w:r>
              <w:rPr>
                <w:rStyle w:val="IndexLink"/>
                <w:rtl w:val="true"/>
              </w:rPr>
              <w:t>فی بیان ما یوجب کون الکلام محتملًا للصدق و الکذب و مناطهما</w:t>
            </w:r>
            <w:r>
              <w:rPr>
                <w:rStyle w:val="IndexLink"/>
                <w:rtl w:val="true"/>
              </w:rPr>
              <w:tab/>
            </w:r>
            <w:r>
              <w:rPr>
                <w:rStyle w:val="IndexLink"/>
              </w:rPr>
              <w:t>188</w:t>
            </w:r>
          </w:hyperlink>
        </w:p>
        <w:p>
          <w:pPr>
            <w:pStyle w:val="Contents6"/>
            <w:tabs>
              <w:tab w:val="clear" w:pos="7609"/>
              <w:tab w:val="right" w:pos="9026" w:leader="dot"/>
            </w:tabs>
            <w:rPr/>
          </w:pPr>
          <w:hyperlink w:anchor="__RefHeading___Toc3346422_3224264995">
            <w:r>
              <w:rPr>
                <w:webHidden/>
                <w:rStyle w:val="IndexLink"/>
                <w:rtl w:val="true"/>
              </w:rPr>
              <w:t>الثالثة</w:t>
            </w:r>
            <w:r>
              <w:rPr>
                <w:rStyle w:val="IndexLink"/>
                <w:rtl w:val="true"/>
              </w:rPr>
              <w:t xml:space="preserve">: </w:t>
            </w:r>
            <w:r>
              <w:rPr>
                <w:rStyle w:val="IndexLink"/>
                <w:rtl w:val="true"/>
              </w:rPr>
              <w:t>فی القضایا المفتقرة إلی وجود الموضوع</w:t>
            </w:r>
            <w:r>
              <w:rPr>
                <w:rStyle w:val="IndexLink"/>
                <w:rtl w:val="true"/>
              </w:rPr>
              <w:tab/>
            </w:r>
            <w:r>
              <w:rPr>
                <w:rStyle w:val="IndexLink"/>
              </w:rPr>
              <w:t>190</w:t>
            </w:r>
          </w:hyperlink>
        </w:p>
        <w:p>
          <w:pPr>
            <w:pStyle w:val="Contents6"/>
            <w:tabs>
              <w:tab w:val="clear" w:pos="7609"/>
              <w:tab w:val="right" w:pos="9026" w:leader="dot"/>
            </w:tabs>
            <w:rPr/>
          </w:pPr>
          <w:hyperlink w:anchor="__RefHeading___Toc3346424_3224264995">
            <w:r>
              <w:rPr>
                <w:webHidden/>
                <w:rStyle w:val="IndexLink"/>
                <w:rtl w:val="true"/>
              </w:rPr>
              <w:t>الرابعة</w:t>
            </w:r>
            <w:r>
              <w:rPr>
                <w:rStyle w:val="IndexLink"/>
                <w:rtl w:val="true"/>
              </w:rPr>
              <w:t xml:space="preserve">: </w:t>
            </w:r>
            <w:r>
              <w:rPr>
                <w:rStyle w:val="IndexLink"/>
                <w:rtl w:val="true"/>
              </w:rPr>
              <w:t>ضرورة کون الموضوع فی الجملة الخبریة و الإنشائیة مفرداً</w:t>
            </w:r>
            <w:r>
              <w:rPr>
                <w:rStyle w:val="IndexLink"/>
                <w:rtl w:val="true"/>
              </w:rPr>
              <w:tab/>
            </w:r>
            <w:r>
              <w:rPr>
                <w:rStyle w:val="IndexLink"/>
              </w:rPr>
              <w:t>191</w:t>
            </w:r>
          </w:hyperlink>
        </w:p>
        <w:p>
          <w:pPr>
            <w:pStyle w:val="Contents6"/>
            <w:tabs>
              <w:tab w:val="clear" w:pos="7609"/>
              <w:tab w:val="right" w:pos="9026" w:leader="dot"/>
            </w:tabs>
            <w:rPr/>
          </w:pPr>
          <w:hyperlink w:anchor="__RefHeading___Toc3346426_3224264995">
            <w:r>
              <w:rPr>
                <w:webHidden/>
                <w:rStyle w:val="IndexLink"/>
                <w:rtl w:val="true"/>
              </w:rPr>
              <w:t>الخامسة</w:t>
            </w:r>
            <w:r>
              <w:rPr>
                <w:rStyle w:val="IndexLink"/>
                <w:rtl w:val="true"/>
              </w:rPr>
              <w:t xml:space="preserve">: </w:t>
            </w:r>
            <w:r>
              <w:rPr>
                <w:rStyle w:val="IndexLink"/>
                <w:rtl w:val="true"/>
              </w:rPr>
              <w:t>فی اعتبارات موضوع العامّ المخصّص</w:t>
            </w:r>
            <w:r>
              <w:rPr>
                <w:rStyle w:val="IndexLink"/>
                <w:rtl w:val="true"/>
              </w:rPr>
              <w:tab/>
            </w:r>
            <w:r>
              <w:rPr>
                <w:rStyle w:val="IndexLink"/>
              </w:rPr>
              <w:t>192</w:t>
            </w:r>
          </w:hyperlink>
        </w:p>
        <w:p>
          <w:pPr>
            <w:pStyle w:val="Contents5"/>
            <w:tabs>
              <w:tab w:val="clear" w:pos="7892"/>
              <w:tab w:val="right" w:pos="9026" w:leader="dot"/>
            </w:tabs>
            <w:rPr/>
          </w:pPr>
          <w:hyperlink w:anchor="__RefHeading___Toc3346428_3224264995">
            <w:r>
              <w:rPr>
                <w:webHidden/>
                <w:rStyle w:val="IndexLink"/>
                <w:rtl w:val="true"/>
              </w:rPr>
              <w:t>التنبیه الرابع إحراز حال الفرد بالعناوین الثانویة</w:t>
            </w:r>
            <w:r>
              <w:rPr>
                <w:rStyle w:val="IndexLink"/>
                <w:rtl w:val="true"/>
              </w:rPr>
              <w:tab/>
            </w:r>
            <w:r>
              <w:rPr>
                <w:rStyle w:val="IndexLink"/>
              </w:rPr>
              <w:t>199</w:t>
            </w:r>
          </w:hyperlink>
        </w:p>
        <w:p>
          <w:pPr>
            <w:pStyle w:val="Contents5"/>
            <w:tabs>
              <w:tab w:val="clear" w:pos="7892"/>
              <w:tab w:val="right" w:pos="9026" w:leader="dot"/>
            </w:tabs>
            <w:rPr/>
          </w:pPr>
          <w:hyperlink w:anchor="__RefHeading___Toc3346430_3224264995">
            <w:r>
              <w:rPr>
                <w:webHidden/>
                <w:rStyle w:val="IndexLink"/>
                <w:rtl w:val="true"/>
              </w:rPr>
              <w:t>التنبیه الخامس فی التمسّک بأصالة العموم لکشف حال الفرد</w:t>
            </w:r>
            <w:r>
              <w:rPr>
                <w:rStyle w:val="IndexLink"/>
                <w:rtl w:val="true"/>
              </w:rPr>
              <w:tab/>
            </w:r>
            <w:r>
              <w:rPr>
                <w:rStyle w:val="IndexLink"/>
              </w:rPr>
              <w:t>200</w:t>
            </w:r>
          </w:hyperlink>
        </w:p>
        <w:p>
          <w:pPr>
            <w:pStyle w:val="Contents5"/>
            <w:tabs>
              <w:tab w:val="clear" w:pos="7892"/>
              <w:tab w:val="right" w:pos="9026" w:leader="dot"/>
            </w:tabs>
            <w:rPr/>
          </w:pPr>
          <w:hyperlink w:anchor="__RefHeading___Toc3346432_3224264995">
            <w:r>
              <w:rPr>
                <w:webHidden/>
                <w:rStyle w:val="IndexLink"/>
                <w:rtl w:val="true"/>
              </w:rPr>
              <w:t>التنبیه السادس فی التمسّک بالعامّ إذا کان المخصّص مجملًا</w:t>
            </w:r>
            <w:r>
              <w:rPr>
                <w:rStyle w:val="IndexLink"/>
                <w:rtl w:val="true"/>
              </w:rPr>
              <w:tab/>
            </w:r>
            <w:r>
              <w:rPr>
                <w:rStyle w:val="IndexLink"/>
              </w:rPr>
              <w:t>202</w:t>
            </w:r>
          </w:hyperlink>
        </w:p>
        <w:p>
          <w:pPr>
            <w:pStyle w:val="Contents3"/>
            <w:tabs>
              <w:tab w:val="clear" w:pos="8459"/>
              <w:tab w:val="right" w:pos="9026" w:leader="dot"/>
            </w:tabs>
            <w:rPr/>
          </w:pPr>
          <w:hyperlink w:anchor="__RefHeading___Toc3346434_3224264995">
            <w:r>
              <w:rPr>
                <w:webHidden/>
                <w:rStyle w:val="IndexLink"/>
                <w:rtl w:val="true"/>
              </w:rPr>
              <w:t>الفصل الثالث فی عدم جواز العمل بالعامّ قبل الفحص عن المخصّص</w:t>
            </w:r>
            <w:r>
              <w:rPr>
                <w:rStyle w:val="IndexLink"/>
                <w:rtl w:val="true"/>
              </w:rPr>
              <w:tab/>
            </w:r>
            <w:r>
              <w:rPr>
                <w:rStyle w:val="IndexLink"/>
              </w:rPr>
              <w:t>204</w:t>
            </w:r>
          </w:hyperlink>
        </w:p>
        <w:p>
          <w:pPr>
            <w:pStyle w:val="Contents4"/>
            <w:tabs>
              <w:tab w:val="clear" w:pos="8176"/>
              <w:tab w:val="right" w:pos="9026" w:leader="dot"/>
            </w:tabs>
            <w:rPr/>
          </w:pPr>
          <w:hyperlink w:anchor="__RefHeading___Toc3346436_322426499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346438_3224264995">
            <w:r>
              <w:rPr>
                <w:webHidden/>
                <w:rStyle w:val="IndexLink"/>
                <w:rtl w:val="true"/>
              </w:rPr>
              <w:t>الاستدلال بمعرضیة العامّ للتخصیص علی لزوم الفحص</w:t>
            </w:r>
            <w:r>
              <w:rPr>
                <w:rStyle w:val="IndexLink"/>
                <w:rtl w:val="true"/>
              </w:rPr>
              <w:tab/>
            </w:r>
            <w:r>
              <w:rPr>
                <w:rStyle w:val="IndexLink"/>
              </w:rPr>
              <w:t>205</w:t>
            </w:r>
          </w:hyperlink>
        </w:p>
        <w:p>
          <w:pPr>
            <w:pStyle w:val="Contents4"/>
            <w:tabs>
              <w:tab w:val="clear" w:pos="8176"/>
              <w:tab w:val="right" w:pos="9026" w:leader="dot"/>
            </w:tabs>
            <w:rPr/>
          </w:pPr>
          <w:hyperlink w:anchor="__RefHeading___Toc3346440_3224264995">
            <w:r>
              <w:rPr>
                <w:webHidden/>
                <w:rStyle w:val="IndexLink"/>
                <w:rtl w:val="true"/>
              </w:rPr>
              <w:t>الاستدلال بالعلم الإجمالی علی لزوم الفحص</w:t>
            </w:r>
            <w:r>
              <w:rPr>
                <w:rStyle w:val="IndexLink"/>
                <w:rtl w:val="true"/>
              </w:rPr>
              <w:tab/>
            </w:r>
            <w:r>
              <w:rPr>
                <w:rStyle w:val="IndexLink"/>
              </w:rPr>
              <w:t>209</w:t>
            </w:r>
          </w:hyperlink>
        </w:p>
        <w:p>
          <w:pPr>
            <w:pStyle w:val="Contents4"/>
            <w:tabs>
              <w:tab w:val="clear" w:pos="8176"/>
              <w:tab w:val="right" w:pos="9026" w:leader="dot"/>
            </w:tabs>
            <w:rPr/>
          </w:pPr>
          <w:hyperlink w:anchor="__RefHeading___Toc3346442_3224264995">
            <w:r>
              <w:rPr>
                <w:webHidden/>
                <w:rStyle w:val="IndexLink"/>
                <w:rtl w:val="true"/>
              </w:rPr>
              <w:t>مقدار الفحص عن المخصّص</w:t>
            </w:r>
            <w:r>
              <w:rPr>
                <w:rStyle w:val="IndexLink"/>
                <w:rtl w:val="true"/>
              </w:rPr>
              <w:tab/>
            </w:r>
            <w:r>
              <w:rPr>
                <w:rStyle w:val="IndexLink"/>
              </w:rPr>
              <w:t>213</w:t>
            </w:r>
          </w:hyperlink>
        </w:p>
        <w:p>
          <w:pPr>
            <w:pStyle w:val="Contents3"/>
            <w:tabs>
              <w:tab w:val="clear" w:pos="8459"/>
              <w:tab w:val="right" w:pos="9026" w:leader="dot"/>
            </w:tabs>
            <w:rPr/>
          </w:pPr>
          <w:hyperlink w:anchor="__RefHeading___Toc3346444_3224264995">
            <w:r>
              <w:rPr>
                <w:webHidden/>
                <w:rStyle w:val="IndexLink"/>
                <w:rtl w:val="true"/>
              </w:rPr>
              <w:t>الفصل الرابع فی الخطابات الشفاهیة</w:t>
            </w:r>
            <w:r>
              <w:rPr>
                <w:rStyle w:val="IndexLink"/>
                <w:rtl w:val="true"/>
              </w:rPr>
              <w:tab/>
            </w:r>
            <w:r>
              <w:rPr>
                <w:rStyle w:val="IndexLink"/>
              </w:rPr>
              <w:t>214</w:t>
            </w:r>
          </w:hyperlink>
        </w:p>
        <w:p>
          <w:pPr>
            <w:pStyle w:val="Contents4"/>
            <w:tabs>
              <w:tab w:val="clear" w:pos="8176"/>
              <w:tab w:val="right" w:pos="9026" w:leader="dot"/>
            </w:tabs>
            <w:rPr/>
          </w:pPr>
          <w:hyperlink w:anchor="__RefHeading___Toc3346446_3224264995">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346448_3224264995">
            <w:r>
              <w:rPr>
                <w:webHidden/>
                <w:rStyle w:val="IndexLink"/>
                <w:rtl w:val="true"/>
              </w:rPr>
              <w:t>فی ثمرة البحث</w:t>
            </w:r>
            <w:r>
              <w:rPr>
                <w:rStyle w:val="IndexLink"/>
                <w:rtl w:val="true"/>
              </w:rPr>
              <w:tab/>
            </w:r>
            <w:r>
              <w:rPr>
                <w:rStyle w:val="IndexLink"/>
              </w:rPr>
              <w:t>224</w:t>
            </w:r>
          </w:hyperlink>
        </w:p>
        <w:p>
          <w:pPr>
            <w:pStyle w:val="Contents3"/>
            <w:tabs>
              <w:tab w:val="clear" w:pos="8459"/>
              <w:tab w:val="right" w:pos="9026" w:leader="dot"/>
            </w:tabs>
            <w:rPr/>
          </w:pPr>
          <w:hyperlink w:anchor="__RefHeading___Toc3346450_3224264995">
            <w:r>
              <w:rPr>
                <w:webHidden/>
                <w:rStyle w:val="IndexLink"/>
                <w:rtl w:val="true"/>
              </w:rPr>
              <w:t>الفصل الخامس فی تعقّب العامّ بضمیر یرجع إلی بعض أفراده</w:t>
            </w:r>
            <w:r>
              <w:rPr>
                <w:rStyle w:val="IndexLink"/>
                <w:rtl w:val="true"/>
              </w:rPr>
              <w:tab/>
            </w:r>
            <w:r>
              <w:rPr>
                <w:rStyle w:val="IndexLink"/>
              </w:rPr>
              <w:t>227</w:t>
            </w:r>
          </w:hyperlink>
        </w:p>
        <w:p>
          <w:pPr>
            <w:pStyle w:val="Contents3"/>
            <w:tabs>
              <w:tab w:val="clear" w:pos="8459"/>
              <w:tab w:val="right" w:pos="9026" w:leader="dot"/>
            </w:tabs>
            <w:rPr/>
          </w:pPr>
          <w:hyperlink w:anchor="__RefHeading___Toc3346452_3224264995">
            <w:r>
              <w:rPr>
                <w:webHidden/>
                <w:rStyle w:val="IndexLink"/>
                <w:rtl w:val="true"/>
              </w:rPr>
              <w:t>الفصل السادس فی تخصیص العامّ بالمفهوم</w:t>
            </w:r>
            <w:r>
              <w:rPr>
                <w:rStyle w:val="IndexLink"/>
                <w:rtl w:val="true"/>
              </w:rPr>
              <w:tab/>
            </w:r>
            <w:r>
              <w:rPr>
                <w:rStyle w:val="IndexLink"/>
              </w:rPr>
              <w:t>231</w:t>
            </w:r>
          </w:hyperlink>
        </w:p>
        <w:p>
          <w:pPr>
            <w:pStyle w:val="Contents4"/>
            <w:tabs>
              <w:tab w:val="clear" w:pos="8176"/>
              <w:tab w:val="right" w:pos="9026" w:leader="dot"/>
            </w:tabs>
            <w:rPr/>
          </w:pPr>
          <w:hyperlink w:anchor="__RefHeading___Toc3346454_3224264995">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346456_3224264995">
            <w:r>
              <w:rPr>
                <w:webHidden/>
                <w:rStyle w:val="IndexLink"/>
                <w:rtl w:val="true"/>
              </w:rPr>
              <w:t>المقام الأوّل</w:t>
            </w:r>
            <w:r>
              <w:rPr>
                <w:rStyle w:val="IndexLink"/>
                <w:rtl w:val="true"/>
              </w:rPr>
              <w:t xml:space="preserve">: </w:t>
            </w:r>
            <w:r>
              <w:rPr>
                <w:rStyle w:val="IndexLink"/>
                <w:rtl w:val="true"/>
              </w:rPr>
              <w:t>فی تفسیر الموافق من المفهوم و جواز التخصیص به</w:t>
            </w:r>
            <w:r>
              <w:rPr>
                <w:rStyle w:val="IndexLink"/>
                <w:rtl w:val="true"/>
              </w:rPr>
              <w:tab/>
            </w:r>
            <w:r>
              <w:rPr>
                <w:rStyle w:val="IndexLink"/>
              </w:rPr>
              <w:t>231</w:t>
            </w:r>
          </w:hyperlink>
        </w:p>
        <w:p>
          <w:pPr>
            <w:pStyle w:val="Contents4"/>
            <w:tabs>
              <w:tab w:val="clear" w:pos="8176"/>
              <w:tab w:val="right" w:pos="9026" w:leader="dot"/>
            </w:tabs>
            <w:rPr/>
          </w:pPr>
          <w:hyperlink w:anchor="__RefHeading___Toc3346458_3224264995">
            <w:r>
              <w:rPr>
                <w:webHidden/>
                <w:rStyle w:val="IndexLink"/>
                <w:rtl w:val="true"/>
              </w:rPr>
              <w:t>المقام الثانی</w:t>
            </w:r>
            <w:r>
              <w:rPr>
                <w:rStyle w:val="IndexLink"/>
                <w:rtl w:val="true"/>
              </w:rPr>
              <w:t xml:space="preserve">: </w:t>
            </w:r>
            <w:r>
              <w:rPr>
                <w:rStyle w:val="IndexLink"/>
                <w:rtl w:val="true"/>
              </w:rPr>
              <w:t>فی المفهوم المخالف</w:t>
            </w:r>
            <w:r>
              <w:rPr>
                <w:rStyle w:val="IndexLink"/>
                <w:rtl w:val="true"/>
              </w:rPr>
              <w:tab/>
            </w:r>
            <w:r>
              <w:rPr>
                <w:rStyle w:val="IndexLink"/>
              </w:rPr>
              <w:t>236</w:t>
            </w:r>
          </w:hyperlink>
        </w:p>
        <w:p>
          <w:pPr>
            <w:pStyle w:val="Contents3"/>
            <w:tabs>
              <w:tab w:val="clear" w:pos="8459"/>
              <w:tab w:val="right" w:pos="9026" w:leader="dot"/>
            </w:tabs>
            <w:rPr/>
          </w:pPr>
          <w:hyperlink w:anchor="__RefHeading___Toc3346460_3224264995">
            <w:r>
              <w:rPr>
                <w:webHidden/>
                <w:rStyle w:val="IndexLink"/>
                <w:rtl w:val="true"/>
              </w:rPr>
              <w:t>الفصل السابع فی تخصیص الکتاب بالخبر الواحد</w:t>
            </w:r>
            <w:r>
              <w:rPr>
                <w:rStyle w:val="IndexLink"/>
                <w:rtl w:val="true"/>
              </w:rPr>
              <w:tab/>
            </w:r>
            <w:r>
              <w:rPr>
                <w:rStyle w:val="IndexLink"/>
              </w:rPr>
              <w:t>240</w:t>
            </w:r>
          </w:hyperlink>
        </w:p>
        <w:p>
          <w:pPr>
            <w:pStyle w:val="Contents3"/>
            <w:tabs>
              <w:tab w:val="clear" w:pos="8459"/>
              <w:tab w:val="right" w:pos="9026" w:leader="dot"/>
            </w:tabs>
            <w:rPr/>
          </w:pPr>
          <w:hyperlink w:anchor="__RefHeading___Toc3346462_3224264995">
            <w:r>
              <w:rPr>
                <w:webHidden/>
                <w:rStyle w:val="IndexLink"/>
                <w:rtl w:val="true"/>
              </w:rPr>
              <w:t>الفصل الثامن فی الاستثناء المتعقّب لجمل متعدّدة</w:t>
            </w:r>
            <w:r>
              <w:rPr>
                <w:rStyle w:val="IndexLink"/>
                <w:rtl w:val="true"/>
              </w:rPr>
              <w:tab/>
            </w:r>
            <w:r>
              <w:rPr>
                <w:rStyle w:val="IndexLink"/>
              </w:rPr>
              <w:t>242</w:t>
            </w:r>
          </w:hyperlink>
        </w:p>
        <w:p>
          <w:pPr>
            <w:pStyle w:val="Contents4"/>
            <w:tabs>
              <w:tab w:val="clear" w:pos="8176"/>
              <w:tab w:val="right" w:pos="9026" w:leader="dot"/>
            </w:tabs>
            <w:rPr/>
          </w:pPr>
          <w:hyperlink w:anchor="__RefHeading___Toc3346464_3224264995">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346466_3224264995">
            <w:r>
              <w:rPr>
                <w:webHidden/>
                <w:rStyle w:val="IndexLink"/>
                <w:rtl w:val="true"/>
              </w:rPr>
              <w:t>المقام الأوّل</w:t>
            </w:r>
            <w:r>
              <w:rPr>
                <w:rStyle w:val="IndexLink"/>
                <w:rtl w:val="true"/>
              </w:rPr>
              <w:t xml:space="preserve">: </w:t>
            </w:r>
            <w:r>
              <w:rPr>
                <w:rStyle w:val="IndexLink"/>
                <w:rtl w:val="true"/>
              </w:rPr>
              <w:t>فی إمکان الرجوع إلی الجمیع</w:t>
            </w:r>
            <w:r>
              <w:rPr>
                <w:rStyle w:val="IndexLink"/>
                <w:rtl w:val="true"/>
              </w:rPr>
              <w:tab/>
            </w:r>
            <w:r>
              <w:rPr>
                <w:rStyle w:val="IndexLink"/>
              </w:rPr>
              <w:t>242</w:t>
            </w:r>
          </w:hyperlink>
        </w:p>
        <w:p>
          <w:pPr>
            <w:pStyle w:val="Contents4"/>
            <w:tabs>
              <w:tab w:val="clear" w:pos="8176"/>
              <w:tab w:val="right" w:pos="9026" w:leader="dot"/>
            </w:tabs>
            <w:rPr/>
          </w:pPr>
          <w:hyperlink w:anchor="__RefHeading___Toc3346468_3224264995">
            <w:r>
              <w:rPr>
                <w:webHidden/>
                <w:rStyle w:val="IndexLink"/>
                <w:rtl w:val="true"/>
              </w:rPr>
              <w:t>المقام الثانی</w:t>
            </w:r>
            <w:r>
              <w:rPr>
                <w:rStyle w:val="IndexLink"/>
                <w:rtl w:val="true"/>
              </w:rPr>
              <w:t xml:space="preserve">: </w:t>
            </w:r>
            <w:r>
              <w:rPr>
                <w:rStyle w:val="IndexLink"/>
                <w:rtl w:val="true"/>
              </w:rPr>
              <w:t>فی حاله إثباتاً</w:t>
            </w:r>
            <w:r>
              <w:rPr>
                <w:rStyle w:val="IndexLink"/>
                <w:rtl w:val="true"/>
              </w:rPr>
              <w:tab/>
            </w:r>
            <w:r>
              <w:rPr>
                <w:rStyle w:val="IndexLink"/>
              </w:rPr>
              <w:t>243</w:t>
            </w:r>
          </w:hyperlink>
        </w:p>
        <w:p>
          <w:pPr>
            <w:pStyle w:val="Contents2"/>
            <w:tabs>
              <w:tab w:val="clear" w:pos="8743"/>
              <w:tab w:val="right" w:pos="9026" w:leader="dot"/>
            </w:tabs>
            <w:rPr/>
          </w:pPr>
          <w:hyperlink w:anchor="__RefHeading___Toc3346470_3224264995">
            <w:r>
              <w:rPr>
                <w:webHidden/>
                <w:rStyle w:val="IndexLink"/>
                <w:rtl w:val="true"/>
              </w:rPr>
              <w:t>المقصد الخامس فی المطلق و المقیّد</w:t>
            </w:r>
            <w:r>
              <w:rPr>
                <w:rStyle w:val="IndexLink"/>
                <w:rtl w:val="true"/>
              </w:rPr>
              <w:tab/>
            </w:r>
            <w:r>
              <w:rPr>
                <w:rStyle w:val="IndexLink"/>
              </w:rPr>
              <w:t>248</w:t>
            </w:r>
          </w:hyperlink>
        </w:p>
        <w:p>
          <w:pPr>
            <w:pStyle w:val="Contents3"/>
            <w:tabs>
              <w:tab w:val="clear" w:pos="8459"/>
              <w:tab w:val="right" w:pos="9026" w:leader="dot"/>
            </w:tabs>
            <w:rPr/>
          </w:pPr>
          <w:hyperlink w:anchor="__RefHeading___Toc3346472_3224264995">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3346474_3224264995">
            <w:r>
              <w:rPr>
                <w:webHidden/>
                <w:rStyle w:val="IndexLink"/>
                <w:rtl w:val="true"/>
              </w:rPr>
              <w:t>الفصل الاوّل فی تعریف المطلق و المقیّد</w:t>
            </w:r>
            <w:r>
              <w:rPr>
                <w:rStyle w:val="IndexLink"/>
                <w:rtl w:val="true"/>
              </w:rPr>
              <w:tab/>
            </w:r>
            <w:r>
              <w:rPr>
                <w:rStyle w:val="IndexLink"/>
              </w:rPr>
              <w:t>249</w:t>
            </w:r>
          </w:hyperlink>
        </w:p>
        <w:p>
          <w:pPr>
            <w:pStyle w:val="Contents3"/>
            <w:tabs>
              <w:tab w:val="clear" w:pos="8459"/>
              <w:tab w:val="right" w:pos="9026" w:leader="dot"/>
            </w:tabs>
            <w:rPr/>
          </w:pPr>
          <w:hyperlink w:anchor="__RefHeading___Toc3346476_3224264995">
            <w:r>
              <w:rPr>
                <w:webHidden/>
                <w:rStyle w:val="IndexLink"/>
                <w:rtl w:val="true"/>
              </w:rPr>
              <w:t>الفصل الثانی حول بعض الألفاظ التی یطلق علیها المطلق</w:t>
            </w:r>
            <w:r>
              <w:rPr>
                <w:rStyle w:val="IndexLink"/>
                <w:rtl w:val="true"/>
              </w:rPr>
              <w:tab/>
            </w:r>
            <w:r>
              <w:rPr>
                <w:rStyle w:val="IndexLink"/>
              </w:rPr>
              <w:t>253</w:t>
            </w:r>
          </w:hyperlink>
        </w:p>
        <w:p>
          <w:pPr>
            <w:pStyle w:val="Contents4"/>
            <w:tabs>
              <w:tab w:val="clear" w:pos="8176"/>
              <w:tab w:val="right" w:pos="9026" w:leader="dot"/>
            </w:tabs>
            <w:rPr/>
          </w:pPr>
          <w:hyperlink w:anchor="__RefHeading___Toc3346478_3224264995">
            <w:r>
              <w:rPr>
                <w:webHidden/>
                <w:rStyle w:val="IndexLink"/>
                <w:rtl w:val="true"/>
              </w:rPr>
              <w:t>اسم الجنس و علمه و غیرهما</w:t>
            </w:r>
            <w:r>
              <w:rPr>
                <w:rStyle w:val="IndexLink"/>
                <w:rtl w:val="true"/>
              </w:rPr>
              <w:tab/>
            </w:r>
            <w:r>
              <w:rPr>
                <w:rStyle w:val="IndexLink"/>
              </w:rPr>
              <w:t>253</w:t>
            </w:r>
          </w:hyperlink>
        </w:p>
        <w:p>
          <w:pPr>
            <w:pStyle w:val="Contents4"/>
            <w:tabs>
              <w:tab w:val="clear" w:pos="8176"/>
              <w:tab w:val="right" w:pos="9026" w:leader="dot"/>
            </w:tabs>
            <w:rPr/>
          </w:pPr>
          <w:hyperlink w:anchor="__RefHeading___Toc3346480_3224264995">
            <w:r>
              <w:rPr>
                <w:webHidden/>
                <w:rStyle w:val="IndexLink"/>
                <w:rtl w:val="true"/>
              </w:rPr>
              <w:t>تقسیم الماهیة إلی أقسام ثلاثة</w:t>
            </w:r>
            <w:r>
              <w:rPr>
                <w:rStyle w:val="IndexLink"/>
                <w:rtl w:val="true"/>
              </w:rPr>
              <w:tab/>
            </w:r>
            <w:r>
              <w:rPr>
                <w:rStyle w:val="IndexLink"/>
              </w:rPr>
              <w:t>255</w:t>
            </w:r>
          </w:hyperlink>
        </w:p>
        <w:p>
          <w:pPr>
            <w:pStyle w:val="Contents4"/>
            <w:tabs>
              <w:tab w:val="clear" w:pos="8176"/>
              <w:tab w:val="right" w:pos="9026" w:leader="dot"/>
            </w:tabs>
            <w:rPr/>
          </w:pPr>
          <w:hyperlink w:anchor="__RefHeading___Toc3346482_3224264995">
            <w:r>
              <w:rPr>
                <w:webHidden/>
                <w:rStyle w:val="IndexLink"/>
                <w:rtl w:val="true"/>
              </w:rPr>
              <w:t>البحث فی علم الجنس</w:t>
            </w:r>
            <w:r>
              <w:rPr>
                <w:rStyle w:val="IndexLink"/>
                <w:rtl w:val="true"/>
              </w:rPr>
              <w:tab/>
            </w:r>
            <w:r>
              <w:rPr>
                <w:rStyle w:val="IndexLink"/>
              </w:rPr>
              <w:t>260</w:t>
            </w:r>
          </w:hyperlink>
        </w:p>
        <w:p>
          <w:pPr>
            <w:pStyle w:val="Contents4"/>
            <w:tabs>
              <w:tab w:val="clear" w:pos="8176"/>
              <w:tab w:val="right" w:pos="9026" w:leader="dot"/>
            </w:tabs>
            <w:rPr/>
          </w:pPr>
          <w:hyperlink w:anchor="__RefHeading___Toc3346484_3224264995">
            <w:r>
              <w:rPr>
                <w:webHidden/>
                <w:rStyle w:val="IndexLink"/>
                <w:rtl w:val="true"/>
              </w:rPr>
              <w:t>الکلام فی النکرة</w:t>
            </w:r>
            <w:r>
              <w:rPr>
                <w:rStyle w:val="IndexLink"/>
                <w:rtl w:val="true"/>
              </w:rPr>
              <w:tab/>
            </w:r>
            <w:r>
              <w:rPr>
                <w:rStyle w:val="IndexLink"/>
              </w:rPr>
              <w:t>262</w:t>
            </w:r>
          </w:hyperlink>
        </w:p>
        <w:p>
          <w:pPr>
            <w:pStyle w:val="Contents3"/>
            <w:tabs>
              <w:tab w:val="clear" w:pos="8459"/>
              <w:tab w:val="right" w:pos="9026" w:leader="dot"/>
            </w:tabs>
            <w:rPr/>
          </w:pPr>
          <w:hyperlink w:anchor="__RefHeading___Toc3346486_3224264995">
            <w:r>
              <w:rPr>
                <w:webHidden/>
                <w:rStyle w:val="IndexLink"/>
                <w:rtl w:val="true"/>
              </w:rPr>
              <w:t>الفصل الثالث فی مقدّمات الحکمة</w:t>
            </w:r>
            <w:r>
              <w:rPr>
                <w:rStyle w:val="IndexLink"/>
                <w:rtl w:val="true"/>
              </w:rPr>
              <w:tab/>
            </w:r>
            <w:r>
              <w:rPr>
                <w:rStyle w:val="IndexLink"/>
              </w:rPr>
              <w:t>263</w:t>
            </w:r>
          </w:hyperlink>
        </w:p>
        <w:p>
          <w:pPr>
            <w:pStyle w:val="Contents4"/>
            <w:tabs>
              <w:tab w:val="clear" w:pos="8176"/>
              <w:tab w:val="right" w:pos="9026" w:leader="dot"/>
            </w:tabs>
            <w:rPr/>
          </w:pPr>
          <w:hyperlink w:anchor="__RefHeading___Toc3346488_3224264995">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3346490_3224264995">
            <w:r>
              <w:rPr>
                <w:webHidden/>
                <w:rStyle w:val="IndexLink"/>
                <w:rtl w:val="true"/>
              </w:rPr>
              <w:t>إشکال و دفع</w:t>
            </w:r>
            <w:r>
              <w:rPr>
                <w:rStyle w:val="IndexLink"/>
                <w:rtl w:val="true"/>
              </w:rPr>
              <w:tab/>
            </w:r>
            <w:r>
              <w:rPr>
                <w:rStyle w:val="IndexLink"/>
              </w:rPr>
              <w:t>266</w:t>
            </w:r>
          </w:hyperlink>
        </w:p>
        <w:p>
          <w:pPr>
            <w:pStyle w:val="Contents4"/>
            <w:tabs>
              <w:tab w:val="clear" w:pos="8176"/>
              <w:tab w:val="right" w:pos="9026" w:leader="dot"/>
            </w:tabs>
            <w:rPr/>
          </w:pPr>
          <w:hyperlink w:anchor="__RefHeading___Toc3346492_3224264995">
            <w:r>
              <w:rPr>
                <w:webHidden/>
                <w:rStyle w:val="IndexLink"/>
                <w:rtl w:val="true"/>
              </w:rPr>
              <w:t>حلّ عقدة</w:t>
            </w:r>
            <w:r>
              <w:rPr>
                <w:rStyle w:val="IndexLink"/>
                <w:rtl w:val="true"/>
              </w:rPr>
              <w:tab/>
            </w:r>
            <w:r>
              <w:rPr>
                <w:rStyle w:val="IndexLink"/>
              </w:rPr>
              <w:t>267</w:t>
            </w:r>
          </w:hyperlink>
        </w:p>
        <w:p>
          <w:pPr>
            <w:pStyle w:val="Contents4"/>
            <w:tabs>
              <w:tab w:val="clear" w:pos="8176"/>
              <w:tab w:val="right" w:pos="9026" w:leader="dot"/>
            </w:tabs>
            <w:rPr/>
          </w:pPr>
          <w:hyperlink w:anchor="__RefHeading___Toc3346494_3224264995">
            <w:r>
              <w:rPr>
                <w:webHidden/>
                <w:rStyle w:val="IndexLink"/>
                <w:rtl w:val="true"/>
              </w:rPr>
              <w:t>تتمیم</w:t>
            </w:r>
            <w:r>
              <w:rPr>
                <w:rStyle w:val="IndexLink"/>
                <w:rtl w:val="true"/>
              </w:rPr>
              <w:t xml:space="preserve">: </w:t>
            </w:r>
            <w:r>
              <w:rPr>
                <w:rStyle w:val="IndexLink"/>
                <w:rtl w:val="true"/>
              </w:rPr>
              <w:t>فی الأصل عند الشکّ فی مقام البیان</w:t>
            </w:r>
            <w:r>
              <w:rPr>
                <w:rStyle w:val="IndexLink"/>
                <w:rtl w:val="true"/>
              </w:rPr>
              <w:tab/>
            </w:r>
            <w:r>
              <w:rPr>
                <w:rStyle w:val="IndexLink"/>
              </w:rPr>
              <w:t>268</w:t>
            </w:r>
          </w:hyperlink>
        </w:p>
        <w:p>
          <w:pPr>
            <w:pStyle w:val="Contents3"/>
            <w:tabs>
              <w:tab w:val="clear" w:pos="8459"/>
              <w:tab w:val="right" w:pos="9026" w:leader="dot"/>
            </w:tabs>
            <w:rPr/>
          </w:pPr>
          <w:hyperlink w:anchor="__RefHeading___Toc3346496_3224264995">
            <w:r>
              <w:rPr>
                <w:webHidden/>
                <w:rStyle w:val="IndexLink"/>
                <w:rtl w:val="true"/>
              </w:rPr>
              <w:t>الفصل الرابع فی حمل المطلق علی المقیّد</w:t>
            </w:r>
            <w:r>
              <w:rPr>
                <w:rStyle w:val="IndexLink"/>
                <w:rtl w:val="true"/>
              </w:rPr>
              <w:tab/>
            </w:r>
            <w:r>
              <w:rPr>
                <w:rStyle w:val="IndexLink"/>
              </w:rPr>
              <w:t>269</w:t>
            </w:r>
          </w:hyperlink>
        </w:p>
        <w:p>
          <w:pPr>
            <w:pStyle w:val="Contents4"/>
            <w:tabs>
              <w:tab w:val="clear" w:pos="8176"/>
              <w:tab w:val="right" w:pos="9026" w:leader="dot"/>
            </w:tabs>
            <w:rPr/>
          </w:pPr>
          <w:hyperlink w:anchor="__RefHeading___Toc3346498_3224264995">
            <w:r>
              <w:rPr>
                <w:webHidden/>
                <w:rStyle w:val="IndexLink"/>
                <w:rtl w:val="true"/>
              </w:rPr>
              <w:t>الصور المتصوّرة فی ورود المطلق و المقیّد</w:t>
            </w:r>
            <w:r>
              <w:rPr>
                <w:rStyle w:val="IndexLink"/>
                <w:rtl w:val="true"/>
              </w:rPr>
              <w:tab/>
            </w:r>
            <w:r>
              <w:rPr>
                <w:rStyle w:val="IndexLink"/>
              </w:rPr>
              <w:t>269</w:t>
            </w:r>
          </w:hyperlink>
        </w:p>
        <w:p>
          <w:pPr>
            <w:pStyle w:val="Contents4"/>
            <w:tabs>
              <w:tab w:val="clear" w:pos="8176"/>
              <w:tab w:val="right" w:pos="9026" w:leader="dot"/>
            </w:tabs>
            <w:rPr/>
          </w:pPr>
          <w:hyperlink w:anchor="__RefHeading___Toc3346500_3224264995">
            <w:r>
              <w:rPr>
                <w:webHidden/>
                <w:rStyle w:val="IndexLink"/>
                <w:rtl w:val="true"/>
              </w:rPr>
              <w:t>تحریر محطّ البحث</w:t>
            </w:r>
            <w:r>
              <w:rPr>
                <w:rStyle w:val="IndexLink"/>
                <w:rtl w:val="true"/>
              </w:rPr>
              <w:tab/>
            </w:r>
            <w:r>
              <w:rPr>
                <w:rStyle w:val="IndexLink"/>
              </w:rPr>
              <w:t>270</w:t>
            </w:r>
          </w:hyperlink>
        </w:p>
        <w:p>
          <w:pPr>
            <w:pStyle w:val="Contents4"/>
            <w:tabs>
              <w:tab w:val="clear" w:pos="8176"/>
              <w:tab w:val="right" w:pos="9026" w:leader="dot"/>
            </w:tabs>
            <w:rPr/>
          </w:pPr>
          <w:hyperlink w:anchor="__RefHeading___Toc3346502_3224264995">
            <w:r>
              <w:rPr>
                <w:webHidden/>
                <w:rStyle w:val="IndexLink"/>
                <w:rtl w:val="true"/>
              </w:rPr>
              <w:t>أحکام الصور المهمّة فی المسألة</w:t>
            </w:r>
            <w:r>
              <w:rPr>
                <w:rStyle w:val="IndexLink"/>
                <w:rtl w:val="true"/>
              </w:rPr>
              <w:tab/>
            </w:r>
            <w:r>
              <w:rPr>
                <w:rStyle w:val="IndexLink"/>
              </w:rPr>
              <w:t>271</w:t>
            </w:r>
          </w:hyperlink>
        </w:p>
        <w:p>
          <w:pPr>
            <w:pStyle w:val="Contents2"/>
            <w:tabs>
              <w:tab w:val="clear" w:pos="8743"/>
              <w:tab w:val="right" w:pos="9026" w:leader="dot"/>
            </w:tabs>
            <w:rPr/>
          </w:pPr>
          <w:hyperlink w:anchor="__RefHeading___Toc3346504_3224264995">
            <w:r>
              <w:rPr>
                <w:webHidden/>
                <w:rStyle w:val="IndexLink"/>
                <w:rtl w:val="true"/>
              </w:rPr>
              <w:t>المقصد السادس فی الأمارات المعتبرة عقلًا أو شرعاً</w:t>
            </w:r>
            <w:r>
              <w:rPr>
                <w:rStyle w:val="IndexLink"/>
                <w:rtl w:val="true"/>
              </w:rPr>
              <w:tab/>
            </w:r>
            <w:r>
              <w:rPr>
                <w:rStyle w:val="IndexLink"/>
              </w:rPr>
              <w:t>279</w:t>
            </w:r>
          </w:hyperlink>
        </w:p>
        <w:p>
          <w:pPr>
            <w:pStyle w:val="Contents3"/>
            <w:tabs>
              <w:tab w:val="clear" w:pos="8459"/>
              <w:tab w:val="right" w:pos="9026" w:leader="dot"/>
            </w:tabs>
            <w:rPr/>
          </w:pPr>
          <w:hyperlink w:anchor="__RefHeading___Toc3346506_3224264995">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3346508_3224264995">
            <w:r>
              <w:rPr>
                <w:webHidden/>
                <w:rStyle w:val="IndexLink"/>
                <w:rtl w:val="true"/>
              </w:rPr>
              <w:t>الکلام فی القطع و أحکامه</w:t>
            </w:r>
            <w:r>
              <w:rPr>
                <w:rStyle w:val="IndexLink"/>
                <w:rtl w:val="true"/>
              </w:rPr>
              <w:tab/>
            </w:r>
            <w:r>
              <w:rPr>
                <w:rStyle w:val="IndexLink"/>
              </w:rPr>
              <w:t>279</w:t>
            </w:r>
          </w:hyperlink>
        </w:p>
        <w:p>
          <w:pPr>
            <w:pStyle w:val="Contents4"/>
            <w:tabs>
              <w:tab w:val="clear" w:pos="8176"/>
              <w:tab w:val="right" w:pos="9026" w:leader="dot"/>
            </w:tabs>
            <w:rPr/>
          </w:pPr>
          <w:hyperlink w:anchor="__RefHeading___Toc3346510_3224264995">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346512_3224264995">
            <w:r>
              <w:rPr>
                <w:webHidden/>
                <w:rStyle w:val="IndexLink"/>
                <w:rtl w:val="true"/>
              </w:rPr>
              <w:t>المقدّمة</w:t>
            </w:r>
            <w:r>
              <w:rPr>
                <w:rStyle w:val="IndexLink"/>
                <w:rtl w:val="true"/>
              </w:rPr>
              <w:tab/>
            </w:r>
            <w:r>
              <w:rPr>
                <w:rStyle w:val="IndexLink"/>
              </w:rPr>
              <w:t>280</w:t>
            </w:r>
          </w:hyperlink>
        </w:p>
        <w:p>
          <w:pPr>
            <w:pStyle w:val="Contents5"/>
            <w:tabs>
              <w:tab w:val="clear" w:pos="7892"/>
              <w:tab w:val="right" w:pos="9026" w:leader="dot"/>
            </w:tabs>
            <w:rPr/>
          </w:pPr>
          <w:hyperlink w:anchor="__RefHeading___Toc3346514_3224264995">
            <w:r>
              <w:rPr>
                <w:webHidden/>
                <w:rStyle w:val="IndexLink"/>
                <w:rtl w:val="true"/>
              </w:rPr>
              <w:t>فی اصولیة المسألة</w:t>
            </w:r>
            <w:r>
              <w:rPr>
                <w:rStyle w:val="IndexLink"/>
                <w:rtl w:val="true"/>
              </w:rPr>
              <w:tab/>
            </w:r>
            <w:r>
              <w:rPr>
                <w:rStyle w:val="IndexLink"/>
              </w:rPr>
              <w:t>280</w:t>
            </w:r>
          </w:hyperlink>
        </w:p>
        <w:p>
          <w:pPr>
            <w:pStyle w:val="Contents5"/>
            <w:tabs>
              <w:tab w:val="clear" w:pos="7892"/>
              <w:tab w:val="right" w:pos="9026" w:leader="dot"/>
            </w:tabs>
            <w:rPr/>
          </w:pPr>
          <w:hyperlink w:anchor="__RefHeading___Toc3346516_3224264995">
            <w:r>
              <w:rPr>
                <w:webHidden/>
                <w:rStyle w:val="IndexLink"/>
                <w:rtl w:val="true"/>
              </w:rPr>
              <w:t>تقسیم المکلّف حسب حالاته</w:t>
            </w:r>
            <w:r>
              <w:rPr>
                <w:rStyle w:val="IndexLink"/>
                <w:rtl w:val="true"/>
              </w:rPr>
              <w:tab/>
            </w:r>
            <w:r>
              <w:rPr>
                <w:rStyle w:val="IndexLink"/>
              </w:rPr>
              <w:t>281</w:t>
            </w:r>
          </w:hyperlink>
        </w:p>
        <w:p>
          <w:pPr>
            <w:pStyle w:val="Contents4"/>
            <w:tabs>
              <w:tab w:val="clear" w:pos="8176"/>
              <w:tab w:val="right" w:pos="9026" w:leader="dot"/>
            </w:tabs>
            <w:rPr/>
          </w:pPr>
          <w:hyperlink w:anchor="__RefHeading___Toc3346518_3224264995">
            <w:r>
              <w:rPr>
                <w:webHidden/>
                <w:rStyle w:val="IndexLink"/>
                <w:rtl w:val="true"/>
              </w:rPr>
              <w:t>الأمر الأوّل فی وجوب متابعة القطع و حجّیته</w:t>
            </w:r>
            <w:r>
              <w:rPr>
                <w:rStyle w:val="IndexLink"/>
                <w:rtl w:val="true"/>
              </w:rPr>
              <w:tab/>
            </w:r>
            <w:r>
              <w:rPr>
                <w:rStyle w:val="IndexLink"/>
              </w:rPr>
              <w:t>284</w:t>
            </w:r>
          </w:hyperlink>
        </w:p>
        <w:p>
          <w:pPr>
            <w:pStyle w:val="Contents4"/>
            <w:tabs>
              <w:tab w:val="clear" w:pos="8176"/>
              <w:tab w:val="right" w:pos="9026" w:leader="dot"/>
            </w:tabs>
            <w:rPr/>
          </w:pPr>
          <w:hyperlink w:anchor="__RefHeading___Toc3346520_3224264995">
            <w:r>
              <w:rPr>
                <w:webHidden/>
                <w:rStyle w:val="IndexLink"/>
                <w:rtl w:val="true"/>
              </w:rPr>
              <w:t>الأمر الثانی فی التجرّی</w:t>
            </w:r>
            <w:r>
              <w:rPr>
                <w:rStyle w:val="IndexLink"/>
                <w:rtl w:val="true"/>
              </w:rPr>
              <w:tab/>
            </w:r>
            <w:r>
              <w:rPr>
                <w:rStyle w:val="IndexLink"/>
              </w:rPr>
              <w:t>287</w:t>
            </w:r>
          </w:hyperlink>
        </w:p>
        <w:p>
          <w:pPr>
            <w:pStyle w:val="Contents5"/>
            <w:tabs>
              <w:tab w:val="clear" w:pos="7892"/>
              <w:tab w:val="right" w:pos="9026" w:leader="dot"/>
            </w:tabs>
            <w:rPr/>
          </w:pPr>
          <w:hyperlink w:anchor="__RefHeading___Toc3346522_3224264995">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346524_3224264995">
            <w:r>
              <w:rPr>
                <w:webHidden/>
                <w:rStyle w:val="IndexLink"/>
                <w:rtl w:val="true"/>
              </w:rPr>
              <w:t>الجهة الاولی</w:t>
            </w:r>
            <w:r>
              <w:rPr>
                <w:rStyle w:val="IndexLink"/>
                <w:rtl w:val="true"/>
              </w:rPr>
              <w:t xml:space="preserve">: </w:t>
            </w:r>
            <w:r>
              <w:rPr>
                <w:rStyle w:val="IndexLink"/>
                <w:rtl w:val="true"/>
              </w:rPr>
              <w:t>فی اصولیة المسألة</w:t>
            </w:r>
            <w:r>
              <w:rPr>
                <w:rStyle w:val="IndexLink"/>
                <w:rtl w:val="true"/>
              </w:rPr>
              <w:tab/>
            </w:r>
            <w:r>
              <w:rPr>
                <w:rStyle w:val="IndexLink"/>
              </w:rPr>
              <w:t>287</w:t>
            </w:r>
          </w:hyperlink>
        </w:p>
        <w:p>
          <w:pPr>
            <w:pStyle w:val="Contents5"/>
            <w:tabs>
              <w:tab w:val="clear" w:pos="7892"/>
              <w:tab w:val="right" w:pos="9026" w:leader="dot"/>
            </w:tabs>
            <w:rPr/>
          </w:pPr>
          <w:hyperlink w:anchor="__RefHeading___Toc3346526_3224264995">
            <w:r>
              <w:rPr>
                <w:webHidden/>
                <w:rStyle w:val="IndexLink"/>
                <w:rtl w:val="true"/>
              </w:rPr>
              <w:t>الجهة الثانیة</w:t>
            </w:r>
            <w:r>
              <w:rPr>
                <w:rStyle w:val="IndexLink"/>
                <w:rtl w:val="true"/>
              </w:rPr>
              <w:t xml:space="preserve">: </w:t>
            </w:r>
            <w:r>
              <w:rPr>
                <w:rStyle w:val="IndexLink"/>
                <w:rtl w:val="true"/>
              </w:rPr>
              <w:t>فی استحقاق المتجرّی العقوبة و عدمه</w:t>
            </w:r>
            <w:r>
              <w:rPr>
                <w:rStyle w:val="IndexLink"/>
                <w:rtl w:val="true"/>
              </w:rPr>
              <w:tab/>
            </w:r>
            <w:r>
              <w:rPr>
                <w:rStyle w:val="IndexLink"/>
              </w:rPr>
              <w:t>292</w:t>
            </w:r>
          </w:hyperlink>
        </w:p>
        <w:p>
          <w:pPr>
            <w:pStyle w:val="Contents5"/>
            <w:tabs>
              <w:tab w:val="clear" w:pos="7892"/>
              <w:tab w:val="right" w:pos="9026" w:leader="dot"/>
            </w:tabs>
            <w:rPr/>
          </w:pPr>
          <w:hyperlink w:anchor="__RefHeading___Toc3346528_3224264995">
            <w:r>
              <w:rPr>
                <w:webHidden/>
                <w:rStyle w:val="IndexLink"/>
                <w:rtl w:val="true"/>
              </w:rPr>
              <w:t>الجهة الثالثة</w:t>
            </w:r>
            <w:r>
              <w:rPr>
                <w:rStyle w:val="IndexLink"/>
                <w:rtl w:val="true"/>
              </w:rPr>
              <w:t xml:space="preserve">: </w:t>
            </w:r>
            <w:r>
              <w:rPr>
                <w:rStyle w:val="IndexLink"/>
                <w:rtl w:val="true"/>
              </w:rPr>
              <w:t>فی عدم حرمة المتجرّی به</w:t>
            </w:r>
            <w:r>
              <w:rPr>
                <w:rStyle w:val="IndexLink"/>
                <w:rtl w:val="true"/>
              </w:rPr>
              <w:tab/>
            </w:r>
            <w:r>
              <w:rPr>
                <w:rStyle w:val="IndexLink"/>
              </w:rPr>
              <w:t>295</w:t>
            </w:r>
          </w:hyperlink>
        </w:p>
        <w:p>
          <w:pPr>
            <w:pStyle w:val="Contents4"/>
            <w:tabs>
              <w:tab w:val="clear" w:pos="8176"/>
              <w:tab w:val="right" w:pos="9026" w:leader="dot"/>
            </w:tabs>
            <w:rPr/>
          </w:pPr>
          <w:hyperlink w:anchor="__RefHeading___Toc3346530_3224264995">
            <w:r>
              <w:rPr>
                <w:webHidden/>
                <w:rStyle w:val="IndexLink"/>
                <w:rtl w:val="true"/>
              </w:rPr>
              <w:t>الأمر الثالث فی أقسام القطع و أحکامها</w:t>
            </w:r>
            <w:r>
              <w:rPr>
                <w:rStyle w:val="IndexLink"/>
                <w:rtl w:val="true"/>
              </w:rPr>
              <w:tab/>
            </w:r>
            <w:r>
              <w:rPr>
                <w:rStyle w:val="IndexLink"/>
              </w:rPr>
              <w:t>298</w:t>
            </w:r>
          </w:hyperlink>
        </w:p>
        <w:p>
          <w:pPr>
            <w:pStyle w:val="Contents5"/>
            <w:tabs>
              <w:tab w:val="clear" w:pos="7892"/>
              <w:tab w:val="right" w:pos="9026" w:leader="dot"/>
            </w:tabs>
            <w:rPr/>
          </w:pPr>
          <w:hyperlink w:anchor="__RefHeading___Toc3346532_3224264995">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3346534_3224264995">
            <w:r>
              <w:rPr>
                <w:webHidden/>
                <w:rStyle w:val="IndexLink"/>
                <w:rtl w:val="true"/>
              </w:rPr>
              <w:t>الأوّل</w:t>
            </w:r>
            <w:r>
              <w:rPr>
                <w:rStyle w:val="IndexLink"/>
                <w:rtl w:val="true"/>
              </w:rPr>
              <w:t xml:space="preserve">: </w:t>
            </w:r>
            <w:r>
              <w:rPr>
                <w:rStyle w:val="IndexLink"/>
                <w:rtl w:val="true"/>
              </w:rPr>
              <w:t>فی أقسام القطع</w:t>
            </w:r>
            <w:r>
              <w:rPr>
                <w:rStyle w:val="IndexLink"/>
                <w:rtl w:val="true"/>
              </w:rPr>
              <w:tab/>
            </w:r>
            <w:r>
              <w:rPr>
                <w:rStyle w:val="IndexLink"/>
              </w:rPr>
              <w:t>298</w:t>
            </w:r>
          </w:hyperlink>
        </w:p>
        <w:p>
          <w:pPr>
            <w:pStyle w:val="Contents5"/>
            <w:tabs>
              <w:tab w:val="clear" w:pos="7892"/>
              <w:tab w:val="right" w:pos="9026" w:leader="dot"/>
            </w:tabs>
            <w:rPr/>
          </w:pPr>
          <w:hyperlink w:anchor="__RefHeading___Toc3346536_3224264995">
            <w:r>
              <w:rPr>
                <w:webHidden/>
                <w:rStyle w:val="IndexLink"/>
                <w:rtl w:val="true"/>
              </w:rPr>
              <w:t>الثانی</w:t>
            </w:r>
            <w:r>
              <w:rPr>
                <w:rStyle w:val="IndexLink"/>
                <w:rtl w:val="true"/>
              </w:rPr>
              <w:t xml:space="preserve">: </w:t>
            </w:r>
            <w:r>
              <w:rPr>
                <w:rStyle w:val="IndexLink"/>
                <w:rtl w:val="true"/>
              </w:rPr>
              <w:t>فی أخذ القطع موضوعاً لحکم یخالفه أو یماثله أو یضادّه</w:t>
            </w:r>
            <w:r>
              <w:rPr>
                <w:rStyle w:val="IndexLink"/>
                <w:rtl w:val="true"/>
              </w:rPr>
              <w:tab/>
            </w:r>
            <w:r>
              <w:rPr>
                <w:rStyle w:val="IndexLink"/>
              </w:rPr>
              <w:t>302</w:t>
            </w:r>
          </w:hyperlink>
        </w:p>
        <w:p>
          <w:pPr>
            <w:pStyle w:val="Contents6"/>
            <w:tabs>
              <w:tab w:val="clear" w:pos="7609"/>
              <w:tab w:val="right" w:pos="9026" w:leader="dot"/>
            </w:tabs>
            <w:rPr/>
          </w:pPr>
          <w:hyperlink w:anchor="__RefHeading___Toc3346538_3224264995">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3346540_3224264995">
            <w:r>
              <w:rPr>
                <w:webHidden/>
                <w:rStyle w:val="IndexLink"/>
                <w:rtl w:val="true"/>
              </w:rPr>
              <w:t>حکم الظنّ فی المقام</w:t>
            </w:r>
            <w:r>
              <w:rPr>
                <w:rStyle w:val="IndexLink"/>
                <w:rtl w:val="true"/>
              </w:rPr>
              <w:tab/>
            </w:r>
            <w:r>
              <w:rPr>
                <w:rStyle w:val="IndexLink"/>
              </w:rPr>
              <w:t>306</w:t>
            </w:r>
          </w:hyperlink>
        </w:p>
        <w:p>
          <w:pPr>
            <w:pStyle w:val="Contents5"/>
            <w:tabs>
              <w:tab w:val="clear" w:pos="7892"/>
              <w:tab w:val="right" w:pos="9026" w:leader="dot"/>
            </w:tabs>
            <w:rPr/>
          </w:pPr>
          <w:hyperlink w:anchor="__RefHeading___Toc3346542_3224264995">
            <w:r>
              <w:rPr>
                <w:webHidden/>
                <w:rStyle w:val="IndexLink"/>
                <w:rtl w:val="true"/>
              </w:rPr>
              <w:t>الثالث</w:t>
            </w:r>
            <w:r>
              <w:rPr>
                <w:rStyle w:val="IndexLink"/>
                <w:rtl w:val="true"/>
              </w:rPr>
              <w:t xml:space="preserve">: </w:t>
            </w:r>
            <w:r>
              <w:rPr>
                <w:rStyle w:val="IndexLink"/>
                <w:rtl w:val="true"/>
              </w:rPr>
              <w:t>فی أخذ القطع تمام الموضوع لحکمه</w:t>
            </w:r>
            <w:r>
              <w:rPr>
                <w:rStyle w:val="IndexLink"/>
                <w:rtl w:val="true"/>
              </w:rPr>
              <w:tab/>
            </w:r>
            <w:r>
              <w:rPr>
                <w:rStyle w:val="IndexLink"/>
              </w:rPr>
              <w:t>310</w:t>
            </w:r>
          </w:hyperlink>
        </w:p>
        <w:p>
          <w:pPr>
            <w:pStyle w:val="Contents6"/>
            <w:tabs>
              <w:tab w:val="clear" w:pos="7609"/>
              <w:tab w:val="right" w:pos="9026" w:leader="dot"/>
            </w:tabs>
            <w:rPr/>
          </w:pPr>
          <w:hyperlink w:anchor="__RefHeading___Toc3346544_3224264995">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346546_3224264995">
            <w:r>
              <w:rPr>
                <w:webHidden/>
                <w:rStyle w:val="IndexLink"/>
                <w:rtl w:val="true"/>
              </w:rPr>
              <w:t>قیام الأمارات و الاصول مقام القطع</w:t>
            </w:r>
            <w:r>
              <w:rPr>
                <w:rStyle w:val="IndexLink"/>
                <w:rtl w:val="true"/>
              </w:rPr>
              <w:tab/>
            </w:r>
            <w:r>
              <w:rPr>
                <w:rStyle w:val="IndexLink"/>
              </w:rPr>
              <w:t>317</w:t>
            </w:r>
          </w:hyperlink>
        </w:p>
        <w:p>
          <w:pPr>
            <w:pStyle w:val="Contents6"/>
            <w:tabs>
              <w:tab w:val="clear" w:pos="7609"/>
              <w:tab w:val="right" w:pos="9026" w:leader="dot"/>
            </w:tabs>
            <w:rPr/>
          </w:pPr>
          <w:hyperlink w:anchor="__RefHeading___Toc3346548_3224264995">
            <w:r>
              <w:rPr>
                <w:webHidden/>
                <w:rStyle w:val="IndexLink"/>
                <w:rtl w:val="true"/>
              </w:rPr>
              <w:t>قیام الأمارات و الاصول مقام القطع ثبوتاً</w:t>
            </w:r>
            <w:r>
              <w:rPr>
                <w:rStyle w:val="IndexLink"/>
                <w:rtl w:val="true"/>
              </w:rPr>
              <w:tab/>
            </w:r>
            <w:r>
              <w:rPr>
                <w:rStyle w:val="IndexLink"/>
              </w:rPr>
              <w:t>317</w:t>
            </w:r>
          </w:hyperlink>
        </w:p>
        <w:p>
          <w:pPr>
            <w:pStyle w:val="Contents6"/>
            <w:tabs>
              <w:tab w:val="clear" w:pos="7609"/>
              <w:tab w:val="right" w:pos="9026" w:leader="dot"/>
            </w:tabs>
            <w:rPr/>
          </w:pPr>
          <w:hyperlink w:anchor="__RefHeading___Toc3346550_3224264995">
            <w:r>
              <w:rPr>
                <w:webHidden/>
                <w:rStyle w:val="IndexLink"/>
                <w:rtl w:val="true"/>
              </w:rPr>
              <w:t>قیام الأمارات و الاصول مقام القطع إثباتاً</w:t>
            </w:r>
            <w:r>
              <w:rPr>
                <w:rStyle w:val="IndexLink"/>
                <w:rtl w:val="true"/>
              </w:rPr>
              <w:tab/>
            </w:r>
            <w:r>
              <w:rPr>
                <w:rStyle w:val="IndexLink"/>
              </w:rPr>
              <w:t>321</w:t>
            </w:r>
          </w:hyperlink>
        </w:p>
        <w:p>
          <w:pPr>
            <w:pStyle w:val="Contents6"/>
            <w:tabs>
              <w:tab w:val="clear" w:pos="7609"/>
              <w:tab w:val="right" w:pos="9026" w:leader="dot"/>
            </w:tabs>
            <w:rPr/>
          </w:pPr>
          <w:hyperlink w:anchor="__RefHeading___Toc3346552_3224264995">
            <w:r>
              <w:rPr>
                <w:webHidden/>
                <w:rStyle w:val="IndexLink"/>
                <w:rtl w:val="true"/>
              </w:rPr>
              <w:t>قیام الأمارات مقام القطع بأقسامه</w:t>
            </w:r>
            <w:r>
              <w:rPr>
                <w:rStyle w:val="IndexLink"/>
                <w:rtl w:val="true"/>
              </w:rPr>
              <w:tab/>
            </w:r>
            <w:r>
              <w:rPr>
                <w:rStyle w:val="IndexLink"/>
              </w:rPr>
              <w:t>321</w:t>
            </w:r>
          </w:hyperlink>
        </w:p>
        <w:p>
          <w:pPr>
            <w:pStyle w:val="Contents6"/>
            <w:tabs>
              <w:tab w:val="clear" w:pos="7609"/>
              <w:tab w:val="right" w:pos="9026" w:leader="dot"/>
            </w:tabs>
            <w:rPr/>
          </w:pPr>
          <w:hyperlink w:anchor="__RefHeading___Toc3346554_3224264995">
            <w:r>
              <w:rPr>
                <w:webHidden/>
                <w:rStyle w:val="IndexLink"/>
                <w:rtl w:val="true"/>
              </w:rPr>
              <w:t>قیام الاصول مقام القطع بأقسامه</w:t>
            </w:r>
            <w:r>
              <w:rPr>
                <w:rStyle w:val="IndexLink"/>
                <w:rtl w:val="true"/>
              </w:rPr>
              <w:tab/>
            </w:r>
            <w:r>
              <w:rPr>
                <w:rStyle w:val="IndexLink"/>
              </w:rPr>
              <w:t>325</w:t>
            </w:r>
          </w:hyperlink>
        </w:p>
        <w:p>
          <w:pPr>
            <w:pStyle w:val="Contents6"/>
            <w:tabs>
              <w:tab w:val="clear" w:pos="7609"/>
              <w:tab w:val="right" w:pos="9026" w:leader="dot"/>
            </w:tabs>
            <w:rPr/>
          </w:pPr>
          <w:hyperlink w:anchor="__RefHeading___Toc3346556_3224264995">
            <w:r>
              <w:rPr>
                <w:webHidden/>
                <w:rStyle w:val="IndexLink"/>
                <w:rtl w:val="true"/>
              </w:rPr>
              <w:t>مفاد الاستصحاب و قاعدة التجاوز</w:t>
            </w:r>
            <w:r>
              <w:rPr>
                <w:rStyle w:val="IndexLink"/>
                <w:rtl w:val="true"/>
              </w:rPr>
              <w:tab/>
            </w:r>
            <w:r>
              <w:rPr>
                <w:rStyle w:val="IndexLink"/>
              </w:rPr>
              <w:t>325</w:t>
            </w:r>
          </w:hyperlink>
        </w:p>
        <w:p>
          <w:pPr>
            <w:pStyle w:val="Contents6"/>
            <w:tabs>
              <w:tab w:val="clear" w:pos="7609"/>
              <w:tab w:val="right" w:pos="9026" w:leader="dot"/>
            </w:tabs>
            <w:rPr/>
          </w:pPr>
          <w:hyperlink w:anchor="__RefHeading___Toc3346558_3224264995">
            <w:r>
              <w:rPr>
                <w:webHidden/>
                <w:rStyle w:val="IndexLink"/>
                <w:rtl w:val="true"/>
              </w:rPr>
              <w:t>قیام الاستصحاب و قاعدة التجاوز مقام القطع بأقسامه</w:t>
            </w:r>
            <w:r>
              <w:rPr>
                <w:rStyle w:val="IndexLink"/>
                <w:rtl w:val="true"/>
              </w:rPr>
              <w:tab/>
            </w:r>
            <w:r>
              <w:rPr>
                <w:rStyle w:val="IndexLink"/>
              </w:rPr>
              <w:t>329</w:t>
            </w:r>
          </w:hyperlink>
        </w:p>
        <w:p>
          <w:pPr>
            <w:pStyle w:val="Contents4"/>
            <w:tabs>
              <w:tab w:val="clear" w:pos="8176"/>
              <w:tab w:val="right" w:pos="9026" w:leader="dot"/>
            </w:tabs>
            <w:rPr/>
          </w:pPr>
          <w:hyperlink w:anchor="__RefHeading___Toc3346560_3224264995">
            <w:r>
              <w:rPr>
                <w:webHidden/>
                <w:rStyle w:val="IndexLink"/>
                <w:rtl w:val="true"/>
              </w:rPr>
              <w:t>الأمر الرابع فی الموافقة الالتزامیة</w:t>
            </w:r>
            <w:r>
              <w:rPr>
                <w:rStyle w:val="IndexLink"/>
                <w:rtl w:val="true"/>
              </w:rPr>
              <w:tab/>
            </w:r>
            <w:r>
              <w:rPr>
                <w:rStyle w:val="IndexLink"/>
              </w:rPr>
              <w:t>332</w:t>
            </w:r>
          </w:hyperlink>
        </w:p>
        <w:p>
          <w:pPr>
            <w:pStyle w:val="Contents5"/>
            <w:tabs>
              <w:tab w:val="clear" w:pos="7892"/>
              <w:tab w:val="right" w:pos="9026" w:leader="dot"/>
            </w:tabs>
            <w:rPr/>
          </w:pPr>
          <w:hyperlink w:anchor="__RefHeading___Toc3346562_3224264995">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346564_3224264995">
            <w:r>
              <w:rPr>
                <w:webHidden/>
                <w:rStyle w:val="IndexLink"/>
                <w:rtl w:val="true"/>
              </w:rPr>
              <w:t>نقل مقال و توضیح حال</w:t>
            </w:r>
            <w:r>
              <w:rPr>
                <w:rStyle w:val="IndexLink"/>
                <w:rtl w:val="true"/>
              </w:rPr>
              <w:tab/>
            </w:r>
            <w:r>
              <w:rPr>
                <w:rStyle w:val="IndexLink"/>
              </w:rPr>
              <w:t>337</w:t>
            </w:r>
          </w:hyperlink>
        </w:p>
        <w:p>
          <w:pPr>
            <w:pStyle w:val="Contents5"/>
            <w:tabs>
              <w:tab w:val="clear" w:pos="7892"/>
              <w:tab w:val="right" w:pos="9026" w:leader="dot"/>
            </w:tabs>
            <w:rPr/>
          </w:pPr>
          <w:hyperlink w:anchor="__RefHeading___Toc3346566_3224264995">
            <w:r>
              <w:rPr>
                <w:webHidden/>
                <w:rStyle w:val="IndexLink"/>
                <w:rtl w:val="true"/>
              </w:rPr>
              <w:t>کیفیة الالتزام بالأحکام</w:t>
            </w:r>
            <w:r>
              <w:rPr>
                <w:rStyle w:val="IndexLink"/>
                <w:rtl w:val="true"/>
              </w:rPr>
              <w:tab/>
            </w:r>
            <w:r>
              <w:rPr>
                <w:rStyle w:val="IndexLink"/>
              </w:rPr>
              <w:t>339</w:t>
            </w:r>
          </w:hyperlink>
        </w:p>
        <w:p>
          <w:pPr>
            <w:pStyle w:val="Contents4"/>
            <w:tabs>
              <w:tab w:val="clear" w:pos="8176"/>
              <w:tab w:val="right" w:pos="9026" w:leader="dot"/>
            </w:tabs>
            <w:rPr/>
          </w:pPr>
          <w:hyperlink w:anchor="__RefHeading___Toc3346568_3224264995">
            <w:r>
              <w:rPr>
                <w:webHidden/>
                <w:rStyle w:val="IndexLink"/>
                <w:rtl w:val="true"/>
              </w:rPr>
              <w:t>الأمر الخامس فی العلم الإجمالی</w:t>
            </w:r>
            <w:r>
              <w:rPr>
                <w:rStyle w:val="IndexLink"/>
                <w:rtl w:val="true"/>
              </w:rPr>
              <w:tab/>
            </w:r>
            <w:r>
              <w:rPr>
                <w:rStyle w:val="IndexLink"/>
              </w:rPr>
              <w:t>341</w:t>
            </w:r>
          </w:hyperlink>
        </w:p>
        <w:p>
          <w:pPr>
            <w:pStyle w:val="Contents5"/>
            <w:tabs>
              <w:tab w:val="clear" w:pos="7892"/>
              <w:tab w:val="right" w:pos="9026" w:leader="dot"/>
            </w:tabs>
            <w:rPr/>
          </w:pPr>
          <w:hyperlink w:anchor="__RefHeading___Toc3346570_3224264995">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346572_3224264995">
            <w:r>
              <w:rPr>
                <w:webHidden/>
                <w:rStyle w:val="IndexLink"/>
                <w:rtl w:val="true"/>
              </w:rPr>
              <w:t>المقام الأوّل</w:t>
            </w:r>
            <w:r>
              <w:rPr>
                <w:rStyle w:val="IndexLink"/>
                <w:rtl w:val="true"/>
              </w:rPr>
              <w:t xml:space="preserve">: </w:t>
            </w:r>
            <w:r>
              <w:rPr>
                <w:rStyle w:val="IndexLink"/>
                <w:rtl w:val="true"/>
              </w:rPr>
              <w:t>فی ثبوت التکلیف بالعلم الإجمالی</w:t>
            </w:r>
            <w:r>
              <w:rPr>
                <w:rStyle w:val="IndexLink"/>
                <w:rtl w:val="true"/>
              </w:rPr>
              <w:tab/>
            </w:r>
            <w:r>
              <w:rPr>
                <w:rStyle w:val="IndexLink"/>
              </w:rPr>
              <w:t>341</w:t>
            </w:r>
          </w:hyperlink>
        </w:p>
        <w:p>
          <w:pPr>
            <w:pStyle w:val="Contents6"/>
            <w:tabs>
              <w:tab w:val="clear" w:pos="7609"/>
              <w:tab w:val="right" w:pos="9026" w:leader="dot"/>
            </w:tabs>
            <w:rPr/>
          </w:pPr>
          <w:hyperlink w:anchor="__RefHeading___Toc3346574_3224264995">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3346576_3224264995">
            <w:r>
              <w:rPr>
                <w:webHidden/>
                <w:rStyle w:val="IndexLink"/>
                <w:rtl w:val="true"/>
              </w:rPr>
              <w:t>إشکال و جواب</w:t>
            </w:r>
            <w:r>
              <w:rPr>
                <w:rStyle w:val="IndexLink"/>
                <w:rtl w:val="true"/>
              </w:rPr>
              <w:tab/>
            </w:r>
            <w:r>
              <w:rPr>
                <w:rStyle w:val="IndexLink"/>
              </w:rPr>
              <w:t>344</w:t>
            </w:r>
          </w:hyperlink>
        </w:p>
        <w:p>
          <w:pPr>
            <w:pStyle w:val="Contents5"/>
            <w:tabs>
              <w:tab w:val="clear" w:pos="7892"/>
              <w:tab w:val="right" w:pos="9026" w:leader="dot"/>
            </w:tabs>
            <w:rPr/>
          </w:pPr>
          <w:hyperlink w:anchor="__RefHeading___Toc3346578_3224264995">
            <w:r>
              <w:rPr>
                <w:webHidden/>
                <w:rStyle w:val="IndexLink"/>
                <w:rtl w:val="true"/>
              </w:rPr>
              <w:t>المقام الثانی</w:t>
            </w:r>
            <w:r>
              <w:rPr>
                <w:rStyle w:val="IndexLink"/>
                <w:rtl w:val="true"/>
              </w:rPr>
              <w:t xml:space="preserve">: </w:t>
            </w:r>
            <w:r>
              <w:rPr>
                <w:rStyle w:val="IndexLink"/>
                <w:rtl w:val="true"/>
              </w:rPr>
              <w:t>فی سقوط التکلیف بالامتثال الإجمالی</w:t>
            </w:r>
            <w:r>
              <w:rPr>
                <w:rStyle w:val="IndexLink"/>
                <w:rtl w:val="true"/>
              </w:rPr>
              <w:tab/>
            </w:r>
            <w:r>
              <w:rPr>
                <w:rStyle w:val="IndexLink"/>
              </w:rPr>
              <w:t>346</w:t>
            </w:r>
          </w:hyperlink>
        </w:p>
        <w:p>
          <w:pPr>
            <w:pStyle w:val="Contents3"/>
            <w:tabs>
              <w:tab w:val="clear" w:pos="8459"/>
              <w:tab w:val="right" w:pos="9026" w:leader="dot"/>
            </w:tabs>
            <w:rPr/>
          </w:pPr>
          <w:hyperlink w:anchor="__RefHeading___Toc3346580_3224264995">
            <w:r>
              <w:rPr>
                <w:webHidden/>
                <w:rStyle w:val="IndexLink"/>
                <w:rtl w:val="true"/>
              </w:rPr>
              <w:t>الکلام فی الظنّ و لا بدّ من الکلام فی مقامین</w:t>
            </w:r>
            <w:r>
              <w:rPr>
                <w:rStyle w:val="IndexLink"/>
                <w:rtl w:val="true"/>
              </w:rPr>
              <w:t>:</w:t>
              <w:tab/>
            </w:r>
            <w:r>
              <w:rPr>
                <w:rStyle w:val="IndexLink"/>
              </w:rPr>
              <w:t>351</w:t>
            </w:r>
          </w:hyperlink>
        </w:p>
        <w:p>
          <w:pPr>
            <w:pStyle w:val="Contents4"/>
            <w:tabs>
              <w:tab w:val="clear" w:pos="8176"/>
              <w:tab w:val="right" w:pos="9026" w:leader="dot"/>
            </w:tabs>
            <w:rPr/>
          </w:pPr>
          <w:hyperlink w:anchor="__RefHeading___Toc3346582_3224264995">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3346584_3224264995">
            <w:r>
              <w:rPr>
                <w:webHidden/>
                <w:rStyle w:val="IndexLink"/>
                <w:rtl w:val="true"/>
              </w:rPr>
              <w:t>المقام الأوّل فی إمکان التعبّد بالظنّ</w:t>
            </w:r>
            <w:r>
              <w:rPr>
                <w:rStyle w:val="IndexLink"/>
                <w:rtl w:val="true"/>
              </w:rPr>
              <w:tab/>
            </w:r>
            <w:r>
              <w:rPr>
                <w:rStyle w:val="IndexLink"/>
              </w:rPr>
              <w:t>352</w:t>
            </w:r>
          </w:hyperlink>
        </w:p>
        <w:p>
          <w:pPr>
            <w:pStyle w:val="Contents5"/>
            <w:tabs>
              <w:tab w:val="clear" w:pos="7892"/>
              <w:tab w:val="right" w:pos="9026" w:leader="dot"/>
            </w:tabs>
            <w:rPr/>
          </w:pPr>
          <w:hyperlink w:anchor="__RefHeading___Toc3346586_3224264995">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346588_3224264995">
            <w:r>
              <w:rPr>
                <w:webHidden/>
                <w:rStyle w:val="IndexLink"/>
                <w:rtl w:val="true"/>
              </w:rPr>
              <w:t xml:space="preserve">المراد من </w:t>
            </w:r>
            <w:r>
              <w:rPr>
                <w:rStyle w:val="IndexLink"/>
                <w:rtl w:val="true"/>
              </w:rPr>
              <w:t>«</w:t>
            </w:r>
            <w:r>
              <w:rPr>
                <w:rStyle w:val="IndexLink"/>
                <w:rtl w:val="true"/>
              </w:rPr>
              <w:t>الإمکان</w:t>
            </w:r>
            <w:r>
              <w:rPr>
                <w:rStyle w:val="IndexLink"/>
                <w:rtl w:val="true"/>
              </w:rPr>
              <w:t xml:space="preserve">» </w:t>
            </w:r>
            <w:r>
              <w:rPr>
                <w:rStyle w:val="IndexLink"/>
                <w:rtl w:val="true"/>
              </w:rPr>
              <w:t>فی عنوان البحث</w:t>
            </w:r>
            <w:r>
              <w:rPr>
                <w:rStyle w:val="IndexLink"/>
                <w:rtl w:val="true"/>
              </w:rPr>
              <w:tab/>
            </w:r>
            <w:r>
              <w:rPr>
                <w:rStyle w:val="IndexLink"/>
              </w:rPr>
              <w:t>352</w:t>
            </w:r>
          </w:hyperlink>
        </w:p>
        <w:p>
          <w:pPr>
            <w:pStyle w:val="Contents5"/>
            <w:tabs>
              <w:tab w:val="clear" w:pos="7892"/>
              <w:tab w:val="right" w:pos="9026" w:leader="dot"/>
            </w:tabs>
            <w:rPr/>
          </w:pPr>
          <w:hyperlink w:anchor="__RefHeading___Toc3346590_3224264995">
            <w:r>
              <w:rPr>
                <w:webHidden/>
                <w:rStyle w:val="IndexLink"/>
                <w:rtl w:val="true"/>
              </w:rPr>
              <w:t>المحذورات المتوهّمة فی التعبّد بالظنّ</w:t>
            </w:r>
            <w:r>
              <w:rPr>
                <w:rStyle w:val="IndexLink"/>
                <w:rtl w:val="true"/>
              </w:rPr>
              <w:tab/>
            </w:r>
            <w:r>
              <w:rPr>
                <w:rStyle w:val="IndexLink"/>
              </w:rPr>
              <w:t>354</w:t>
            </w:r>
          </w:hyperlink>
        </w:p>
        <w:p>
          <w:pPr>
            <w:pStyle w:val="Contents6"/>
            <w:tabs>
              <w:tab w:val="clear" w:pos="7609"/>
              <w:tab w:val="right" w:pos="9026" w:leader="dot"/>
            </w:tabs>
            <w:rPr/>
          </w:pPr>
          <w:hyperlink w:anchor="__RefHeading___Toc3346592_3224264995">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346594_3224264995">
            <w:r>
              <w:rPr>
                <w:webHidden/>
                <w:rStyle w:val="IndexLink"/>
                <w:rtl w:val="true"/>
              </w:rPr>
              <w:t>المحذور الأوّل</w:t>
            </w:r>
            <w:r>
              <w:rPr>
                <w:rStyle w:val="IndexLink"/>
                <w:rtl w:val="true"/>
              </w:rPr>
              <w:t xml:space="preserve">: </w:t>
            </w:r>
            <w:r>
              <w:rPr>
                <w:rStyle w:val="IndexLink"/>
                <w:rtl w:val="true"/>
              </w:rPr>
              <w:t>تفویت المصلحة و الإلقاء فی المفسدة</w:t>
            </w:r>
            <w:r>
              <w:rPr>
                <w:rStyle w:val="IndexLink"/>
                <w:rtl w:val="true"/>
              </w:rPr>
              <w:tab/>
            </w:r>
            <w:r>
              <w:rPr>
                <w:rStyle w:val="IndexLink"/>
              </w:rPr>
              <w:t>355</w:t>
            </w:r>
          </w:hyperlink>
        </w:p>
        <w:p>
          <w:pPr>
            <w:pStyle w:val="Contents6"/>
            <w:tabs>
              <w:tab w:val="clear" w:pos="7609"/>
              <w:tab w:val="right" w:pos="9026" w:leader="dot"/>
            </w:tabs>
            <w:rPr/>
          </w:pPr>
          <w:hyperlink w:anchor="__RefHeading___Toc3346596_3224264995">
            <w:r>
              <w:rPr>
                <w:webHidden/>
                <w:rStyle w:val="IndexLink"/>
                <w:rtl w:val="true"/>
              </w:rPr>
              <w:t>المحذور الثانی</w:t>
            </w:r>
            <w:r>
              <w:rPr>
                <w:rStyle w:val="IndexLink"/>
                <w:rtl w:val="true"/>
              </w:rPr>
              <w:t xml:space="preserve">: </w:t>
            </w:r>
            <w:r>
              <w:rPr>
                <w:rStyle w:val="IndexLink"/>
                <w:rtl w:val="true"/>
              </w:rPr>
              <w:t>محذور اجتماع الضدّین و النقیضین و المثلین</w:t>
            </w:r>
            <w:r>
              <w:rPr>
                <w:rStyle w:val="IndexLink"/>
                <w:rtl w:val="true"/>
              </w:rPr>
              <w:tab/>
            </w:r>
            <w:r>
              <w:rPr>
                <w:rStyle w:val="IndexLink"/>
              </w:rPr>
              <w:t>360</w:t>
            </w:r>
          </w:hyperlink>
        </w:p>
        <w:p>
          <w:pPr>
            <w:pStyle w:val="Contents6"/>
            <w:tabs>
              <w:tab w:val="clear" w:pos="7609"/>
              <w:tab w:val="right" w:pos="9026" w:leader="dot"/>
            </w:tabs>
            <w:rPr/>
          </w:pPr>
          <w:hyperlink w:anchor="__RefHeading___Toc3346598_3224264995">
            <w:r>
              <w:rPr>
                <w:webHidden/>
                <w:rStyle w:val="IndexLink"/>
                <w:rtl w:val="true"/>
              </w:rPr>
              <w:t>المحذور الثالث</w:t>
            </w:r>
            <w:r>
              <w:rPr>
                <w:rStyle w:val="IndexLink"/>
                <w:rtl w:val="true"/>
              </w:rPr>
              <w:t xml:space="preserve">: </w:t>
            </w:r>
            <w:r>
              <w:rPr>
                <w:rStyle w:val="IndexLink"/>
                <w:rtl w:val="true"/>
              </w:rPr>
              <w:t>محذور اجتماع الإرادة الوجوبیة و التحریمیة</w:t>
            </w:r>
            <w:r>
              <w:rPr>
                <w:rStyle w:val="IndexLink"/>
                <w:rtl w:val="true"/>
              </w:rPr>
              <w:tab/>
            </w:r>
            <w:r>
              <w:rPr>
                <w:rStyle w:val="IndexLink"/>
              </w:rPr>
              <w:t>363</w:t>
            </w:r>
          </w:hyperlink>
        </w:p>
        <w:p>
          <w:pPr>
            <w:pStyle w:val="Contents6"/>
            <w:tabs>
              <w:tab w:val="clear" w:pos="7609"/>
              <w:tab w:val="right" w:pos="9026" w:leader="dot"/>
            </w:tabs>
            <w:rPr/>
          </w:pPr>
          <w:hyperlink w:anchor="__RefHeading___Toc3346600_3224264995">
            <w:r>
              <w:rPr>
                <w:webHidden/>
                <w:rStyle w:val="IndexLink"/>
                <w:rtl w:val="true"/>
              </w:rPr>
              <w:t>المحذور الرابع</w:t>
            </w:r>
            <w:r>
              <w:rPr>
                <w:rStyle w:val="IndexLink"/>
                <w:rtl w:val="true"/>
              </w:rPr>
              <w:t xml:space="preserve">: </w:t>
            </w:r>
            <w:r>
              <w:rPr>
                <w:rStyle w:val="IndexLink"/>
                <w:rtl w:val="true"/>
              </w:rPr>
              <w:t>محذور التدافع بین ملاکات الأحکام</w:t>
            </w:r>
            <w:r>
              <w:rPr>
                <w:rStyle w:val="IndexLink"/>
                <w:rtl w:val="true"/>
              </w:rPr>
              <w:tab/>
            </w:r>
            <w:r>
              <w:rPr>
                <w:rStyle w:val="IndexLink"/>
              </w:rPr>
              <w:t>367</w:t>
            </w:r>
          </w:hyperlink>
        </w:p>
        <w:p>
          <w:pPr>
            <w:pStyle w:val="Contents5"/>
            <w:tabs>
              <w:tab w:val="clear" w:pos="7892"/>
              <w:tab w:val="right" w:pos="9026" w:leader="dot"/>
            </w:tabs>
            <w:rPr/>
          </w:pPr>
          <w:hyperlink w:anchor="__RefHeading___Toc3346602_3224264995">
            <w:r>
              <w:rPr>
                <w:webHidden/>
                <w:rStyle w:val="IndexLink"/>
                <w:rtl w:val="true"/>
              </w:rPr>
              <w:t>جولة فیما ذکر من الجمع بین الحکم الواقعی و الظاهری</w:t>
            </w:r>
            <w:r>
              <w:rPr>
                <w:rStyle w:val="IndexLink"/>
                <w:rtl w:val="true"/>
              </w:rPr>
              <w:tab/>
            </w:r>
            <w:r>
              <w:rPr>
                <w:rStyle w:val="IndexLink"/>
              </w:rPr>
              <w:t>368</w:t>
            </w:r>
          </w:hyperlink>
        </w:p>
        <w:p>
          <w:pPr>
            <w:pStyle w:val="Contents5"/>
            <w:tabs>
              <w:tab w:val="clear" w:pos="7892"/>
              <w:tab w:val="right" w:pos="9026" w:leader="dot"/>
            </w:tabs>
            <w:rPr/>
          </w:pPr>
          <w:hyperlink w:anchor="__RefHeading___Toc3346604_3224264995">
            <w:r>
              <w:rPr>
                <w:webHidden/>
                <w:rStyle w:val="IndexLink"/>
                <w:rtl w:val="true"/>
              </w:rPr>
              <w:t>تقریب المحقّق النائینی للجمع</w:t>
            </w:r>
            <w:r>
              <w:rPr>
                <w:rStyle w:val="IndexLink"/>
                <w:rtl w:val="true"/>
              </w:rPr>
              <w:tab/>
            </w:r>
            <w:r>
              <w:rPr>
                <w:rStyle w:val="IndexLink"/>
              </w:rPr>
              <w:t>368</w:t>
            </w:r>
          </w:hyperlink>
        </w:p>
        <w:p>
          <w:pPr>
            <w:pStyle w:val="Contents5"/>
            <w:tabs>
              <w:tab w:val="clear" w:pos="7892"/>
              <w:tab w:val="right" w:pos="9026" w:leader="dot"/>
            </w:tabs>
            <w:rPr/>
          </w:pPr>
          <w:hyperlink w:anchor="__RefHeading___Toc3346606_3224264995">
            <w:r>
              <w:rPr>
                <w:webHidden/>
                <w:rStyle w:val="IndexLink"/>
                <w:rtl w:val="true"/>
              </w:rPr>
              <w:t>ما أفاده المحقّق النائینی فی الاصول المحرزة</w:t>
            </w:r>
            <w:r>
              <w:rPr>
                <w:rStyle w:val="IndexLink"/>
                <w:rtl w:val="true"/>
              </w:rPr>
              <w:tab/>
            </w:r>
            <w:r>
              <w:rPr>
                <w:rStyle w:val="IndexLink"/>
              </w:rPr>
              <w:t>374</w:t>
            </w:r>
          </w:hyperlink>
        </w:p>
        <w:p>
          <w:pPr>
            <w:pStyle w:val="Contents5"/>
            <w:tabs>
              <w:tab w:val="clear" w:pos="7892"/>
              <w:tab w:val="right" w:pos="9026" w:leader="dot"/>
            </w:tabs>
            <w:rPr/>
          </w:pPr>
          <w:hyperlink w:anchor="__RefHeading___Toc3346608_3224264995">
            <w:r>
              <w:rPr>
                <w:webHidden/>
                <w:rStyle w:val="IndexLink"/>
                <w:rtl w:val="true"/>
              </w:rPr>
              <w:t>کلام المحقّق النائینی فی غیر المحرزة من الاصول</w:t>
            </w:r>
            <w:r>
              <w:rPr>
                <w:rStyle w:val="IndexLink"/>
                <w:rtl w:val="true"/>
              </w:rPr>
              <w:tab/>
            </w:r>
            <w:r>
              <w:rPr>
                <w:rStyle w:val="IndexLink"/>
              </w:rPr>
              <w:t>375</w:t>
            </w:r>
          </w:hyperlink>
        </w:p>
        <w:p>
          <w:pPr>
            <w:pStyle w:val="Contents5"/>
            <w:tabs>
              <w:tab w:val="clear" w:pos="7892"/>
              <w:tab w:val="right" w:pos="9026" w:leader="dot"/>
            </w:tabs>
            <w:rPr/>
          </w:pPr>
          <w:hyperlink w:anchor="__RefHeading___Toc3346610_3224264995">
            <w:r>
              <w:rPr>
                <w:webHidden/>
                <w:rStyle w:val="IndexLink"/>
                <w:rtl w:val="true"/>
              </w:rPr>
              <w:t>تقریب المحقّق العراقی للجمع بین الحکم الواقعی و الظاهری</w:t>
            </w:r>
            <w:r>
              <w:rPr>
                <w:rStyle w:val="IndexLink"/>
                <w:rtl w:val="true"/>
              </w:rPr>
              <w:tab/>
            </w:r>
            <w:r>
              <w:rPr>
                <w:rStyle w:val="IndexLink"/>
              </w:rPr>
              <w:t>380</w:t>
            </w:r>
          </w:hyperlink>
        </w:p>
        <w:p>
          <w:pPr>
            <w:pStyle w:val="Contents5"/>
            <w:tabs>
              <w:tab w:val="clear" w:pos="7892"/>
              <w:tab w:val="right" w:pos="9026" w:leader="dot"/>
            </w:tabs>
            <w:rPr/>
          </w:pPr>
          <w:hyperlink w:anchor="__RefHeading___Toc3346612_3224264995">
            <w:r>
              <w:rPr>
                <w:webHidden/>
                <w:rStyle w:val="IndexLink"/>
                <w:rtl w:val="true"/>
              </w:rPr>
              <w:t>تقریب السیّد الفشارکی للجمع بین الحکم الواقعی و الظاهری</w:t>
            </w:r>
            <w:r>
              <w:rPr>
                <w:rStyle w:val="IndexLink"/>
                <w:rtl w:val="true"/>
              </w:rPr>
              <w:tab/>
            </w:r>
            <w:r>
              <w:rPr>
                <w:rStyle w:val="IndexLink"/>
              </w:rPr>
              <w:t>384</w:t>
            </w:r>
          </w:hyperlink>
        </w:p>
        <w:p>
          <w:pPr>
            <w:pStyle w:val="Contents4"/>
            <w:tabs>
              <w:tab w:val="clear" w:pos="8176"/>
              <w:tab w:val="right" w:pos="9026" w:leader="dot"/>
            </w:tabs>
            <w:rPr/>
          </w:pPr>
          <w:hyperlink w:anchor="__RefHeading___Toc3346614_3224264995">
            <w:r>
              <w:rPr>
                <w:webHidden/>
                <w:rStyle w:val="IndexLink"/>
                <w:rtl w:val="true"/>
              </w:rPr>
              <w:t>المقام الثانی فی وقوع التعبّد بالظنّ</w:t>
            </w:r>
            <w:r>
              <w:rPr>
                <w:rStyle w:val="IndexLink"/>
                <w:rtl w:val="true"/>
              </w:rPr>
              <w:tab/>
            </w:r>
            <w:r>
              <w:rPr>
                <w:rStyle w:val="IndexLink"/>
              </w:rPr>
              <w:t>388</w:t>
            </w:r>
          </w:hyperlink>
        </w:p>
        <w:p>
          <w:pPr>
            <w:pStyle w:val="Contents5"/>
            <w:tabs>
              <w:tab w:val="clear" w:pos="7892"/>
              <w:tab w:val="right" w:pos="9026" w:leader="dot"/>
            </w:tabs>
            <w:rPr/>
          </w:pPr>
          <w:hyperlink w:anchor="__RefHeading___Toc3346616_3224264995">
            <w:r>
              <w:rPr>
                <w:webHidden/>
                <w:rStyle w:val="IndexLink"/>
                <w:rtl w:val="true"/>
              </w:rPr>
              <w:t>تأسیس الأصل فی التعبّد بالظنون</w:t>
            </w:r>
            <w:r>
              <w:rPr>
                <w:rStyle w:val="IndexLink"/>
                <w:rtl w:val="true"/>
              </w:rPr>
              <w:tab/>
            </w:r>
            <w:r>
              <w:rPr>
                <w:rStyle w:val="IndexLink"/>
              </w:rPr>
              <w:t>388</w:t>
            </w:r>
          </w:hyperlink>
        </w:p>
        <w:p>
          <w:pPr>
            <w:pStyle w:val="Contents5"/>
            <w:tabs>
              <w:tab w:val="clear" w:pos="7892"/>
              <w:tab w:val="right" w:pos="9026" w:leader="dot"/>
            </w:tabs>
            <w:rPr/>
          </w:pPr>
          <w:hyperlink w:anchor="__RefHeading___Toc3346618_3224264995">
            <w:r>
              <w:rPr>
                <w:webHidden/>
                <w:rStyle w:val="IndexLink"/>
                <w:rtl w:val="true"/>
              </w:rPr>
              <w:t>ما أفاده الأعلام فی تقریر الأصل</w:t>
            </w:r>
            <w:r>
              <w:rPr>
                <w:rStyle w:val="IndexLink"/>
                <w:rtl w:val="true"/>
              </w:rPr>
              <w:tab/>
            </w:r>
            <w:r>
              <w:rPr>
                <w:rStyle w:val="IndexLink"/>
              </w:rPr>
              <w:t>391</w:t>
            </w:r>
          </w:hyperlink>
        </w:p>
        <w:p>
          <w:pPr>
            <w:pStyle w:val="Contents6"/>
            <w:tabs>
              <w:tab w:val="clear" w:pos="7609"/>
              <w:tab w:val="right" w:pos="9026" w:leader="dot"/>
            </w:tabs>
            <w:rPr/>
          </w:pPr>
          <w:hyperlink w:anchor="__RefHeading___Toc3346620_3224264995">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346622_3224264995">
            <w:r>
              <w:rPr>
                <w:webHidden/>
                <w:rStyle w:val="IndexLink"/>
                <w:rtl w:val="true"/>
              </w:rPr>
              <w:t>الأمر الأوّل فی حجّیة الظواهر</w:t>
            </w:r>
            <w:r>
              <w:rPr>
                <w:rStyle w:val="IndexLink"/>
                <w:rtl w:val="true"/>
              </w:rPr>
              <w:tab/>
            </w:r>
            <w:r>
              <w:rPr>
                <w:rStyle w:val="IndexLink"/>
              </w:rPr>
              <w:t>400</w:t>
            </w:r>
          </w:hyperlink>
        </w:p>
        <w:p>
          <w:pPr>
            <w:pStyle w:val="Contents6"/>
            <w:tabs>
              <w:tab w:val="clear" w:pos="7609"/>
              <w:tab w:val="right" w:pos="9026" w:leader="dot"/>
            </w:tabs>
            <w:rPr/>
          </w:pPr>
          <w:hyperlink w:anchor="__RefHeading___Toc3346624_3224264995">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3346626_3224264995">
            <w:r>
              <w:rPr>
                <w:webHidden/>
                <w:rStyle w:val="IndexLink"/>
                <w:rtl w:val="true"/>
              </w:rPr>
              <w:t>تفصیل المحقّق القمّی بین من قصد إفهامه و غیره</w:t>
            </w:r>
            <w:r>
              <w:rPr>
                <w:rStyle w:val="IndexLink"/>
                <w:rtl w:val="true"/>
              </w:rPr>
              <w:tab/>
            </w:r>
            <w:r>
              <w:rPr>
                <w:rStyle w:val="IndexLink"/>
              </w:rPr>
              <w:t>403</w:t>
            </w:r>
          </w:hyperlink>
        </w:p>
        <w:p>
          <w:pPr>
            <w:pStyle w:val="Contents6"/>
            <w:tabs>
              <w:tab w:val="clear" w:pos="7609"/>
              <w:tab w:val="right" w:pos="9026" w:leader="dot"/>
            </w:tabs>
            <w:rPr/>
          </w:pPr>
          <w:hyperlink w:anchor="__RefHeading___Toc3346628_3224264995">
            <w:r>
              <w:rPr>
                <w:webHidden/>
                <w:rStyle w:val="IndexLink"/>
                <w:rtl w:val="true"/>
              </w:rPr>
              <w:t>مقالة الأخباریین فی عدم حجیّة ظواهر الکتاب</w:t>
            </w:r>
            <w:r>
              <w:rPr>
                <w:rStyle w:val="IndexLink"/>
                <w:rtl w:val="true"/>
              </w:rPr>
              <w:tab/>
            </w:r>
            <w:r>
              <w:rPr>
                <w:rStyle w:val="IndexLink"/>
              </w:rPr>
              <w:t>404</w:t>
            </w:r>
          </w:hyperlink>
        </w:p>
        <w:p>
          <w:pPr>
            <w:pStyle w:val="Contents6"/>
            <w:tabs>
              <w:tab w:val="clear" w:pos="7609"/>
              <w:tab w:val="right" w:pos="9026" w:leader="dot"/>
            </w:tabs>
            <w:rPr/>
          </w:pPr>
          <w:hyperlink w:anchor="__RefHeading___Toc3346630_3224264995">
            <w:r>
              <w:rPr>
                <w:webHidden/>
                <w:rStyle w:val="IndexLink"/>
                <w:rtl w:val="true"/>
              </w:rPr>
              <w:t>الأمر الثانی فی البحث عمّا یتعیّن به الظاهر</w:t>
            </w:r>
            <w:r>
              <w:rPr>
                <w:rStyle w:val="IndexLink"/>
                <w:rtl w:val="true"/>
              </w:rPr>
              <w:tab/>
            </w:r>
            <w:r>
              <w:rPr>
                <w:rStyle w:val="IndexLink"/>
              </w:rPr>
              <w:t>406</w:t>
            </w:r>
          </w:hyperlink>
        </w:p>
        <w:p>
          <w:pPr>
            <w:pStyle w:val="Contents6"/>
            <w:tabs>
              <w:tab w:val="clear" w:pos="7609"/>
              <w:tab w:val="right" w:pos="9026" w:leader="dot"/>
            </w:tabs>
            <w:rPr/>
          </w:pPr>
          <w:hyperlink w:anchor="__RefHeading___Toc3346632_3224264995">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3346634_3224264995">
            <w:r>
              <w:rPr>
                <w:webHidden/>
                <w:rStyle w:val="IndexLink"/>
                <w:rtl w:val="true"/>
              </w:rPr>
              <w:t>حجّیة قول اللغوی</w:t>
            </w:r>
            <w:r>
              <w:rPr>
                <w:rStyle w:val="IndexLink"/>
                <w:rtl w:val="true"/>
              </w:rPr>
              <w:tab/>
            </w:r>
            <w:r>
              <w:rPr>
                <w:rStyle w:val="IndexLink"/>
              </w:rPr>
              <w:t>406</w:t>
            </w:r>
          </w:hyperlink>
        </w:p>
        <w:p>
          <w:pPr>
            <w:pStyle w:val="Contents6"/>
            <w:tabs>
              <w:tab w:val="clear" w:pos="7609"/>
              <w:tab w:val="right" w:pos="9026" w:leader="dot"/>
            </w:tabs>
            <w:rPr/>
          </w:pPr>
          <w:hyperlink w:anchor="__RefHeading___Toc3346636_3224264995">
            <w:r>
              <w:rPr>
                <w:webHidden/>
                <w:rStyle w:val="IndexLink"/>
                <w:rtl w:val="true"/>
              </w:rPr>
              <w:t>الأمر الثالث فی الإجماع المنقول</w:t>
            </w:r>
            <w:r>
              <w:rPr>
                <w:rStyle w:val="IndexLink"/>
                <w:rtl w:val="true"/>
              </w:rPr>
              <w:tab/>
            </w:r>
            <w:r>
              <w:rPr>
                <w:rStyle w:val="IndexLink"/>
              </w:rPr>
              <w:t>408</w:t>
            </w:r>
          </w:hyperlink>
        </w:p>
        <w:p>
          <w:pPr>
            <w:pStyle w:val="Contents6"/>
            <w:tabs>
              <w:tab w:val="clear" w:pos="7609"/>
              <w:tab w:val="right" w:pos="9026" w:leader="dot"/>
            </w:tabs>
            <w:rPr/>
          </w:pPr>
          <w:hyperlink w:anchor="__RefHeading___Toc3346638_3224264995">
            <w:r>
              <w:rPr>
                <w:webHidden/>
                <w:rStyle w:val="IndexLink"/>
                <w:rtl w:val="true"/>
              </w:rPr>
              <w:t>الأمر الرابع فی الشهرة الفتوائیة</w:t>
            </w:r>
            <w:r>
              <w:rPr>
                <w:rStyle w:val="IndexLink"/>
                <w:rtl w:val="true"/>
              </w:rPr>
              <w:tab/>
            </w:r>
            <w:r>
              <w:rPr>
                <w:rStyle w:val="IndexLink"/>
              </w:rPr>
              <w:t>412</w:t>
            </w:r>
          </w:hyperlink>
        </w:p>
        <w:p>
          <w:pPr>
            <w:pStyle w:val="Contents6"/>
            <w:tabs>
              <w:tab w:val="clear" w:pos="7609"/>
              <w:tab w:val="right" w:pos="9026" w:leader="dot"/>
            </w:tabs>
            <w:rPr/>
          </w:pPr>
          <w:hyperlink w:anchor="__RefHeading___Toc3346640_3224264995">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3346642_3224264995">
            <w:r>
              <w:rPr>
                <w:webHidden/>
                <w:rStyle w:val="IndexLink"/>
                <w:rtl w:val="true"/>
              </w:rPr>
              <w:t>حجّیة الشهرة الفتوائیة الدائرة بین القدماء</w:t>
            </w:r>
            <w:r>
              <w:rPr>
                <w:rStyle w:val="IndexLink"/>
                <w:rtl w:val="true"/>
              </w:rPr>
              <w:tab/>
            </w:r>
            <w:r>
              <w:rPr>
                <w:rStyle w:val="IndexLink"/>
              </w:rPr>
              <w:t>412</w:t>
            </w:r>
          </w:hyperlink>
        </w:p>
        <w:p>
          <w:pPr>
            <w:pStyle w:val="Contents6"/>
            <w:tabs>
              <w:tab w:val="clear" w:pos="7609"/>
              <w:tab w:val="right" w:pos="9026" w:leader="dot"/>
            </w:tabs>
            <w:rPr/>
          </w:pPr>
          <w:hyperlink w:anchor="__RefHeading___Toc3346644_3224264995">
            <w:r>
              <w:rPr>
                <w:webHidden/>
                <w:rStyle w:val="IndexLink"/>
                <w:rtl w:val="true"/>
              </w:rPr>
              <w:t>الأمر الخامس فی حجّیة الخبر الواحد</w:t>
            </w:r>
            <w:r>
              <w:rPr>
                <w:rStyle w:val="IndexLink"/>
                <w:rtl w:val="true"/>
              </w:rPr>
              <w:tab/>
            </w:r>
            <w:r>
              <w:rPr>
                <w:rStyle w:val="IndexLink"/>
              </w:rPr>
              <w:t>416</w:t>
            </w:r>
          </w:hyperlink>
        </w:p>
        <w:p>
          <w:pPr>
            <w:pStyle w:val="Contents6"/>
            <w:tabs>
              <w:tab w:val="clear" w:pos="7609"/>
              <w:tab w:val="right" w:pos="9026" w:leader="dot"/>
            </w:tabs>
            <w:rPr/>
          </w:pPr>
          <w:hyperlink w:anchor="__RefHeading___Toc3346646_3224264995">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3346648_3224264995">
            <w:r>
              <w:rPr>
                <w:webHidden/>
                <w:rStyle w:val="IndexLink"/>
                <w:rtl w:val="true"/>
              </w:rPr>
              <w:t>استدلال النافین لحجّیة الخبر الواحد بالکتاب</w:t>
            </w:r>
            <w:r>
              <w:rPr>
                <w:rStyle w:val="IndexLink"/>
                <w:rtl w:val="true"/>
              </w:rPr>
              <w:tab/>
            </w:r>
            <w:r>
              <w:rPr>
                <w:rStyle w:val="IndexLink"/>
              </w:rPr>
              <w:t>416</w:t>
            </w:r>
          </w:hyperlink>
        </w:p>
        <w:p>
          <w:pPr>
            <w:pStyle w:val="Contents6"/>
            <w:tabs>
              <w:tab w:val="clear" w:pos="7609"/>
              <w:tab w:val="right" w:pos="9026" w:leader="dot"/>
            </w:tabs>
            <w:rPr/>
          </w:pPr>
          <w:hyperlink w:anchor="__RefHeading___Toc3346650_3224264995">
            <w:r>
              <w:rPr>
                <w:webHidden/>
                <w:rStyle w:val="IndexLink"/>
                <w:rtl w:val="true"/>
              </w:rPr>
              <w:t>استدلال النافین لحجّیة الخبر الواحد بالسنّة</w:t>
            </w:r>
            <w:r>
              <w:rPr>
                <w:rStyle w:val="IndexLink"/>
                <w:rtl w:val="true"/>
              </w:rPr>
              <w:tab/>
            </w:r>
            <w:r>
              <w:rPr>
                <w:rStyle w:val="IndexLink"/>
              </w:rPr>
              <w:t>421</w:t>
            </w:r>
          </w:hyperlink>
        </w:p>
        <w:p>
          <w:pPr>
            <w:pStyle w:val="Contents6"/>
            <w:tabs>
              <w:tab w:val="clear" w:pos="7609"/>
              <w:tab w:val="right" w:pos="9026" w:leader="dot"/>
            </w:tabs>
            <w:rPr/>
          </w:pPr>
          <w:hyperlink w:anchor="__RefHeading___Toc3346652_3224264995">
            <w:r>
              <w:rPr>
                <w:webHidden/>
                <w:rStyle w:val="IndexLink"/>
                <w:rtl w:val="true"/>
              </w:rPr>
              <w:t>حول استدلال القائلین بحجّیة الخبر الواحد</w:t>
            </w:r>
            <w:r>
              <w:rPr>
                <w:rStyle w:val="IndexLink"/>
                <w:rtl w:val="true"/>
              </w:rPr>
              <w:tab/>
            </w:r>
            <w:r>
              <w:rPr>
                <w:rStyle w:val="IndexLink"/>
              </w:rPr>
              <w:t>424</w:t>
            </w:r>
          </w:hyperlink>
        </w:p>
        <w:p>
          <w:pPr>
            <w:pStyle w:val="Contents6"/>
            <w:tabs>
              <w:tab w:val="clear" w:pos="7609"/>
              <w:tab w:val="right" w:pos="9026" w:leader="dot"/>
            </w:tabs>
            <w:rPr/>
          </w:pPr>
          <w:hyperlink w:anchor="__RefHeading___Toc3346654_3224264995">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3346656_3224264995">
            <w:r>
              <w:rPr>
                <w:webHidden/>
                <w:rStyle w:val="IndexLink"/>
                <w:rtl w:val="true"/>
              </w:rPr>
              <w:t>الاستدلال بآیة النبأ</w:t>
            </w:r>
            <w:r>
              <w:rPr>
                <w:rStyle w:val="IndexLink"/>
                <w:rtl w:val="true"/>
              </w:rPr>
              <w:tab/>
            </w:r>
            <w:r>
              <w:rPr>
                <w:rStyle w:val="IndexLink"/>
              </w:rPr>
              <w:t>424</w:t>
            </w:r>
          </w:hyperlink>
        </w:p>
        <w:p>
          <w:pPr>
            <w:pStyle w:val="Contents6"/>
            <w:tabs>
              <w:tab w:val="clear" w:pos="7609"/>
              <w:tab w:val="right" w:pos="9026" w:leader="dot"/>
            </w:tabs>
            <w:rPr/>
          </w:pPr>
          <w:hyperlink w:anchor="__RefHeading___Toc3346658_3224264995">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3346660_3224264995">
            <w:r>
              <w:rPr>
                <w:webHidden/>
                <w:rStyle w:val="IndexLink"/>
                <w:rtl w:val="true"/>
              </w:rPr>
              <w:t>فی الإشکالات المختصّة بآیة النبأ و أجوبتها</w:t>
            </w:r>
            <w:r>
              <w:rPr>
                <w:rStyle w:val="IndexLink"/>
                <w:rtl w:val="true"/>
              </w:rPr>
              <w:tab/>
            </w:r>
            <w:r>
              <w:rPr>
                <w:rStyle w:val="IndexLink"/>
              </w:rPr>
              <w:t>429</w:t>
            </w:r>
          </w:hyperlink>
        </w:p>
        <w:p>
          <w:pPr>
            <w:pStyle w:val="Contents6"/>
            <w:tabs>
              <w:tab w:val="clear" w:pos="7609"/>
              <w:tab w:val="right" w:pos="9026" w:leader="dot"/>
            </w:tabs>
            <w:rPr/>
          </w:pPr>
          <w:hyperlink w:anchor="__RefHeading___Toc3346662_3224264995">
            <w:r>
              <w:rPr>
                <w:webHidden/>
                <w:rStyle w:val="IndexLink"/>
                <w:rtl w:val="true"/>
              </w:rPr>
              <w:t>حول إشکالات لا یختصّ بآیة النبأ و أجوبتها</w:t>
            </w:r>
            <w:r>
              <w:rPr>
                <w:rStyle w:val="IndexLink"/>
                <w:rtl w:val="true"/>
              </w:rPr>
              <w:tab/>
            </w:r>
            <w:r>
              <w:rPr>
                <w:rStyle w:val="IndexLink"/>
              </w:rPr>
              <w:t>433</w:t>
            </w:r>
          </w:hyperlink>
        </w:p>
        <w:p>
          <w:pPr>
            <w:pStyle w:val="Contents6"/>
            <w:tabs>
              <w:tab w:val="clear" w:pos="7609"/>
              <w:tab w:val="right" w:pos="9026" w:leader="dot"/>
            </w:tabs>
            <w:rPr/>
          </w:pPr>
          <w:hyperlink w:anchor="__RefHeading___Toc3346664_3224264995">
            <w:r>
              <w:rPr>
                <w:webHidden/>
                <w:rStyle w:val="IndexLink"/>
                <w:rtl w:val="true"/>
              </w:rPr>
              <w:t>إشکال شمول الأدلّة للأخبار مع الواسطة</w:t>
            </w:r>
            <w:r>
              <w:rPr>
                <w:rStyle w:val="IndexLink"/>
                <w:rtl w:val="true"/>
              </w:rPr>
              <w:tab/>
            </w:r>
            <w:r>
              <w:rPr>
                <w:rStyle w:val="IndexLink"/>
              </w:rPr>
              <w:t>438</w:t>
            </w:r>
          </w:hyperlink>
        </w:p>
        <w:p>
          <w:pPr>
            <w:pStyle w:val="Contents6"/>
            <w:tabs>
              <w:tab w:val="clear" w:pos="7609"/>
              <w:tab w:val="right" w:pos="9026" w:leader="dot"/>
            </w:tabs>
            <w:rPr/>
          </w:pPr>
          <w:hyperlink w:anchor="__RefHeading___Toc3346666_3224264995">
            <w:r>
              <w:rPr>
                <w:webHidden/>
                <w:rStyle w:val="IndexLink"/>
                <w:rtl w:val="true"/>
              </w:rPr>
              <w:t>جولة حول الأجوبة الماضیة</w:t>
            </w:r>
            <w:r>
              <w:rPr>
                <w:rStyle w:val="IndexLink"/>
                <w:rtl w:val="true"/>
              </w:rPr>
              <w:tab/>
            </w:r>
            <w:r>
              <w:rPr>
                <w:rStyle w:val="IndexLink"/>
              </w:rPr>
              <w:t>446</w:t>
            </w:r>
          </w:hyperlink>
        </w:p>
        <w:p>
          <w:pPr>
            <w:pStyle w:val="Contents6"/>
            <w:tabs>
              <w:tab w:val="clear" w:pos="7609"/>
              <w:tab w:val="right" w:pos="9026" w:leader="dot"/>
            </w:tabs>
            <w:rPr/>
          </w:pPr>
          <w:hyperlink w:anchor="__RefHeading___Toc3346668_3224264995">
            <w:r>
              <w:rPr>
                <w:webHidden/>
                <w:rStyle w:val="IndexLink"/>
                <w:rtl w:val="true"/>
              </w:rPr>
              <w:t>التحقیق فی دفع الإشکالات</w:t>
            </w:r>
            <w:r>
              <w:rPr>
                <w:rStyle w:val="IndexLink"/>
                <w:rtl w:val="true"/>
              </w:rPr>
              <w:tab/>
            </w:r>
            <w:r>
              <w:rPr>
                <w:rStyle w:val="IndexLink"/>
              </w:rPr>
              <w:t>449</w:t>
            </w:r>
          </w:hyperlink>
        </w:p>
        <w:p>
          <w:pPr>
            <w:pStyle w:val="Contents6"/>
            <w:tabs>
              <w:tab w:val="clear" w:pos="7609"/>
              <w:tab w:val="right" w:pos="9026" w:leader="dot"/>
            </w:tabs>
            <w:rPr/>
          </w:pPr>
          <w:hyperlink w:anchor="__RefHeading___Toc3346670_3224264995">
            <w:r>
              <w:rPr>
                <w:webHidden/>
                <w:rStyle w:val="IndexLink"/>
                <w:rtl w:val="true"/>
              </w:rPr>
              <w:t>الاستدلال بآیة النفر</w:t>
            </w:r>
            <w:r>
              <w:rPr>
                <w:rStyle w:val="IndexLink"/>
                <w:rtl w:val="true"/>
              </w:rPr>
              <w:tab/>
            </w:r>
            <w:r>
              <w:rPr>
                <w:rStyle w:val="IndexLink"/>
              </w:rPr>
              <w:t>450</w:t>
            </w:r>
          </w:hyperlink>
        </w:p>
        <w:p>
          <w:pPr>
            <w:pStyle w:val="Contents6"/>
            <w:tabs>
              <w:tab w:val="clear" w:pos="7609"/>
              <w:tab w:val="right" w:pos="9026" w:leader="dot"/>
            </w:tabs>
            <w:rPr/>
          </w:pPr>
          <w:hyperlink w:anchor="__RefHeading___Toc3346672_3224264995">
            <w:r>
              <w:rPr>
                <w:webHidden/>
                <w:rStyle w:val="IndexLink"/>
                <w:rtl w:val="true"/>
              </w:rPr>
              <w:t>الاستدلال علی حجّیة قول الثقة بالأخبار</w:t>
            </w:r>
            <w:r>
              <w:rPr>
                <w:rStyle w:val="IndexLink"/>
                <w:rtl w:val="true"/>
              </w:rPr>
              <w:tab/>
            </w:r>
            <w:r>
              <w:rPr>
                <w:rStyle w:val="IndexLink"/>
              </w:rPr>
              <w:t>455</w:t>
            </w:r>
          </w:hyperlink>
        </w:p>
        <w:p>
          <w:pPr>
            <w:pStyle w:val="Contents6"/>
            <w:tabs>
              <w:tab w:val="clear" w:pos="7609"/>
              <w:tab w:val="right" w:pos="9026" w:leader="dot"/>
            </w:tabs>
            <w:rPr/>
          </w:pPr>
          <w:hyperlink w:anchor="__RefHeading___Toc3346674_3224264995">
            <w:r>
              <w:rPr>
                <w:webHidden/>
                <w:rStyle w:val="IndexLink"/>
                <w:rtl w:val="true"/>
              </w:rPr>
              <w:t>الاستدلال بالسیرة العقلائیة علی حجّیة قول الثقة</w:t>
            </w:r>
            <w:r>
              <w:rPr>
                <w:rStyle w:val="IndexLink"/>
                <w:rtl w:val="true"/>
              </w:rPr>
              <w:tab/>
            </w:r>
            <w:r>
              <w:rPr>
                <w:rStyle w:val="IndexLink"/>
              </w:rPr>
              <w:t>459</w:t>
            </w:r>
          </w:hyperlink>
        </w:p>
        <w:p>
          <w:pPr>
            <w:pStyle w:val="Contents2"/>
            <w:tabs>
              <w:tab w:val="clear" w:pos="8743"/>
              <w:tab w:val="right" w:pos="9026" w:leader="dot"/>
            </w:tabs>
            <w:rPr/>
          </w:pPr>
          <w:hyperlink w:anchor="__RefHeading___Toc3346676_3224264995">
            <w:r>
              <w:rPr>
                <w:webHidden/>
                <w:rStyle w:val="IndexLink"/>
                <w:rtl w:val="true"/>
              </w:rPr>
              <w:t>فهرس المحتویات</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7_206457"/>
      <w:bookmarkStart w:id="1" w:name="pg12907_206457"/>
      <w:bookmarkEnd w:id="1"/>
    </w:p>
    <w:p>
      <w:pPr>
        <w:pStyle w:val="Heading2"/>
        <w:numPr>
          <w:ilvl w:val="1"/>
          <w:numId w:val="1"/>
        </w:numPr>
        <w:rPr/>
      </w:pPr>
      <w:bookmarkStart w:id="2" w:name="pg12907_206457"/>
      <w:bookmarkStart w:id="3" w:name="__RefHeading___Toc3346216_322426499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ابحاث الاستادالاعظم والعلامه‌الافخم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 تحقیق موسسه تنظیم و نشر آثار الامام الخمینی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تراث‌الامام‌الخمینی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این کتاب توسط 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۱۹۷۸۲</w:t>
      </w:r>
    </w:p>
    <w:p>
      <w:pPr>
        <w:pStyle w:val="Heading2"/>
        <w:numPr>
          <w:ilvl w:val="1"/>
          <w:numId w:val="1"/>
        </w:numPr>
        <w:rPr/>
      </w:pPr>
      <w:bookmarkStart w:id="5" w:name="__RefHeading___Toc3346218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تهذیب الاصول</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الشیخ جعفر السبحانی</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الشیخ جعفر السبحانی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سعر الدورة</w:t>
      </w:r>
      <w:r>
        <w:rPr>
          <w:rFonts w:eastAsia="IRNazanin" w:cs="IRNazanin"/>
          <w:color w:val="111111"/>
          <w:sz w:val="28"/>
          <w:szCs w:val="28"/>
          <w:rtl w:val="true"/>
          <w:lang w:bidi="fa-IR"/>
        </w:rPr>
        <w:t xml:space="preserve">: ...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7" w:name="pg12907_206461"/>
    </w:p>
    <w:p>
      <w:pPr>
        <w:pStyle w:val="Heading2"/>
        <w:numPr>
          <w:ilvl w:val="1"/>
          <w:numId w:val="1"/>
        </w:numPr>
        <w:rPr/>
      </w:pPr>
      <w:bookmarkStart w:id="8" w:name="__RefHeading___Toc3346220_3224264995"/>
      <w:bookmarkStart w:id="9" w:name="_Toc3"/>
      <w:bookmarkEnd w:id="7"/>
      <w:bookmarkEnd w:id="8"/>
      <w:r>
        <w:rPr>
          <w:rtl w:val="true"/>
        </w:rPr>
        <w:t>مقدّمة المؤلّف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خالق العباد، و ساطع المهاد؛ حمداً کلّما وقب لیل و غسق، أو لاح نجم و خفق، و الصلاة و السلام علی سفیره و نبیّه و أمینه علی وحیه و تنزیله، و صفیّه و بعیثه محمّد، و علی أئمّة الحقّ من بعده، الذین أضاءت بهم البلاد بعد الضلالة المظلمة و الجهالة الغالبة؛ صلاة دائمة ما دامت السماوات ذات أبراج و الأرض ذات فجاج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عقود درّیة تزیّن المعاصم، و أقراط تشفّ المسامع، لا بل هی غرر و طرائف، و درر و ظرائف التقطتها من بحث سیّدنا العلّامة الحجّة، کعبة العلم و مناره، و لجّة الفضل و تیّاره، مولانا الأفخم و المحقّق الأعظم، الاستاذ الأکبر، آیة اللَّه الحاج آغا روح اللَّه الخمینی، دامت أظلاله علی رؤوس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الصحائف و الأوراق تحتوی لبّ ما أفاده فی مجلس درسه الشریف، و تشیر إلی آرائه و أنظاره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قدیمها و حدیثها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بعبائر وجیزة و تراکیب غیر مملّة، غیر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للاطمئنان قد أشرف علی عامّة ما حبرته یراعتی إشرافاً تامّاً، و أعاد النظر و دقّق حتّی جاءت صحیفة مکرّمة واقعة مورد القبول، حافلة لما بقی من المباحث اللفظیة، و ما سیوافیک من الاصول العقلیة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تمّ نظامه و 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أهدیته إلی أخی و صدیقی فی اللَّه، العلّامة المفضال، رجل العلم و الفضیلة، الشیخ ناصر مکارم الشیرازی دامت معالیه</w:t>
      </w:r>
      <w:r>
        <w:rPr>
          <w:rFonts w:eastAsia="IRNazanin" w:cs="IRNazanin"/>
          <w:color w:val="111111"/>
          <w:sz w:val="28"/>
          <w:szCs w:val="28"/>
          <w:rtl w:val="true"/>
          <w:lang w:bidi="fa-IR"/>
        </w:rPr>
        <w:t>.</w:t>
      </w:r>
      <w:bookmarkStart w:id="10" w:name="pg12907_206463"/>
    </w:p>
    <w:p>
      <w:pPr>
        <w:pStyle w:val="Heading2"/>
        <w:numPr>
          <w:ilvl w:val="1"/>
          <w:numId w:val="1"/>
        </w:numPr>
        <w:rPr/>
      </w:pPr>
      <w:bookmarkStart w:id="11" w:name="__RefHeading___Toc3346222_3224264995"/>
      <w:bookmarkStart w:id="12" w:name="_Toc4"/>
      <w:bookmarkEnd w:id="10"/>
      <w:bookmarkEnd w:id="11"/>
      <w:r>
        <w:rPr>
          <w:rtl w:val="true"/>
        </w:rPr>
        <w:t>المقصد الثانی فی النواهی</w:t>
      </w:r>
      <w:bookmarkEnd w:id="12"/>
    </w:p>
    <w:p>
      <w:pPr>
        <w:pStyle w:val="Heading3"/>
        <w:numPr>
          <w:ilvl w:val="2"/>
          <w:numId w:val="1"/>
        </w:numPr>
        <w:rPr/>
      </w:pPr>
      <w:bookmarkStart w:id="13" w:name="__RefHeading___Toc3346224_3224264995"/>
      <w:bookmarkStart w:id="14" w:name="_Toc5"/>
      <w:bookmarkEnd w:id="13"/>
      <w:r>
        <w:rPr>
          <w:rtl w:val="true"/>
        </w:rPr>
        <w:t>اشارة</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15" w:name="pg12907_206465"/>
    </w:p>
    <w:p>
      <w:pPr>
        <w:pStyle w:val="Heading3"/>
        <w:numPr>
          <w:ilvl w:val="2"/>
          <w:numId w:val="1"/>
        </w:numPr>
        <w:rPr/>
      </w:pPr>
      <w:bookmarkStart w:id="16" w:name="__RefHeading___Toc3346226_3224264995"/>
      <w:bookmarkStart w:id="17" w:name="_Toc6"/>
      <w:bookmarkEnd w:id="15"/>
      <w:bookmarkEnd w:id="16"/>
      <w:r>
        <w:rPr>
          <w:rtl w:val="true"/>
        </w:rPr>
        <w:t>الفصل الأوّل فی مفاد هیئة النهی</w:t>
      </w:r>
      <w:bookmarkEnd w:id="17"/>
    </w:p>
    <w:p>
      <w:pPr>
        <w:pStyle w:val="Heading4"/>
        <w:numPr>
          <w:ilvl w:val="3"/>
          <w:numId w:val="1"/>
        </w:numPr>
        <w:rPr/>
      </w:pPr>
      <w:bookmarkStart w:id="18" w:name="__RefHeading___Toc3346228_3224264995"/>
      <w:bookmarkStart w:id="19" w:name="_Toc7"/>
      <w:bookmarkEnd w:id="18"/>
      <w:r>
        <w:rPr>
          <w:rtl w:val="true"/>
        </w:rPr>
        <w:t>متعلّق الطلب فی النهی</w:t>
      </w:r>
      <w:bookmarkEnd w:id="19"/>
    </w:p>
    <w:p>
      <w:pPr>
        <w:pStyle w:val="BookText"/>
        <w:rPr/>
      </w:pPr>
      <w:r>
        <w:rPr>
          <w:rFonts w:ascii="IRNazanin" w:hAnsi="IRNazanin" w:eastAsia="IRNazanin"/>
          <w:color w:val="111111"/>
          <w:sz w:val="28"/>
          <w:sz w:val="28"/>
          <w:szCs w:val="28"/>
          <w:rtl w:val="true"/>
          <w:lang w:bidi="fa-IR"/>
        </w:rPr>
        <w:t>المشهور بین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الخراسانی</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کالأمر فی دلالته علی الطلب، غیر أنّ متعلّقه هو الترک و نفس أن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ذلک ثبوتاً، و مخالفته لظواهر الکلام إثباتاً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الإرادة لا تتعلّق بشی‌ء إلّا بعد حصول مبادئها؛ من التصوّر و التصدیق بالفائدة و الاشتیاق إلیه أحیاناً، بل هذه المبادئ من علل حصول الإرادة 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فالعدم و الترک من الامور الباطلة الوهمیة، لا یمکن أن یکون ذا مصلحة تتعلّق به اشتیاق و إرادة أو بعث و تحریک؛ إذ البطلان المحض لا یترتّب علیه أثر حتّی یقع مورد التصدیق بالفائدة، و قد عرفت</w:t>
      </w:r>
      <w:r>
        <w:rPr>
          <w:rStyle w:val="FootnoteAnchor"/>
          <w:rtl w:val="true"/>
        </w:rPr>
        <w:footnoteReference w:id="3"/>
      </w:r>
      <w:r>
        <w:rPr>
          <w:rFonts w:ascii="IRNazanin" w:hAnsi="IRNazanin" w:eastAsia="IRNazanin"/>
          <w:color w:val="111111"/>
          <w:sz w:val="28"/>
          <w:sz w:val="28"/>
          <w:szCs w:val="28"/>
          <w:rtl w:val="true"/>
          <w:lang w:bidi="fa-IR"/>
        </w:rPr>
        <w:t>أنّ ما هو المشهور من أنّ للأعدام المضافة حظّاً من الوجود ممّا لا أصل له؛ إذ الوجود لملکاتها لا لأعدامها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بطلاناً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الطلب ببعض الأعدام وجداناً؛ لأنّ ذلک مغالطة، و حصلت من أخذ ما بالعرض مکان ما بالذات؛ لأنّه قد یکون وجود شی‌ء مبغوضاً لفساد فیه، فینسب المحبوبیة إلی عدمه عرضاً بعد تصوّره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فالأمر أوضح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الدائر بین قدماء الاصولیین من أنّ متعلّق النهی هل هو الکفّ أو نفس أن لا تفعل؛ ظانّین أنّ الحقّ منحصر فیهما</w:t>
      </w:r>
      <w:r>
        <w:rPr>
          <w:rStyle w:val="FootnoteAnchor"/>
          <w:rtl w:val="true"/>
        </w:rPr>
        <w:footnoteReference w:id="4"/>
      </w:r>
      <w:r>
        <w:rPr>
          <w:rFonts w:ascii="IRNazanin" w:hAnsi="IRNazanin" w:eastAsia="IRNazanin"/>
          <w:color w:val="111111"/>
          <w:sz w:val="28"/>
          <w:sz w:val="28"/>
          <w:szCs w:val="28"/>
          <w:rtl w:val="true"/>
          <w:lang w:bidi="fa-IR"/>
        </w:rPr>
        <w:t>لیس کما ینبغی، بل هنا وجه آخر، کما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مخالفته للظواهر إثباتاً فلأنّ النهی کالأمر ینحلّ إلی مادّة و هیئة، و المادّة تدلّ علی نفس الماهیة، و الهیئة تدلّ علی الزجر عن الماهیة أو عن إیجادها بالمعنی الحرفی کما سبق</w:t>
      </w:r>
      <w:r>
        <w:rPr>
          <w:rStyle w:val="FootnoteAnchor"/>
          <w:rtl w:val="true"/>
        </w:rPr>
        <w:footnoteReference w:id="5"/>
      </w:r>
      <w:r>
        <w:rPr>
          <w:rFonts w:ascii="IRNazanin" w:hAnsi="IRNazanin" w:eastAsia="IRNazanin"/>
          <w:color w:val="111111"/>
          <w:sz w:val="28"/>
          <w:sz w:val="28"/>
          <w:szCs w:val="28"/>
          <w:rtl w:val="true"/>
          <w:lang w:bidi="fa-IR"/>
        </w:rPr>
        <w:t>، و لیس هناک شی‌ء یدلّ علی الترک و العدم؛ لا مادّة و لا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المتبادر من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مادّتها هی مادّة الأوامر، لا تدلّ إلّا علی نفس الطبیعة، و لکن مفاد هیئة الأمر هو البعث و التحریک تشریعاً، و مفاد هیئة النهی هو الزجر و المنع عن الطبیعة تشریعاً و قانوناً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الأمر هو اشتمال المتعلّق علی مصلحة ملزمة، کما أنّ ملاک الآخر هو اشتمال وجود الطبیعة علی مفسدة شخصیة أو نوعیة، فکما أنّ مقتضی الأوّل هو التحریک لاستیفائها کذلک مقتضی الثانی هو زجره و منعه عن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مع اشتمال الطبیعة علی المفسدة هو الزجر عنها، لا طلب ترکها و البعث إلی استمرار عدمها؛ إذ هذا أشبه شی‌ء بالأکل عن القفاء، کما لا یخفی</w:t>
      </w:r>
      <w:r>
        <w:rPr>
          <w:rFonts w:eastAsia="IRNazanin" w:cs="IRNazanin"/>
          <w:color w:val="111111"/>
          <w:sz w:val="28"/>
          <w:szCs w:val="28"/>
          <w:rtl w:val="true"/>
          <w:lang w:bidi="fa-IR"/>
        </w:rPr>
        <w:t>.</w:t>
      </w:r>
      <w:bookmarkStart w:id="20" w:name="pg12907_206467"/>
    </w:p>
    <w:p>
      <w:pPr>
        <w:pStyle w:val="BookText"/>
        <w:rPr/>
      </w:pPr>
      <w:bookmarkEnd w:id="20"/>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التفحّص حول سائر اللغات؛ فإنّ مرادف قولنا لا تضرب فی الفارسیة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مفاده عرفاً و تبادراً إلّا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صرّح بطلب العدم لا بدّ من تأویله لما عرفت من امتناع تعلّق الإرادة به</w:t>
      </w:r>
      <w:r>
        <w:rPr>
          <w:rFonts w:eastAsia="IRNazanin" w:cs="IRNazanin"/>
          <w:color w:val="111111"/>
          <w:sz w:val="28"/>
          <w:szCs w:val="28"/>
          <w:rtl w:val="true"/>
          <w:lang w:bidi="fa-IR"/>
        </w:rPr>
        <w:t>.</w:t>
      </w:r>
    </w:p>
    <w:p>
      <w:pPr>
        <w:pStyle w:val="Heading4"/>
        <w:numPr>
          <w:ilvl w:val="3"/>
          <w:numId w:val="1"/>
        </w:numPr>
        <w:rPr/>
      </w:pPr>
      <w:bookmarkStart w:id="21" w:name="__RefHeading___Toc3346230_3224264995"/>
      <w:bookmarkStart w:id="22" w:name="_Toc8"/>
      <w:bookmarkEnd w:id="21"/>
      <w:r>
        <w:rPr>
          <w:rtl w:val="true"/>
        </w:rPr>
        <w:t>دلالة النهی علی التکرار</w:t>
      </w:r>
      <w:bookmarkEnd w:id="22"/>
    </w:p>
    <w:p>
      <w:pPr>
        <w:pStyle w:val="BookText"/>
        <w:rPr/>
      </w:pPr>
      <w:r>
        <w:rPr>
          <w:rFonts w:ascii="IRNazanin" w:hAnsi="IRNazanin" w:eastAsia="IRNazanin"/>
          <w:color w:val="111111"/>
          <w:sz w:val="28"/>
          <w:sz w:val="28"/>
          <w:szCs w:val="28"/>
          <w:rtl w:val="true"/>
          <w:lang w:bidi="fa-IR"/>
        </w:rPr>
        <w:t>ثمّ إنّه لا خلاف بین العقلاء فی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النواهی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النهی یتمیّز عن الأمر بأنّ مقتضی النهی لدی العرف هو ترک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عرضیة کانت أو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الأمر؛ فإنّ الغرض منه یحصل بإیجاد فرد واحد منه، و یسقط الأمر به دون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أنّ ذلک من ناحیة اللغة أو حکم العقل أو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الخراسانی إلی أنّ مقتضی العقل أنّ الطبیعی یوجد بفردٍ ما، و ینعدم بعدم جمیع الأفراد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بفساد هذه القاعدة؛ لأنّ المراد منها إن کان هو الطبیعة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کما توجد بفردٍ ما تنعدم بانعدام فردٍ ما، و إن ارید الطبیعة الساریة فی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اصطلاح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توجد إلّا بوجود جمیع مصادیقها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عرّفناک</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الطبیعی متکثّر وجوداً و عدماً، فکما أنّ له وجودات کذلک له أعدام بعدد الأفراد؛ إذ کلّ فردٍ حائز تمام الطبیعی بلا نقصان، فعدمه یکون عدماً للطبیعی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قرّر فی المنطق من أنّ نقیض السالبة الکلّیة هو الموجبة الجزئیة لیس مبنیاً علی أساس عقلی و برهان علمی، بل علی الارتکاز العرفی المسامحی؛ لأنّ الطبیعة لدی العرف العامّ توجد بفردٍ ما و تنعدم بعدم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قد انحلّت العویصة؛ لأنّ القاعدة المزبورة و إن لم یساعدها البرهان إلّا أنّ الارتکاز العرفی یساعدها فی محاوراتهم، و النواهی الشرعیة تحمل علی المحاورات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تعلّق نهی بطبیعة یکون حکمه العقلائی أنّ امتثاله بترک الأفراد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یتولّد منه عویصة اخری؛ و هو أنّ لازم ذلک أن یکون للنهی امتثال واحد و معصیة واحدة؛ لعدم انحلاله إلی النواهی، مع أنّ العرف لا یساعده کما تری، و لذا لو خولف یری العرف أنّ النهی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العقل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للنهی وضعاً بمادّته و هیئته علیه؛ ضرورة أنّ ما تعلّق به هیئة الأمر عین ما تعلّق به هیئة النهی؛ و هو نفس الطبیعة لا بشرط، و الهیئة لا تدلّ إلّا علی الزجر مقابل البعث، و لیس للمجموع وضع علی حدة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بعض الأعیان من المحقّقین رحمه الله فی رفع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حقیقة لیس شخص الطلب المتعلّق بعدم الطبیعة کذلک، بل سنخه الذی لازمه تعلّق کلّ فردٍ من الطلب بفرد من طبیعة العدم عقلًا؛ بمعنی أنّ المولی ینشئ النهی بداعی المنع نوعاً عن الطبیعة بحدّها الذی لازمه إبقاء العدم بحدّه علی حاله، فتعلّق کلّ فردٍ من الطلب بفرد من العدم تارة بلحاظ الحاکم، و اخری بحکم العقل لأجل جعل الملازمة بین سنخ الطلب و طبیعی العدم بحدّه</w:t>
      </w:r>
      <w:r>
        <w:rPr>
          <w:rStyle w:val="FootnoteAnchor"/>
          <w:rtl w:val="true"/>
        </w:rPr>
        <w:footnoteReference w:id="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الغضّ عن أنّ النهی لیس طلباً، و المتعلّق لیس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بمثله؛ إذ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حقیقة فی جعل الملازمة بین سنخ الطلب و طبیعی الفعل، مع أنّه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یدّعی من إنشاء سنخ الطلب إن کان لأجل اتّحاد السنخ و الطبیعی مع الشخص، فبجعله یصیر مجعولًا،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یفید؛ لأنّ الطبیعی فی الخارج لیس إلّا الفرد، فلا یکون قابلًا للانحلال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لأجل کون جعل طبیعی الطلب القابل للکثرة ملازماً لطبیعی العدم؛ بحیث یصیر قابلًا للانحلال،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یحتاج إلی لحاظ غیر إنشاء الطلب، و یحتاج إلی قرینة و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التزمنا به فالأهون ما ذهب إلیه بعض الأعاظم من الالتزام بالعموم الاستغراقی فی جانب النهی حتّی ینحلّ النهی بتبعه</w:t>
      </w:r>
      <w:r>
        <w:rPr>
          <w:rStyle w:val="FootnoteAnchor"/>
          <w:rtl w:val="true"/>
        </w:rPr>
        <w:footnoteReference w:id="9"/>
      </w:r>
      <w:r>
        <w:rPr>
          <w:rFonts w:ascii="IRNazanin" w:hAnsi="IRNazanin" w:eastAsia="IRNazanin"/>
          <w:color w:val="111111"/>
          <w:sz w:val="28"/>
          <w:sz w:val="28"/>
          <w:szCs w:val="28"/>
          <w:rtl w:val="true"/>
          <w:lang w:bidi="fa-IR"/>
        </w:rPr>
        <w:t>و إن کان خلاف التحقیق؛ لعدم استعمال المادّة فی الأفراد وجداناً، کما لم تستعمل الهیئة فی الطبیعی علی ما ادّعاه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الخلل فیما یقال من أنّ المصلحة تترتّب غالباً علی صرف الوجود، فتکون تلک الغلبة کاشفاً عن تعلّق المصلحة بصرف الوجود المتحقّق بإیجاد فرد، کما أنّ المفسدة فی النهی تترتّب علی کلّ فرد، فتکون قرینة عامّة علی أنّ النهی متعلّق بکلّ فرد باستقلاله</w:t>
      </w:r>
      <w:r>
        <w:rPr>
          <w:rStyle w:val="FootnoteAnchor"/>
          <w:rtl w:val="true"/>
        </w:rPr>
        <w:footnoteReference w:id="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الخلل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تعلّق النهی بکلّ فرد أنّ المادّة اخذت مرآة</w:t>
      </w:r>
    </w:p>
    <w:p>
      <w:pPr>
        <w:pStyle w:val="BookText"/>
        <w:rPr/>
      </w:pPr>
      <w:r>
        <w:rPr>
          <w:rFonts w:ascii="IRNazanin" w:hAnsi="IRNazanin" w:eastAsia="IRNazanin"/>
          <w:color w:val="111111"/>
          <w:sz w:val="28"/>
          <w:sz w:val="28"/>
          <w:szCs w:val="28"/>
          <w:rtl w:val="true"/>
          <w:lang w:bidi="fa-IR"/>
        </w:rPr>
        <w:t>للخصوصیات و الزجر تعلّق بکلّ فرد فقد عرفت امتناع مرآتیتها لها، و ضعف ما یتمسّک به لإثباتها من سریان الطبیعة و اتّحادها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النهی متعلّق بالطبیعة إلّا أنّ تلک الغلبة قرینة علی أنّ جدّ المولی هو الزجر عن کلّ فرد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الزجر مفاد النهی الاستعمالی، فإذا استعملت الهیئة فی نفس الطبیعة دون الأفراد فلا یرجع کون الزجر عن الأفراد جدّاً إلی محصّل، إلّا أن یرجع إلی التشبّث بالاستعمال المجازی،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لمّا کان متعلّقاً بالطبیعة فیکون تمام المتعلّق له هو الطبیعة، فبتحقّق فرد منها یتحقّق تمام المطلوب، فیسقط الأمر؛ لأنّ بقائه مع تحقّق تمام المطلوب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فلمّا کان حقیقته الزجر عن الوجود لا طلب الترک یکون حکمه العقلائی هو دفع الطبیعة و الزجر عنها بتمام حقیقتها، فلا یکون المطلوب حاصلًا مع انتهاء المکلّف فی زمان، و لا النهی ساقطاً مع الإتیان بفرد، فإنّ العصیان لا یعقل أن یکون مسقطاً؛ لا فی الأمر و لا فی النهی، فإنّ السقوط إمّا بحصول المطلوب أو رفع الموضوع أو موت المکلّف أو عدم قابلیته للتکالیف؛ لنقصان عارض له، أو خروج الوقت فی الموقّتات، فلا یکون السقوط مستنداً إلی المعصیة فی شی‌ء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النهی لمّا کان هو الزجر فلازم ذلک ما ذکرنا، بخلاف ما لو کان طلب الترک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تامّ، بل ما أفاده لا یزید إلّا عن دعوی کون حکم العرف ذلک، من غیر إقامة برهان مقنع علی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مجرّد کون مفاد النهی هو الزجر لا یوجب الفرق فی الحکم العقلائی؛ ضرورة أنّ المولی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أطلب منک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حکمه العقلائی هو لزوم الترک مطلقاً، و مع الترک فی زمان و الإتیان فی الآخر عدّ مطیعاً و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الافتراق لیس من جهة کون مفاد النهی هو الزجر، بل لو فرض تعلّق الزجر بصرف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ناقض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المخالفة یسقط النهی بالضرورة؛ لانتهاء اقتضائه، کما لو نهاه عن ذکر اسمه فی الملأ؛ لغرض عدم معروفیته، فمع ذکره یسقط النهی، لا لأجل تعلّقه بأوّل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تعلّقه بصرف الوجود، فیسقط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لا یوجب السقوط فی شی‌ء من الموارد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یتشبّث فی جانب النهی بذیل فهم العرف المتّبع فی تلک المقامات فی کلتا المرحلتین؛ أی مرحلة أنّ الطبیعی ینعدم بعدم جمیع الأفراد، و مرحلة أنّ النهی إذا تعلّق بالطبیعة ینحلّ إلی النواهی، من غیر أن تستعمل الطبیعة فی الأفراد، و من غیر فرق بین کون النهی زجراً أو طلب ترک، فتأمّل</w:t>
      </w:r>
      <w:r>
        <w:rPr>
          <w:rFonts w:eastAsia="IRNazanin" w:cs="IRNazanin"/>
          <w:color w:val="111111"/>
          <w:sz w:val="28"/>
          <w:szCs w:val="28"/>
          <w:rtl w:val="true"/>
          <w:lang w:bidi="fa-IR"/>
        </w:rPr>
        <w:t>.</w:t>
      </w:r>
      <w:bookmarkStart w:id="23" w:name="pg12907_206473"/>
    </w:p>
    <w:p>
      <w:pPr>
        <w:pStyle w:val="Heading3"/>
        <w:numPr>
          <w:ilvl w:val="2"/>
          <w:numId w:val="1"/>
        </w:numPr>
        <w:rPr/>
      </w:pPr>
      <w:bookmarkStart w:id="24" w:name="__RefHeading___Toc3346232_3224264995"/>
      <w:bookmarkStart w:id="25" w:name="_Toc9"/>
      <w:bookmarkEnd w:id="23"/>
      <w:bookmarkEnd w:id="24"/>
      <w:r>
        <w:rPr>
          <w:rtl w:val="true"/>
        </w:rPr>
        <w:t>الفصل الثانی فی جواز اجتماع الأمر و النهی</w:t>
      </w:r>
      <w:bookmarkEnd w:id="25"/>
    </w:p>
    <w:p>
      <w:pPr>
        <w:pStyle w:val="Heading4"/>
        <w:numPr>
          <w:ilvl w:val="3"/>
          <w:numId w:val="1"/>
        </w:numPr>
        <w:rPr/>
      </w:pPr>
      <w:bookmarkStart w:id="26" w:name="__RefHeading___Toc3346234_3224264995"/>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اختلفوا فی جواز اجتماع الأمر و النهی و عدمه علی أقوال،</w:t>
      </w:r>
    </w:p>
    <w:p>
      <w:pPr>
        <w:pStyle w:val="Heading4"/>
        <w:numPr>
          <w:ilvl w:val="3"/>
          <w:numId w:val="1"/>
        </w:numPr>
        <w:rPr/>
      </w:pPr>
      <w:bookmarkStart w:id="28" w:name="__RefHeading___Toc3346236_3224264995"/>
      <w:bookmarkStart w:id="29" w:name="_Toc11"/>
      <w:bookmarkEnd w:id="28"/>
      <w:r>
        <w:rPr>
          <w:rtl w:val="true"/>
        </w:rPr>
        <w:t>و قبل الخوض فی المقصود لا بدّ من تقدیم امور</w:t>
      </w:r>
      <w:r>
        <w:rPr>
          <w:rtl w:val="true"/>
        </w:rPr>
        <w:t>:</w:t>
      </w:r>
      <w:bookmarkEnd w:id="29"/>
    </w:p>
    <w:p>
      <w:pPr>
        <w:pStyle w:val="Heading5"/>
        <w:numPr>
          <w:ilvl w:val="4"/>
          <w:numId w:val="1"/>
        </w:numPr>
        <w:rPr/>
      </w:pPr>
      <w:bookmarkStart w:id="30" w:name="__RefHeading___Toc3346238_3224264995"/>
      <w:bookmarkStart w:id="31" w:name="_Toc12"/>
      <w:bookmarkEnd w:id="30"/>
      <w:r>
        <w:rPr>
          <w:rtl w:val="true"/>
        </w:rPr>
        <w:t>الأوّل</w:t>
      </w:r>
      <w:r>
        <w:rPr>
          <w:rtl w:val="true"/>
        </w:rPr>
        <w:t xml:space="preserve">: </w:t>
      </w:r>
      <w:r>
        <w:rPr>
          <w:rtl w:val="true"/>
        </w:rPr>
        <w:t>تحریر محلّ النزاع</w:t>
      </w:r>
      <w:bookmarkEnd w:id="31"/>
    </w:p>
    <w:p>
      <w:pPr>
        <w:pStyle w:val="BookText"/>
        <w:rPr/>
      </w:pPr>
      <w:r>
        <w:rPr>
          <w:rFonts w:ascii="IRNazanin" w:hAnsi="IRNazanin" w:eastAsia="IRNazanin"/>
          <w:color w:val="111111"/>
          <w:sz w:val="28"/>
          <w:sz w:val="28"/>
          <w:szCs w:val="28"/>
          <w:rtl w:val="true"/>
          <w:lang w:bidi="fa-IR"/>
        </w:rPr>
        <w:t>المعروف فی عنوان البحث عن سلف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الأمر و النهی فی شی‌ء واحد، أو لا؟ ثمّ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الواحد هو الواحد الشخصی لا الجنسی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هو أنّ الهویة الخارجیة من المتعلّقین محطّ عروض الوجوب و الحرمة، مع أنّه من البطلان بمکان؛ لأنّ الخارج لا یکون ظرف ثبوت التکالیف، فاجتماع الأمر و النهی فیه ممّا لا معنی 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الأمر و النهی علی عنوانین متصادقین</w:t>
      </w:r>
      <w:bookmarkStart w:id="32" w:name="pg12907_206474"/>
    </w:p>
    <w:p>
      <w:pPr>
        <w:pStyle w:val="BookText"/>
        <w:rPr/>
      </w:pPr>
      <w:bookmarkEnd w:id="32"/>
      <w:r>
        <w:rPr>
          <w:rFonts w:ascii="IRNazanin" w:hAnsi="IRNazanin" w:eastAsia="IRNazanin"/>
          <w:color w:val="111111"/>
          <w:sz w:val="28"/>
          <w:sz w:val="28"/>
          <w:szCs w:val="28"/>
          <w:rtl w:val="true"/>
          <w:lang w:bidi="fa-IR"/>
        </w:rPr>
        <w:t>علی واحد فی الخارج أو لا؟ و یکون المراد بالواحد هو الواحد الشخصی؛ لأنّه الذی یتصادق علیه العناوین، و یخرج الواحد الجنسی و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العناوین لا تتصادق علیه، بل یکون جنساً لها، مع أنّ النزاع فی الواحد الجنسی مع قطع النظر عن التصادق علی الواحد الشخصی ممّا لا معنی له؛ ضرورة أنّ الحرکة فی ضمن الصلاة یمکن أن یتعلّق بها الأمر، و فی ضمن الغصب أن یتعلّق بها النهی، مع قطع النظر عن تصادقهما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ما تقدّم من عدم محذور مع التکثّر شخصاً أنّه عبارة عن نفس العنوانین المنطبقین علی الواحد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علی ما ذکرنا یصیر کبرویاً، لا صغرویاً کما زعموا</w:t>
      </w:r>
      <w:r>
        <w:rPr>
          <w:rStyle w:val="FootnoteAnchor"/>
          <w:rtl w:val="true"/>
        </w:rPr>
        <w:footnoteReference w:id="1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346240_3224264995"/>
      <w:bookmarkStart w:id="34" w:name="_Toc13"/>
      <w:bookmarkEnd w:id="33"/>
      <w:r>
        <w:rPr>
          <w:rtl w:val="true"/>
        </w:rPr>
        <w:t>الثانی</w:t>
      </w:r>
      <w:r>
        <w:rPr>
          <w:rtl w:val="true"/>
        </w:rPr>
        <w:t xml:space="preserve">: </w:t>
      </w:r>
      <w:r>
        <w:rPr>
          <w:rtl w:val="true"/>
        </w:rPr>
        <w:t>الفرق بین هذه المسألة و مسألة النهی فی العبادة</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أوضحناه فی صدر الکتاب عند البحث عن تمایز العلوم و تمایز مسائل العلم بعضها عن بعض</w:t>
      </w:r>
      <w:r>
        <w:rPr>
          <w:rStyle w:val="FootnoteAnchor"/>
          <w:rtl w:val="true"/>
        </w:rPr>
        <w:footnoteReference w:id="14"/>
      </w:r>
      <w:r>
        <w:rPr>
          <w:rFonts w:ascii="IRNazanin" w:hAnsi="IRNazanin" w:eastAsia="IRNazanin"/>
          <w:color w:val="111111"/>
          <w:sz w:val="28"/>
          <w:sz w:val="28"/>
          <w:szCs w:val="28"/>
          <w:rtl w:val="true"/>
          <w:lang w:bidi="fa-IR"/>
        </w:rPr>
        <w:t>تقف علی أنّ الفرق بین هذه المسألة و بین مسألة النهی فی العبادة أو المعاملة أوضح من أن یخفی، بل لا جامع بینهما حتّی نبحث عن تمیّزهما؛ إذ البحث فی المقام علی ما ذکرناه إنّما هو فی جواز تعلّق الأمر و النهی علی عنوانین متصادقین علی واحد، کما أنّ البحث هناک فی</w:t>
      </w:r>
    </w:p>
    <w:p>
      <w:pPr>
        <w:pStyle w:val="BookText"/>
        <w:rPr/>
      </w:pPr>
      <w:r>
        <w:rPr>
          <w:rFonts w:ascii="IRNazanin" w:hAnsi="IRNazanin" w:eastAsia="IRNazanin"/>
          <w:color w:val="111111"/>
          <w:sz w:val="28"/>
          <w:sz w:val="28"/>
          <w:szCs w:val="28"/>
          <w:rtl w:val="true"/>
          <w:lang w:bidi="fa-IR"/>
        </w:rPr>
        <w:t>أنّ النهی إذا تعلّق بالعبادة أو المعاملة هل یقتضی الفساد أو لا؟</w:t>
      </w:r>
    </w:p>
    <w:p>
      <w:pPr>
        <w:pStyle w:val="BookText"/>
        <w:rPr/>
      </w:pPr>
      <w:r>
        <w:rPr>
          <w:rFonts w:ascii="IRNazanin" w:hAnsi="IRNazanin" w:eastAsia="IRNazanin"/>
          <w:color w:val="111111"/>
          <w:sz w:val="28"/>
          <w:sz w:val="28"/>
          <w:szCs w:val="28"/>
          <w:rtl w:val="true"/>
          <w:lang w:bidi="fa-IR"/>
        </w:rPr>
        <w:t>فالمسألتان مختلفتان موضوعاً و محمولًا، و اختلاف المسائل إنّما هو بهما أو بأحدهما؛ لأنّ ذات المسائل متقوّمة بهما، و التمیّز بأمر ذاتی هو الممیّز بین الشیئین فی المرتبة المتقدّمة علی التمیّز بأمر عرضی؛ فضلًا عن الاختلاف بالأغراض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المیز إنّما هو فی الجهة المبحوث عنها؛ التی هی سرایة کلّ من الأمر و النهی إلی متعلّق الآخر و عدمها فی المقام، و کون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سرایته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الفساد أو لا فی غیر المقام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بصحیح؛ لأنّ تمایز العلوم إنّما هو بذواتها، و أنّ میز مسألة عن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کانتا من مسائل علم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بموضوعها و محمولها معاً أو بأحدهما، و إذا کانت القضیة متمیّزة عن اخری بجوهرها فلا معنی للتمسّک بما هو خارج من مرتبة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الجهات التعلیلیة فی الأحکام العقلیة راجعة إلی التقییدیة، فالسرایة و عدمها من قیود الموضوع لبّاً، فالمیز صار بنفس الموضوع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القید بما هو قید متأخّر عن ذات المقیّد، فیکون الاختلاف بالذات ممیّزاً قبلها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لیس هو کون التعدّد فی الواحد یوجب تعدّد المتعلّق أو لا؟ أو أنّ النهی و الأمر هل یسری کلّ منهما إلی متعلّق الآخر أو لا؟ بل ما عرّفناک من جواز الاجتماع و لا جوازه،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کبروی لا صغروی</w:t>
      </w:r>
      <w:r>
        <w:rPr>
          <w:rFonts w:eastAsia="IRNazanin" w:cs="IRNazanin"/>
          <w:color w:val="111111"/>
          <w:sz w:val="28"/>
          <w:szCs w:val="28"/>
          <w:rtl w:val="true"/>
          <w:lang w:bidi="fa-IR"/>
        </w:rPr>
        <w:t>.</w:t>
      </w:r>
      <w:bookmarkStart w:id="35" w:name="pg12907_206476"/>
    </w:p>
    <w:p>
      <w:pPr>
        <w:pStyle w:val="BookText"/>
        <w:rPr/>
      </w:pPr>
      <w:bookmarkEnd w:id="35"/>
      <w:r>
        <w:rPr>
          <w:rFonts w:ascii="IRNazanin" w:hAnsi="IRNazanin" w:eastAsia="IRNazanin"/>
          <w:color w:val="111111"/>
          <w:sz w:val="28"/>
          <w:sz w:val="28"/>
          <w:szCs w:val="28"/>
          <w:rtl w:val="true"/>
          <w:lang w:bidi="fa-IR"/>
        </w:rPr>
        <w:t>و علیه لا حاجة إلی العدول عن العنوان المعروف إلی شی‌ء آخر الذی هو من مبادئ إثبات المحمول للموضوع، و یعدّ من البراهین لإثباته؛ فإنّ جواز الاجتماع و لا جوازه یبتنی علی السرایة و عدمها، و علی أنّ تعدّد العنوان هل هو مجد أو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قدس سره ما یعدّ من المبادئ و البراهین جهة البحث و محطّ النزاع، و هو خارج من دأب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أراد بالجهة المبحوث عنها محطّ البحث و مورد النزاع،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علل ثبوت المحمول للموضوع، أو الغرض و الغایة للبحث فالأمر أوضح؛ لأنّ اختلاف المسألتین لیس بهما قطعاً؛ إذ کلّ قضیة متمیّز بصورته الذهنیة أو اللفظیة قبل أن یقام علیه البرهان، بل الغالب صوغ المطالب فی قالب الألفاظ أوّلًا؛ بحیث یتمیّز کلّ واحد قبل إقامة البرهان عن الآخر، ثمّ یتفحّص عن براهینه و مدارکه، کما أنّ الاختلاف فی الغایة فرع اشتمال کلّ واحد من الأمرین علی خصوصیة مفقودة فی الآخر؛ حتّی یستند التغایر إلیها، و معه یسقط کون المیز بالأغراض</w:t>
      </w:r>
      <w:r>
        <w:rPr>
          <w:rFonts w:eastAsia="IRNazanin" w:cs="IRNazanin"/>
          <w:color w:val="111111"/>
          <w:sz w:val="28"/>
          <w:szCs w:val="28"/>
          <w:rtl w:val="true"/>
          <w:lang w:bidi="fa-IR"/>
        </w:rPr>
        <w:t>.</w:t>
      </w:r>
    </w:p>
    <w:p>
      <w:pPr>
        <w:pStyle w:val="Heading5"/>
        <w:numPr>
          <w:ilvl w:val="4"/>
          <w:numId w:val="1"/>
        </w:numPr>
        <w:rPr/>
      </w:pPr>
      <w:bookmarkStart w:id="36" w:name="__RefHeading___Toc3346242_3224264995"/>
      <w:bookmarkStart w:id="37" w:name="_Toc14"/>
      <w:bookmarkEnd w:id="36"/>
      <w:r>
        <w:rPr>
          <w:rtl w:val="true"/>
        </w:rPr>
        <w:t>الثالث</w:t>
      </w:r>
      <w:r>
        <w:rPr>
          <w:rtl w:val="true"/>
        </w:rPr>
        <w:t xml:space="preserve">: </w:t>
      </w:r>
      <w:r>
        <w:rPr>
          <w:rtl w:val="true"/>
        </w:rPr>
        <w:t>فی اصولیة مسألة جواز الاجتماع</w:t>
      </w:r>
      <w:bookmarkEnd w:id="37"/>
    </w:p>
    <w:p>
      <w:pPr>
        <w:pStyle w:val="BookText"/>
        <w:rPr/>
      </w:pPr>
      <w:r>
        <w:rPr>
          <w:rFonts w:ascii="IRNazanin" w:hAnsi="IRNazanin" w:eastAsia="IRNazanin"/>
          <w:color w:val="111111"/>
          <w:sz w:val="28"/>
          <w:sz w:val="28"/>
          <w:szCs w:val="28"/>
          <w:rtl w:val="true"/>
          <w:lang w:bidi="fa-IR"/>
        </w:rPr>
        <w:t>إنّ المسألة علی ما حرّرناه اصولیة؛ لصحّة وقوعها فی طریق الاستنباط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ممّا افید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جعلها مسألة فقهیة؛ حیث إنّ البحث فیها عن صحّة الصلاة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کلامیة؛ لرجوعه إلی حصول الامتثال بالمجمع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المبادئ التصدیقیة؛ لرجوع البحث فیه إلی البحث عمّا یقتضی وجود الموضوع لمسألة التعارض و التزاحم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افید أوّلًا من کونها فقهیة صرف للمسألة إلی مسألة اخری، و إخراج لها من مجراها، و لو جاز ذلک لأمکن جعل جلّ المسائل الاصولیة فقهیة،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جعلها من المسائل الکلامیة أیضاً ممّا لا وجه له؛ لأنّ کون المسألة عقلیة لا یوجب کونها داخلًا فیها، و إلّا کانت مسائل المنطق و کلّیات الطبّ 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مرجع المسألة إلی أنّه هل یحسن من الحکیم الأمر و النهی بعنوانین متصادقین علی واحد أو لا؟ أو هل یحصل الامتثال بالمجمع أو لا؟ قد عرفت حاله؛ فإنّ ذلک إخراج للشی‌ء من مجراه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اختاره ثانیاً من کونها من المبادئ التصدیقیة</w:t>
      </w:r>
      <w:r>
        <w:rPr>
          <w:rStyle w:val="FootnoteAnchor"/>
          <w:rtl w:val="true"/>
        </w:rPr>
        <w:footnoteReference w:id="17"/>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بحث محقّقاً و علّة لوجود موضوع بحث آخر لا یوجب أن یکون من المبادئ التصدیقیة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براهین إثبات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کونها من المبادئ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علّة وجود الموضوعات و محقّقها، و لیس من المبادئ التصدیقیة لشی‌ء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کون هذه المسألة محقّقة لوجود الموضوع لمسألة التعارض کلاماً سیوافیک بیانه فی المباحث الآتیة بإذن اللَّه، فارتقب حتّی حین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فی مقام إنکار کونها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الاصول ما هو الحجّة فی الفقه، و لا بدّ أن یرجع البحث فی المسائل إلی البحث عن عوارض الحجّة، و لیس البحث فی المقام عن عوارضها؛ لأنّ البحث عن جواز</w:t>
      </w:r>
      <w:bookmarkStart w:id="38" w:name="pg12907_206478"/>
    </w:p>
    <w:p>
      <w:pPr>
        <w:pStyle w:val="BookText"/>
        <w:rPr/>
      </w:pPr>
      <w:bookmarkEnd w:id="38"/>
      <w:r>
        <w:rPr>
          <w:rFonts w:ascii="IRNazanin" w:hAnsi="IRNazanin" w:eastAsia="IRNazanin"/>
          <w:color w:val="111111"/>
          <w:sz w:val="28"/>
          <w:sz w:val="28"/>
          <w:szCs w:val="28"/>
          <w:rtl w:val="true"/>
          <w:lang w:bidi="fa-IR"/>
        </w:rPr>
        <w:t>اجتماع الأمر و النهی فی عنوانین لیس بحثاً عن عوارض الحجّة فی الفقه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 الموضوع ما ذکره، و الغضّ عمّا تقدّم فی 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لزوم کون البحث عن عوارض الحجّة فی الفقه إن کان هو البحث عن عوارض الحجّة بالحمل الأوّلی فیلزم خروج کثیر من المباحث، إلّا مع تکلّفات باردة، و إن کان المراد البحث عن عوارض ما هو حجّة فی الفقه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یستنتج منها نتیجة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کذلک، و قد أوضحناه فوق ما یتصوّر عند البحث عن حجّیة الخبر الواحد</w:t>
      </w:r>
      <w:r>
        <w:rPr>
          <w:rStyle w:val="FootnoteAnchor"/>
          <w:rtl w:val="true"/>
        </w:rPr>
        <w:footnoteReference w:id="20"/>
      </w:r>
      <w:r>
        <w:rPr>
          <w:rFonts w:ascii="IRNazanin" w:hAnsi="IRNazanin" w:eastAsia="IRNazanin"/>
          <w:color w:val="111111"/>
          <w:sz w:val="28"/>
          <w:sz w:val="28"/>
          <w:szCs w:val="28"/>
          <w:rtl w:val="true"/>
          <w:lang w:bidi="fa-IR"/>
        </w:rPr>
        <w:t>، و مضی ذکر منه عند البحث عن وجوب مقدّمة الواجب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3346244_3224264995"/>
      <w:bookmarkStart w:id="40" w:name="_Toc15"/>
      <w:bookmarkEnd w:id="39"/>
      <w:r>
        <w:rPr>
          <w:rtl w:val="true"/>
        </w:rPr>
        <w:t>الرابع</w:t>
      </w:r>
      <w:r>
        <w:rPr>
          <w:rtl w:val="true"/>
        </w:rPr>
        <w:t xml:space="preserve">: </w:t>
      </w:r>
      <w:r>
        <w:rPr>
          <w:rtl w:val="true"/>
        </w:rPr>
        <w:t>فی اعتبار قید المندوحة</w:t>
      </w:r>
      <w:bookmarkEnd w:id="40"/>
    </w:p>
    <w:p>
      <w:pPr>
        <w:pStyle w:val="BookText"/>
        <w:rPr/>
      </w:pPr>
      <w:r>
        <w:rPr>
          <w:rFonts w:ascii="IRNazanin" w:hAnsi="IRNazanin" w:eastAsia="IRNazanin"/>
          <w:color w:val="111111"/>
          <w:sz w:val="28"/>
          <w:sz w:val="28"/>
          <w:szCs w:val="28"/>
          <w:rtl w:val="true"/>
          <w:lang w:bidi="fa-IR"/>
        </w:rPr>
        <w:t>لا إشکال فی عدم اعتبار قید المندوحة لو کان النزاع صغرویاً؛ لأنّ البحث عن أنّ تعدّد العنوان هل یرفع غائلة اجتماع الضدّین أو لا، لا یبتنی علی وجود المندوحة؛ إذ لو کان تعدّد الوجه مجدیاً فی رفع غائلة اجتماع الضدّین لکان وجود المندوحة و عدمها سواء، و إن لم یکن مجدیاً فی رفعها لما کان لوجودها و لا لعدمها أثر أصلًا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و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وجودها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اخترناه؛ من کبرویة النزاع و أنّ محطّ البحث هو جواز اجتماع الأمر و النهی علی عنوانین متصادقین علی واحد فقد یقال باعتبارها فی المقام؛ لأنّ النزاع فی اجتماع الحکمین الفعلیین لا الإنشائیین؛ ضرورة عدم التنافی فی الإنشائیات، و مع عدمها یصیر التکلیف بهما تکلیفاً بالمحال؛ و إن لم یکن تکلیفاً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ذکر نشأ من خلط الأحکام الکلّیة بالجزئیة و الخطابات القانونیة بالخطابات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العنوانین إن کان بینهما تلازم فی الوجود؛ بحیث لا ینفکّ أحدهما عن الآخر فی جمیع الأمکنة و الأزمنة و عند جمیع المکلّفین ممّن غبر أو حضر فالبعث إلی أحدهما و الزجر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حالهما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یصدر عن الحکیم المشرّع، بل من غیره؛ لأنّ الإرادة الجدیة إنّما تنقدح فی مورد یقدر الغیر علی امتثاله، و عند التلازم فی الوجود کان التکلیف محالًا لأجل التکلیف المحال؛ فضلًا عن کونه تکلیفاً بالمحال، و معه لا یلزم التقیید بالمندوحة، کما سنشیر إلیه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فرضنا عدم التلازم فی الوجود فی کلّ عصر و مصر و عند جمیع المکلّفین، و أنّ عامّة الناس یتمکّنون من إتیان الصلاة فی غیر الدار المغصوبة غالباً، و أنّه لو ضاق الأمر علی بعضهم؛ بحیث لم یتمکّن إلّا من الصلاة فی الدار المغصوبة لکان من القضایا الاتّفاقیة التی یترقّب زوالها فلا حاجة إلی اعتبار المندوحة؛ لما قد حقّقنا</w:t>
      </w:r>
      <w:r>
        <w:rPr>
          <w:rStyle w:val="FootnoteAnchor"/>
          <w:rtl w:val="true"/>
        </w:rPr>
        <w:footnoteReference w:id="22"/>
      </w:r>
      <w:r>
        <w:rPr>
          <w:rFonts w:ascii="IRNazanin" w:hAnsi="IRNazanin" w:eastAsia="IRNazanin"/>
          <w:color w:val="111111"/>
          <w:sz w:val="28"/>
          <w:sz w:val="28"/>
          <w:szCs w:val="28"/>
          <w:rtl w:val="true"/>
          <w:lang w:bidi="fa-IR"/>
        </w:rPr>
        <w:t>أنّ الأحکام الشرعیة لا تنحلّ إلی خطابات بعدد الأفراد حتّی یکون کلّ</w:t>
      </w:r>
    </w:p>
    <w:p>
      <w:pPr>
        <w:pStyle w:val="BookText"/>
        <w:rPr/>
      </w:pPr>
      <w:r>
        <w:rPr>
          <w:rFonts w:ascii="IRNazanin" w:hAnsi="IRNazanin" w:eastAsia="IRNazanin"/>
          <w:color w:val="111111"/>
          <w:sz w:val="28"/>
          <w:sz w:val="28"/>
          <w:szCs w:val="28"/>
          <w:rtl w:val="true"/>
          <w:lang w:bidi="fa-IR"/>
        </w:rPr>
        <w:t>فرد مخصوصاً بخطاب خاصّ، فیستهجن الخطاب إلیه بالبعث نحو الصلاة و الزجر عن الغصب، و یصیر المقام من التکلیف بالمحال أو التکلیف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معنی عموم الحکم و شموله قانوناً هو جعل الحکم علی عنوان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بإرادة واحدة؛ و هی إرادة التشریع و جعل الحکم علی العنوان؛ حتّی یصیر حجّة علی کلّ من احرز دخوله تحت عنوان المستطیع، من دون أن یکون هناک إرادات و 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لصحّة الحکم الفعلی القانونی هو تمکّن طائفة منهم من إتیان المأمور به، و امتثال المنهی عنه، لا کلّ فرد فرد، و عجز بعض الأفراد لا یوجب سقوط الحکم الفعلی العامّ، بل یوجب کونه معذوراً فی عدم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بقید المندوحة حصول المندوحة لکلّ واحد من المکلّفین فهو غیر لازم؛ لأنّ البحث فی جواز تعلّق الحکمین الفعلیین علی عنوانین، و لا یتوقّف ذلک علی المندوحة لکلّ واحد منهم؛ لأنّ الأحکام المتعلّقة علی العناوین لا تنحلّ إلی إنشاءات کثیرة حتّی یکون الشرط تمکّن کلّ فرد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الفعلی بالمعنی المتقدّم فعلی علی عنوانه؛ و إن کان بعض المکلّفین معذوراً فی عدم امتثاله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بقید المندوحة کون العنوانین ممّا ینفکّان بحسب المصداق فی کثیر من الأوقات؛ و إن لم یکن کذلک بحسب حال بعض المکلّفین فاعتبار المندوحة و إن کان لازماً فی هذه المسألة لکن لا یحتاج إلی تقیید البحث به؛ فإنّ تعلّق الحکم الفعلی بعنوان ملازم لمنهی عنه فعلًا ممّا لا یمکن؛ للغویة الجعل علی العنوانین، بل لا بدّ للجاعل من ترجیح أحد الحکمین علی الآخر، أو الحکم بالتخییر مع عدم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فتقیید العنوان بالمندوحة غیر لازم علی جمیع التقادیر</w:t>
      </w:r>
      <w:r>
        <w:rPr>
          <w:rFonts w:eastAsia="IRNazanin" w:cs="IRNazanin"/>
          <w:color w:val="111111"/>
          <w:sz w:val="28"/>
          <w:szCs w:val="28"/>
          <w:rtl w:val="true"/>
          <w:lang w:bidi="fa-IR"/>
        </w:rPr>
        <w:t>.</w:t>
      </w:r>
      <w:bookmarkStart w:id="41" w:name="pg12907_206481"/>
    </w:p>
    <w:p>
      <w:pPr>
        <w:pStyle w:val="Heading5"/>
        <w:numPr>
          <w:ilvl w:val="4"/>
          <w:numId w:val="1"/>
        </w:numPr>
        <w:rPr/>
      </w:pPr>
      <w:bookmarkStart w:id="42" w:name="__RefHeading___Toc3346246_3224264995"/>
      <w:bookmarkStart w:id="43" w:name="_Toc16"/>
      <w:bookmarkEnd w:id="41"/>
      <w:bookmarkEnd w:id="42"/>
      <w:r>
        <w:rPr>
          <w:rtl w:val="true"/>
        </w:rPr>
        <w:t>الخامس</w:t>
      </w:r>
      <w:r>
        <w:rPr>
          <w:rtl w:val="true"/>
        </w:rPr>
        <w:t xml:space="preserve">: </w:t>
      </w:r>
      <w:r>
        <w:rPr>
          <w:rtl w:val="true"/>
        </w:rPr>
        <w:t>عدم ابتناء النزاع علی تعلّق الأحکام بالطبائع</w:t>
      </w:r>
      <w:bookmarkEnd w:id="43"/>
    </w:p>
    <w:p>
      <w:pPr>
        <w:pStyle w:val="BookText"/>
        <w:rPr/>
      </w:pPr>
      <w:r>
        <w:rPr>
          <w:rFonts w:ascii="IRNazanin" w:hAnsi="IRNazanin" w:eastAsia="IRNazanin"/>
          <w:color w:val="111111"/>
          <w:sz w:val="28"/>
          <w:sz w:val="28"/>
          <w:szCs w:val="28"/>
          <w:rtl w:val="true"/>
          <w:lang w:bidi="fa-IR"/>
        </w:rPr>
        <w:t>ربّما یقال إنّ النزاع إنّما یجری علی القول بتعلّق الأحکام بالطبائع، و أمّا علی القول بتعلّقها بالأفراد فلا مناص عن اختیار الامتناع</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جریانه فی بعض صور القول بتعلّقها بالأفراد، و عدم جریانه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قلنا بتعلّقها بالفرد الخارجی الصادر عن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بدیهی البطلان؛ لکون الخارج ظرف السقوط لا الثبوت، و لم یظهر کونه مراد القائل، کما سبق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ارید من القول بتعلّقها بالأفراد هو تعلّقها بها مع کلّ ما یلازمها و یقارنها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الاتّفاقیات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إیجاد الصلاة فی الدار المغصوبة یکون متعلّق الأمر هو الطبیعة مع جمیع ما یقارنها؛ حتّی وقوعها فی محلّ مغصوب؛ بحیث اخذت هذه العناوین فی الموضوع، و یکون متعلّق النهی هی طبیعة الغصب مع ما یقارنها؛ حتّی وقوعها فی حال الصلاة و علیه یخرج المفروض من مورد النزاع؛ لکون طبیعة واحدة وقعت مورداً للأمر و النهی، و یصیر من باب التعارض؛ إذ البحث فیما إذا تعدّد العنوان؛ و إن اتّحد المعنون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الصور التی یمکن فیها جریان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w:t>
      </w:r>
      <w:r>
        <w:rPr>
          <w:rFonts w:eastAsia="IRNazanin" w:cs="IRNazanin"/>
          <w:color w:val="111111"/>
          <w:sz w:val="28"/>
          <w:szCs w:val="28"/>
          <w:rtl w:val="true"/>
          <w:lang w:bidi="fa-IR"/>
        </w:rPr>
        <w:t>:</w:t>
      </w:r>
      <w:bookmarkStart w:id="44" w:name="pg12907_206482"/>
    </w:p>
    <w:p>
      <w:pPr>
        <w:pStyle w:val="BookText"/>
        <w:rPr/>
      </w:pPr>
      <w:bookmarkEnd w:id="44"/>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تعلّقها بالأفراد تعلّقها بالعنوان الإجمالی لها؛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فرد الصلاة، فیکون فرد الصلاة و فرد الغصب عنوانین کلّیین منطبقین علی معنون واحد، کالأمر بطبیعة الصلاة و النهی عن طبیعة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تعلّقها بالطبیعة الملازمة للعناوین المشخّصة أو أمارات التشخّص، کطبیعی الأین و المتی، فیکون الواجب طبیعة الصلاة مع مکان کلّی، و هکذا سائر العناوین، و الحرام الطبیعة الغصبیة المتّصفة بالوضع و المکان الکلّیین و غیرهما کذلک، فاختلف العنوانان؛ و إن اتّحد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تعلّقهما بالوجود السعی من کلّ طبیعة، فالواجب هو عنوان الوجود السعی من الطبیعة فقط لا الوجود السعی مع عوارضها و لواحقها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الحرام؛ فهنا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الوجود السعی من الصلاة، و الوجود السعی من طبیعة الغصب مع إلغاء الوجود السعی لعوارضهما و مشخّصاتهما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تعلّقهما بعنوان وجودات الصلاة و الغصب فی مقابل الوجود السعی؛ فإنّه لا یخرج به من العنوانین المختلفین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جارٍ علی القول بتعلّقهما بالأفراد علی الفروض التی تصحّ أن تکون محلّ النزاع</w:t>
      </w:r>
      <w:r>
        <w:rPr>
          <w:rFonts w:eastAsia="IRNazanin" w:cs="IRNazanin"/>
          <w:color w:val="111111"/>
          <w:sz w:val="28"/>
          <w:szCs w:val="28"/>
          <w:rtl w:val="true"/>
          <w:lang w:bidi="fa-IR"/>
        </w:rPr>
        <w:t>.</w:t>
      </w:r>
    </w:p>
    <w:p>
      <w:pPr>
        <w:pStyle w:val="Heading5"/>
        <w:numPr>
          <w:ilvl w:val="4"/>
          <w:numId w:val="1"/>
        </w:numPr>
        <w:rPr/>
      </w:pPr>
      <w:bookmarkStart w:id="45" w:name="__RefHeading___Toc3346248_3224264995"/>
      <w:bookmarkStart w:id="46" w:name="_Toc17"/>
      <w:bookmarkEnd w:id="45"/>
      <w:r>
        <w:rPr>
          <w:rtl w:val="true"/>
        </w:rPr>
        <w:t>السادس</w:t>
      </w:r>
      <w:r>
        <w:rPr>
          <w:rtl w:val="true"/>
        </w:rPr>
        <w:t xml:space="preserve">: </w:t>
      </w:r>
      <w:r>
        <w:rPr>
          <w:rtl w:val="true"/>
        </w:rPr>
        <w:t>فی عدم ابتناء النزاع علی إحراز المناط</w:t>
      </w:r>
      <w:bookmarkEnd w:id="46"/>
    </w:p>
    <w:p>
      <w:pPr>
        <w:pStyle w:val="Heading6"/>
        <w:numPr>
          <w:ilvl w:val="5"/>
          <w:numId w:val="1"/>
        </w:numPr>
        <w:rPr/>
      </w:pPr>
      <w:bookmarkStart w:id="47" w:name="__RefHeading___Toc3346250_3224264995"/>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یظهر من المحقّق الخراسانی ابتناء النزاع فی المقام علی إحراز المناط فی متعلّقی الإیجاب و التحریم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ابتنائه علیه</w:t>
      </w:r>
      <w:r>
        <w:rPr>
          <w:rFonts w:eastAsia="IRNazanin" w:cs="IRNazanin"/>
          <w:color w:val="111111"/>
          <w:sz w:val="28"/>
          <w:szCs w:val="28"/>
          <w:rtl w:val="true"/>
          <w:lang w:bidi="fa-IR"/>
        </w:rPr>
        <w:t>:</w:t>
      </w:r>
      <w:bookmarkStart w:id="49" w:name="pg12907_206483"/>
    </w:p>
    <w:p>
      <w:pPr>
        <w:pStyle w:val="BookText"/>
        <w:rPr/>
      </w:pPr>
      <w:bookmarkEnd w:id="49"/>
      <w:r>
        <w:rPr>
          <w:rFonts w:ascii="IRNazanin" w:hAnsi="IRNazanin" w:eastAsia="IRNazanin"/>
          <w:color w:val="111111"/>
          <w:sz w:val="28"/>
          <w:sz w:val="28"/>
          <w:szCs w:val="28"/>
          <w:rtl w:val="true"/>
          <w:lang w:bidi="fa-IR"/>
        </w:rPr>
        <w:t>أمّا علی القول بأنّ النزاع صغروی و البحث حیثی راجع إلی أنّ تعدّد العنوان یوجب تعدّد المعنون أو لا فواضح؛ لأنّ اشتمالهما علی المناط و عدمه لا دخل له فی أنّ تعدّد العنوان هل یوجب تعدّد المعنون أو لا؟</w:t>
      </w:r>
    </w:p>
    <w:p>
      <w:pPr>
        <w:pStyle w:val="BookText"/>
        <w:rPr/>
      </w:pPr>
      <w:r>
        <w:rPr>
          <w:rFonts w:ascii="Amiri" w:hAnsi="Amiri" w:eastAsia="Amiri" w:cs="Amiri"/>
          <w:color w:val="111111"/>
          <w:sz w:val="28"/>
          <w:sz w:val="28"/>
          <w:szCs w:val="28"/>
          <w:rtl w:val="true"/>
          <w:lang w:bidi="ar-SA"/>
        </w:rPr>
        <w:t>و أمّا علی ما حرّرناه</w:t>
      </w:r>
      <w:r>
        <w:rPr>
          <w:rStyle w:val="FootnoteAnchor"/>
          <w:rtl w:val="true"/>
        </w:rPr>
        <w:footnoteReference w:id="26"/>
      </w:r>
      <w:r>
        <w:rPr>
          <w:rFonts w:ascii="IRNazanin" w:hAnsi="IRNazanin" w:eastAsia="IRNazanin"/>
          <w:color w:val="111111"/>
          <w:sz w:val="28"/>
          <w:sz w:val="28"/>
          <w:szCs w:val="28"/>
          <w:rtl w:val="true"/>
          <w:lang w:bidi="fa-IR"/>
        </w:rPr>
        <w:t>من أنّ النزاع کبروی، و أنّ البحث فی أنّ الأمر و النهی هل یجوز اجتماعهما فی عنوانین متصادقین علی واحد أو لا؟ فالأمر أوضح؛ لأنّ إحراز المناط لیس دخیلًا فی الإمکان و عدمه، بل لا بدّ من أخذ القیود التی لها دخل تامّ فی إثبات الإمکان و الامتناع</w:t>
      </w:r>
      <w:r>
        <w:rPr>
          <w:rFonts w:eastAsia="IRNazanin" w:cs="IRNazanin"/>
          <w:color w:val="111111"/>
          <w:sz w:val="28"/>
          <w:szCs w:val="28"/>
          <w:rtl w:val="true"/>
          <w:lang w:bidi="fa-IR"/>
        </w:rPr>
        <w:t>.</w:t>
      </w:r>
    </w:p>
    <w:p>
      <w:pPr>
        <w:pStyle w:val="Heading6"/>
        <w:numPr>
          <w:ilvl w:val="5"/>
          <w:numId w:val="1"/>
        </w:numPr>
        <w:rPr/>
      </w:pPr>
      <w:bookmarkStart w:id="50" w:name="__RefHeading___Toc3346252_3224264995"/>
      <w:bookmarkStart w:id="51" w:name="_Toc19"/>
      <w:bookmarkEnd w:id="50"/>
      <w:r>
        <w:rPr>
          <w:rtl w:val="true"/>
        </w:rPr>
        <w:t>الفرق بین باب الاجتماع و باب التعارض</w:t>
      </w:r>
      <w:bookmarkEnd w:id="51"/>
    </w:p>
    <w:p>
      <w:pPr>
        <w:pStyle w:val="BookText"/>
        <w:rPr/>
      </w:pPr>
      <w:r>
        <w:rPr>
          <w:rFonts w:ascii="IRNazanin" w:hAnsi="IRNazanin" w:eastAsia="IRNazanin"/>
          <w:color w:val="111111"/>
          <w:sz w:val="28"/>
          <w:sz w:val="28"/>
          <w:szCs w:val="28"/>
          <w:rtl w:val="true"/>
          <w:lang w:bidi="fa-IR"/>
        </w:rPr>
        <w:t>و الذی یختلج فی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 عن مساق بعض عبائره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مراده قدس سره فیما أفاده فی الأمر الثامن و التاسع هو إبداء الفرق بین هذا المقام و بین باب التعارض؛ دفعاً عن إشکالٍ ربّما یرد فی المقام؛ و هو أنّ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عنونوا مسألة جواز الاجتماع مثّلوا له بالعامّین من وجه، و اختار جمع منهم جواز الاجتماع، و لکن هذا الجمع لمّا وصلوا إلی باب التعارض جعلوا العامّین من وجه أحد وجوه التعارض، و لم یذکر أحد منهم جواز الجمع بینهما بصحّة اجتماع الأمر و النهی فی عنوانین بینهما عامّ من وجه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قدس سره بصدد دفع هذا الإشکال بالفرق بین البابین؛ بأنّ کون العامّین من وجه من باب الاجتماع مشروط بإحراز المناط؛ حتّی فی مورد التصادق، و إلّا دخل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فالمیّز التامّ هو دلالة کلّ من الحکمین علی</w:t>
      </w:r>
    </w:p>
    <w:p>
      <w:pPr>
        <w:pStyle w:val="BookText"/>
        <w:rPr/>
      </w:pPr>
      <w:r>
        <w:rPr>
          <w:rFonts w:ascii="IRNazanin" w:hAnsi="IRNazanin" w:eastAsia="IRNazanin"/>
          <w:color w:val="111111"/>
          <w:sz w:val="28"/>
          <w:sz w:val="28"/>
          <w:szCs w:val="28"/>
          <w:rtl w:val="true"/>
          <w:lang w:bidi="fa-IR"/>
        </w:rPr>
        <w:t>ثبوت المقتضی فی مورد الاتّفاق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المیز بین البابین لیس بما ذکر؛ إذ المیزان فی عدّ الدلیلین متعارضین هو کونهما کذلک فی نظر العرف؛ و لذا لو کان بینهما جمع عرفی خرج من موضوعه، فالجمع و التعارض کلاهما عرفیان، و هذا بخلاف المقام؛ فإنّ التعارض فیه إنّما هو من جهة العقل؛ إذ العرف مهما أدقّ النظر و بالغ فی ذلک لا یری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لأنّ الحکم علی عنوانین غیر مرتبط أحدهما بالآخر، کما أنّ الجمع أیضاً عقلی مثل تعارضه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عدّه العرف متعارضاً 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أحرزنا المناط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داخل فی باب التعارض، و لا بدّ فیه من إعمال قواعده من الجمع و الترجیح و الطرح، کما أنّ ما لم یعدّه متعارضاً مع آخر و آنس بینهما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عدّهما العقل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الاجتماع؛ و إن لم یحرز المناط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باب التعارض هو الخبران المختلفان، و المناط فی الاختلاف هو الفهم العرفی، و الجمع هناک عرفی لا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هاهنا؛ فإنّ المسألة عقلیة، فلا ربط بین البابین أصلًا، فما ادّعی من المناط غیر تامّ؛ طرداً و عکساً،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رحی باب التعارض تدور علی العمل بالأخبار الواردة فیه، و موضوعها مأخوذ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کموضوع سائر ما ورد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یحکم العرف باختلاف الخبرین و تعارضهما یعمل بالمرجّحات، و کلّما یحکم بعدمه لأجل الجمع العرفی أو عدم التناسب بین الدلیلین لا یکون من بابه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متعارضین عرفاً؛ لأنّ الحکم علی العنوانین بنحو الإطلاق بلا ارتباط بینهما، فلیس بینهما اختلاف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نحرز</w:t>
      </w:r>
      <w:bookmarkStart w:id="52" w:name="pg12907_206485"/>
    </w:p>
    <w:p>
      <w:pPr>
        <w:pStyle w:val="BookText"/>
        <w:rPr/>
      </w:pPr>
      <w:bookmarkEnd w:id="52"/>
      <w:r>
        <w:rPr>
          <w:rFonts w:ascii="IRNazanin" w:hAnsi="IRNazanin" w:eastAsia="IRNazanin"/>
          <w:color w:val="111111"/>
          <w:sz w:val="28"/>
          <w:sz w:val="28"/>
          <w:szCs w:val="28"/>
          <w:rtl w:val="true"/>
          <w:lang w:bidi="fa-IR"/>
        </w:rPr>
        <w:t>المناطین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عرفاً فی الجملة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فرض إحراز المناطین فی مورد الاجتماع و قلنا بجواز الاجتماع حتّی فی مثله؛ لأنّ الحکم فیهما علی الأفراد بنحو العموم، فیدلّان علی إکرام المجمع و عدم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بعض الأعاظم من أنّ هذه المسألة محقّقة لموضوع مسألة التعارض</w:t>
      </w:r>
      <w:r>
        <w:rPr>
          <w:rStyle w:val="FootnoteAnchor"/>
          <w:rtl w:val="true"/>
        </w:rPr>
        <w:footnoteReference w:id="27"/>
      </w:r>
      <w:r>
        <w:rPr>
          <w:rFonts w:ascii="IRNazanin" w:hAnsi="IRNazanin" w:eastAsia="IRNazanin"/>
          <w:color w:val="111111"/>
          <w:sz w:val="28"/>
          <w:sz w:val="28"/>
          <w:szCs w:val="28"/>
          <w:rtl w:val="true"/>
          <w:lang w:bidi="fa-IR"/>
        </w:rPr>
        <w:t>فی غیر محلّه؛ لما عرفت من أنّ المسألتین لا جامع بینهما و لا إحداهما مقدّمة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ادّعاه من أنّ التمایز بین البابین هو أنّ الترکیب فی باب الاجتماع انضمامی و فی باب التعارض اتّحادی</w:t>
      </w:r>
      <w:r>
        <w:rPr>
          <w:rStyle w:val="FootnoteAnchor"/>
          <w:rtl w:val="true"/>
        </w:rPr>
        <w:footnoteReference w:id="28"/>
      </w:r>
      <w:r>
        <w:rPr>
          <w:rFonts w:ascii="IRNazanin" w:hAnsi="IRNazanin" w:eastAsia="IRNazanin"/>
          <w:color w:val="111111"/>
          <w:sz w:val="28"/>
          <w:sz w:val="28"/>
          <w:szCs w:val="28"/>
          <w:rtl w:val="true"/>
          <w:lang w:bidi="fa-IR"/>
        </w:rPr>
        <w:t>لا یرجع إلی محصّل و سیتّضح أنّ حدیث الترکیب الانضمامی و الاتّحادی أجنبی عن هذه المقامات، فارتقب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3346254_3224264995"/>
      <w:bookmarkStart w:id="54" w:name="_Toc20"/>
      <w:bookmarkEnd w:id="53"/>
      <w:r>
        <w:rPr>
          <w:rtl w:val="true"/>
        </w:rPr>
        <w:t>السابع</w:t>
      </w:r>
      <w:r>
        <w:rPr>
          <w:rtl w:val="true"/>
        </w:rPr>
        <w:t xml:space="preserve">: </w:t>
      </w:r>
      <w:r>
        <w:rPr>
          <w:rtl w:val="true"/>
        </w:rPr>
        <w:t>فی ثمرة النزاع علی القول بالجواز</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Style w:val="FootnoteAnchor"/>
          <w:rtl w:val="true"/>
        </w:rPr>
        <w:footnoteReference w:id="30"/>
      </w:r>
      <w:r>
        <w:rPr>
          <w:rFonts w:ascii="IRNazanin" w:hAnsi="IRNazanin" w:eastAsia="IRNazanin"/>
          <w:color w:val="111111"/>
          <w:sz w:val="28"/>
          <w:sz w:val="28"/>
          <w:szCs w:val="28"/>
          <w:rtl w:val="true"/>
          <w:lang w:bidi="fa-IR"/>
        </w:rPr>
        <w:t>إنّه لا ملازمة بین القول بالجواز و القول بصحّة العبادة؛ لوجود ملاک آخر للبطلان فی بعض الموارد، کالصلاة فی الدار المغصوبة؛ لأنّ التصرّف فی مال الغیر بلا إذنه فی الخارج عین الحرکة الصلاتیة، و المبعّد عن ساحة المولی لا یمکن أن یکون مقرّباً، نعم مع جهله بالموضوع أو الحکم قصوراً تصحّ صلاته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المعیار الکلّی فی الحکم بالصحّة و البطلان هو أنّه کلّما کانت الخصوصیة العبادیة فی المصداق غیر الخصوصیة المحرّمة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جمعهما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العبادة، و لا یرد الإشکال؛ لأنّ المکلّف یتقرّب بالجهة المحسّنة، و لیست فیها جهة مقبّحة علی الفرض؛ و إن قارنتها أو لازمتها، و لکن المقارنة أو اللزوم لا یضرّ بعبادیتها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 العنوانان موجودین بوجود واحد و خصوصیة فاردة لا یمکن التقرّب به؛ و إن جوّزنا اجتماع الأمر و النهی، فإنّ التقرّب بما هو مبعّد بالفعل ممّا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سیأتی تحقیق المقام، و أنّ المبعّد من حیثیة یمکن أن یکون مقرّباً من حیثیة اخری، فانتظر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بعض أعاظم العصر رحمه الله قد أفاد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فی الدار المغصوبة من قبیل الأوّل، و أنّ الحرکة الصلاتیة غیر الحرکة الغصبیة خارجاً؛ لأنّ الغصب من مقولة الأین و الصلاة من مقولة الوضع، و الظاهر أن تکون أفعال الصلاة من مقولة الوضع؛ سواء قلنا إنّ المأمور به فی مثل الرکوع و السجود هو الهیئة کما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الفعل کما هو المختار؛ فإنّ المراد من الفعل لیس هو الفعل باصطلاح المعقول، بل الفعل الصادر عن المکلّف، فیکون الانحناء إلی الرکوع أوضاعاً متلاصقة متّصلة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المقولات متباینات و بسائط یکون ما به الامتیاز فیها عین ما به الاشتراک، و إنّ الحرکة لیست داخلة فی المقولات، بل هی مع کلّ مقولة عینها، و لم تکن</w:t>
      </w:r>
    </w:p>
    <w:p>
      <w:pPr>
        <w:pStyle w:val="BookText"/>
        <w:rPr/>
      </w:pPr>
      <w:r>
        <w:rPr>
          <w:rFonts w:ascii="IRNazanin" w:hAnsi="IRNazanin" w:eastAsia="IRNazanin"/>
          <w:color w:val="111111"/>
          <w:sz w:val="28"/>
          <w:sz w:val="28"/>
          <w:szCs w:val="28"/>
          <w:rtl w:val="true"/>
          <w:lang w:bidi="fa-IR"/>
        </w:rPr>
        <w:t>الحرکة جنساً للمقولتین، و إلّا یلزم تفصّل الواحد بالفصلین المتباینین فی عرض واحد، و یلزم الترکیب فیهما و لا معروضاً لهما، و إلّا یلزم قیام العرض بالعرض؛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فالحرکة الغصبیة تکون من مقولة متباینة للحرکة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الحرکة هو رفع الید أو وضعها و رفع الرأس أو وضعه، بل المراد الحرکة الصلاتیة و الغصبیة، و هما حرکتان کما عرفت، فکون حیثیة الصلاتیة غیر حیثیة الغصبیة وجوداً و ماهیة، یجوز اجتماع الأمر و النهی فیهما، و یکون المقرّب غیر 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ذکرنا من اختلافهما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المکان إلی المکین و الإضافة الحاصلة بین المکین و المکان لا یعقل أن تختلف فی الجوهر و العرض، فکما أنّ کون زید فی الدار المغصوبة لا یوجب کونه غصباً فکذلک کون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فالترکیب بینهما انضمامی لا اتّحادی</w:t>
      </w:r>
      <w:r>
        <w:rPr>
          <w:rStyle w:val="FootnoteAnchor"/>
          <w:rtl w:val="true"/>
        </w:rPr>
        <w:footnoteReference w:id="32"/>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للنظر، نذکر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لیست من المقولات، بل من الماهیات الاختراعیة المرکّبة من عدّة امور اعتباریة و مقولیة، و مثل ذلک لا یندرج تحت مقولة، و لا تحت ماهیة من الماهیات الأصیلة، هذا إن ارید من الصلاة نفسها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أجزاؤها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کالرکوع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لأنّه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الرکوع عبارة عن الحرکة من الاستقامة إلی الانحناء تعظیماً؛ بحیث یکون مرکّباً من الهوی و الحالة الحاصلة حین الانحناء التامّ فلا یکون من مقولة الوضع فقط، بل یکون أحد جزأیه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الحرکة فی الأین، و یکون من</w:t>
      </w:r>
    </w:p>
    <w:p>
      <w:pPr>
        <w:pStyle w:val="BookText"/>
        <w:rPr/>
      </w:pPr>
      <w:r>
        <w:rPr>
          <w:rFonts w:ascii="IRNazanin" w:hAnsi="IRNazanin" w:eastAsia="IRNazanin"/>
          <w:color w:val="111111"/>
          <w:sz w:val="28"/>
          <w:sz w:val="28"/>
          <w:szCs w:val="28"/>
          <w:rtl w:val="true"/>
          <w:lang w:bidi="fa-IR"/>
        </w:rPr>
        <w:t>مقولة الأین، بناءً علی أنّ الحرکة فی کلّ مقولة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سمّی هذه الحرکة الأینیة أنّها أوضاع متلاصقة، و غفل عن أنّ تبدّل الأوضاع و تلاصقها من لوازم هذه الحرکة، کما یکون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الحالة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نفس الهیئة المخصوصة تعظیماً، الحاصلة بعد الانحناء التامّ فلا یندرج تحت المقولة؛ لأنّ کونه تعظیماً من مقوّماته، و هو لا یندرج تحت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الإشکال یرد علی الشقّ الأوّل أیضاً إذا قلنا بکون التعظیم قیداً أو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مبناه أنّ الجزء للصلاة هو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الصادر من المکلّف هو الحرکة من الاستقامة إلی الانحناء، و تبدّل الأوضاع یکون لازماً له، و ما هو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الصادر عنه لا الأوضاع المتلاصقة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فی تلاصق الأوضاع من مفاسد غیر خفی علی أهله و من له إلمام بالمعارف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 لا یکون من المقولات؛ لأنّه الاستیلاء علی مال الغیر عدواناً، و هو من الامور الاعتباریة، و لا یدخل فی ماهیة الکون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فالکون فی المکان المغصوب لیس غصباً، بل استقلال الید علیه و استیلاؤها غصب؛ سواء کان الغاصب داخلًا فیه أم لم یکن، و هذا واضح بأدنی تأمّل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فرض أنّ الغصب هو الکون فی المکان الذی للغیر عدواناً لم یصر من مقولة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المقولة لیست نفس الکون فی المکان، بل هی هیئة حاصلة من کون الشی‌ء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ماهیة الغصب متقوّمة بکون المکان للغیر، و یکون إشغاله عدواناً، و هما غیر داخلین فی ماهیة مقولة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الفرض الباطل یکون المقولة جزء ماهیة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صحّة الصلاة لیس لأجل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استقلال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التصرّف فی مال الغیر بلا إذن منه، و هذا عنوان آخر غیر الغصب؛ فإنّه قد یکون الشخص متصرّفاً فی مال الغیر بلا إذنه مع عدم کونه غاصباً؛ لعدم استقلال یده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غاصباً بلا تصرّف خارجی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فی الدار المغصوبة باطلة لا لأجل استقلال الید علی ملک الغیر؛ لأنّه أمر اعتباری لا ینطبق علی الصلاة غالباً، بل لأجل التصرّف فی مال الغیر؛ ضرورة أنّ الحرکة الرکوعیة و السجودیة عین التصرّف فی مال الغیر، بل السجود علی سبعة أعظم تصرّف، و الکون القیامی و القعودی و غیرهما تصرّف فی مال الغیر و حرام، فلا یمکن التقرّب بما هو مبعّد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بجواز الاجتماع أم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الاجتماع لا یتوقّف علی کون الحیثیات تقییدیة و الترکیب انضمامیاً</w:t>
      </w:r>
      <w:r>
        <w:rPr>
          <w:rStyle w:val="FootnoteAnchor"/>
          <w:rtl w:val="true"/>
        </w:rPr>
        <w:footnoteReference w:id="33"/>
      </w:r>
      <w:r>
        <w:rPr>
          <w:rFonts w:ascii="IRNazanin" w:hAnsi="IRNazanin" w:eastAsia="IRNazanin"/>
          <w:color w:val="111111"/>
          <w:sz w:val="28"/>
          <w:sz w:val="28"/>
          <w:szCs w:val="28"/>
          <w:rtl w:val="true"/>
          <w:lang w:bidi="fa-IR"/>
        </w:rPr>
        <w:t>، کما بنی علیه قدس سره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یعلم حال ما ذکره من قیاس کون زید فی الدار المغصوبة بکون الصلاة فیها؛ فإنّ الصلاة لمّا کانت فعل المکلّف تکون تصرّفاً فی مال الغیر، و أمّا زید فنفس ذاته لا یکون فعلًا؛ حتّی یکون تصرّفاً، بل کون زید فی الدار غصب</w:t>
      </w:r>
      <w:bookmarkStart w:id="55" w:name="pg12907_206490"/>
    </w:p>
    <w:p>
      <w:pPr>
        <w:pStyle w:val="BookText"/>
        <w:rPr/>
      </w:pPr>
      <w:bookmarkEnd w:id="55"/>
      <w:r>
        <w:rPr>
          <w:rFonts w:ascii="IRNazanin" w:hAnsi="IRNazanin" w:eastAsia="IRNazanin"/>
          <w:color w:val="111111"/>
          <w:sz w:val="28"/>
          <w:sz w:val="28"/>
          <w:szCs w:val="28"/>
          <w:rtl w:val="true"/>
          <w:lang w:bidi="fa-IR"/>
        </w:rPr>
        <w:t>لا ذاته علی مبناه، أو تصرّف علی ما ذکرنا، و زید غاصب أو متصرّف، کما أنّ صلاته باعتبار کونها من أکوانه و أفعاله غصب و تصرّف، و هو غاصب و متصرّف، و الأمر أوضح من أن یحتاج إلی البیان</w:t>
      </w:r>
      <w:r>
        <w:rPr>
          <w:rFonts w:eastAsia="IRNazanin" w:cs="IRNazanin"/>
          <w:color w:val="111111"/>
          <w:sz w:val="28"/>
          <w:szCs w:val="28"/>
          <w:rtl w:val="true"/>
          <w:lang w:bidi="fa-IR"/>
        </w:rPr>
        <w:t>.</w:t>
      </w:r>
    </w:p>
    <w:p>
      <w:pPr>
        <w:pStyle w:val="Heading5"/>
        <w:numPr>
          <w:ilvl w:val="4"/>
          <w:numId w:val="1"/>
        </w:numPr>
        <w:rPr/>
      </w:pPr>
      <w:bookmarkStart w:id="56" w:name="__RefHeading___Toc3346256_3224264995"/>
      <w:bookmarkStart w:id="57" w:name="_Toc21"/>
      <w:bookmarkEnd w:id="56"/>
      <w:r>
        <w:rPr>
          <w:rtl w:val="true"/>
        </w:rPr>
        <w:t>الثامن</w:t>
      </w:r>
      <w:r>
        <w:rPr>
          <w:rtl w:val="true"/>
        </w:rPr>
        <w:t xml:space="preserve">: </w:t>
      </w:r>
      <w:r>
        <w:rPr>
          <w:rtl w:val="true"/>
        </w:rPr>
        <w:t>فی ثمرة النزاع علی القول بالامتناع</w:t>
      </w:r>
      <w:bookmarkEnd w:id="57"/>
    </w:p>
    <w:p>
      <w:pPr>
        <w:pStyle w:val="BookText"/>
        <w:rPr/>
      </w:pPr>
      <w:r>
        <w:rPr>
          <w:rFonts w:ascii="IRNazanin" w:hAnsi="IRNazanin" w:eastAsia="IRNazanin"/>
          <w:color w:val="111111"/>
          <w:sz w:val="28"/>
          <w:sz w:val="28"/>
          <w:szCs w:val="28"/>
          <w:rtl w:val="true"/>
          <w:lang w:bidi="fa-IR"/>
        </w:rPr>
        <w:t>بناءً علی الامتناع و ترجیح جانب الأمر تصحّ الصلاة فی الدار المغصوبة إذا لم یکن هناک مندوحة، و أمّا معها فلا ملاک لتقیید النهی المتعلّق بالغصب؛ بلغ ملاک الصلاة ما بلغ؛ لعدم دوران الأمر بینهما، بل مقتضی الجمع بین الغرضین تقیید الصلاة عقلًا أو شرعاً بغیر محلّ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کلام المحقّق الخراسانی بأنّه بناءً علی الامتناع و ترجیح جانب الأمر تصحّ صلاته، و لا معصیة علیه</w:t>
      </w:r>
      <w:r>
        <w:rPr>
          <w:rStyle w:val="FootnoteAnchor"/>
          <w:rtl w:val="true"/>
        </w:rPr>
        <w:footnoteReference w:id="34"/>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ترجیح جانب النهی فمع العمد أو الجهل بالحکم تقصیراً لا إشکال فی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القصور فصحّتها متوقّف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إثبات اشتمال الصلاة فی مورد الاجتماع علی الملاک التامّ، و ثانیهما کون الملاک المرجوح قابلًا للتقرّب و مصحّحاً لعبادیة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ممتنع بناءً علی کون الامتناع لأجل التکلیف المحال لا التکلیف بالمحال؛ و ذلک للتضادّ بین ملاک الغصب و ملاک الصلاة، فإن أمکن رفع التضادّ بین الملاکین باختلاف الحیثیتین أمکن رفعه فی الحکمین، و لا یلتزم به الخصم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فالقائل بالامتناع لا بدّ له من الحکم بأنّ الحیثیة التی تعلّق بها الحکم الإلزامی</w:t>
      </w:r>
    </w:p>
    <w:p>
      <w:pPr>
        <w:pStyle w:val="BookText"/>
        <w:rPr/>
      </w:pPr>
      <w:r>
        <w:rPr>
          <w:rFonts w:ascii="IRNazanin" w:hAnsi="IRNazanin" w:eastAsia="IRNazanin"/>
          <w:color w:val="111111"/>
          <w:sz w:val="28"/>
          <w:sz w:val="28"/>
          <w:szCs w:val="28"/>
          <w:rtl w:val="true"/>
          <w:lang w:bidi="fa-IR"/>
        </w:rPr>
        <w:t>عین ما تعلّق به النهی، و مع وحدة الحیثیة لا یعقل تحقّق الملاکین، فلا بدّ أن یکون المرجوح بلا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صحّة الصلاة لأجل فقدان الملاک، و معه لا دخالة للعلم و الجهل فی الصحّة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لا یتعلّق بالذات إلّا بما هو حامل الملاک بالذات، و کذا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فمتعلّقهما عین حامل الملاک، و هو مع وحدته غیر معقول، و مع تکثّره یوجب جواز الاجتماع فتصوّر الحیثیتین الحاملتین للملاک یناقض القول بالامتناع من جهة التکلیف الذی هو المحال،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بعد تصوّر الملاک قابل للتقرّب به؛ لأنّ الحیثیة الحاملة لملاک الصلاة غیر الحیثیة الحاملة لملاک الغصب، فأتمّیة ملاک النهی من الأمر لا یوجب تنقیصاً فی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فملاکه تامّ، لکن لم ینشأ الحکم علی طبقه لأجل المانع؛ و هو أتمّیة ملاک الغصب، و هو غیر قابل لمنع صحّتها؛ لکفایة الملاک التامّ فی صحّتها مع 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الأمر هاهنا کعدمه فی الضدّین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المقامین بأنّ باب الضدّین من قبیل تزاحم الحکمین فی مقام الامتثال و صرف قدرة العبد بعد صحّة إنشاء الحکمین علی الموضوعین، و باب الاجتماع من قبیل تزاحم المقتضیین لدی الآمر، فلا تأثیر لعلم المکلّف و جهله هاهنا، بخلافه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المقام من صغریات باب التعارض، و مع ترجیح جانب النهی ینشأ الأمر بالصلاة فی غیر المغصوب، و التقیید هنا کسائر التقییدات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فالصلاة فی المغصوب لیست بمأمور بها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سابقاً من أنّ انسلاک الدلیلین فی صغری باب التعارض منوط و معلّق علی التعارض العرفی و عدم الجمع العقلائی، لا التعارض العقلی الذی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هاهنا فی صحّة الصلاة بحسب القواعد، و هی غیر منوطة علی الأمر الفعلی، و إلّا فلازمه البطلان فی المقامین، بل منوطة علی کفایة تمامیة الملاک فی عبادیة العبادة؛ و هی موجودة فی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إنشاء الحکم هاهنا لأجل المانع و إنشائه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الفرق بعد تمامیة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تمامیته هاهنا؛ لأنّ الملاک مکسور بالتزاحم</w:t>
      </w:r>
      <w:r>
        <w:rPr>
          <w:rStyle w:val="FootnoteAnchor"/>
          <w:rtl w:val="true"/>
        </w:rPr>
        <w:footnoteReference w:id="36"/>
      </w:r>
      <w:r>
        <w:rPr>
          <w:rFonts w:ascii="IRNazanin" w:hAnsi="IRNazanin" w:eastAsia="IRNazanin"/>
          <w:color w:val="111111"/>
          <w:sz w:val="28"/>
          <w:sz w:val="28"/>
          <w:szCs w:val="28"/>
          <w:rtl w:val="true"/>
          <w:lang w:bidi="fa-IR"/>
        </w:rPr>
        <w:t>ممنوعة؛ لأنّ مقتضی أتمّیة ملاک الغصب و إن کان عدم جعل الحکم علی الصلاة لکن لیس مقتضاها صیرورة ملاکها ناقصاً؛ فإن ارید بالمکسوریة النقصان، فهو ممنوع جدّاً؛ لأنّ الملاکین القائمین بالحیثیتین لا معنی لانکسار أحدهما بالآخر، و إن ارید بها أنّ الحکم بعد تزاحمهما یصیر تابعاً للأقوی فهذا مسلّم، لکن لا یوجب نقصاً فی ملاک المهمّ، فهو علی ملاکه باقٍ، إلّا أنّ النهی صار مانعاً من تأثیره فی جواز التقرّب به، و مع عدم تأثیر النهی لا مانع عن تأثیره فی الصحّة بعد کفایة الملاک التامّ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مانعیة النهی المعلوم عن صحّة الصلاة لأجل ملاکها التامّ محلّ إشکال فی هذا الفرض، بل الظاهر صحّتها؛ و لو مع العلم بالنهی؛ لإمکان التقرّب بالحیثیة الحاملة للملاک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المتعلّق بالحیثیة الاخری لا یوجب البطلان، و سیجی‌ء زیادة توضیح لهذا، فارتقب</w:t>
      </w:r>
      <w:r>
        <w:rPr>
          <w:rFonts w:eastAsia="IRNazanin" w:cs="IRNazanin"/>
          <w:color w:val="111111"/>
          <w:sz w:val="28"/>
          <w:szCs w:val="28"/>
          <w:rtl w:val="true"/>
          <w:lang w:bidi="fa-IR"/>
        </w:rPr>
        <w:t>.</w:t>
      </w:r>
      <w:bookmarkStart w:id="58" w:name="pg12907_206493"/>
    </w:p>
    <w:p>
      <w:pPr>
        <w:pStyle w:val="Heading5"/>
        <w:numPr>
          <w:ilvl w:val="4"/>
          <w:numId w:val="1"/>
        </w:numPr>
        <w:rPr/>
      </w:pPr>
      <w:bookmarkStart w:id="59" w:name="__RefHeading___Toc3346258_3224264995"/>
      <w:bookmarkStart w:id="60" w:name="_Toc22"/>
      <w:bookmarkEnd w:id="58"/>
      <w:bookmarkEnd w:id="59"/>
      <w:r>
        <w:rPr>
          <w:rtl w:val="true"/>
        </w:rPr>
        <w:t>التاسع</w:t>
      </w:r>
      <w:r>
        <w:rPr>
          <w:rtl w:val="true"/>
        </w:rPr>
        <w:t xml:space="preserve">: </w:t>
      </w:r>
      <w:r>
        <w:rPr>
          <w:rtl w:val="true"/>
        </w:rPr>
        <w:t>فی شروط جریان النزاع فی المقام</w:t>
      </w:r>
      <w:bookmarkEnd w:id="60"/>
    </w:p>
    <w:p>
      <w:pPr>
        <w:pStyle w:val="BookText"/>
        <w:rPr/>
      </w:pPr>
      <w:r>
        <w:rPr>
          <w:rFonts w:ascii="IRNazanin" w:hAnsi="IRNazanin" w:eastAsia="IRNazanin"/>
          <w:color w:val="111111"/>
          <w:sz w:val="28"/>
          <w:sz w:val="28"/>
          <w:szCs w:val="28"/>
          <w:rtl w:val="true"/>
          <w:lang w:bidi="fa-IR"/>
        </w:rPr>
        <w:t>إنّه لا کلام فی عدم جریان النزاع فی المتباینین و المتساویین، و الظاهر جریانه فی الأعمّ و الأخصّ المطلقین إذا کان المنهی عنه أخصّ و لم یؤخذ مفهوم الأعمّ فی الأخصّ بأن تکون الأعمّیة و الأخصّیة بحسب المورد لا المفهوم؛ و ذلک لأنّ العنوانین مختلفان، و هما متعلّقان للأمر و النهی،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الاتّحاد فی المصداق لا یضرّ المجوّز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 و الخاصّ بحسب المفهومین فقد یقال بعدم کونه محلًاّ للنزاع؛ لأنّ المطلق عین ما اخذ فی المقیّد، و وصف الإطلاق لیس بشی‌ء، فلا یمکن أن یقع المطلق مورد الحکمین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المطلق غیر عنوان المقیّد، و الحکم فی المقیّد لم یتعلّق بالمطلق مع قیده، بل بالمقیّد بما هو مقیّد و نفس الطبیعة بلا قید لم تکن موضوعاً للحکم فی المقیّد؛ و هی موضوع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 فی أحد الدلیلین ذا حکم دون الآخر، و الأمر الضمنی لا أساس له، فیجری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محلّ إشکال و تأمّل؛ و إن کان عدم جریانه أشبه، و للمقال تتمّة، فانتظرها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العامّان من وجه فلا إشکال فی جریانه فیهما إلّا إذا اخذ مفهوم أحدهما فی الآخر،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فیه الإشکال المتقدّم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النزاع فی العامّین من وجه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واقعاً بین نفس الفعلین الصادرین من المکلّف بإرادة و اختیار، کما فی الصلاة و الغصب، و أمّا إذا کانت بین الموضوعین، کما فی العالم و الفاسق فهو خارج عن محلّ النزاع؛ لأنّ الترکیب بینهما اتّحادی لا انضمامی، و لازمه تعلّق الأمر بعین ما تعلّق به النهی، فلا بدّ فیهما من إجراء قواعد التعارض، و منه علم عدم جریانه فیما إذا کان للفعل عنوانان تولیدیان؛ بأن تکون النسبة بینهما العموم من وجه، کما لو أمر بإکرام العالم و نهی عن إکرام الفاسق، فقام المکلّف لأجل إکرامهما تعظیماً؛ فإنّ القیام یتولّد منه التعظیمان، و هما و إن کانا بحیثیتین انضمامیتین، لکن الأمر بهما أمر بالسبب، فینجرّ إلی تعلّقه بشی‌ء واحد وجوداً و إیجاداً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بین الفعلین ترکیب انضمامی لا اتّحادی، فیخرج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مغصوباً؛ فإنّ نفس الشرب هو الغصب، فالترکیب الاتّحادی لا یجری فیه النزاع</w:t>
      </w:r>
      <w:r>
        <w:rPr>
          <w:rStyle w:val="FootnoteAnchor"/>
          <w:rtl w:val="true"/>
        </w:rPr>
        <w:footnoteReference w:id="38"/>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الترکیب الانضمامی و الاتّحادی أجنبیة عن مسألة اجتماع الأمر و النهی، و سیوافیک</w:t>
      </w:r>
      <w:r>
        <w:rPr>
          <w:rStyle w:val="FootnoteAnchor"/>
          <w:rtl w:val="true"/>
        </w:rPr>
        <w:footnoteReference w:id="39"/>
      </w:r>
      <w:r>
        <w:rPr>
          <w:rFonts w:ascii="IRNazanin" w:hAnsi="IRNazanin" w:eastAsia="IRNazanin"/>
          <w:color w:val="111111"/>
          <w:sz w:val="28"/>
          <w:sz w:val="28"/>
          <w:szCs w:val="28"/>
          <w:rtl w:val="true"/>
          <w:lang w:bidi="fa-IR"/>
        </w:rPr>
        <w:t>أنّ الجواز لا یبتنی علی الترکیب الانضمامی؛ فإنّ الترکیب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اتّحادیاً أو انضمامیاً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مربوط بمقام متعلّقات الأحکام التی هی العناوین لا المصادیق الخارجیة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یجری النزاع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و 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الماء غصباً، و کذا فی الأفعال التولیدیة؛ و إن قلنا</w:t>
      </w:r>
      <w:bookmarkStart w:id="61" w:name="pg12907_206495"/>
    </w:p>
    <w:p>
      <w:pPr>
        <w:pStyle w:val="BookText"/>
        <w:rPr/>
      </w:pPr>
      <w:bookmarkEnd w:id="61"/>
      <w:r>
        <w:rPr>
          <w:rFonts w:ascii="IRNazanin" w:hAnsi="IRNazanin" w:eastAsia="IRNazanin"/>
          <w:color w:val="111111"/>
          <w:sz w:val="28"/>
          <w:sz w:val="28"/>
          <w:szCs w:val="28"/>
          <w:rtl w:val="true"/>
          <w:lang w:bidi="fa-IR"/>
        </w:rPr>
        <w:t xml:space="preserve">بتعلّق الأمر بالأسباب؛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و لا تکرم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لزید، و لا تقم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عنوانان مختلفان یجوز تعلّق الأمر بأحدهما و النهی بالآخر؛ سواء فی ذلک السبب و المسبّب التولیدی، مع أنّ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رجوع الأمر إلی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و إشکال</w:t>
      </w:r>
      <w:r>
        <w:rPr>
          <w:rFonts w:eastAsia="IRNazanin" w:cs="IRNazanin"/>
          <w:color w:val="111111"/>
          <w:sz w:val="28"/>
          <w:szCs w:val="28"/>
          <w:rtl w:val="true"/>
          <w:lang w:bidi="fa-IR"/>
        </w:rPr>
        <w:t>.</w:t>
      </w:r>
    </w:p>
    <w:p>
      <w:pPr>
        <w:pStyle w:val="Heading4"/>
        <w:numPr>
          <w:ilvl w:val="3"/>
          <w:numId w:val="1"/>
        </w:numPr>
        <w:rPr/>
      </w:pPr>
      <w:bookmarkStart w:id="62" w:name="__RefHeading___Toc3346260_3224264995"/>
      <w:bookmarkStart w:id="63" w:name="_Toc23"/>
      <w:bookmarkEnd w:id="62"/>
      <w:r>
        <w:rPr>
          <w:rtl w:val="true"/>
        </w:rPr>
        <w:t>مقتضی التحقیق هو القول بجواز الاجتماع</w:t>
      </w:r>
      <w:bookmarkEnd w:id="63"/>
    </w:p>
    <w:p>
      <w:pPr>
        <w:pStyle w:val="BookText"/>
        <w:rPr/>
      </w:pPr>
      <w:r>
        <w:rPr>
          <w:rFonts w:ascii="IRNazanin" w:hAnsi="IRNazanin" w:eastAsia="IRNazanin"/>
          <w:color w:val="111111"/>
          <w:sz w:val="28"/>
          <w:sz w:val="28"/>
          <w:szCs w:val="28"/>
          <w:rtl w:val="true"/>
          <w:lang w:bidi="fa-IR"/>
        </w:rPr>
        <w:t>إذا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هو الجواز، و یتّضح بترتیب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 کان أو 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بعنوان مطلق أو مقیّد یمتنع أن یتجاوز عن متعلّقه إلی مقارناته الاتّفاقیة و لوازمه الوجودیة حتّی یقع الخارج من المتعلّق تحت الأمر أو النهی؛ فإنّ تجاوزه عنه إلی ما لا دخالة له فی تحصیل غرضه جزاف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کالتکوینیة فی ذلک، فکما أنّ الثانیة تابعة لإدراک الصلاح و لا تتعلّق إلّا بما هو دخیل بحسب اللبّ فی تحصیل الغرض و لا تسری من موضوعه إلی ما لا دخالة له فی وعاء من الأوعیة، فکذلک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بالصلاة لا یمکن إلّا إذا کانت الخصوصیات المأخوذة فیها دخیلة فی تحصیل المصلحة، فکما لا یمکن تعلّقه بالفاقد منها کذلک لا یمکن تعلّقه بالخصوصیة غیر الدخیلة فی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تعلّق النهی بعنوان الغصب أو التصرّف فی مال الغیر بلا إذن منه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فالمقارنات الاتّفاقیة و الملازمات الوجودیة للمأمور به فی الوجود الخارجی أو الذهنی کلّها خارجة من تحت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أوعزنا إلیه</w:t>
      </w:r>
      <w:r>
        <w:rPr>
          <w:rStyle w:val="FootnoteAnchor"/>
          <w:rtl w:val="true"/>
        </w:rPr>
        <w:footnoteReference w:id="40"/>
      </w:r>
      <w:r>
        <w:rPr>
          <w:rFonts w:ascii="IRNazanin" w:hAnsi="IRNazanin" w:eastAsia="IRNazanin"/>
          <w:color w:val="111111"/>
          <w:sz w:val="28"/>
          <w:sz w:val="28"/>
          <w:szCs w:val="28"/>
          <w:rtl w:val="true"/>
          <w:lang w:bidi="fa-IR"/>
        </w:rPr>
        <w:t>و سیوافیک فی محلّه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کون ما وقع تحت الأمر تمام الموضوع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یتوهّم من أنّ الإطلاق عبارة عن لحاظ المطلق ساریاً فی أفراده دارجاً فی مصادیقه أو مرآة لحالاته</w:t>
      </w:r>
      <w:r>
        <w:rPr>
          <w:rStyle w:val="FootnoteAnchor"/>
          <w:rtl w:val="true"/>
        </w:rPr>
        <w:footnoteReference w:id="42"/>
      </w:r>
      <w:r>
        <w:rPr>
          <w:rFonts w:ascii="IRNazanin" w:hAnsi="IRNazanin" w:eastAsia="IRNazanin"/>
          <w:color w:val="111111"/>
          <w:sz w:val="28"/>
          <w:sz w:val="28"/>
          <w:szCs w:val="28"/>
          <w:rtl w:val="true"/>
          <w:lang w:bidi="fa-IR"/>
        </w:rPr>
        <w:t>فضعیف غایته؛ لأنّ سریان الطبیعة فی أفراده أمر ذاتی، علی ما حرّر فی محلّه،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إمکان کون الماهیة آلة للحاظ تلک الخصوصیات ثانیاً، بل لا بدّ هنا من دالّ آخر یدلّ علی الکثرة وراء الطبیعة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المفیدة للاستغراق، و معه یصیر عموماً لا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أنّ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الإطلاق هو کون الشی‌ء بتمام حالاته و لواحقه موضوعاً للحکم، و 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یجب علیک عتقها؛ سواء کانت عادلة أم فاسقة، عالمة أم جاهلة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أصل له؛ إذ الدخیل فی الغرض هو ذات الطبیعة لا حالاتها و قیودها المتصوّرة؛ و لذلک قد ذکرنا فی محلّه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واقع فی عداد الدلالات العقلیة؛ أی دلالة فعل المتکلّم بما هو فاعل مختار بحسب العقل علی أنّ ما أفاده هو تمام مقصوده و محصّل غرضه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تعلّق الحکم بها بلا دخالة لشی‌ء آخر فی الموضوع،</w:t>
      </w:r>
    </w:p>
    <w:p>
      <w:pPr>
        <w:pStyle w:val="BookText"/>
        <w:rPr/>
      </w:pPr>
      <w:r>
        <w:rPr>
          <w:rFonts w:ascii="IRNazanin" w:hAnsi="IRNazanin" w:eastAsia="IRNazanin"/>
          <w:color w:val="111111"/>
          <w:sz w:val="28"/>
          <w:sz w:val="28"/>
          <w:szCs w:val="28"/>
          <w:rtl w:val="true"/>
          <w:lang w:bidi="fa-IR"/>
        </w:rPr>
        <w:t xml:space="preserve">و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 مال الغیر بلا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ذاک العنوان تمام الموضوع للحرمة، فلا یمکن أن یکون الأوّل ناظراً إلی الصلاة فی الدار المغصوبة، و لا الثانی إلی التصرّف بمثل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اتّحاد الماهیة اللابشرط مع ألف شرط فی الوجود الخارجی لا یلزم منه حکایة المعروض عن عارضه إذا کان خارجاً من ذاتها و لاحقاً بها؛ لأنّ حکایة اللفظ دائرة مدار الوضع منوطة بالعُلقة الاعتباریة، و هو منتفٍ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و المفهوم اللابشرط فیمتنع أن یکون کاشفاً عن مخالفاته بحسب الذات و المفهوم؛ و إنّ اتّحد معها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الوجود متّحد مع الماهیة، و لا تکشف الماهیة عن الوجود، و الأعراض کلّها متّحدة مع معروضاتها، و لکن البیاض لا یکشف عن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الانتقال من أحد المتلازمین إلی الآخر أو من أحد الضدّین إلی الآخر فقد مرّ</w:t>
      </w:r>
      <w:r>
        <w:rPr>
          <w:rStyle w:val="FootnoteAnchor"/>
          <w:rtl w:val="true"/>
        </w:rPr>
        <w:footnoteReference w:id="45"/>
      </w:r>
      <w:r>
        <w:rPr>
          <w:rFonts w:ascii="IRNazanin" w:hAnsi="IRNazanin" w:eastAsia="IRNazanin"/>
          <w:color w:val="111111"/>
          <w:sz w:val="28"/>
          <w:sz w:val="28"/>
          <w:szCs w:val="28"/>
          <w:rtl w:val="true"/>
          <w:lang w:bidi="fa-IR"/>
        </w:rPr>
        <w:t>أنّ ذلک من باب تداعی المعانی الذی یدور مدار الموافاة الوجودیة أو وقوع المطاردة بینهما فی محلّ واحد، و مثل ذلک لا یسمّی کشفاً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و إن اتّحدت أحیاناً مع التصرّف فی مال الغیر بلا إذنه فی الخارج، لکن لا یمکن أن تکون مرآة له و کاشفة عنه، فالاتّحاد فی الوجود غیر الکشف عمّا یتّحد 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الحجر الأساسی لإثبات 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الأحکام هو الطبیعة اللابشرط المنسلخة عن کافّة العوارض و اللواحق، لا الوجود الخارجی أو الإیجاد بالحمل الشائع؛ لأنّ تعلّق الحکم بالموجود لا یمکن إلّا فی ظرف</w:t>
      </w:r>
    </w:p>
    <w:p>
      <w:pPr>
        <w:pStyle w:val="BookText"/>
        <w:rPr/>
      </w:pPr>
      <w:r>
        <w:rPr>
          <w:rFonts w:ascii="IRNazanin" w:hAnsi="IRNazanin" w:eastAsia="IRNazanin"/>
          <w:color w:val="111111"/>
          <w:sz w:val="28"/>
          <w:sz w:val="28"/>
          <w:szCs w:val="28"/>
          <w:rtl w:val="true"/>
          <w:lang w:bidi="fa-IR"/>
        </w:rPr>
        <w:t>تحقّقه، و البعث إلی إیجاد الموجود بعث إلی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الزجر؛ لأنّ الزجر عمّا تحقّق خارجاً أمر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الوجود الذهنی الموجود فی ذهن الآمر؛ لأنّه بقید کونه فی الذهن لا ینطبق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متعلّق الأحکام هی نفس الطبیعة غیر المتقیّدة بأحد الوجودین، بل ذات الماهیة التی تعرّضه الکلّیة و تنطبق علی کثیرین، و لها عوارض و لوازم بحسب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 تعلّق الحکم متوقّفاً علی تصوّر الموضوع، و التصوّر هنا هو الوجود الذهنی فلا محالة یکون ظرف تعلّق الحکم بها هو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فالطبیعة متعلّقة للحکم فی الذهن لا بما هی موجودة فیه و لا بما هی موجودة فی الخارج، بل بما هی هی، مع قطع النظر عن تحصّله فی الذهن و تنوّرها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الاحتیاج إلی تصوّرها لیس إلّا لأجل توقّف جعل الحکم علی تصوّر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الحکم بالنسبة إلی متعلّقه وزان لوازم الماهیة إلی نفسها؛ فإنّ لزوم الإمکان لها و الزوجیة للأربعة و إن کان لا یتوقّف علی وجودهما خارجاً أو ذهناً إلّا أنّ ظهور اللزوم یتوقّف علی وجود المعروض فی أحد الموطنین؛ و لذا ذکر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المعروض ذهناً أو خارجاً فی لوازم الماهیة دخیل فی حصول اللزوم لا فی لزومه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فمتعلّق الهیئة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الماهیة اللابشرط و مفاد الهیئة هو البعث إلی تحصیلها، و الوجود و الإیجاد خارجان من تحت الأمر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إلّا هی، لا محبوبة و لا مبغوضة</w:t>
      </w:r>
    </w:p>
    <w:p>
      <w:pPr>
        <w:pStyle w:val="BookText"/>
        <w:rPr/>
      </w:pPr>
      <w:r>
        <w:rPr>
          <w:rFonts w:ascii="IRNazanin" w:hAnsi="IRNazanin" w:eastAsia="IRNazanin"/>
          <w:color w:val="111111"/>
          <w:sz w:val="28"/>
          <w:sz w:val="28"/>
          <w:szCs w:val="28"/>
          <w:rtl w:val="true"/>
          <w:lang w:bidi="fa-IR"/>
        </w:rPr>
        <w:t>و لا تکون مؤثّرة فی تحصیل الغرض</w:t>
      </w:r>
      <w:r>
        <w:rPr>
          <w:rStyle w:val="FootnoteAnchor"/>
          <w:rtl w:val="true"/>
        </w:rPr>
        <w:footnoteReference w:id="47"/>
      </w:r>
      <w:r>
        <w:rPr>
          <w:rFonts w:ascii="IRNazanin" w:hAnsi="IRNazanin" w:eastAsia="IRNazanin"/>
          <w:color w:val="111111"/>
          <w:sz w:val="28"/>
          <w:sz w:val="28"/>
          <w:szCs w:val="28"/>
          <w:rtl w:val="true"/>
          <w:lang w:bidi="fa-IR"/>
        </w:rPr>
        <w:t>، فکیف یبعث إلیها مع کونها کذلک؟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تحقیق الحال فی الکلمة المعروفة بین المحقّقین، فلا حاجة إلی الإطناب، بل قد عرفت أنّه لا مناص عن القول بتعلّق الأحکام بنفس الطبائع؛ لبطلان تعلّقها بالوجود الخارجی أو الذهنی، و لیس هنا شی‌ء ثالث یصلح لأن یقع متعلّق الأمر و الزجر، سوی ذات الماهیة اللابشرط؛ حتّی یتوصّل به إلی تحقّق الصلاة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لمّا رأی أنّ إتیان الصلاة و وجودها خارجاً محصّل للغرض فلا محالة یتوصّل إلی تحصیله بسبب؛ و هو عبارة عن التشبّث بالأمر بالطبیعة، و الغایة منه هو انبعاث العبد إلی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الأمر هو الطبیعة، و الهیئة باعثة وضعاً نحو إیجادها، إمّا لأجل حکم العقل به کما هو المختار، أو لأجل دلالته علی طلب الوجود؛ أی العنوانی منه لیحصل الخارجی، لکن قد مرّ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أمراً رابعاً یصلح لأن یقع متعلّق الأحکام؛ و هو أخذ الماهیة مرآة للخارج، و لا یلزم المحذورات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المرآتیة إن کان هو التوصّل به إلی وضع الحکم علی المعنون الخارجی فواضح بطلانه؛ إذ هو بعد غیر موجود، فلا معنون حین الحکم حتّی یقع متعلّق الحکم، و لو فرضنا وجوده یلزم تحصیل الحاصل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الطبیعة لا یمکن أن تکون مرآة للوجود؛ لما عرفت من أنّ الاتّحاد فی الوجود غیر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وضع الحکم علی الطبیعة و جعله علیها بداعی إیجادها فی الخارج فهو راجع إلی 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یسقط ما أفاده المحقّق الخراسانی فی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الأساس للقول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متعلّق الأحکام هو فعل المکلّف، و ما یصدر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یسقط ما أفاده بعض الأعاظم</w:t>
      </w:r>
      <w:r>
        <w:rPr>
          <w:rStyle w:val="FootnoteAnchor"/>
          <w:rtl w:val="true"/>
        </w:rPr>
        <w:footnoteReference w:id="49"/>
      </w:r>
      <w:r>
        <w:rPr>
          <w:rFonts w:ascii="IRNazanin" w:hAnsi="IRNazanin" w:eastAsia="IRNazanin"/>
          <w:color w:val="111111"/>
          <w:sz w:val="28"/>
          <w:sz w:val="28"/>
          <w:szCs w:val="28"/>
          <w:rtl w:val="true"/>
          <w:lang w:bidi="fa-IR"/>
        </w:rPr>
        <w:t>بترتیب مقدّمات؛ عصارتها کون الخارج مؤلّفاً من مقولتین، و الترکیب بینهما انضمامی لا اتّحادی، فمتعلّق الأمر غیر متعلّق النهی خارجاً؛ إذ الترکیب الانضمامی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فی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یفکّ به العقدة؛ لکون الخارج غیر مأمور به و لا منهی عنه، و تعدّده لا یجدی ما لم یرفع الغائلة فی متعلّق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أنّک قد وقفت علی وجوه من الضعف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القول بتعلّق الأحکام بالوجود الخارجی و ما هو فعل المکلّف بالحمل الشائع، لکن مع بطلان هذا البناء لا محیص عن القول بالامتناع؛ کان الترکیب انضمامیاً أو لا، مع أنّ الترکیب الانضمامی بین الصلاة و الغصب و التصرّف العدوانی لا وجه صحیح له، کما تقدّم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تسمیة ما ذکر بالترکیب الانضمامی و الاتّحادی مجرّد اصطلاح، و إلّا فلیس انطباق العناوین علی شی‌ء من قبیل الترکیب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رتّبناه من المقدّمات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جواز الاجتماع؛</w:t>
      </w:r>
      <w:bookmarkStart w:id="64" w:name="pg12907_206501"/>
    </w:p>
    <w:p>
      <w:pPr>
        <w:pStyle w:val="BookText"/>
        <w:rPr/>
      </w:pPr>
      <w:bookmarkEnd w:id="64"/>
      <w:r>
        <w:rPr>
          <w:rFonts w:ascii="IRNazanin" w:hAnsi="IRNazanin" w:eastAsia="IRNazanin"/>
          <w:color w:val="111111"/>
          <w:sz w:val="28"/>
          <w:sz w:val="28"/>
          <w:szCs w:val="28"/>
          <w:rtl w:val="true"/>
          <w:lang w:bidi="fa-IR"/>
        </w:rPr>
        <w:t>لأنّ الواجب هو نفس عنوان الصلاة دون ما یقارنها من اللواحق و اللوازم، و لا یمکن أن یتجاوز الأمر عن متعلّقه إلی ما هو خارج منه، و مثله النهی بحکم الاولی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معنی الإطلاق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الصلاة؛ سواء اتّحدت مع الغصب أم مع غیره؛ بحیث یکون الملحقات و المتّحدات معها ملحوظة و متعلّقة للحکم و الوجوب، و ذلک بحکم ثانیتها، کما أنّ اتّحاد الصلاة مع الغصب فی الخارج بسوء اختیار المکلّف لا یوجب أن تکون کاشفة عنه حتّی یسری من المتعلّق إلی غیره بحکم ثالثتها، و أنّ محطّ نزول الأحکام و متعلّقاتها هی نفس العناوین؛ و إن کانت الغایة إیجادها فی الخارج، لا الوجود الخارجی، و لا الذهنی بحکم الرابعة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یسری حکم أحد العنوانین إلی العنوان الآخر، بل کلّ حکم مقصور علی موضوعه لا یتخطّی عنه، فعند الوجود الخارجی و إن کان العنوانان متّحدین کمال الاتّحاد إلّا أنّ المجمع الخارجی لیس متعلّقاً للبعث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ظرف ثبوت الحکمین ففیه یکون العنوانان متعدّدین و متخالفین؛ إذ عنوان الصلاة غیر عنوان الغصب مفهوماً و ذاتاً، فأین اجتمع الحکمان حتّی نعالجه؟</w:t>
      </w:r>
      <w:r>
        <w:rPr>
          <w:rFonts w:eastAsia="IRNazanin" w:cs="IRNazanin"/>
          <w:color w:val="111111"/>
          <w:sz w:val="28"/>
          <w:szCs w:val="28"/>
          <w:rtl w:val="true"/>
          <w:lang w:bidi="fa-IR"/>
        </w:rPr>
        <w:t>!</w:t>
      </w:r>
    </w:p>
    <w:p>
      <w:pPr>
        <w:pStyle w:val="Heading4"/>
        <w:numPr>
          <w:ilvl w:val="3"/>
          <w:numId w:val="1"/>
        </w:numPr>
        <w:rPr/>
      </w:pPr>
      <w:bookmarkStart w:id="65" w:name="__RefHeading___Toc3346262_3224264995"/>
      <w:bookmarkStart w:id="66" w:name="_Toc24"/>
      <w:bookmarkEnd w:id="65"/>
      <w:r>
        <w:rPr>
          <w:rtl w:val="true"/>
        </w:rPr>
        <w:t>دفع الإشکالات الواردة علی القول بجواز الاجتماع</w:t>
      </w:r>
      <w:bookmarkEnd w:id="66"/>
    </w:p>
    <w:p>
      <w:pPr>
        <w:pStyle w:val="BookText"/>
        <w:rPr/>
      </w:pPr>
      <w:r>
        <w:rPr>
          <w:rFonts w:ascii="IRNazanin" w:hAnsi="IRNazanin" w:eastAsia="IRNazanin"/>
          <w:color w:val="111111"/>
          <w:sz w:val="28"/>
          <w:sz w:val="28"/>
          <w:szCs w:val="28"/>
          <w:rtl w:val="true"/>
          <w:lang w:bidi="fa-IR"/>
        </w:rPr>
        <w:t>و من ذلک یظهر حلّ بعض العویصات المتوهّمة فی المقام من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یلزم علی القول بجواز الاجتماع کون شی‌ء واحد محبوباً و مبغوضاً و ذا صلاح و فساد و مقرّباً و مبعّداً؛ فإنّ محطّ الحبّ و مناخ الشوق هو ما یسعف</w:t>
      </w:r>
    </w:p>
    <w:p>
      <w:pPr>
        <w:pStyle w:val="BookText"/>
        <w:rPr/>
      </w:pPr>
      <w:r>
        <w:rPr>
          <w:rFonts w:ascii="IRNazanin" w:hAnsi="IRNazanin" w:eastAsia="IRNazanin"/>
          <w:color w:val="111111"/>
          <w:sz w:val="28"/>
          <w:sz w:val="28"/>
          <w:szCs w:val="28"/>
          <w:rtl w:val="true"/>
          <w:lang w:bidi="fa-IR"/>
        </w:rPr>
        <w:t>حاجته و یقضی مراده، و هو لیس إلّا الخارج؛ إذ إلیه یشدّ رحال الآمال، و عنده تناخ رکائبها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الاجتماع فی المراحل المتقدّمة علی الأمر و النهی؛ بأن یجتمعا فی مبادئهما الموجودة فی نفس المولی فهو واضح البطلان؛ لأنّ المتصوّر من کلٍّ غیر المتصوّر من الآخر، و مورد تصدیق المصلحة غیر مورد تصدیق المفسدة، و قس علیهما سائر المراحل، و کذا العنوان المتعلّق به الحکم من کلّ، غیر الآخر، لو فرض تعلّق البعث و الزجر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کون الموجود الخارجی محبوباً و مبغوضاً فلا محذور فیه؛ لأنّ الحبّ و البغض من الأوصاف النفسانیة، و تقوّمها إنّما هو بمتعلّقاتها؛ إذ الحبّ المطلق و الشوق بلا متعلّق لا معنی لهما، و لکن ما هو المتعلّق إنّما هو صور الموجودات و عناوینها؛ إذ الخارج یمتنع أن یکون مقوّماً لأمر ذهنی، و إلّا لزم الانقلاب و صیرورة الذهن خارجاً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 أو الشوق قد یتعلّق بما هو معدوم، و المعدوم یمتنع أن یقع مقوّماً للموجود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مناص عن القول بأنّ متعلّقی الحبّ و البعض متغایران حقیقة؛ لأنّ وعاء الذهن وعاء التحلیل و التجزئة، فالصورة التی تعلّق بها الحبّ غیر الصورة التی تعلّق بها البغض، و لمّا کانت العناوین وجوهاً لمصادیقها فلا محالة یصیر الخارج محبوباً و مبغوضاً بالعرض و بالواسطة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الموجود الخارجی محبوباً بالعرض خلاف الوجدان و الإنصاف، و لا یقال هذا محبوب إلّا إذا وجد فیه المبدأ حقیقة، فعلی القول بالاجتماع یلزم اجتماع مبدأین متضادّین فی 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محبوباً و مبغوضاً لا یستلزم کون الخارج متّصفاً بمبدأین متضادّین؛ إذ فرق بین الأعراض الخارجیة التی تقع ناعتة لموضوعاتها کالأبیض و الأسود، و بین الأوصاف النفسانیة التی لها نحو إضافة إلی الخارج، کالحبّ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الشی‌ء محبوباً لیس معناه إلّا وجود حبّ فی النفس مضافاً إلی صورته أوّلًا، ثمّ إلی الخارج ثانیاً، و مع ذلک لا یحصل فی الخارج تغیّر و لا وجود عرض حالّ فی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الأوصاف لیس بحذائها شی‌ء فی الخارج حتّی یلزم وجود مبدأین متضادّین فی الوجود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تعلّق به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حبّ کلّ محبّ قائم بنفسه لا یسری إلی محبوبه؛ فإنّ اللَّه تعالی محبوب الأولیاء و المؤمنین، و لا یمکن حدوث صفة حالّة فیه بعددهم، بل المحبوبیة و المبغوضیة من الصفات الانتزاعیة التی یکون لها منشأ 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لحاظ المنشأ؛ فإنّ المنتزع تابع لمنشئه فی الوحدة و الکثرة، بل فی جمیع الشؤون، و قد عرفت أنّ منشأ انتزاعها هی الأوصاف و الکیفیات النفسانیة القائمة بذات النفس المتشخّصة بالصورة الحاصلة فیها التی اخذت مرآة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صحّة انتساب المحبوبیة بنحو إلی ما لیس موجوداً فی الخارج، و لو کان مناط الانتساب قیام صفة خارجیة بالموضوع لامتنع الانتساب قطعاً، و نظیره العلم و القدرة؛ فإنّ الشی‌ء یصیر قبل تحقّقه معلوماً و مقدوراً؛ إذ لیس المناط قیام صفة خارجیة بالموضوع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یتعلّق الحبّ بعنوان و البغض بعنوان آخر،</w:t>
      </w:r>
    </w:p>
    <w:p>
      <w:pPr>
        <w:pStyle w:val="BookText"/>
        <w:rPr/>
      </w:pPr>
      <w:r>
        <w:rPr>
          <w:rFonts w:ascii="IRNazanin" w:hAnsi="IRNazanin" w:eastAsia="IRNazanin"/>
          <w:color w:val="111111"/>
          <w:sz w:val="28"/>
          <w:sz w:val="28"/>
          <w:szCs w:val="28"/>
          <w:rtl w:val="true"/>
          <w:lang w:bidi="fa-IR"/>
        </w:rPr>
        <w:t>فیکون الموجود الخارجی محبوباً و مبغوضاً، مع کون العنوانین موجودین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البسائط الحقیقیة معلومة للَّه تعالی و مقدورة و مرضیة و معلومة و هکذا، و لا یلزم من ذلک تکثّر فی البسائط؛ إذ التکثّر فی ناحیة الإضافة، و لا إشکال فی تکثّر الإضافات بالنسبة إلی شی‌ء واحد بسیط، من غیر حصول تکثّر فیه، کما فی الإضافات إلی الباری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یرشدک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شی‌ء بسیط معلوماً و مجهولًا بجهتین، کالحرکة الخاصّة الرکوعیة فی الدار المجهولة غصبیتها؛ فإنّها مع وحدتها معلومة بوصف الرکوع و مجهولة بوصف التصرّف فی مال الغیر، فلو کانت المعلومیة و المجهولیة کالبیاض و السواد من الصفات الخارجیة لامتنع اجتماعهما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اجتماعهما و کذا فی اجتماع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کونهما من الامور الانتزاعیة؛ فإنّ المعلومیة أو المحبوبیة منتزعان من تعلّق العلم و الحبّ بالصورة الحاکیة عن الخارج، بلا حدوث صفة فی الخارج،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قیام المصلحة و المفسدة بشی‌ء واحد فهو أیضاً لا محذور فیه؛ لأنّهما أیضاً لا یجب أن تکونا من الأعراض الخارجیة القائمة بفعل المکلّف؛ لأنّ معنی کون التصرّف فی مال الغیر ظلماً و قبیحاً و ذا مفسدة هو کونه مستلزماً للهرج و المرج، و موجباً لاختلال نظام العباد، من غیر أن یکون هذه العناوین أوصافاً خارجیة قائمة بالموضوع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علیه الخضوع للَّه و الرکوع له؛ فإنّ کلّ واحد قیام بأمر العبودیة و له حسن و مصلحة، من دون أن یکون هذه العناوین أعراضاً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استحالة فی کون المقرّب مبعّداً و المبعّد مقرّباً؛ لأنّ المراد منها لیس هو القرب و البعد المکانیین حتّی لا یمکن اجتماعهما، بل المعنوی من ذلک، و هو لیس أمراً حقیقیاً بل اعتباریاً عقلائیاً یدور مدار الجهات الموجبة له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یری العقل و العقلاء الفرق بین مَن ضرب ابن المولی فی الدار المغصوبة و من أکرمه فیها؛ فحرکة الید لإکرام ابن المولی من جهة أنّها إکرام محبوبة و صالحة للمقرّبیة، و من جهة أنّها تصرّف فی مال الغیر عدواناً مبغوضة و مبعّدة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 رأس الیتیم فی الدار المغصوبة من جهة أنّه الرحمة علیه حَسَن و ذو مصلحة، و من جهة أنّه تصرّف فی مال الغیر قبیح و ذو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فی الدار المغصوبة من جهة أنّها مصداق الصلاة محبوبة و مقرّبة، و من جهة أنّها مصداق الغصب مبغوضة و مبعّدة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البسیط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یتّصف بمثل هذه 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أن یکون الشی‌ء الواحد محبوباً لجهة و مبغوضاً لجهة أمکن أن یکون مقرّباً و مبعّداً من جهتین، من غیر لزوم تضادّ و امتناع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لو تدبّرت فیما هو الملاک فی کون الشی‌ء مقرّباً و مبعّداً عند العقلاء، و أنّ التقرّب و التبعّد فی هاتیک المقامات یدوران مدار الاعتبار یسهّل لک تصدیق ما ذکرنا</w:t>
      </w:r>
      <w:r>
        <w:rPr>
          <w:rFonts w:eastAsia="IRNazanin" w:cs="IRNazanin"/>
          <w:color w:val="111111"/>
          <w:sz w:val="28"/>
          <w:szCs w:val="28"/>
          <w:rtl w:val="true"/>
          <w:lang w:bidi="fa-IR"/>
        </w:rPr>
        <w:t>.</w:t>
      </w:r>
      <w:bookmarkStart w:id="67" w:name="pg12907_206506"/>
    </w:p>
    <w:p>
      <w:pPr>
        <w:pStyle w:val="Heading4"/>
        <w:numPr>
          <w:ilvl w:val="3"/>
          <w:numId w:val="1"/>
        </w:numPr>
        <w:rPr/>
      </w:pPr>
      <w:bookmarkStart w:id="68" w:name="__RefHeading___Toc3346264_3224264995"/>
      <w:bookmarkStart w:id="69" w:name="_Toc25"/>
      <w:bookmarkEnd w:id="67"/>
      <w:bookmarkEnd w:id="68"/>
      <w:r>
        <w:rPr>
          <w:rtl w:val="true"/>
        </w:rPr>
        <w:t>تنبیه فی أدلّة القول بالامتناع و الجواز</w:t>
      </w:r>
      <w:bookmarkEnd w:id="69"/>
    </w:p>
    <w:p>
      <w:pPr>
        <w:pStyle w:val="Heading4"/>
        <w:numPr>
          <w:ilvl w:val="3"/>
          <w:numId w:val="1"/>
        </w:numPr>
        <w:rPr/>
      </w:pPr>
      <w:bookmarkStart w:id="70" w:name="__RefHeading___Toc3346266_3224264995"/>
      <w:bookmarkStart w:id="71" w:name="_Toc26"/>
      <w:bookmarkEnd w:id="70"/>
      <w:r>
        <w:rPr>
          <w:rtl w:val="true"/>
        </w:rPr>
        <w:t>فیما استدلّ به للقول بالامتناع</w:t>
      </w:r>
      <w:bookmarkEnd w:id="71"/>
    </w:p>
    <w:p>
      <w:pPr>
        <w:pStyle w:val="BookText"/>
        <w:rPr/>
      </w:pPr>
      <w:r>
        <w:rPr>
          <w:rFonts w:ascii="IRNazanin" w:hAnsi="IRNazanin" w:eastAsia="IRNazanin"/>
          <w:color w:val="111111"/>
          <w:sz w:val="28"/>
          <w:sz w:val="28"/>
          <w:szCs w:val="28"/>
          <w:rtl w:val="true"/>
          <w:lang w:bidi="fa-IR"/>
        </w:rPr>
        <w:t>استدلّ القائلون بالامتناع بوجوه؛ أسدّها ما ذکره المحقّق الخراسانی، و رتّبه علی مقدّمات؛ عمدتها هو کون الأحکام الخمسة متضادّة فی مقام فعلیتها و بلوغها إلی مرتبة البعث و الزجر؛ لعدم المنافاة بین وجوداتها الإنشائیة قبل البلوغ إلیها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أحکمناه کافٍ فی إثبات المطلوب؛ سواء ثبت التضادّ بین الأحکام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انجرّ الکلام إلی هنا لا بأس بتوضیح الحال فیها، فنقول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الضدّان بأنّهما أمران وجودیان لا یتوقّف تعقّل أحدهما علی الآخر، یتعاقبان علی موضوع واحد بینهما غایة الخلاف</w:t>
      </w:r>
      <w:r>
        <w:rPr>
          <w:rStyle w:val="FootnoteAnchor"/>
          <w:rtl w:val="true"/>
        </w:rPr>
        <w:footnoteReference w:id="53"/>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شرط التضادّ أن یکون الأنواع الأخیرة التی توصف به داخلة تحت جنس واحد قریب</w:t>
      </w:r>
      <w:r>
        <w:rPr>
          <w:rStyle w:val="FootnoteAnchor"/>
          <w:rtl w:val="true"/>
        </w:rPr>
        <w:footnoteReference w:id="54"/>
      </w:r>
      <w:r>
        <w:rPr>
          <w:rFonts w:ascii="IRNazanin" w:hAnsi="IRNazanin" w:eastAsia="IRNazanin"/>
          <w:color w:val="111111"/>
          <w:sz w:val="28"/>
          <w:sz w:val="28"/>
          <w:szCs w:val="28"/>
          <w:rtl w:val="true"/>
          <w:lang w:bidi="fa-IR"/>
        </w:rPr>
        <w:t>، فلا یکون بین الأجناس و لا بین صنفین من نوع واحد و لا شخصین منه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هو المختار عند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فالتعریف المذکور لا ینطبق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المختار بأنّ الأحکام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البعث و الزجر المنشأین بالآلات و الأدوات فواضح جدّاً؛ لأنّ البعث و الزجر بالهیئة الدالّة علیهما إنّما هو بالمواضعة و الاعتبار، و هما لیسا من الامور الوجودیة الحالّة فی موضوعها الخارجی، بل امور اعتباریة عقلائیة، و هم یرون البعث بالهیئة مکان البعث التکوینی، لکن بحسب الوضع و الاعتبار القائمین بنفس المعتبر؛ قیاماً صدوریاً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بکونها عبارة عن الإرادات أو عن الإرادات المظهرة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بعض محقّقی العصر رحمه الله</w:t>
      </w:r>
      <w:r>
        <w:rPr>
          <w:rStyle w:val="FootnoteAnchor"/>
          <w:rtl w:val="true"/>
        </w:rPr>
        <w:footnoteReference w:id="55"/>
      </w:r>
      <w:r>
        <w:rPr>
          <w:rFonts w:ascii="IRNazanin" w:hAnsi="IRNazanin" w:eastAsia="IRNazanin"/>
          <w:color w:val="111111"/>
          <w:sz w:val="28"/>
          <w:sz w:val="28"/>
          <w:szCs w:val="28"/>
          <w:rtl w:val="true"/>
          <w:lang w:bidi="fa-IR"/>
        </w:rPr>
        <w:t>، و قد أوعزنا إلی دفعه سابقاً</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 لأنّ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أسمعناک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الأمرین الوجودیین داخلین تحت جنس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لا بدّ أن یکونا نوعین مستقلّین، مع أنّ إرادة البعث و الزجر داخلتین تحت نوع واحد، و معه کیف تصیران متضادّتین؟</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مبدأ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وجوبیاً أو ندبیاً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إرادة البعث، علی ما هو التحقیق من أنّ الإرادة التشریعیة لا تتعلّق إلّا بالبعث و التحریک، لا بصدور الفعل من الغیر، إلّا أنّ مبدأ النهی هو الکراهة، و هما لیستا من نوع واحد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لیست بمبدإ قریب للنهی، بل المبدأ القریب هو إرادة الزجر؛ و ذلک لأنّ الکراهة و الاستقباح فی مقابل الشوق و الاستحسان، فکما أنّ اشتیاق صدور شی‌ء من المکلّف ربّما یصیر مبدأ لحدوث إرادة البعث نحو المطلوب، کذلک</w:t>
      </w:r>
    </w:p>
    <w:p>
      <w:pPr>
        <w:pStyle w:val="BookText"/>
        <w:rPr/>
      </w:pPr>
      <w:r>
        <w:rPr>
          <w:rFonts w:ascii="IRNazanin" w:hAnsi="IRNazanin" w:eastAsia="IRNazanin"/>
          <w:color w:val="111111"/>
          <w:sz w:val="28"/>
          <w:sz w:val="28"/>
          <w:szCs w:val="28"/>
          <w:rtl w:val="true"/>
          <w:lang w:bidi="fa-IR"/>
        </w:rPr>
        <w:t>الکراهة و تنفّر الطبع عنه ربّما تصیر مبدأ لإرادة الزجر التشریعی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یقابل الاشتیاق هو الکراهة، و أنّهما من مبادئ الإرادة التشریعیة أحیاناً، و المبدأ القریب للنهی هو نفس الإرادة لا الاستکراه، و الإرادتان من نوع واحد، فاختلّ ما هو الشرط للتضادّ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الإرادات لیست أنواعاً مختلفة تحت جنس قریب؛ أمّا الواجب و المستحبّ و کذا الحرام و المکروه فواضح؛ لأنّ الإرادة الوجوبیة و الاستحبابیة مشترکتان فی حقیقة الإرادة و متمیّزتان بالشدّة و الضعف، فإذا أدرک المولی مصلحة ملزمة تتعلّق به الإرادة الشدیدة و ینتزع منها الوجوب، أو أدرک مصلحة غیر ملزمة تتعلّق به الإرادة لا بنحو الشدّة، بل علی نحو یستظهر منها الترخیص فی الترک، و ینتزع منها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علیهما الحرام و المکروه؛ فإنّ المبدأ القریب للنهی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تحریماً کان أو تنزیهاً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الإرادة فیما إذا أدرک أنّ فی الفعل مفسدة، فیتوصّل لسدّ بابها بزجر العبد تشریعاً، فیرید الزجر التشریعی فیزجرهم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فإرادة الزجر المظهرة إذا کانت إلزامیة ینتزع منها التحریم، و إن کانت غیر الزامیة ینتزع منها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المبدأ الأخیر هو الإرادة، و علی القول بانتزاع الأحکام من الإرادات المظهرة لا یتفاوت فیه الوجوب و غیره، و قد عرفت أنّ الإرادة هی المبدأ القریب للإظهار، فلا تکون الأحکام أنواعاً مختلفة مندرجة تحت جنس قریب، علی ما هو المناط فی الضدّین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عدم اجتماع الوجوب و الحرمة، لا یعدّ دلیلًا علی اندراجهما تحت</w:t>
      </w:r>
    </w:p>
    <w:p>
      <w:pPr>
        <w:pStyle w:val="BookText"/>
        <w:rPr/>
      </w:pPr>
      <w:r>
        <w:rPr>
          <w:rFonts w:ascii="IRNazanin" w:hAnsi="IRNazanin" w:eastAsia="IRNazanin"/>
          <w:color w:val="111111"/>
          <w:sz w:val="28"/>
          <w:sz w:val="28"/>
          <w:szCs w:val="28"/>
          <w:rtl w:val="true"/>
          <w:lang w:bidi="fa-IR"/>
        </w:rPr>
        <w:t>التضادّ، لأنّ عدم الاجتماع أعمّ منه سواء أقلنا بأنّ الأحکام امور اعتباریة أم هی إرادات مظهرة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فعدم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إمکان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لغویة جعل حکمین مختلفین فی شی‌ء واحد فی زمن واحد، لا یمکن امتثالهما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هو امتناع الجعل الجدّی عندئذٍ؛ لأنّ الغایة من جعل الحکم هو انبعاث العبد من الإنشاء، و لازم الانبعاث من الأمر هو الفعل، و لازم الانبعاث من النهی هو الترک، و هما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القول بکونها عبارة عن الإرادات؛ لامتناع تعلّق الإرادة بالبعث إلی العمل و الزجر عن الفعل، کتعلّق الإرادة بالطیران إلی الهواء، فعدم الاجتماع أعمّ من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اعتبرنا فی تحقّق التضادّ کون الأمرین ممّا بینهما غایة الخلاف لا یتحقّق التضادّ فی جمیع الأحکام؛ لأنّ الوجوب و الاستحباب لیس بینهما غایة الخلاف، و قس علیه الحرمة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تخرج الأحکام عن تقابل التضادّ بقولنا یتعاقبان علی موضوع واحد؛ لأنّ المراد من الموضوع هو الموضوع الشخصی لا الماهیة النوعیة، و قد مرّ</w:t>
      </w:r>
      <w:r>
        <w:rPr>
          <w:rStyle w:val="FootnoteAnchor"/>
          <w:rtl w:val="true"/>
        </w:rPr>
        <w:footnoteReference w:id="57"/>
      </w:r>
      <w:r>
        <w:rPr>
          <w:rFonts w:ascii="IRNazanin" w:hAnsi="IRNazanin" w:eastAsia="IRNazanin"/>
          <w:color w:val="111111"/>
          <w:sz w:val="28"/>
          <w:sz w:val="28"/>
          <w:szCs w:val="28"/>
          <w:rtl w:val="true"/>
          <w:lang w:bidi="fa-IR"/>
        </w:rPr>
        <w:t>أنّ متعلّقاتها لا یمکن أن یکون الموجود الخارجی، فلا معنی للتعاقب و عدم الاجتماع فیه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التضادّ بین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اشتهر بین المتأخّرین</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 کما علیه بعض أهل التحقیق قدّس اللَّه سرّه</w:t>
      </w:r>
      <w:r>
        <w:rPr>
          <w:rStyle w:val="FootnoteAnchor"/>
          <w:rtl w:val="true"/>
        </w:rPr>
        <w:footnoteReference w:id="59"/>
      </w:r>
      <w:bookmarkStart w:id="72" w:name="pg12907_206510"/>
    </w:p>
    <w:p>
      <w:pPr>
        <w:pStyle w:val="Heading4"/>
        <w:numPr>
          <w:ilvl w:val="3"/>
          <w:numId w:val="1"/>
        </w:numPr>
        <w:rPr/>
      </w:pPr>
      <w:bookmarkStart w:id="73" w:name="__RefHeading___Toc3346268_3224264995"/>
      <w:bookmarkStart w:id="74" w:name="_Toc27"/>
      <w:bookmarkEnd w:id="72"/>
      <w:bookmarkEnd w:id="73"/>
      <w:r>
        <w:rPr>
          <w:rtl w:val="true"/>
        </w:rPr>
        <w:t>فیما استدلّ به للقول بالجواز</w:t>
      </w:r>
      <w:bookmarkEnd w:id="74"/>
    </w:p>
    <w:p>
      <w:pPr>
        <w:pStyle w:val="BookText"/>
        <w:rPr/>
      </w:pPr>
      <w:r>
        <w:rPr>
          <w:rFonts w:ascii="IRNazanin" w:hAnsi="IRNazanin" w:eastAsia="IRNazanin"/>
          <w:color w:val="111111"/>
          <w:sz w:val="28"/>
          <w:sz w:val="28"/>
          <w:szCs w:val="28"/>
          <w:rtl w:val="true"/>
          <w:lang w:bidi="fa-IR"/>
        </w:rPr>
        <w:t>استدلّ المجوّزون للاجتماع بأنّ أدلّ الدلیل علی إمکانه وقوعه، و قد وقع نظیره فی الشریعة الغرّاء، کالواجبات المستحبّة أو المکروهة، فیستکشف إنّاً عن صحّة الجمیع</w:t>
      </w:r>
      <w:r>
        <w:rPr>
          <w:rStyle w:val="FootnoteAnchor"/>
          <w:rtl w:val="true"/>
        </w:rPr>
        <w:footnoteReference w:id="60"/>
      </w:r>
      <w:r>
        <w:rPr>
          <w:rFonts w:ascii="IRNazanin" w:hAnsi="IRNazanin" w:eastAsia="IRNazanin"/>
          <w:color w:val="111111"/>
          <w:sz w:val="28"/>
          <w:sz w:val="28"/>
          <w:szCs w:val="28"/>
          <w:rtl w:val="true"/>
          <w:lang w:bidi="fa-IR"/>
        </w:rPr>
        <w:t>و 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النهی بذاته و عنوانه و لا بدل له، کصوم یوم العاشور، و النوافل المبتدئة عند طلوع الشمس و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اتّحد فیه متعلّقا الأمر و النهی و کان له بدل، کالأخصّ مطلقاً، کالنهی عن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العنوانین عموم من وجه، فتعلّق النهی بما هو مجامع معه وجوداً، کالصلاة فی مواضع التهمة، بناءً علی تعلّق النهی بالکون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بالظواهر بعد قیام البرهان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آداب المناظرة، و کیف کان فنحن فی فسحة عن الثالث، بل الثانی، بناءً علی دخول الأخصّ و الأعمّ مطلقاً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عنان الکلام إلی ما تعلّق به النهی بذاتها و لا بدل 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و إن تعلّق بنفس الصوم ظاهراً إلّا أنّه متعلّق فی الواقع بنفس التشبّه ببنی امیة الحاصل بنفس الصوم، من دون أن یقصد التشبّه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فالمأمور به هو ذات الصوم و المنهی عنه التشبّه بهم، و لمّا انطبق العنوان المنهی عنه</w:t>
      </w:r>
    </w:p>
    <w:p>
      <w:pPr>
        <w:pStyle w:val="BookText"/>
        <w:rPr/>
      </w:pPr>
      <w:r>
        <w:rPr>
          <w:rFonts w:ascii="IRNazanin" w:hAnsi="IRNazanin" w:eastAsia="IRNazanin"/>
          <w:color w:val="111111"/>
          <w:sz w:val="28"/>
          <w:sz w:val="28"/>
          <w:szCs w:val="28"/>
          <w:rtl w:val="true"/>
          <w:lang w:bidi="fa-IR"/>
        </w:rPr>
        <w:t>علیه، و کان ترک التشبّه أهمّ من الصوم المستحبّ نهی عنه إرشاداً إلی ترک التشبّه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بصحّة الصوم یوم العاشور، کما نسب إلی المشهور، و إلّا فللإشکال فیه مجال بالنظر إلی الأخبار، 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ذلک فی الصلوات فی أوقات خاصّة؛ فإنّ المنهی عنه تنزیهیاً هو التشبّه بعَبدَة الأوثان،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أن یکون کلّ من الفعل و الترک ذا مصلحة؛ لأنّه إمّا أن یغلب إحدی المصلحتین علی الاخری، فیکون البعث نحوها فقط، و إلّا فالحکم هو التخییر</w:t>
      </w:r>
      <w:r>
        <w:rPr>
          <w:rStyle w:val="FootnoteAnchor"/>
          <w:rtl w:val="true"/>
        </w:rPr>
        <w:footnoteReference w:id="61"/>
      </w:r>
      <w:r>
        <w:rPr>
          <w:rFonts w:ascii="IRNazanin" w:hAnsi="IRNazanin" w:eastAsia="IRNazanin"/>
          <w:color w:val="111111"/>
          <w:sz w:val="28"/>
          <w:sz w:val="28"/>
          <w:szCs w:val="28"/>
          <w:rtl w:val="true"/>
          <w:lang w:bidi="fa-IR"/>
        </w:rPr>
        <w:t>، لیس بصحیح؛ لأنّه یستقیم ذلک لو کان متعلّق الحکمین واحداً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المتعلّق هو المجمع الخارجی، و قد عرفت بطلانه، بل المقام لیس إلّا من قبیل الصلاة فی مواضع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تصدّی به المحقّق الخراسانی لدفع الإشکال فیما لا بدل له؛ من أنّ انطباق عنوان ذی مصلحة علی الترک أو کون الترک ملازماً لعنوان کذائی الذی صیّره راجحاً</w:t>
      </w:r>
      <w:r>
        <w:rPr>
          <w:rStyle w:val="FootnoteAnchor"/>
          <w:rtl w:val="true"/>
        </w:rPr>
        <w:footnoteReference w:id="62"/>
      </w:r>
      <w:r>
        <w:rPr>
          <w:rFonts w:ascii="IRNazanin" w:hAnsi="IRNazanin" w:eastAsia="IRNazanin"/>
          <w:color w:val="111111"/>
          <w:sz w:val="28"/>
          <w:sz w:val="28"/>
          <w:szCs w:val="28"/>
          <w:rtl w:val="true"/>
          <w:lang w:bidi="fa-IR"/>
        </w:rPr>
        <w:t>، غیر تامّ بظاهره؛ لأنّ الترک عدمی لا ینطبق علیه عنوان وجودی، و لا یمکن أن یکون ملازماً لشی‌ء؛ فإنّ الانطباق و الملازمة من الوجودیات التی لا بدّ فی ثبوتها لشی‌ء من ثبوت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اعتبار شی‌ء من بعض الأعدام الخاصّة المتصوّرة، بنحو من التصوّر فی المأمور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الأعاظم قدس سره أجاب عن هذا القسم بتقدیم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النذر إذا تعلّق بعبادة مستحبّة یندکّ الأمر الاستحبابی فی الأمر الوجوبی الجائی من قبل النذر؛ لوحدة متعلّقهما، فیکتسب الأمر النذری الوجوبی التعبّدیة من الاستحبابی، و الأمر الاستحبابی یکتسب اللزوم من الوجوبی، فیتولّد منهما أمر وجوبی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العبادة المستحبّة متعلّقة للإجارة، کان متعلّق الأمر الاستحبابی مغایراً لما تعلّق به الأمر الوجوبی؛ لأنّ متعلّق الأوّل ذات العبادة و متعلّق الثانی إتیان العبادة بداعی الأمر المتوجّه إلی المنوب عنه، و بوصف کونه مستحبّاً علی الغیر؛ لأنّ الشخص صار أجیراً لتفریغ ذمّة الغیر، فلا تکون العبادة من دون قصد النیابة تحت الإجارة، فلا یلزم اجتماع الضدّین، و لا یندکّ أحدهما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لأنّ الأمر تعلّق بذات العبادة، و النهی التنزیهی تعلّق بالتعبّد بها؛ لما فیه من المشابهة بالأعداد</w:t>
      </w:r>
      <w:r>
        <w:rPr>
          <w:rStyle w:val="FootnoteAnchor"/>
          <w:rtl w:val="true"/>
        </w:rPr>
        <w:footnoteReference w:id="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الضعف و الخلط ما لا یخفی علی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الاستحبابی تعلّق بعنوان الصلاة و الأمر الوجوبی بعنوان الوفاء بالنذر، فالعنوانان فی ظرف تعلّق الأحکام مختلفان، و متّحدان فی الوجود الخارجی، و هو لیس ظرف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نذر أن یصلّی صلاة اللیل یجب علیه الوفاء بالنذر، و لا یحصل الوفاء إلّا بإتیان الصلاة الاستحبابی لا غیر، فالصلاة الخارجی مصداق لعنوانی الوفاء بالنذر و الصلاة، و قد انطبق العنوانان علیها فی الخارج</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الإجارة؛ فإنّ الأمر الوجوبی تعلّق بنفس الوفاء بالعقد، و الأمر</w:t>
      </w:r>
    </w:p>
    <w:p>
      <w:pPr>
        <w:pStyle w:val="BookText"/>
        <w:rPr/>
      </w:pPr>
      <w:r>
        <w:rPr>
          <w:rFonts w:ascii="IRNazanin" w:hAnsi="IRNazanin" w:eastAsia="IRNazanin"/>
          <w:color w:val="111111"/>
          <w:sz w:val="28"/>
          <w:sz w:val="28"/>
          <w:szCs w:val="28"/>
          <w:rtl w:val="true"/>
          <w:lang w:bidi="fa-IR"/>
        </w:rPr>
        <w:t>الاستحبابی بنفس الصلاة المستحبّة، أو تعلّق أمر وجوبی آخر بنفس الصلاة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الوفاء بالعقد هو إتیان العبادة بداعی الأمر المتوجّه إلی المنوب عنه أو بوصف کونه مستحبّاً علی الغیر، لا أنّ ذلک هو المتعلّق للأمر الإجاری، بل هذا طریق لتحقّق الوفاء بالعقد، فافتراق موضوعهما یکون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معقول لهذا الاکتساب و التولّد المذکورین، فبأیّ دلیل و أیّة جهة یکتسب الأمر غیر العبادی العبادیة و غیر الوجوبی الوجوب؟ و ما معنی هذه الولادة و الوراثة؟ بل لا یعقل تغییر الأمر عمّا هو علیه؛ و لو اتّحد المتعلّقان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أشبه بالشعر منه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فیما نحن فیه و کذا فی باب العبادات الاستیجاریة لم یتعلّق بذات الصوم و الصلاة، کما زعمه؛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تعلّق بذات الصوم و النهی علیه بنعت التعبّد بها، بل تعلّق بهما بقید التعبّدیة، و لو بدلیل آخر و إلّا یصیر توصّلیاً، فیکون موضوعهما شیئاً واحداً فی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جمیع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ذلک للتخلّص عن الإشکال؛ لأنّ حاصله یرجع إلی أنّ الأمر الاستحبابی تعلّق بصوم یوم العاشور، و صومه بما هو مستحبّ مکروه، و هذا واضح البطلان؛ لأنّه یلزم منه أن یکون موضوع الحکم منافیاً لحکمه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أشار إلیه فی خلال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بالصوم مکروه لأجل التشبّه بالأعداء إن رجع إلی ما ذکرنا فلا یحتاج فیه إلی تلک التکلّفات</w:t>
      </w:r>
      <w:r>
        <w:rPr>
          <w:rFonts w:eastAsia="IRNazanin" w:cs="IRNazanin"/>
          <w:color w:val="111111"/>
          <w:sz w:val="28"/>
          <w:szCs w:val="28"/>
          <w:rtl w:val="true"/>
          <w:lang w:bidi="fa-IR"/>
        </w:rPr>
        <w:t>.</w:t>
      </w:r>
      <w:bookmarkStart w:id="75" w:name="pg12907_206514"/>
    </w:p>
    <w:p>
      <w:pPr>
        <w:pStyle w:val="Heading4"/>
        <w:numPr>
          <w:ilvl w:val="3"/>
          <w:numId w:val="1"/>
        </w:numPr>
        <w:rPr/>
      </w:pPr>
      <w:bookmarkStart w:id="76" w:name="__RefHeading___Toc3346270_3224264995"/>
      <w:bookmarkStart w:id="77" w:name="_Toc28"/>
      <w:bookmarkEnd w:id="75"/>
      <w:bookmarkEnd w:id="76"/>
      <w:r>
        <w:rPr>
          <w:rtl w:val="true"/>
        </w:rPr>
        <w:t>خاتمة فی حکم المتوسط فی أرض مغصوبة</w:t>
      </w:r>
      <w:bookmarkEnd w:id="77"/>
    </w:p>
    <w:p>
      <w:pPr>
        <w:pStyle w:val="BookText"/>
        <w:rPr/>
      </w:pPr>
      <w:r>
        <w:rPr>
          <w:rFonts w:ascii="IRNazanin" w:hAnsi="IRNazanin" w:eastAsia="IRNazanin"/>
          <w:color w:val="111111"/>
          <w:sz w:val="28"/>
          <w:sz w:val="28"/>
          <w:szCs w:val="28"/>
          <w:rtl w:val="true"/>
          <w:lang w:bidi="fa-IR"/>
        </w:rPr>
        <w:t>اختلفوا فی حکم المتوسّط فی أرض مغصوبة إذا کان دخوله غصباً و انحصر التخلّص منها بالتصرّف فیها بغیر إذن صاحبها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منهی عنه بالنهی الفعلی و لیس بمأمور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لیس إلّا، کما عن الشیخ الأعظم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واجب و حرام، کما عن أبی هاشم</w:t>
      </w:r>
      <w:r>
        <w:rPr>
          <w:rStyle w:val="FootnoteAnchor"/>
          <w:rtl w:val="true"/>
        </w:rPr>
        <w:footnoteReference w:id="65"/>
      </w:r>
      <w:r>
        <w:rPr>
          <w:rFonts w:ascii="IRNazanin" w:hAnsi="IRNazanin" w:eastAsia="IRNazanin"/>
          <w:color w:val="111111"/>
          <w:sz w:val="28"/>
          <w:sz w:val="28"/>
          <w:szCs w:val="28"/>
          <w:rtl w:val="true"/>
          <w:lang w:bidi="fa-IR"/>
        </w:rPr>
        <w:t>و المحقق القمّی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مأمور به مع جریان حکم المعصیة علیه بسبب النهی السابق الساقط</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مأمور به و لا منهی عنه بالنهی الفعلی، و یجری علیه حکم المعصیة مع إلزام العقل بالخروج؛ لکونه أقلّ محذوراً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المختار 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یدلّ دلیل علی وجوب الخروج من الأرض المغصوبة أو علی وجوب التخلّص عن الغصب أو وجوب ردّ المال إلی صاحبه أو ترک التصرّف فی مال الغیر بعناوینها؛ بأن یکون کلّ واحد من هذه العناوین موضوعاً لحکم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بعض الروایات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کلّه مردود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لا یدلّ علی وجوب الردّ بعنوانه، بل لمّا کان الغصب حراماً یردّ المغصوب؛ تخلّصاً عن الحرام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الشی‌ء مقتضٍ للأمر بضدّه العامّ، و إنّ مقدّمة الواجب واجبة یمکن أن نقول بوجوب بعض العناوین المتقدّمة؛ لأنّ التصرّف فی مال الغیر إذا کان حراماً یکون ترک التصرّف واجباً، و الخروج من الأرض المغصوبة مقدّمة لترکه، لکنّه مبنی علی مقدّمتین ممنوعتین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محرّماً بالفعل فکفاک له من الأدلّة ما دلّ علی حرمة التصرّف فی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قدّمناه فی مبحث الترتّب</w:t>
      </w:r>
      <w:r>
        <w:rPr>
          <w:rStyle w:val="FootnoteAnchor"/>
          <w:rtl w:val="true"/>
        </w:rPr>
        <w:footnoteReference w:id="70"/>
      </w:r>
      <w:r>
        <w:rPr>
          <w:rFonts w:ascii="IRNazanin" w:hAnsi="IRNazanin" w:eastAsia="IRNazanin"/>
          <w:color w:val="111111"/>
          <w:sz w:val="28"/>
          <w:sz w:val="28"/>
          <w:szCs w:val="28"/>
          <w:rtl w:val="true"/>
          <w:lang w:bidi="fa-IR"/>
        </w:rPr>
        <w:t>و أوعزنا إلیه إجمالًا فی مقدّمات المختار عند البحث عن الاجتماع</w:t>
      </w:r>
      <w:r>
        <w:rPr>
          <w:rStyle w:val="FootnoteAnchor"/>
          <w:rtl w:val="true"/>
        </w:rPr>
        <w:footnoteReference w:id="71"/>
      </w:r>
      <w:r>
        <w:rPr>
          <w:rFonts w:ascii="IRNazanin" w:hAnsi="IRNazanin" w:eastAsia="IRNazanin"/>
          <w:color w:val="111111"/>
          <w:sz w:val="28"/>
          <w:sz w:val="28"/>
          <w:szCs w:val="28"/>
          <w:rtl w:val="true"/>
          <w:lang w:bidi="fa-IR"/>
        </w:rPr>
        <w:t>من أنّ الخطابات الکلّیة القانونیة تفارق الخطابات الشخصیة ملاکاً و خطاباً؛ لأنّ الخطاب القانونی لا ینحلّ بعدد المکلّفین، بل خطاب واحد فعلی علی عنوانه، من غیر لحاظ حالات 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 الشخصی و إن کان یستهجن بالنسبة إلی الغافل و العاجز و المضطرّ و العاصی و نظائرها إلّا أنّ صحّة الخطاب العمومی لا تتوقّف علی صحّة الباعثیة بالنسبة إلی جمیع الأفراد، بل انبعاث عدّة مختلفة منهم کافٍ فی جعل الحکم الفعلی علی عنوانه العامّ بلا استثناء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غیر مقیّدة بالقادر العالم الملتفت؛ لا من ناحیة الحاکم، و لا من</w:t>
      </w:r>
    </w:p>
    <w:p>
      <w:pPr>
        <w:pStyle w:val="BookText"/>
        <w:rPr/>
      </w:pPr>
      <w:r>
        <w:rPr>
          <w:rFonts w:ascii="IRNazanin" w:hAnsi="IRNazanin" w:eastAsia="IRNazanin"/>
          <w:color w:val="111111"/>
          <w:sz w:val="28"/>
          <w:sz w:val="28"/>
          <w:szCs w:val="28"/>
          <w:rtl w:val="true"/>
          <w:lang w:bidi="fa-IR"/>
        </w:rPr>
        <w:t>ناحیة العقل؛ کشفاً أو حکومة، بل العقل یحکم بأنّ لذی العذر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الخطاب فهو فعلی فی حقّ اولی الأعذار عامّة، غایة الأمر هم معذورون فی ترک التکلیف الفعلی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استهجان الخطاب مندفع بکون الخطاب لیس شخصیاً، بل کلّی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یتصرّف فی مال غیره بغیر إذنه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حکم فعلی، من غیر فرق بین العالم و الجاهل و العاجز و القادر، من غیر وقوع تقیید من ناحیة الجاعل، و لا إمکان التقیید من ناحیة العقل؛ لأنّ تصرّف العقل فی إرادة الجاعل محال، بل شأنه لیس إلّا التعذیر دون رفع الخطاب، فیحکم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العاجز فی مخالفة التکلیف الفعلی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المقام لیس من هذا القبیل؛ لأنّه یحکم بمعذوریة العاجز إذا طرأه العجز بغیر سوء اختیاره، و أمّا معه فلا یراه معذوراً فی 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فالحکم الفعلی بالمعنی المتقدّم قد یخالف بلا عذر و قد یخالف معه، و ما نحن فیه من قبیل الأوّل؛ إذ کان له امتثال النهی بترک الدخول من أوّل الأمر؛ إذ مَثَل المتوسّط فی الأرض المغصوبة مثل من اضطرّ نفسه إلی أکل المیتة بسوء اختیاره، فهو ملزم من ناحیة عقله بأکلها حتّی یسدّ به رمقه و یدفع به جوعه، إلّا أنّه فَعَل محرّماً یشمله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 لا یراه العقل معذوراً فی ترک الخطاب الفعلی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جمیع الموارد التی سلب المکلّف قدرته اختیاراً،</w:t>
      </w:r>
    </w:p>
    <w:p>
      <w:pPr>
        <w:pStyle w:val="BookText"/>
        <w:rPr/>
      </w:pPr>
      <w:r>
        <w:rPr>
          <w:rFonts w:ascii="IRNazanin" w:hAnsi="IRNazanin" w:eastAsia="IRNazanin"/>
          <w:color w:val="111111"/>
          <w:sz w:val="28"/>
          <w:sz w:val="28"/>
          <w:szCs w:val="28"/>
          <w:rtl w:val="true"/>
          <w:lang w:bidi="fa-IR"/>
        </w:rPr>
        <w:t>و لو ساعدنا القوم فی سقوط الأمر لا یمکن المساعدة فی عدم إجراء حکم المعصیة بشهادة الوجدان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مأمور به و منهی عنه</w:t>
      </w:r>
      <w:r>
        <w:rPr>
          <w:rStyle w:val="FootnoteAnchor"/>
          <w:rtl w:val="true"/>
        </w:rPr>
        <w:footnoteReference w:id="74"/>
      </w:r>
      <w:r>
        <w:rPr>
          <w:rFonts w:ascii="IRNazanin" w:hAnsi="IRNazanin" w:eastAsia="IRNazanin"/>
          <w:color w:val="111111"/>
          <w:sz w:val="28"/>
          <w:sz w:val="28"/>
          <w:szCs w:val="28"/>
          <w:rtl w:val="true"/>
          <w:lang w:bidi="fa-IR"/>
        </w:rPr>
        <w:t xml:space="preserve">أو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مأمور به و منهی عنه بالنهی السابق الساقط</w:t>
      </w:r>
      <w:r>
        <w:rPr>
          <w:rStyle w:val="FootnoteAnchor"/>
          <w:rtl w:val="true"/>
        </w:rPr>
        <w:footnoteReference w:id="75"/>
      </w:r>
      <w:r>
        <w:rPr>
          <w:rFonts w:ascii="IRNazanin" w:hAnsi="IRNazanin" w:eastAsia="IRNazanin"/>
          <w:color w:val="111111"/>
          <w:sz w:val="28"/>
          <w:sz w:val="28"/>
          <w:szCs w:val="28"/>
          <w:rtl w:val="true"/>
          <w:lang w:bidi="fa-IR"/>
        </w:rPr>
        <w:t>فالحقّ فی ترجیح القولین هو أنّه لو قلنا بوجوب ردّ المال إلی صاحبه أو وجوب التخلّص عن التصرّف أو ترک التصرّف، و کان التصرّف الخارجی مقدّمة للواجب، و قلنا بجواز تعلّق النهی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فالترجیح مع قول أبی هاشم، و یکون من باب الاجتماع، و إلّا فیقدّم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إن قلنا بأنّ قید المندوحة لا یعتبر فی باب اجتماع الأمر و النهی فلا محیص عن قول أبی هاشم، و إلّا فیختار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 علی القولین تعلّق الأمر و النهی بشی‌ء واحد؛ أمّا علی الأوّل فواضح، 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اختلاف زمانی الأمر و النهی مع کون النهی بلحاظ وجود متعلّقه غیر مؤثّر فی رفع المنافاة؛ إذ النهی بلحاظ حال وجود الخروج، و معه کیف یکون مأموراً به</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ما لا یخفی؛ لأنّ النهی متعلّق بعنوان التصرّف فی مال الغیر و الأمر المقدّمی بحیثیة ما یتوقّف علیه ذو المقدّمة أو ما یتوصّل به إلیه، و هما بما لهما من العنوان قابلان لتعلّق الأمر و النهی بهما، لا بما هما موجودان فی الخارج؛ إذ الوجود</w:t>
      </w:r>
    </w:p>
    <w:p>
      <w:pPr>
        <w:pStyle w:val="BookText"/>
        <w:rPr/>
      </w:pPr>
      <w:r>
        <w:rPr>
          <w:rFonts w:ascii="IRNazanin" w:hAnsi="IRNazanin" w:eastAsia="IRNazanin"/>
          <w:color w:val="111111"/>
          <w:sz w:val="28"/>
          <w:sz w:val="28"/>
          <w:szCs w:val="28"/>
          <w:rtl w:val="true"/>
          <w:lang w:bidi="fa-IR"/>
        </w:rPr>
        <w:t>الخارجی لا یتعلّق به الأمر و النهی، فاتّحاد مقدّمة الواجب مع التصرّف فی مال الغیر فی الوجود الخارجی لا یمنع عن تعلّق التکلیف بالعناوین، کما مرّ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هو عنوان التصرّف فی مال الغیر و المأمور به هو عنوان الخروج، کاختلاف الصلاة 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الأعاظم اختار ما نسب إلی الشیخ الأعظم من وجوب الخروج و عدم الحرمة؛ لا خطاباً و لا عقاباً، و بنی المسألة علی دخول المقام فی القاعدة المعروفة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اختار العدم و استدلّ علیه بأنّها إنّما تتمّ فی المقدّمات الإعدادیة التی لا یکون الخطاب مشروطاً بها، فلا یشمل المقام؛ إذ الدخول موضوع للخروج، و هو مشروط به، فقبل الدخول لا یعقل النهی، و بعده لیس منهیاً عنه حسب تسلیم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یعتبر فی مورد القاعدة أن یکون الفعل الممتنع علیه بالاختیار غیر محکوم بحکم یضادّ حکمه السابق، کما فی المقام؛ حیث إنّ الخروج عن الدار الغصبیة ممّا یحکم بلزومه العقل، و هو ینافی الحکم السابق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نمنع اشتراط حرمة الخروج شرعاً بالدخول، بل هو حرام بلا شرط، غایة الأمر یکون بلا دخول من السوالب المنتفیة بانتفاء موضوعها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تخصیص مورد القاعدة لم یدلّ علیه دلیل؛ إذ لا مانع من کون الخروج واجباً و حراماً بعنوانین لو قلنا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و ملاکاً، أو یکون فیه ملاک الحرمة فقط لو قلنا بأنّه لا ینافی ملاکاً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أجنبیة عمّا نحن فیه، فلا معنی لابتناء المقام فی دخوله فیها و عدمه؛ لأنّها فی مقابل من توهّم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 و ما لم یمتنع لم یعدم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منافیة للاختیار فی الأفعال، فیلزم أن یکون الواجب تعالی فاعلًا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أفعاله الواجبة حینئذٍ خارجة من حیطة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فأجابوا عنه بأنّ الإیجاب السابق من ناحیة العلّة و باختیاره لا ینافی الاختیار، و أنّه تعالی فاعل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الإیجاب بالاختیار کالامتناع بالاختیار؛ أی جعل الشی‌ء ممتنعاً بالاختیار لا ینافی الاختیار، بل یؤکّده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الواجب یصدر عن حاقّ إرادته و اختیاره الذی هو عین ذاته المقدّسة، و لا یکون من قبیل الأفعال التسبیبیة الخارجة من تحت قدرته بإیجاد أسبابه؛ لأنّ الأسباب و المسبّبات کلّها فی کلّ آن و زمان تحت سلطان قدرته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غیر مرتبط بهذه القاعدة؛ لأنّ أفعالنا قد تخرج من تحت قدرتنا بترک مقدّماتها، کالخروج إلی الحجّ؛ ضرورة أنّه مع ترک الخروج اختیاراً یخرج إتیان الحجّ من اختیارنا فی الموسم، فهذا الامتناع ینافی الاختیار مع کونه بالاختیار، و قد تخرج من تحت قدرتنا بإیجاد سببه بالاختیار، کرَمی الحجر و الإلقاء من الشاهق، و هذا أیضاً إیجاب أو کإیجاب بالاختیار، و هو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فی توضیح القاعدة هو المستفاد من کلام أکابر الفنّ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الخلط بین هذه القاعدة العقلیة و بین قاعدة اخری عقلائیة؛ و هی أنّ الاضطرار إلی فعل الحرام أو ترک الواجب إذا کان بسوء الاختیار هل هو عذر عند العقلاء و لدی العقل؛ بحیث یقبح العقاب علیه، أو لیس بعذر؟</w:t>
      </w:r>
    </w:p>
    <w:p>
      <w:pPr>
        <w:pStyle w:val="BookText"/>
        <w:rPr/>
      </w:pPr>
      <w:r>
        <w:rPr>
          <w:rFonts w:ascii="IRNazanin" w:hAnsi="IRNazanin" w:eastAsia="IRNazanin"/>
          <w:color w:val="111111"/>
          <w:sz w:val="28"/>
          <w:sz w:val="28"/>
          <w:szCs w:val="28"/>
          <w:rtl w:val="true"/>
          <w:lang w:bidi="fa-IR"/>
        </w:rPr>
        <w:t>الأقوی هو الثانی؛ فمن ترک المسیر إلی الحجّ بسوء اختیاره حتّی عجز عنه یصحّ عقابه؛ و إن کان ینافی الاختیار، و کذا من اضطرّ نفسه علی التصرّف فی مال الغیر بلا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کالتصرّف الخروجی المضطرّ علیه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معذوراً عقلًا، کمن سلب قدرته عن إنقاذ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تتمّة المقال عند البحث فی حدیث الرفع بإذنه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بجواز الاجتماع لا إشکال فی صحّه الصلاة، بعد تسلیم تعدّد المتعلّقین، و کون حیثیة المبغوض غیر حیثیة المحبوب، و هکذا المقرّب و 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الامتناع فصحّة الصلاة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کلّ من متعلّقی الأمر و النهی علی ملاک تامّ؛ إذ الصحّة تدور مدار الأمر أو الرجحان الذاتی و الخلوّ عن الملاک ینفی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مغلوبیة ملاک الصحّة فی الصلاة بملاک أقوی؛ إذ الغالب من الملاک یوجب خلوّ الآخر من الملاک فعلًا، و الصحّة موقوفة علی الأمر و هو منتفٍ بالفرض، أو علی الملاک، و قد زاحمه الملاک الغالب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اخترنا أنّ الامتناع لأجل کونه تکلیفاً محالًا لا تکلیفاً بالمحال فالشرطان مفقودان؛ لأنّ القائل به لا بدّ أن یعتقد أنّ متعلّق الأمر و النهی</w:t>
      </w:r>
    </w:p>
    <w:p>
      <w:pPr>
        <w:pStyle w:val="BookText"/>
        <w:rPr/>
      </w:pPr>
      <w:r>
        <w:rPr>
          <w:rFonts w:ascii="IRNazanin" w:hAnsi="IRNazanin" w:eastAsia="IRNazanin"/>
          <w:color w:val="111111"/>
          <w:sz w:val="28"/>
          <w:sz w:val="28"/>
          <w:szCs w:val="28"/>
          <w:rtl w:val="true"/>
          <w:lang w:bidi="fa-IR"/>
        </w:rPr>
        <w:t>واحد؛ بحیث یکون الشی‌ء الواحد بحیثیة واحدة محبوباً و مبغوضاً؛ حتّی یصیر نفس التکلیف محالًا؛ إذ لا یعقل حینئذٍ وجود ملاکی البعث و الزجر فی شی‌ء واحد بحیثیة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بأنّه تکلیف بالمحال فلا بأس به؛ لأنّ ملاک الغصب لا یزیل ملاک الأمر فی مقام تعلّق الأحکام بالعناوین؛ لکونها فی ظرف تعلّق التکالیف مختلفة غیر مختلطة؛ و إن امتنع الاجتماع لأجل امور اخر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تقدّم عن بعض الأعاظم من الکسر و الانکسار</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یصحّ علی القول بکون الامتناع لأجل التکلیف المحال؛ حتّی یکون المتعلّق واحداً</w:t>
      </w:r>
      <w:r>
        <w:rPr>
          <w:rFonts w:eastAsia="IRNazanin" w:cs="IRNazanin"/>
          <w:color w:val="111111"/>
          <w:sz w:val="28"/>
          <w:szCs w:val="28"/>
          <w:rtl w:val="true"/>
          <w:lang w:bidi="fa-IR"/>
        </w:rPr>
        <w:t>.</w:t>
      </w:r>
      <w:bookmarkStart w:id="78" w:name="pg12907_206523"/>
    </w:p>
    <w:p>
      <w:pPr>
        <w:pStyle w:val="Heading3"/>
        <w:numPr>
          <w:ilvl w:val="2"/>
          <w:numId w:val="1"/>
        </w:numPr>
        <w:rPr/>
      </w:pPr>
      <w:bookmarkStart w:id="79" w:name="__RefHeading___Toc3346272_3224264995"/>
      <w:bookmarkStart w:id="80" w:name="_Toc29"/>
      <w:bookmarkEnd w:id="78"/>
      <w:bookmarkEnd w:id="79"/>
      <w:r>
        <w:rPr>
          <w:rtl w:val="true"/>
        </w:rPr>
        <w:t>الفصل الثالث فی أنّ النهی عن الشی‌ء هل یکشف عن فساده أو لا؟</w:t>
      </w:r>
      <w:bookmarkEnd w:id="80"/>
    </w:p>
    <w:p>
      <w:pPr>
        <w:pStyle w:val="Heading4"/>
        <w:numPr>
          <w:ilvl w:val="3"/>
          <w:numId w:val="1"/>
        </w:numPr>
        <w:rPr/>
      </w:pPr>
      <w:bookmarkStart w:id="81" w:name="__RefHeading___Toc3346274_3224264995"/>
      <w:bookmarkStart w:id="82" w:name="_Toc30"/>
      <w:bookmarkEnd w:id="81"/>
      <w:r>
        <w:rPr>
          <w:rtl w:val="true"/>
        </w:rPr>
        <w:t>و لنمهّد قبل ذلک اموراً</w:t>
      </w:r>
      <w:r>
        <w:rPr>
          <w:rtl w:val="true"/>
        </w:rPr>
        <w:t>:</w:t>
      </w:r>
      <w:bookmarkEnd w:id="82"/>
    </w:p>
    <w:p>
      <w:pPr>
        <w:pStyle w:val="Heading5"/>
        <w:numPr>
          <w:ilvl w:val="4"/>
          <w:numId w:val="1"/>
        </w:numPr>
        <w:rPr/>
      </w:pPr>
      <w:bookmarkStart w:id="83" w:name="__RefHeading___Toc3346276_3224264995"/>
      <w:bookmarkStart w:id="84" w:name="_Toc31"/>
      <w:bookmarkEnd w:id="83"/>
      <w:r>
        <w:rPr>
          <w:rtl w:val="true"/>
        </w:rPr>
        <w:t>الأمر الأوّل</w:t>
      </w:r>
      <w:r>
        <w:rPr>
          <w:rtl w:val="true"/>
        </w:rPr>
        <w:t xml:space="preserve">: </w:t>
      </w:r>
      <w:r>
        <w:rPr>
          <w:rtl w:val="true"/>
        </w:rPr>
        <w:t>فی عنوان البحث</w:t>
      </w:r>
      <w:bookmarkEnd w:id="84"/>
    </w:p>
    <w:p>
      <w:pPr>
        <w:pStyle w:val="BookText"/>
        <w:rPr/>
      </w:pPr>
      <w:r>
        <w:rPr>
          <w:rFonts w:ascii="IRNazanin" w:hAnsi="IRNazanin" w:eastAsia="IRNazanin"/>
          <w:color w:val="111111"/>
          <w:sz w:val="28"/>
          <w:sz w:val="28"/>
          <w:szCs w:val="28"/>
          <w:rtl w:val="true"/>
          <w:lang w:bidi="fa-IR"/>
        </w:rPr>
        <w:t>قد اختلف تعبیرات القوم فی عنوان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الشی‌ء هل یقتضی الفساد أو لا</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هل یدلّ علیه أو لا</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لا یخلو عن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الاقتضاء بالمعنی المتفاهم عرفاً غیر موجود فی المقام؛ لأنّ النهی غیر مؤثّر فی الفساد و لا مقتضٍ له، بل إمّا دالّ علیه أو کاشف عن مبغوضیة المتعلّق التی تنافی الصحّة،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الاقتضاء مستعمل فی غیر 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ظاهر لفظ الدلالة هو الدلالة اللفظیة؛ و لو بنحو الالتزام،</w:t>
      </w:r>
      <w:bookmarkStart w:id="85" w:name="pg12907_206524"/>
    </w:p>
    <w:p>
      <w:pPr>
        <w:pStyle w:val="BookText"/>
        <w:rPr/>
      </w:pPr>
      <w:bookmarkEnd w:id="85"/>
      <w:r>
        <w:rPr>
          <w:rFonts w:ascii="IRNazanin" w:hAnsi="IRNazanin" w:eastAsia="IRNazanin"/>
          <w:color w:val="111111"/>
          <w:sz w:val="28"/>
          <w:sz w:val="28"/>
          <w:szCs w:val="28"/>
          <w:rtl w:val="true"/>
          <w:lang w:bidi="fa-IR"/>
        </w:rPr>
        <w:t>لکن مطلق الملازمة بین الأمرین لا یعدّ من الدلالات الالتزامیة، بل لا بدّ فی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تسلیم کونها من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اللزوم الذهنی، فلا تشتمل الملازمات العقلیة الخفیة،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مطلق الکشف؛ و لو بنحو اللزوم الخفی کما عرفت منّا، علی أنّ مدّعی الفساد لا یقتصر فی إثبات مرامه بالدلالة اللفظیة، بل یتمسّک بوجوه عقلیة، فالأولی التعبیر بالکشف حتّی یعمّ الدلالات اللفظیة و الملازمات الخفیة العقلیة، و الخطب سهل</w:t>
      </w:r>
      <w:r>
        <w:rPr>
          <w:rFonts w:eastAsia="IRNazanin" w:cs="IRNazanin"/>
          <w:color w:val="111111"/>
          <w:sz w:val="28"/>
          <w:szCs w:val="28"/>
          <w:rtl w:val="true"/>
          <w:lang w:bidi="fa-IR"/>
        </w:rPr>
        <w:t>.</w:t>
      </w:r>
    </w:p>
    <w:p>
      <w:pPr>
        <w:pStyle w:val="Heading5"/>
        <w:numPr>
          <w:ilvl w:val="4"/>
          <w:numId w:val="1"/>
        </w:numPr>
        <w:rPr/>
      </w:pPr>
      <w:bookmarkStart w:id="86" w:name="__RefHeading___Toc3346278_3224264995"/>
      <w:bookmarkStart w:id="87" w:name="_Toc32"/>
      <w:bookmarkEnd w:id="86"/>
      <w:r>
        <w:rPr>
          <w:rtl w:val="true"/>
        </w:rPr>
        <w:t>الأمر الثانی</w:t>
      </w:r>
      <w:r>
        <w:rPr>
          <w:rtl w:val="true"/>
        </w:rPr>
        <w:t xml:space="preserve">: </w:t>
      </w:r>
      <w:r>
        <w:rPr>
          <w:rtl w:val="true"/>
        </w:rPr>
        <w:t>فی کون المسألة عقلیة لفظیة</w:t>
      </w:r>
      <w:bookmarkEnd w:id="87"/>
    </w:p>
    <w:p>
      <w:pPr>
        <w:pStyle w:val="BookText"/>
        <w:rPr/>
      </w:pPr>
      <w:r>
        <w:rPr>
          <w:rFonts w:ascii="IRNazanin" w:hAnsi="IRNazanin" w:eastAsia="IRNazanin"/>
          <w:color w:val="111111"/>
          <w:sz w:val="28"/>
          <w:sz w:val="28"/>
          <w:szCs w:val="28"/>
          <w:rtl w:val="true"/>
          <w:lang w:bidi="fa-IR"/>
        </w:rPr>
        <w:t>الظاهر أنّ المسألة لیست عقلیة محضة و لا لفظیة کذلک؛ و لذا تری بعضهم یستدلّ باللفظ و آخر بالعقل، علی أنّه لو جعلناها ممحّضة فی أحدهما تکون المسألة غیر مستوفی البحث، بل یبقی علی الاصولی عهدة بحث آخر؛ إذ لو کانت عقلیة محضة یبقی البحث عن الدلالة اللفظیة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تعمیم عنوانه؛ لیشتمل العقلی و اللفظی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المسألة اصولیة؛ لوقوعها کبری لاستنتاج المسألة الفرعیة، و قد عرفت ما هو المیزان للمسألة الاصولیة</w:t>
      </w:r>
      <w:r>
        <w:rPr>
          <w:rStyle w:val="FootnoteAnchor"/>
          <w:rtl w:val="true"/>
        </w:rPr>
        <w:footnoteReference w:id="82"/>
      </w:r>
      <w:r>
        <w:rPr>
          <w:rFonts w:ascii="IRNazanin" w:hAnsi="IRNazanin" w:eastAsia="IRNazanin"/>
          <w:color w:val="111111"/>
          <w:sz w:val="28"/>
          <w:sz w:val="28"/>
          <w:szCs w:val="28"/>
          <w:rtl w:val="true"/>
          <w:lang w:bidi="fa-IR"/>
        </w:rPr>
        <w:t>، کما عرفت الفرق بین هذه المسألة و بین المسألة المتقدّمة</w:t>
      </w:r>
      <w:r>
        <w:rPr>
          <w:rStyle w:val="FootnoteAnchor"/>
          <w:rtl w:val="true"/>
        </w:rPr>
        <w:footnoteReference w:id="83"/>
      </w:r>
      <w:bookmarkStart w:id="88" w:name="pg12907_206525"/>
    </w:p>
    <w:p>
      <w:pPr>
        <w:pStyle w:val="Heading5"/>
        <w:numPr>
          <w:ilvl w:val="4"/>
          <w:numId w:val="1"/>
        </w:numPr>
        <w:rPr/>
      </w:pPr>
      <w:bookmarkStart w:id="89" w:name="__RefHeading___Toc3346280_3224264995"/>
      <w:bookmarkStart w:id="90" w:name="_Toc33"/>
      <w:bookmarkEnd w:id="88"/>
      <w:bookmarkEnd w:id="89"/>
      <w:r>
        <w:rPr>
          <w:rtl w:val="true"/>
        </w:rPr>
        <w:t>الأمر الثالث</w:t>
      </w:r>
      <w:r>
        <w:rPr>
          <w:rtl w:val="true"/>
        </w:rPr>
        <w:t xml:space="preserve">: </w:t>
      </w:r>
      <w:r>
        <w:rPr>
          <w:rtl w:val="true"/>
        </w:rPr>
        <w:t>فی شمول البحث للنهی التنزیهی و الغیری و التبعی</w:t>
      </w:r>
      <w:bookmarkEnd w:id="90"/>
    </w:p>
    <w:p>
      <w:pPr>
        <w:pStyle w:val="BookText"/>
        <w:rPr/>
      </w:pPr>
      <w:r>
        <w:rPr>
          <w:rFonts w:ascii="IRNazanin" w:hAnsi="IRNazanin" w:eastAsia="IRNazanin"/>
          <w:color w:val="111111"/>
          <w:sz w:val="28"/>
          <w:sz w:val="28"/>
          <w:szCs w:val="28"/>
          <w:rtl w:val="true"/>
          <w:lang w:bidi="fa-IR"/>
        </w:rPr>
        <w:t>إنّ محطّ البحث أعمّ من النهی التحریمی و التنزیهی و النفسی و الغیری و الأصلی و التبعی؛ لأنّ کلّها محلّ النزاع؛ و لو عند من ادّعی أنّ عدم الأمر یکفی فی الفساد، کشیخنا البهائی</w:t>
      </w:r>
      <w:r>
        <w:rPr>
          <w:rStyle w:val="FootnoteAnchor"/>
          <w:rtl w:val="true"/>
        </w:rPr>
        <w:footnoteReference w:id="84"/>
      </w:r>
      <w:r>
        <w:rPr>
          <w:rFonts w:ascii="IRNazanin" w:hAnsi="IRNazanin" w:eastAsia="IRNazanin"/>
          <w:color w:val="111111"/>
          <w:sz w:val="28"/>
          <w:sz w:val="28"/>
          <w:szCs w:val="28"/>
          <w:rtl w:val="true"/>
          <w:lang w:bidi="fa-IR"/>
        </w:rPr>
        <w:t>، و ینکر الأمر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التنزیهی خارج؛ لکون الترخیص دلیلًا علی الجواز، أو أنّ الکراهة مؤوّلة بأقلّیة الثواب باطل؛ لأنّ ذلک رأی القائل به، و یمکن أن یعتقد غیره أنّ النهی التنزیهی أیضاً مانع عن التقرّب، فلا یوجب کونه خارجاً من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شی‌ء خلاف التحقیق عند أحد لا یوجب خروجه من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 التنزیهی فی الشریعة متعلّق بالخصوصیات اللاحقة بالعبادات لا بنفسها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خروج ما تعلّق فیه النهی بذاتها علی فرض وجوده فی الشریعة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النهی الإرشادی المسوق لبیان المانعیة خارج منه؛ لأنّه بعد إحرازه لا یبقی مجال للنزاع، لکن کون النواهی المتعلّقة بالعبادات و المعاملات إرشادیة محلّ النزاع و البحث</w:t>
      </w:r>
      <w:r>
        <w:rPr>
          <w:rFonts w:eastAsia="IRNazanin" w:cs="IRNazanin"/>
          <w:color w:val="111111"/>
          <w:sz w:val="28"/>
          <w:szCs w:val="28"/>
          <w:rtl w:val="true"/>
          <w:lang w:bidi="fa-IR"/>
        </w:rPr>
        <w:t>.</w:t>
      </w:r>
      <w:bookmarkStart w:id="91" w:name="pg12907_206526"/>
    </w:p>
    <w:p>
      <w:pPr>
        <w:pStyle w:val="Heading5"/>
        <w:numPr>
          <w:ilvl w:val="4"/>
          <w:numId w:val="1"/>
        </w:numPr>
        <w:rPr/>
      </w:pPr>
      <w:bookmarkStart w:id="92" w:name="__RefHeading___Toc3346282_3224264995"/>
      <w:bookmarkStart w:id="93" w:name="_Toc34"/>
      <w:bookmarkEnd w:id="91"/>
      <w:bookmarkEnd w:id="92"/>
      <w:r>
        <w:rPr>
          <w:rtl w:val="true"/>
        </w:rPr>
        <w:t>الأمر الرابع</w:t>
      </w:r>
      <w:r>
        <w:rPr>
          <w:rtl w:val="true"/>
        </w:rPr>
        <w:t xml:space="preserve">: </w:t>
      </w:r>
      <w:r>
        <w:rPr>
          <w:rtl w:val="true"/>
        </w:rPr>
        <w:t>فی المراد من العبادات و المعاملات فی المسألة</w:t>
      </w:r>
      <w:bookmarkEnd w:id="93"/>
    </w:p>
    <w:p>
      <w:pPr>
        <w:pStyle w:val="BookText"/>
        <w:rPr/>
      </w:pPr>
      <w:r>
        <w:rPr>
          <w:rFonts w:ascii="IRNazanin" w:hAnsi="IRNazanin" w:eastAsia="IRNazanin"/>
          <w:color w:val="111111"/>
          <w:sz w:val="28"/>
          <w:sz w:val="28"/>
          <w:szCs w:val="28"/>
          <w:rtl w:val="true"/>
          <w:lang w:bidi="fa-IR"/>
        </w:rPr>
        <w:t>المراد من العبادات هی العناوین الواردة فی الشریعة التی لا یسقط أمرها علی فرض تعلّقه بها، إلّا إذا أتی بها بوجه قربی، أو کان عنوانها عبادة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التقرّبیات مع قطع النظر عن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فمطلق ما یتّصف بالصحّة تارة و بالفساد اخری، لا ما یترتّب علیه أثر علی وجه و لا یترتّب علی آخر؛ لأنّ القتل قد یترتّب علیه القصاص و قد لا یترتّب، کقتل الأب ابنه، و لا یتّصف بالصحّة و الفساد، و مثله خارج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أبواب الضمان من هذا القبیل و لو فرض انفکاک الأثر من أسبابه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المراد هو أسباب الضمان، کالید و الإتلاف، لا عقد الضمان</w:t>
      </w:r>
      <w:r>
        <w:rPr>
          <w:rFonts w:eastAsia="IRNazanin" w:cs="IRNazanin"/>
          <w:color w:val="111111"/>
          <w:sz w:val="28"/>
          <w:szCs w:val="28"/>
          <w:rtl w:val="true"/>
          <w:lang w:bidi="fa-IR"/>
        </w:rPr>
        <w:t>.</w:t>
      </w:r>
    </w:p>
    <w:p>
      <w:pPr>
        <w:pStyle w:val="Heading5"/>
        <w:numPr>
          <w:ilvl w:val="4"/>
          <w:numId w:val="1"/>
        </w:numPr>
        <w:rPr/>
      </w:pPr>
      <w:bookmarkStart w:id="94" w:name="__RefHeading___Toc3346284_3224264995"/>
      <w:bookmarkStart w:id="95" w:name="_Toc35"/>
      <w:bookmarkEnd w:id="94"/>
      <w:r>
        <w:rPr>
          <w:rtl w:val="true"/>
        </w:rPr>
        <w:t>الأمر الخامس</w:t>
      </w:r>
      <w:r>
        <w:rPr>
          <w:rtl w:val="true"/>
        </w:rPr>
        <w:t xml:space="preserve">: </w:t>
      </w:r>
      <w:r>
        <w:rPr>
          <w:rtl w:val="true"/>
        </w:rPr>
        <w:t>فی المراد من الصحّة و الفساد</w:t>
      </w:r>
      <w:bookmarkEnd w:id="95"/>
    </w:p>
    <w:p>
      <w:pPr>
        <w:pStyle w:val="BookText"/>
        <w:rPr/>
      </w:pPr>
      <w:r>
        <w:rPr>
          <w:rFonts w:ascii="IRNazanin" w:hAnsi="IRNazanin" w:eastAsia="IRNazanin"/>
          <w:color w:val="111111"/>
          <w:sz w:val="28"/>
          <w:sz w:val="28"/>
          <w:szCs w:val="28"/>
          <w:rtl w:val="true"/>
          <w:lang w:bidi="fa-IR"/>
        </w:rPr>
        <w:t>قد اشتهر بین القوم أنّ الصحّة و الفساد أمران إضافیان مساوقان للتمام و النقص لغة و عرفاً، و بینهما تقابل العدم و الملکة، و الاختلاف فی التعبیر بین الفقیه و المتکلّم فإنّما هو لأجل ما هو المهمّ فی نظرهما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أوّل الکتاب</w:t>
      </w:r>
      <w:r>
        <w:rPr>
          <w:rStyle w:val="FootnoteAnchor"/>
          <w:rtl w:val="true"/>
        </w:rPr>
        <w:footnoteReference w:id="87"/>
      </w:r>
      <w:r>
        <w:rPr>
          <w:rFonts w:ascii="Amiri" w:hAnsi="Amiri" w:eastAsia="Amiri" w:cs="Amiri"/>
          <w:color w:val="111111"/>
          <w:sz w:val="28"/>
          <w:sz w:val="28"/>
          <w:szCs w:val="28"/>
          <w:rtl w:val="true"/>
          <w:lang w:bidi="ar-SA"/>
        </w:rPr>
        <w:t>أنّ تساوق الصحّة و الفساد معهما ممّا</w:t>
      </w:r>
    </w:p>
    <w:p>
      <w:pPr>
        <w:pStyle w:val="BookText"/>
        <w:rPr/>
      </w:pPr>
      <w:r>
        <w:rPr>
          <w:rFonts w:ascii="IRNazanin" w:hAnsi="IRNazanin" w:eastAsia="IRNazanin"/>
          <w:color w:val="111111"/>
          <w:sz w:val="28"/>
          <w:sz w:val="28"/>
          <w:szCs w:val="28"/>
          <w:rtl w:val="true"/>
          <w:lang w:bidi="fa-IR"/>
        </w:rPr>
        <w:t>لم یثبت، بل ثبت خلافه؛ لأنّ النقص و التمام یطلقان علی الشی‌ء بحسب الأجزاء غالباً،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بعض أجزائها و لا یقال فاسدة،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کملت مرافقها لا صحیحة، و أمّا الصحّة و الفساد فیستعملان غالباً بحسب الکیفیات و الأحوال، مثل الکیفیات المزاجیة و شبهها،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یفسده الدود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ضیعته المفسدات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فالفساد عبارة عن کیفیة وجودیة عارضة للشی‌ء منافرة لمزاجه و مخالفة لطبیعته النوعیة، و الصحّة تقابله تقابل التضادّ، و هی عبارة عن کیفیة وجودیة عارضة له موافقة لمزاجه،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عرضتها کیفیة وجودیة منافرة لمزاجها النوعی التی یتنفّر عنها الطباع،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 کیفیة موافقة له؛ بحیث یقبله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المعنیین تقابل التضادّ، کما أنّ بین التمام و النقص تقابل العدم و الملکة، هذا بحسب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تصحیح ما ذکروه من التساوق فی العبادات و المعاملات؛ لأنّه یطلق الفساد علی صلاة فاقدة لجزئها أو شرطها أو مجامعة لمانعها، کما یطلق الصحّة علی الواجد الجامع من جمیع الجهات، فهما حینئذٍ مساوقان للتمام و النقص أو قریبان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ذلک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یکن کذلک بحسب العرف و اللغة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باعتبار وضع جدید فی لفظی الصحّة و الفساد، أو باستعمالهما أوّلًا مجازاً، و کثرة ذلک حتّی بلغا حدّ الحقیقة؟ أقربهما هو الثانی، بل الأوّل بعید غایته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فالصحّة فی الماهیات المخترعة صفة لمصداق جامع لجمیع الأجزاء</w:t>
      </w:r>
      <w:bookmarkStart w:id="96" w:name="pg12907_206528"/>
    </w:p>
    <w:p>
      <w:pPr>
        <w:pStyle w:val="BookText"/>
        <w:rPr/>
      </w:pPr>
      <w:bookmarkEnd w:id="96"/>
      <w:r>
        <w:rPr>
          <w:rFonts w:ascii="IRNazanin" w:hAnsi="IRNazanin" w:eastAsia="IRNazanin"/>
          <w:color w:val="111111"/>
          <w:sz w:val="28"/>
          <w:sz w:val="28"/>
          <w:szCs w:val="28"/>
          <w:rtl w:val="true"/>
          <w:lang w:bidi="fa-IR"/>
        </w:rPr>
        <w:t>و الشرائط مطابق للمخترع و المجعول، و الفساد مقابلها، فینقلب التقابل عن التضادّ إلی تقابل العدم و الملکة؛ لأجل تغیّر المعنی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کونهما إضافیان فیصحّ أیضاً بهذا المعنی الثانوی فیما إذا کانت العبادة تامّة الأجزاء دون الشرائط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الصحّة و الفساد إضافیتین بالمعنی المتعارف فی اللغة و العرف فلا یصحّ إلّا بالإضافة إلی حالات المکلّفین و أصنافهم؛ فإنّ الصلاة مع الطهارة الترابیة صحیحة بالنسبة إلی مکلّف و فاسدة بالنسبة إلی آخر، أو صحیحة فی حال 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التمام و النقص فی اللغة و العرف باعتبار الأجزاء، و بینهما تقابل العدم و الملکة، و استعمال الصحّة و الفساد فیهما بحسب الکیفیات، و بینهما تقابل التضادّ لو کانت الصحّة أمراً وجودیاً، و لیسا إضافیین إلّا بالإضافة إلی حالات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تستعملان فی العبادات و المعاملات فی معنی التمام و النقص، و یکون التقابل تقابل العدم و الملکة، و تصیران إضافیین بالنسبة إلی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 الأنظار فی صحّة عبادة و عدمها فلا یوجب إضافیتهما؛ لأنّ الأنظار طریق إلی تشخیص الواقع، و کلٌّ یخطّئ الآخر، فتدبّر</w:t>
      </w:r>
      <w:r>
        <w:rPr>
          <w:rFonts w:eastAsia="IRNazanin" w:cs="IRNazanin"/>
          <w:color w:val="111111"/>
          <w:sz w:val="28"/>
          <w:szCs w:val="28"/>
          <w:rtl w:val="true"/>
          <w:lang w:bidi="fa-IR"/>
        </w:rPr>
        <w:t>.</w:t>
      </w:r>
    </w:p>
    <w:p>
      <w:pPr>
        <w:pStyle w:val="Heading5"/>
        <w:numPr>
          <w:ilvl w:val="4"/>
          <w:numId w:val="1"/>
        </w:numPr>
        <w:rPr/>
      </w:pPr>
      <w:bookmarkStart w:id="97" w:name="__RefHeading___Toc3346286_3224264995"/>
      <w:bookmarkStart w:id="98" w:name="_Toc36"/>
      <w:bookmarkEnd w:id="97"/>
      <w:r>
        <w:rPr>
          <w:rtl w:val="true"/>
        </w:rPr>
        <w:t>الأمر السادس</w:t>
      </w:r>
      <w:r>
        <w:rPr>
          <w:rtl w:val="true"/>
        </w:rPr>
        <w:t xml:space="preserve">: </w:t>
      </w:r>
      <w:r>
        <w:rPr>
          <w:rtl w:val="true"/>
        </w:rPr>
        <w:t>فی مجعولیة الصحّة و الفساد</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الصحّة و الفساد مجعولتان مطلقاً أو لا مطلقاً، أو مجعولتان فی المعاملات دون العبادات، أو الصحّة الظاهریة مجعولة دون الواقعیة؟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مجعولیتهما مطلقاً؛ لما تقدّم فی مبحث الصحیح و الأعمّ أنّ الصحّة و الفساد من أوصاف الفرد الموجود من الماهیة المخترعة، منتزعتان من مطابقة الخارج مع المخترَع المأمور به، لا من أوصاف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فهو أمر عقلی لا ینالها الجعل تأسیساً و لا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یرجع إلی الشارع إنّما هو تعیین الماهیة بحدودها، و أمّا کون هذا مطابقاً أو لا فأمر عقلی؛ فإن أتی بها بما لها من الأجزاء و الشرائط یتّصف بالصحّة، و لا یحتاج إلی جعل صحّة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الصحّة مجعولًا فی المعاملات؛ لأنّ ترتّب الأثر علی معاملة إنّما هو بجعل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لو لا جعله لما کان یترتّب علیه الأثر؛ لأصالة فساده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مفید؛ إذ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المخترعة لا تتّصف بالصحّة و الفساد، بل المتّصف بهما هو الموجود الخارجی أو الاعتباری بلحاظ انطباق الماهیات علیه و لا انطباقها، و هما عقلیان لا یتطرّق الجعل إلیهما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یرجع إمّا إلی جعل السببیة لألفاظ أو أفعال مخصوصة، کما هو المختار فی الأحکام الوضعیة</w:t>
      </w:r>
      <w:r>
        <w:rPr>
          <w:rStyle w:val="FootnoteAnchor"/>
          <w:rtl w:val="true"/>
        </w:rPr>
        <w:footnoteReference w:id="89"/>
      </w:r>
      <w:r>
        <w:rPr>
          <w:rFonts w:ascii="IRNazanin" w:hAnsi="IRNazanin" w:eastAsia="IRNazanin"/>
          <w:color w:val="111111"/>
          <w:sz w:val="28"/>
          <w:sz w:val="28"/>
          <w:szCs w:val="28"/>
          <w:rtl w:val="true"/>
          <w:lang w:bidi="fa-IR"/>
        </w:rPr>
        <w:t>أو إلی جعل الأثر و المسبّب عقیب الألفاظ، و هما غیر جعل الصحّة؛ إذ جعل السببیة أو ترتّب الأثر علی موضوع و إن حصلا بفعل الشارع إلّا أنّ کون شی‌ء مصداقاً للسبب أو لما رتّب علیه الأثر بجعله، أمر عقلی من خواصّ الفرد الموجود</w:t>
      </w:r>
      <w:r>
        <w:rPr>
          <w:rFonts w:eastAsia="IRNazanin" w:cs="IRNazanin"/>
          <w:color w:val="111111"/>
          <w:sz w:val="28"/>
          <w:szCs w:val="28"/>
          <w:rtl w:val="true"/>
          <w:lang w:bidi="fa-IR"/>
        </w:rPr>
        <w:t>.</w:t>
      </w:r>
      <w:bookmarkStart w:id="99" w:name="pg12907_206530"/>
    </w:p>
    <w:p>
      <w:pPr>
        <w:pStyle w:val="BookText"/>
        <w:rPr/>
      </w:pPr>
      <w:bookmarkEnd w:id="99"/>
      <w:r>
        <w:rPr>
          <w:rFonts w:ascii="IRNazanin" w:hAnsi="IRNazanin" w:eastAsia="IRNazanin"/>
          <w:color w:val="111111"/>
          <w:sz w:val="28"/>
          <w:sz w:val="28"/>
          <w:szCs w:val="28"/>
          <w:rtl w:val="true"/>
          <w:lang w:bidi="fa-IR"/>
        </w:rPr>
        <w:t>و أمّا الصحّة الظاهریة فهی أیضاً مثل الواقعیة منها؛ لأنّ جعل الصحّة للصلاة المأتی بها بلا سورة لا یعقل بلا تصرّف فی منشأ الانتزاع؛ إذ کیف یعقل القول بأنّ الصلاة بلا سورة صحیحة مع حفظ جزئیة السورة فی جمیع الحالات؛ حتّی عند الجهل بوجوبها؟</w:t>
      </w:r>
    </w:p>
    <w:p>
      <w:pPr>
        <w:pStyle w:val="BookText"/>
        <w:rPr/>
      </w:pPr>
      <w:r>
        <w:rPr>
          <w:rFonts w:ascii="IRNazanin" w:hAnsi="IRNazanin" w:eastAsia="IRNazanin"/>
          <w:color w:val="111111"/>
          <w:sz w:val="28"/>
          <w:sz w:val="28"/>
          <w:szCs w:val="28"/>
          <w:rtl w:val="true"/>
          <w:lang w:bidi="fa-IR"/>
        </w:rPr>
        <w:t>و ما یقال من أنّ هذا إذا علم الانطباق، و أمّا إذا شکّ فی الانطباق فللشارع الحکم بجواز ترتّب أثر الصحّة أو وجوبه، و هما قابلان للجعل</w:t>
      </w:r>
      <w:r>
        <w:rPr>
          <w:rStyle w:val="FootnoteAnchor"/>
          <w:rtl w:val="true"/>
        </w:rPr>
        <w:footnoteReference w:id="90"/>
      </w:r>
      <w:r>
        <w:rPr>
          <w:rFonts w:ascii="IRNazanin" w:hAnsi="IRNazanin" w:eastAsia="IRNazanin"/>
          <w:color w:val="111111"/>
          <w:sz w:val="28"/>
          <w:sz w:val="28"/>
          <w:szCs w:val="28"/>
          <w:rtl w:val="true"/>
          <w:lang w:bidi="fa-IR"/>
        </w:rPr>
        <w:t>، غیر وجیهة؛ لأنّ ما ذکر غیر جعل الصحّة بنفسها، بل الظاهر أنّ جواز ذلک أو إیجابه بدون رفع الید عن الشرط و الجزء غیر ممکن، و معه یکون الانطباق قهریاً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القائل بالجعل هاهنا خلط بین الأمرین</w:t>
      </w:r>
      <w:r>
        <w:rPr>
          <w:rFonts w:eastAsia="IRNazanin" w:cs="IRNazanin"/>
          <w:color w:val="111111"/>
          <w:sz w:val="28"/>
          <w:szCs w:val="28"/>
          <w:rtl w:val="true"/>
          <w:lang w:bidi="fa-IR"/>
        </w:rPr>
        <w:t>.</w:t>
      </w:r>
    </w:p>
    <w:p>
      <w:pPr>
        <w:pStyle w:val="Heading5"/>
        <w:numPr>
          <w:ilvl w:val="4"/>
          <w:numId w:val="1"/>
        </w:numPr>
        <w:rPr/>
      </w:pPr>
      <w:bookmarkStart w:id="100" w:name="__RefHeading___Toc3346288_3224264995"/>
      <w:bookmarkStart w:id="101" w:name="_Toc37"/>
      <w:bookmarkEnd w:id="100"/>
      <w:r>
        <w:rPr>
          <w:rtl w:val="true"/>
        </w:rPr>
        <w:t>الأمر السابع</w:t>
      </w:r>
      <w:r>
        <w:rPr>
          <w:rtl w:val="true"/>
        </w:rPr>
        <w:t xml:space="preserve">: </w:t>
      </w:r>
      <w:r>
        <w:rPr>
          <w:rtl w:val="true"/>
        </w:rPr>
        <w:t>فی تحقیق الأصل فی المقام</w:t>
      </w:r>
      <w:bookmarkEnd w:id="101"/>
    </w:p>
    <w:p>
      <w:pPr>
        <w:pStyle w:val="BookText"/>
        <w:rPr/>
      </w:pPr>
      <w:r>
        <w:rPr>
          <w:rFonts w:ascii="IRNazanin" w:hAnsi="IRNazanin" w:eastAsia="IRNazanin"/>
          <w:color w:val="111111"/>
          <w:sz w:val="28"/>
          <w:sz w:val="28"/>
          <w:szCs w:val="28"/>
          <w:rtl w:val="true"/>
          <w:lang w:bidi="fa-IR"/>
        </w:rPr>
        <w:t>هل فی المسألة الاصولیة أصل یعتمد علیه لدی الشکّ فی دلالة النهی علی الفساد أو کشفه عنه عقلًا، أو لا؟</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لعدم العلم بالحالة السابقة؛ لا فی الدلالة و لا فی الملازمة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یقرّر بأنّ النهی قبل وضعها لم یکن دالًّا علی الفساد و نشکّ فی انقلابه بعد الوضع، لکنّه ساقط؛ لأنّه قبل الوضع و إن لم یکن دالًّا إلّا أنّه فی هذا الحال لم تکن إلّا حروفاً مقطّعة، و عند عروض الترکیب له إمّا وضع لما یستفاد منه الفساد أو لغیره، فلا حالة سابقة له بنحو الکون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عروض الترکیب الطبیعی للفظ فی ذهن الواضع کان قبل الوضع و الدلالة زماناً و إن کان یدفع ما ذکرنا إلّا أنّه یرد علیه ما سیجی‌ء من عدم أثر شرعی للمستصحب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لها حالة سابقة مفیدة؛ سواء قلنا بأزلیتها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أو قلنا بتحقّقها عند تحقّق المتلازمین؛ لأنّ قبل تحقّقهما و إن لم یکن الملازمة بنحو السلب التحصیلی متحقّقة لکن استصحابه لا یفید إلّا علی الأصل المثبت، و بنحو الکون الناقص لا حالة سابقة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تحقّق الحالة السابقة فی المقامین لا یفید الاستصحاب أیضاً؛ لعدم أثر شرعی للمستصحب؛ لعدم کون الدلالة أو الملازمة موضوعاً لحکم شرعی، و صحّة الصلاة لدی تحقّق المقتضیات و عدم الموانع عقلیة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الأصل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حاله فی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أوّلًا من فرض الکلام فی مورد تعلّق النهی بالعبادة أو المعاملة قطعاً و شکّ فی اقتضائه الفساد، فالرجوع إلی القواعد حینئذٍ مثل رجوع الشکّ إلی الأقلّ و الأکثر، إن کان المراد منه الشکّ فی تعلّق النهی بالعبادة، أو بالخصوصیة ککونها فی مکان خاصّ، أو التمسّک بقاعدة التجاوز أجنبی عن المقام؛ فإنّ الکلام لیس فی مانعیة شی‌ء عن الصلاة أو شرطیته لها، بل الشکّ فی اقتضاء النهی الفساد بعد تعلّقه بذات العبادة قطعاً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المعاملات فمقتضی الأصل الفساد؛ لأنّ الأصل</w:t>
      </w:r>
      <w:bookmarkStart w:id="102" w:name="pg12907_206532"/>
    </w:p>
    <w:p>
      <w:pPr>
        <w:pStyle w:val="BookText"/>
        <w:rPr/>
      </w:pPr>
      <w:bookmarkEnd w:id="102"/>
      <w:r>
        <w:rPr>
          <w:rFonts w:ascii="IRNazanin" w:hAnsi="IRNazanin" w:eastAsia="IRNazanin"/>
          <w:color w:val="111111"/>
          <w:sz w:val="28"/>
          <w:sz w:val="28"/>
          <w:szCs w:val="28"/>
          <w:rtl w:val="true"/>
          <w:lang w:bidi="fa-IR"/>
        </w:rPr>
        <w:t>عدم ترتّب أثر علی المعاملة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العبادات فإن کان الشکّ فی فسادها بعد الفراغ عن إحراز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یقتضی الصحّة؛ لأنّ الملاک کافٍ فیها، فیرجع الشکّ إلی کون النهی إرشاداً إلی الفساد لأجل أمر غیر فقدان الملاک، فیکون الشکّ فی مانعیة النهی عن العبادة بعد تعلّقه بها، و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المقام و المقام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أبطلنا التمسّک بالبراءة هناک دون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الشکّ فی تحقّق الملاک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فقاعدة الاشتغال محکّمة؛ لأنّ صحّة الصلاة تتوقّف إمّا علی إحراز الأمر أو الملاک، و الأمر لا یجتمع مع النهی فی عنوان واحد، و مع عدمه لا طریق لإحراز الملاک</w:t>
      </w:r>
      <w:r>
        <w:rPr>
          <w:rFonts w:eastAsia="IRNazanin" w:cs="IRNazanin"/>
          <w:color w:val="111111"/>
          <w:sz w:val="28"/>
          <w:szCs w:val="28"/>
          <w:rtl w:val="true"/>
          <w:lang w:bidi="fa-IR"/>
        </w:rPr>
        <w:t>.</w:t>
      </w:r>
    </w:p>
    <w:p>
      <w:pPr>
        <w:pStyle w:val="Heading4"/>
        <w:numPr>
          <w:ilvl w:val="3"/>
          <w:numId w:val="1"/>
        </w:numPr>
        <w:rPr/>
      </w:pPr>
      <w:bookmarkStart w:id="103" w:name="__RefHeading___Toc3346290_3224264995"/>
      <w:bookmarkStart w:id="104" w:name="_Toc38"/>
      <w:bookmarkEnd w:id="103"/>
      <w:r>
        <w:rPr>
          <w:rtl w:val="true"/>
        </w:rPr>
        <w:t>التحقیق فی دلالة النهی علی الفساد</w:t>
      </w:r>
      <w:bookmarkEnd w:id="104"/>
    </w:p>
    <w:p>
      <w:pPr>
        <w:pStyle w:val="Heading5"/>
        <w:numPr>
          <w:ilvl w:val="4"/>
          <w:numId w:val="1"/>
        </w:numPr>
        <w:rPr/>
      </w:pPr>
      <w:bookmarkStart w:id="105" w:name="__RefHeading___Toc3346292_3224264995"/>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إذا عرفت ذلک فأعلم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یقع تارة فی النهی المتعلّق بعبادة أو معاملة، مع عدم إحراز کونه تنزیهیاً أو تحریمیاً أو إرشاداً إلی الفساد، و اخری فیما إذا احرز أنّ النهی تحریمی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و التحقیق یستدعی البحث فی مقامات أربعة</w:t>
      </w:r>
      <w:r>
        <w:rPr>
          <w:rFonts w:eastAsia="IRNazanin" w:cs="IRNazanin"/>
          <w:color w:val="111111"/>
          <w:sz w:val="28"/>
          <w:szCs w:val="28"/>
          <w:rtl w:val="true"/>
          <w:lang w:bidi="fa-IR"/>
        </w:rPr>
        <w:t>:</w:t>
      </w:r>
    </w:p>
    <w:p>
      <w:pPr>
        <w:pStyle w:val="Heading5"/>
        <w:numPr>
          <w:ilvl w:val="4"/>
          <w:numId w:val="1"/>
        </w:numPr>
        <w:rPr/>
      </w:pPr>
      <w:bookmarkStart w:id="107" w:name="__RefHeading___Toc3346294_3224264995"/>
      <w:bookmarkStart w:id="108" w:name="_Toc40"/>
      <w:bookmarkEnd w:id="107"/>
      <w:r>
        <w:rPr>
          <w:rtl w:val="true"/>
        </w:rPr>
        <w:t>المقام الأوّل</w:t>
      </w:r>
      <w:r>
        <w:rPr>
          <w:rtl w:val="true"/>
        </w:rPr>
        <w:t>:</w:t>
      </w:r>
      <w:bookmarkEnd w:id="1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تعلّق النهی بمعاملة مع عدم إحراز کونه من أیّ أقسامه، فلا ینبغی الإشکال فی ظهور النهی فی الإرشاد إلی الفساد؛ لأنّ إیقاع المعاملة لمّا کان لأجل توقّع تحقّقها و ترتّب الآثار علیها و تکون الأسباب آلات صرفة لها لا یفهم العرف من النهی عنه إلّا ذلک</w:t>
      </w:r>
      <w:r>
        <w:rPr>
          <w:rFonts w:eastAsia="IRNazanin" w:cs="IRNazanin"/>
          <w:color w:val="111111"/>
          <w:sz w:val="28"/>
          <w:szCs w:val="28"/>
          <w:rtl w:val="true"/>
          <w:lang w:bidi="fa-IR"/>
        </w:rPr>
        <w:t>.</w:t>
      </w:r>
      <w:bookmarkStart w:id="109" w:name="pg12907_206533"/>
    </w:p>
    <w:p>
      <w:pPr>
        <w:pStyle w:val="BookText"/>
        <w:rPr/>
      </w:pPr>
      <w:bookmarkEnd w:id="109"/>
      <w:r>
        <w:rPr>
          <w:rFonts w:ascii="IRNazanin" w:hAnsi="IRNazanin" w:eastAsia="IRNazanin"/>
          <w:color w:val="111111"/>
          <w:sz w:val="28"/>
          <w:sz w:val="28"/>
          <w:szCs w:val="28"/>
          <w:rtl w:val="true"/>
          <w:lang w:bidi="fa-IR"/>
        </w:rPr>
        <w:t xml:space="preserve">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العرف منه الإرشاد إلی عدم صحّة البیع لا تحریم السبب؛ لأنّ الأسباب آلات لتحقّق المسبّبات، و لا تکون منظوراً إلیها حتّی یتعلّق بها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بعد تعلّق النهی و الحرمة بالتلفّظ بألفاظ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المسبّب فهو اعتبار شرعی أو عقلائی، لا معنی لتعلّق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المترتّبة علیها فیبعد تعلّقه بها ذاتاً؛ لأنّه مع تأثیر السبب لا معنی للنهی، و مع عدم تأثیره یکون التصرّف فی مال الغیر أو وطی الأجنبیة و أمثال ذلک محرّمة لا تحتاج إلی تعلّق النهی بها، فلا بدّ من حمله علی الإرشاد إلی الفساد، و أنّ النهی عن الإیقاع لأجل عدم الوقوع، کما هو المساعد لفهم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معاملة مع قطع النظر عن القرائن الصارفة ظاهر فی الإرشاد إلی أنّ الأثر المتوقّع منها لا یترتّب علیها، و هذا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فیها منصرف إلی ترتیب الآثار،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منصرف إلی حرمة ترتیب الآثار علی بیعه، و هذا هو النهی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الانصراف هنا، بل لا موجب له؛ إذ هو یستدعی رفع الید عن ظاهر العنوان، بل الظاهر أنّ النهی متعلّق بإیقاع الأسباب، لکن لا إلی ذاتها بما هی هی، بل بداعی الإرشاد إلی عدم التأثیر</w:t>
      </w:r>
      <w:r>
        <w:rPr>
          <w:rFonts w:eastAsia="IRNazanin" w:cs="IRNazanin"/>
          <w:color w:val="111111"/>
          <w:sz w:val="28"/>
          <w:szCs w:val="28"/>
          <w:rtl w:val="true"/>
          <w:lang w:bidi="fa-IR"/>
        </w:rPr>
        <w:t>.</w:t>
      </w:r>
    </w:p>
    <w:p>
      <w:pPr>
        <w:pStyle w:val="Heading5"/>
        <w:numPr>
          <w:ilvl w:val="4"/>
          <w:numId w:val="1"/>
        </w:numPr>
        <w:rPr/>
      </w:pPr>
      <w:bookmarkStart w:id="110" w:name="__RefHeading___Toc3346296_3224264995"/>
      <w:bookmarkStart w:id="111" w:name="_Toc41"/>
      <w:bookmarkEnd w:id="110"/>
      <w:r>
        <w:rPr>
          <w:rtl w:val="true"/>
        </w:rPr>
        <w:t>المقام الثانی</w:t>
      </w:r>
      <w:r>
        <w:rPr>
          <w:rtl w:val="true"/>
        </w:rPr>
        <w:t>:</w:t>
      </w:r>
      <w:bookmarkEnd w:id="111"/>
    </w:p>
    <w:p>
      <w:pPr>
        <w:pStyle w:val="BookText"/>
        <w:rPr/>
      </w:pPr>
      <w:r>
        <w:rPr>
          <w:rFonts w:ascii="IRNazanin" w:hAnsi="IRNazanin" w:eastAsia="IRNazanin"/>
          <w:color w:val="111111"/>
          <w:sz w:val="28"/>
          <w:sz w:val="28"/>
          <w:szCs w:val="28"/>
          <w:rtl w:val="true"/>
          <w:lang w:bidi="fa-IR"/>
        </w:rPr>
        <w:t>إذا تعلّق النهی بعبادة مع عدم إحراز حال النهی أ هو تحریمی أم غیره؟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یبعد أن نقول فیها نظیر ما قلناه فی الأوّل؛ من الإرشاد إلی الفساد؛ لأنّ المکلّفین بحسب النوع إنّما یأتون بالعبادات لأجل إسقاط الأمر و الإعادة و القضاء،</w:t>
      </w:r>
      <w:bookmarkStart w:id="112" w:name="pg12907_206534"/>
    </w:p>
    <w:p>
      <w:pPr>
        <w:pStyle w:val="BookText"/>
        <w:rPr/>
      </w:pPr>
      <w:bookmarkEnd w:id="112"/>
      <w:r>
        <w:rPr>
          <w:rFonts w:ascii="IRNazanin" w:hAnsi="IRNazanin" w:eastAsia="IRNazanin"/>
          <w:color w:val="111111"/>
          <w:sz w:val="28"/>
          <w:sz w:val="28"/>
          <w:szCs w:val="28"/>
          <w:rtl w:val="true"/>
          <w:lang w:bidi="fa-IR"/>
        </w:rPr>
        <w:t>فإذا ورد من المقنّن النهی عن کیفیة خاصّة ینصرف الأذهان إلی أنّ الإتیان بها مع هذه الکیفیة غیر مسقط للأمر، و أنّه لأجل الإرشاد إلی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الطبیعة المتعلّق بها الأمر لا تتحقّق بهذه الکیفیة، و أنّ الصلاة کذلک لا یترتّب علیها الأثر المتوقّع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سقوط الأمر و القضاء 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تعلّق بصنف خاصّ کصلاة الأعرابی، أو فی حال خاصّ کالصلاة أیّام الأقراء، أو مکان خاصّ کالحمّام، فمع عدم الدلیل تحمل تلک النواهی علی الإرشاد، کالأوامر الواردة فی الأجزاء و الشرائط</w:t>
      </w:r>
      <w:r>
        <w:rPr>
          <w:rFonts w:eastAsia="IRNazanin" w:cs="IRNazanin"/>
          <w:color w:val="111111"/>
          <w:sz w:val="28"/>
          <w:szCs w:val="28"/>
          <w:rtl w:val="true"/>
          <w:lang w:bidi="fa-IR"/>
        </w:rPr>
        <w:t>.</w:t>
      </w:r>
    </w:p>
    <w:p>
      <w:pPr>
        <w:pStyle w:val="Heading5"/>
        <w:numPr>
          <w:ilvl w:val="4"/>
          <w:numId w:val="1"/>
        </w:numPr>
        <w:rPr/>
      </w:pPr>
      <w:bookmarkStart w:id="113" w:name="__RefHeading___Toc3346298_3224264995"/>
      <w:bookmarkStart w:id="114" w:name="_Toc42"/>
      <w:bookmarkEnd w:id="113"/>
      <w:r>
        <w:rPr>
          <w:rtl w:val="true"/>
        </w:rPr>
        <w:t>المقام الثالث</w:t>
      </w:r>
      <w:r>
        <w:rPr>
          <w:rtl w:val="true"/>
        </w:rPr>
        <w:t>:</w:t>
      </w:r>
      <w:bookmarkEnd w:id="114"/>
    </w:p>
    <w:p>
      <w:pPr>
        <w:pStyle w:val="BookText"/>
        <w:rPr/>
      </w:pPr>
      <w:r>
        <w:rPr>
          <w:rFonts w:ascii="IRNazanin" w:hAnsi="IRNazanin" w:eastAsia="IRNazanin"/>
          <w:color w:val="111111"/>
          <w:sz w:val="28"/>
          <w:sz w:val="28"/>
          <w:szCs w:val="28"/>
          <w:rtl w:val="true"/>
          <w:lang w:bidi="fa-IR"/>
        </w:rPr>
        <w:t>فی العبادات التی تعلّق النهی بها مع إحراز حاله، و یتصوّر النهی فیها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کونه تحریمیاً نفسیاً، فلا إشکال فی اقتضائه الفساد؛ لأنّه یکشف عن المبغوضیة و عدم رجحانه ذاتاً، و معها کیف یمکن صلوحه للتقرّب و التعبّد، مع وحدة حیثیة المبغوض مع المتقرّب به ذهناً و خارجاً؟ و هذا غیر ما صحّحناه فی المبحث المتقدّم؛ لاختلاف الحیثیتین عنواناً و متعلّقاً هناک دون المقام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أتعب نفسه الشریفة فیما أفاده، و قصاری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متعلّق بأمر خارج، و جعل المسألة</w:t>
      </w:r>
    </w:p>
    <w:p>
      <w:pPr>
        <w:pStyle w:val="BookText"/>
        <w:rPr/>
      </w:pPr>
      <w:r>
        <w:rPr>
          <w:rFonts w:ascii="IRNazanin" w:hAnsi="IRNazanin" w:eastAsia="IRNazanin"/>
          <w:color w:val="111111"/>
          <w:sz w:val="28"/>
          <w:sz w:val="28"/>
          <w:szCs w:val="28"/>
          <w:rtl w:val="true"/>
          <w:lang w:bidi="fa-IR"/>
        </w:rPr>
        <w:t>من بحث اجتماع الأمر و النهی</w:t>
      </w:r>
      <w:r>
        <w:rPr>
          <w:rStyle w:val="FootnoteAnchor"/>
          <w:rtl w:val="true"/>
        </w:rPr>
        <w:footnoteReference w:id="93"/>
      </w:r>
      <w:r>
        <w:rPr>
          <w:rFonts w:ascii="IRNazanin" w:hAnsi="IRNazanin" w:eastAsia="IRNazanin"/>
          <w:color w:val="111111"/>
          <w:sz w:val="28"/>
          <w:sz w:val="28"/>
          <w:szCs w:val="28"/>
          <w:rtl w:val="true"/>
          <w:lang w:bidi="fa-IR"/>
        </w:rPr>
        <w:t>، مع أنّ البحث هاهنا فیما إذا تعلّق النهی بنفس العبادة لا بأمر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کونه تنزیهیاً نفسیاً، فالظاهر دلالته علی الفساد لو ابقی علی ظاهره؛ إذ یستفاد منه مرجوحیة متعلّقه و حزازته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بما أنّها لا تمنع عن إیجاد متعلّقها، فإذا تعلّقت ببعض أفراد العبادة الواجبة تصیر إرشاداً إلی کون هذا الفرد أقلّ ثواباً من غیره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فیما إذا کان النهی ظاهراً فی المرجوحیة، و أمّا لو کان الظاهر منه هو الإرشاد إلی أقلّیة الثواب فخارج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التنزیهی ملازم للترخیص، و کیف یمکن ترخیص التعبّد بأمر مرجوح؟ و هل هذا إلّا الترخیص بالتشریع؟ فلا بدّ بعد إحراز المرجوحیة من التخلّص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الترخیص حیثی، مفاده عدم کون عنوان العبادة محرّماً ذاتاً، و لا ینافی ذلک الحرمة من قِبَل التشریع علی فرض حرمته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کونه غیریاً، کالنهی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اقتضاء الأمر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الفساد عقلًا؛ لعدم دلالته علی مبغوضیة فی متعلّقه؛ بحیث یمتنع التقرّب به؛ لأنّ الإلزام بترکه لأجل فعل غیره، کما أنّ الأمر المقدّمی لا یکشف عن محبوبیته، و حینئذٍ فعلی القول بکفایة الملاک فی التقرّب یصحّ التقرّب بالمنهی عنه بالنهی الغیری</w:t>
      </w:r>
      <w:r>
        <w:rPr>
          <w:rFonts w:eastAsia="IRNazanin" w:cs="IRNazanin"/>
          <w:color w:val="111111"/>
          <w:sz w:val="28"/>
          <w:szCs w:val="28"/>
          <w:rtl w:val="true"/>
          <w:lang w:bidi="fa-IR"/>
        </w:rPr>
        <w:t>.</w:t>
      </w:r>
      <w:bookmarkStart w:id="115" w:name="pg12907_206536"/>
    </w:p>
    <w:p>
      <w:pPr>
        <w:pStyle w:val="BookText"/>
        <w:rPr/>
      </w:pPr>
      <w:bookmarkEnd w:id="115"/>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المنهی عنه یوجب التجرّی علی المولی، فیکون الفاعل بذلک بعیداً عن ساحته، فلا 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 الضدّ عاصٍ بترک الضدّ الأهمّ لا بفعل المهمّ، فلیس فی فعله تجرّ، و انطباق الأمر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الوجودی قد عرفت حاله</w:t>
      </w:r>
      <w:r>
        <w:rPr>
          <w:rStyle w:val="FootnoteAnchor"/>
          <w:rtl w:val="true"/>
        </w:rPr>
        <w:footnoteReference w:id="95"/>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سلّمنا أنّ العصیان یتحقّق بنفس إتیان المهمّ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أنّ التجرّی موجب للفساد؛ لأنّ الجرأة و الجسارة عنوان لا تسری مبغوضیته إلی نفس الفعل، و کون العبد بعیداً عن ساحته بجرأته لا یوجب البعد بعمله ثانیاً،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کونه إرشاداً إلی الفساد، فلا بحث فی اقتضائه الفساد</w:t>
      </w:r>
      <w:r>
        <w:rPr>
          <w:rFonts w:eastAsia="IRNazanin" w:cs="IRNazanin"/>
          <w:color w:val="111111"/>
          <w:sz w:val="28"/>
          <w:szCs w:val="28"/>
          <w:rtl w:val="true"/>
          <w:lang w:bidi="fa-IR"/>
        </w:rPr>
        <w:t>.</w:t>
      </w:r>
    </w:p>
    <w:p>
      <w:pPr>
        <w:pStyle w:val="Heading5"/>
        <w:numPr>
          <w:ilvl w:val="4"/>
          <w:numId w:val="1"/>
        </w:numPr>
        <w:rPr/>
      </w:pPr>
      <w:bookmarkStart w:id="116" w:name="__RefHeading___Toc3346300_3224264995"/>
      <w:bookmarkStart w:id="117" w:name="_Toc43"/>
      <w:bookmarkEnd w:id="116"/>
      <w:r>
        <w:rPr>
          <w:rtl w:val="true"/>
        </w:rPr>
        <w:t>المقام الرابع</w:t>
      </w:r>
      <w:r>
        <w:rPr>
          <w:rtl w:val="true"/>
        </w:rPr>
        <w:t>:</w:t>
      </w:r>
      <w:bookmarkEnd w:id="117"/>
    </w:p>
    <w:p>
      <w:pPr>
        <w:pStyle w:val="BookText"/>
        <w:rPr/>
      </w:pPr>
      <w:r>
        <w:rPr>
          <w:rFonts w:ascii="IRNazanin" w:hAnsi="IRNazanin" w:eastAsia="IRNazanin"/>
          <w:color w:val="111111"/>
          <w:sz w:val="28"/>
          <w:sz w:val="28"/>
          <w:szCs w:val="28"/>
          <w:rtl w:val="true"/>
          <w:lang w:bidi="fa-IR"/>
        </w:rPr>
        <w:t>فی النهی المتعلّق بالمعاملات مع إحراز حال النهی، و هو علی أقسام، کالنهی المتعلّق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النهی التنزیهی أو الغیری بها، فلا إشکال فی عدم اقتضائها الفساد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التحریمی، فإن تعلّق بنفس السبب و بصدور هذا اللفظ بنفسه أو صدوره بعنوان إیقاع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الفساد عقلًا؛ لأنّ حرمة التلفّظ بشی‌ء و مبغوضیته لا یقتضی حرمة أثره و فساد مسبّبه و عدم تأثیره فیه، و لو تعلّق به لا بما هو فعل مباشری، بل بما أنّ مسبّبه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المسلم من الکافر؛ فإنّ المبغوض مملوکیته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أیضاً لا یدلّ علی الفساد؛ لعدم المنافاة بین المبغوضیة و وقوع المسبّب غیر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هذا القسم بین کون الأسباب عقلیة کشف عنها الشارع فتصحّ المعاملة و یجبر الکافر بإخراج المسلم عن ملکه، و بین کون الأسباب شرعیة، فیبعد جعله السبب مع مبغوضیة مسبّبه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من کون الأسباب عقلیة هو کونها عقلائیة؛ إذ لا یتصوّر للسبب العقلی الاعتباری هنا معنی سوی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یرجع الکلام إلی أنّ النهی عن السبب لمبغوضیة مسبّبه هل یکون رادعاً عن المعاملة العقلائیة أو لا؟</w:t>
      </w:r>
    </w:p>
    <w:p>
      <w:pPr>
        <w:pStyle w:val="BookText"/>
        <w:rPr/>
      </w:pPr>
      <w:r>
        <w:rPr>
          <w:rFonts w:ascii="IRNazanin" w:hAnsi="IRNazanin" w:eastAsia="IRNazanin"/>
          <w:color w:val="111111"/>
          <w:sz w:val="28"/>
          <w:sz w:val="28"/>
          <w:szCs w:val="28"/>
          <w:rtl w:val="true"/>
          <w:lang w:bidi="fa-IR"/>
        </w:rPr>
        <w:t>و التحقیق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قلنا بمجعولیة السبب شرعاً؛ لعدم المنافاة بین مبغوضیة المسبّب و تأثیر السبب، فلا یرفع الید عن أدلّة السببیة لأجل مبغوضیة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 من أنّ جعل السبب بعید مع مبغوضیة متعلّقه غیر مجدٍ؛ لأنّ الجعل لم یکن مقصوراً بهذا المورد الخاصّ حتّی یتمّ ما ذکره من الاستبعاد، بل الجعل علی نحو القانون الکلّی الشامل لهذا المورد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اختصاص المورد بالجعل مع مبغوضیة مسبّبه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النهی بالتسبّب بسبب خاصّ إلی المسبّب بحیث لا یکون المسبّب مبغوضاً بل نفس التسبّب، و ذلک کالظهار؛ فإنّ التفریق لیس مبغوضاً فی الجملة إلّا أنّ التوصّل به له مبغوض فی نظر الشارع، فهو مثل ما تقدّم فی أنّه لا یقتضی الفساد؛ لعدم المنافاة بینهما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مبغوضیة حصول الأثر بذاک السبب لا یمکن إمضاء المعاملة، و هو مساوق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أتحقّق مساوقته للفساد؛ إذ أیّ منافاة بین تحقّق المسبّب غیر المبغوض و بین حرمة التسبّب؛ فإنّ الحیازة تتحقّق و لو بالآلة الغصبیة المحرّمة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عقلائیة، و العقلاء علی أثر ارتکازهم و بنائهم حتّی یردع عنه الشارع، و مثل ذلک لا یعدّ ردعاً کما لا یعدّ مخصّصاً و لا مقیّداً لما دلّ علی جعل الأسباب الشرعیة بنحو القانون،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قسم من التحریمی؛ و هو أنّه إذا تعلّق النهی بالمعاملة لأجل مبغوضیة ترتیب الآثار المطلوبة علیها لا إشکال فی دلالته علی الفساد؛ لأنّ حرمة ترتیب الأثر علی معاملة مساوقة لفسادها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احرز کون النهی التحریمی متعلّقاً بأحد العناوین المتقدّمة؛ من تعلّقه بنفس السبب بما أنّه فعل مباشری، أو بما أنّ مسبّبه مبغوض، و من تعلّقه بالتسبّب بالسبب الخاصّ، أو بالمعاملة لأجل حرمة ترتیب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یحرز أحد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احرز کونه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الشیخ الأعظم دعوی ظهور تعلّقه بصدور الفعل المباشری</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 لو لم نقل أنّه أبعد الاحتمالات فی نظر العرف و العقلاء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فی حرمة ترتیب الأثر؛ لأنّه لا ینقدح فی نظر العرف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إحراز کون النهی فیه للتحریم حرمة التلفّظ بالألفاظ الخاصّة؛ لأنّها آلات لا ینظر فیها، و لا حرمة المسبّب الذی هو أمر عقلائی و لا یکون مبغوضاً نوعاً، و لا التسبّب بها إلی المسبّب، بل</w:t>
      </w:r>
      <w:bookmarkStart w:id="118" w:name="pg12907_206539"/>
    </w:p>
    <w:p>
      <w:pPr>
        <w:pStyle w:val="BookText"/>
        <w:rPr/>
      </w:pPr>
      <w:bookmarkEnd w:id="118"/>
      <w:r>
        <w:rPr>
          <w:rFonts w:ascii="IRNazanin" w:hAnsi="IRNazanin" w:eastAsia="IRNazanin"/>
          <w:color w:val="111111"/>
          <w:sz w:val="28"/>
          <w:sz w:val="28"/>
          <w:szCs w:val="28"/>
          <w:rtl w:val="true"/>
          <w:lang w:bidi="fa-IR"/>
        </w:rPr>
        <w:t>ینقدح أنّ الغرض من النهی هو الزجر عن المعاملة بلحاظ آثارها؛ فالممنوع هو ترتیب الآثار المطلوبة علیها کسائر معاملاتهم، و هو مساوق للفساد، فتدبّر</w:t>
      </w:r>
      <w:r>
        <w:rPr>
          <w:rFonts w:eastAsia="IRNazanin" w:cs="IRNazanin"/>
          <w:color w:val="111111"/>
          <w:sz w:val="28"/>
          <w:szCs w:val="28"/>
          <w:rtl w:val="true"/>
          <w:lang w:bidi="fa-IR"/>
        </w:rPr>
        <w:t>.</w:t>
      </w:r>
    </w:p>
    <w:p>
      <w:pPr>
        <w:pStyle w:val="Heading4"/>
        <w:numPr>
          <w:ilvl w:val="3"/>
          <w:numId w:val="1"/>
        </w:numPr>
        <w:rPr/>
      </w:pPr>
      <w:bookmarkStart w:id="119" w:name="__RefHeading___Toc3346302_3224264995"/>
      <w:bookmarkStart w:id="120" w:name="_Toc44"/>
      <w:bookmarkEnd w:id="119"/>
      <w:r>
        <w:rPr>
          <w:rtl w:val="true"/>
        </w:rPr>
        <w:t>فی التمسّک بالروایات علی فساد المعاملة المنهی عنها</w:t>
      </w:r>
      <w:bookmarkEnd w:id="120"/>
    </w:p>
    <w:p>
      <w:pPr>
        <w:pStyle w:val="BookText"/>
        <w:rPr/>
      </w:pPr>
      <w:r>
        <w:rPr>
          <w:rFonts w:ascii="Amiri" w:hAnsi="Amiri" w:eastAsia="Amiri" w:cs="Amiri"/>
          <w:color w:val="111111"/>
          <w:sz w:val="28"/>
          <w:sz w:val="28"/>
          <w:szCs w:val="28"/>
          <w:rtl w:val="true"/>
          <w:lang w:bidi="ar-SA"/>
        </w:rPr>
        <w:t>و ربّما یستدلّ</w:t>
      </w:r>
      <w:r>
        <w:rPr>
          <w:rStyle w:val="FootnoteAnchor"/>
          <w:rtl w:val="true"/>
        </w:rPr>
        <w:footnoteReference w:id="98"/>
      </w:r>
      <w:r>
        <w:rPr>
          <w:rFonts w:ascii="IRNazanin" w:hAnsi="IRNazanin" w:eastAsia="IRNazanin"/>
          <w:color w:val="111111"/>
          <w:sz w:val="28"/>
          <w:sz w:val="28"/>
          <w:szCs w:val="28"/>
          <w:rtl w:val="true"/>
          <w:lang w:bidi="fa-IR"/>
        </w:rPr>
        <w:t>لدلالة النهی علی الفساد إذا تعلّق بعنوان المعاملة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زرارة المرویة فی نکاح العبید و الإماء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مملوک تزوّج بغیر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عتیبة و إبراهیم النخعی و أصحابهما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أصل النکاح فاسد و لا یحلّ إجازة السیّد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زرارة أیضاً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امرأة بغیر إذنه، فدخل بها، ثمّ اطّلع علی ذلک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مولاه؛ إن شاء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فإنّه فی أصل النکاح کان عاصیاً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أتی شیئاً حلالًا، و لیس بعاص للَّه، إنّما عصی سیّده</w:t>
      </w:r>
    </w:p>
    <w:p>
      <w:pPr>
        <w:pStyle w:val="BookText"/>
        <w:rPr/>
      </w:pPr>
      <w:r>
        <w:rPr>
          <w:rFonts w:ascii="Amiri" w:hAnsi="Amiri" w:eastAsia="Amiri" w:cs="Amiri"/>
          <w:color w:val="111111"/>
          <w:sz w:val="28"/>
          <w:sz w:val="28"/>
          <w:szCs w:val="28"/>
          <w:rtl w:val="true"/>
          <w:lang w:bidi="ar-SA"/>
        </w:rPr>
        <w:t>و لم یعص اللَّه، إنّ ذلک لیس کإتیان ما حرّم اللَّه علیه من نکاح فی عدّة و أشباهه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الأخذ بالمفهوم؛ و هو أنّ النکاح لو کان معصیة اللَّه لکان باطلًا، و لکن المقام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إشکال معروف صعب الاندفاع؛ و هو أنّ عصیان السیّد یستلزم کونه عاصیاً للَّه تعالی، فالنکاح بلا إذن بما أنّه مخالفة السیّد و عصیان له عصیان للَّه سبحانه؛ لحرمة مخالفة المولی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 القوم یمیناً و یساراً، و اختار کلّ مهرباً غیر نقی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یختلج فی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ما قدّمناه؛ من أنّ حرمة عنوان عرضی منطبق علی شی‌ء حلال بالذات لا تسری إلیه؛ لعدم کون الخارج ظرف تعلّق الحکم، کما مرّ فی مبحث الاجتماع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کمخالفة السیّد و أصل النکاح؛ فإنّ ما هو المحرّم هو عنوان مخالفة السیّد، و النهی إذا تعلّق به لا یتجاوز عنه إلی عنوان آخر، کالنکاح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فالتزویج الخارجی ینطبق علیه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عنوان النکاح، و هو لم یتعلّق به نهی من المولی، بل یکون مشروعاً متعلّقاً للأمر، و عنوان عصیان المولی الذی تعلّق به النهی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فالمصداق المفروض مصداق لعنوان ذاتی له و هو مشروع تعلّق به الأمر،</w:t>
      </w:r>
    </w:p>
    <w:p>
      <w:pPr>
        <w:pStyle w:val="BookText"/>
        <w:rPr/>
      </w:pPr>
      <w:r>
        <w:rPr>
          <w:rFonts w:ascii="IRNazanin" w:hAnsi="IRNazanin" w:eastAsia="IRNazanin"/>
          <w:color w:val="111111"/>
          <w:sz w:val="28"/>
          <w:sz w:val="28"/>
          <w:szCs w:val="28"/>
          <w:rtl w:val="true"/>
          <w:lang w:bidi="fa-IR"/>
        </w:rPr>
        <w:t>و عنوان عرضی و هو مخالفة السیّد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الثانی علی النکاح عرضاً لا یوجب کونه حراماً؛ لوقوف کلّ حکم علی عنوانه، و لا یسری إلی ما یقارنه أو یتّحد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السؤال و الجواب النکاح بما له من المعنی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صنعه العبد بلا 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أنّه عصیان سیّده، و لیس بعصیان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عصیان السیّد فلأنّ ارتکابه هذا الأمر المهمّ بلا إذنه خروج من رسم العبودیة و زیّ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کون النکاح عصیاناً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حرّم اللَّه علی العبد هو عنوان مخالفته لمولاه لا النکاح و الطلاق و غیرهما، و انطباقها أحیاناً علی مصادیق المحلّلات لا یوجب کونها حراماً؛ لعدم تجاوز النهی عن عنوان إلی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فالتزویج الخارجی مصداق لعنوان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مخالفة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بانطباق العنوان الأوّل عاص للَّه و بانطباق العنوان الثانی لم یعص اللَّه بل عصی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فواضح، أمّا الأوّل فلعدم تحریم منه تعالی، و مورد السؤال هو ما یصدر عن العبد، و هو أصل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ما ذکر شواهد فی متون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أتی شیئاً حلالًا، و لیس بعاص للَّه، إنّما عصی سیّده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صرّح بأنّ أصل النکاح شی‌ء حلال لیس بمعصیة اللَّه، و مع ذلک عصی</w:t>
      </w:r>
    </w:p>
    <w:p>
      <w:pPr>
        <w:pStyle w:val="BookText"/>
        <w:rPr/>
      </w:pP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فالتزویج عصیان السیّد و مخالفة السیّد عصیان اللَّه، و المخالفة بعنوانها غیر النکاح؛ و إن اتّحدت معه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من عصیان اللَّه هو عصیانه فی أصل النکاح لا عصیانه بعنوان مخالفة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لم یعص اللَّه فی أصل النکاح حتّی یصیر فاسداً؛ و إنّ عصی سیّده فی النکاح باعتبار وقوعه بلا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صحیحة منصور بن حازم عن أبی عبد اللَّه فی مملوک تزوّج بغیر إذن مولاه أ عاص 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حرام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أنّه حرام، و قل له أن لا یفعل إلّا بإذن مولاه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أنّ ظاهره کونه حلالًا، مع أنّه ممنوع من فعله إلّا بإذن مولاه، و ما هذا إلّا لأجل ما تقدّم من أنّ النکاح لیس بحرام، لکن ینطبق علیه عنوان محرّم؛ و هو مخالفة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روایة زرارة المتقدّمة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عصی سیّده و لم یعص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لیس کإتیان ما حرّم اللَّه علیه من نکاح فی عدّة و أشباهه</w:t>
      </w:r>
      <w:r>
        <w:rPr>
          <w:rFonts w:eastAsia="IRNazanin" w:cs="IRNazanin"/>
          <w:color w:val="111111"/>
          <w:sz w:val="28"/>
          <w:szCs w:val="28"/>
          <w:rtl w:val="true"/>
          <w:lang w:bidi="fa-IR"/>
        </w:rPr>
        <w:t>»</w:t>
      </w:r>
      <w:r>
        <w:rPr>
          <w:rStyle w:val="FootnoteAnchor"/>
          <w:rtl w:val="true"/>
        </w:rPr>
        <w:footnoteReference w:id="1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فرّق بینه و بین ما تعلّق النهی بنفس الطبیعة بعنوانها، و لیس ذلک إلّا لما ذکرنا</w:t>
      </w:r>
      <w:r>
        <w:rPr>
          <w:rFonts w:eastAsia="IRNazanin" w:cs="IRNazanin"/>
          <w:color w:val="111111"/>
          <w:sz w:val="28"/>
          <w:szCs w:val="28"/>
          <w:rtl w:val="true"/>
          <w:lang w:bidi="fa-IR"/>
        </w:rPr>
        <w:t>.</w:t>
      </w:r>
      <w:bookmarkStart w:id="121" w:name="pg12907_206543"/>
    </w:p>
    <w:p>
      <w:pPr>
        <w:pStyle w:val="Heading4"/>
        <w:numPr>
          <w:ilvl w:val="3"/>
          <w:numId w:val="1"/>
        </w:numPr>
        <w:rPr/>
      </w:pPr>
      <w:bookmarkStart w:id="122" w:name="__RefHeading___Toc3346304_3224264995"/>
      <w:bookmarkStart w:id="123" w:name="_Toc45"/>
      <w:bookmarkEnd w:id="121"/>
      <w:bookmarkEnd w:id="122"/>
      <w:r>
        <w:rPr>
          <w:rtl w:val="true"/>
        </w:rPr>
        <w:t>تذنیب</w:t>
      </w:r>
      <w:r>
        <w:rPr>
          <w:rtl w:val="true"/>
        </w:rPr>
        <w:t xml:space="preserve">: </w:t>
      </w:r>
      <w:r>
        <w:rPr>
          <w:rtl w:val="true"/>
        </w:rPr>
        <w:t>فی دعوی دلالة النهی علی الصحّة</w:t>
      </w:r>
      <w:bookmarkEnd w:id="123"/>
    </w:p>
    <w:p>
      <w:pPr>
        <w:pStyle w:val="BookText"/>
        <w:rPr/>
      </w:pPr>
      <w:r>
        <w:rPr>
          <w:rFonts w:ascii="IRNazanin" w:hAnsi="IRNazanin" w:eastAsia="IRNazanin"/>
          <w:color w:val="111111"/>
          <w:sz w:val="28"/>
          <w:sz w:val="28"/>
          <w:szCs w:val="28"/>
          <w:rtl w:val="true"/>
          <w:lang w:bidi="fa-IR"/>
        </w:rPr>
        <w:t>حکی عن أبی حنیفة و الشیبانی دلالة النهی علی الصحّة</w:t>
      </w:r>
      <w:r>
        <w:rPr>
          <w:rStyle w:val="FootnoteAnchor"/>
          <w:rtl w:val="true"/>
        </w:rPr>
        <w:footnoteReference w:id="104"/>
      </w:r>
      <w:r>
        <w:rPr>
          <w:rFonts w:ascii="IRNazanin" w:hAnsi="IRNazanin" w:eastAsia="IRNazanin"/>
          <w:color w:val="111111"/>
          <w:sz w:val="28"/>
          <w:sz w:val="28"/>
          <w:szCs w:val="28"/>
          <w:rtl w:val="true"/>
          <w:lang w:bidi="fa-IR"/>
        </w:rPr>
        <w:t>لأنّ النهی لا یصحّ إلّا عمّا یتعلّق به القدرة، و المنهی عنه هو وقوع المعاملة مؤثّرة صحیحة؛ فلو کان الزجر عن معاملة مقتضیاً للفساد یلزم أن یکون سالباً لقدرة المکلّف، و مع عدم قدرته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صوم یوم النحر و النکاح فی العدّة ممّا لا یتمکّن المکلّف من إتیانهما یکون النهی عنهما لغواً؛ لتعلّقه بأمر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المسبّب أو التسبّب به فی المعاملات یدلّ علی الصحّة؛ لاعتبار القدرة فی متعلّقه، و أمّا إذا کان عن السبب فلا؛ لکونه مقدوراً؛ و إن لم یکن صحیحاً</w:t>
      </w:r>
      <w:r>
        <w:rPr>
          <w:rStyle w:val="FootnoteAnchor"/>
          <w:rtl w:val="true"/>
        </w:rPr>
        <w:footnoteReference w:id="1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نظرهما لیس نفس السبب بما هو فعل مباشری؛ إذ لیس السبب متعلّقاً للنهی فی الشریعة حتّی یبحث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التسبّب منهیاً عنه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مورد النظر هو المعاملات العقلائیة المعتدّ بها لو لا نهی الشارع عنها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النظر فیما أفاده بعض الأعیان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قولهما علی جمیع التقادیر؛ لأنّ ذات العقد الإنشائی غیر ملازم للصحّة، فمقدوریته لذاته</w:t>
      </w:r>
    </w:p>
    <w:p>
      <w:pPr>
        <w:pStyle w:val="BookText"/>
        <w:rPr/>
      </w:pPr>
      <w:r>
        <w:rPr>
          <w:rFonts w:ascii="IRNazanin" w:hAnsi="IRNazanin" w:eastAsia="IRNazanin"/>
          <w:color w:val="111111"/>
          <w:sz w:val="28"/>
          <w:sz w:val="28"/>
          <w:szCs w:val="28"/>
          <w:rtl w:val="true"/>
          <w:lang w:bidi="fa-IR"/>
        </w:rPr>
        <w:t>لا ربط له بمقدوریته من حیث هو مؤثّر فعلی، و إیجاد الملکیة عین وجودها حقیقة و غیرها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عنه و إن دلّ عقلًا علی مقدوریته لکن لا یتّصف هو بالصحّة؛ لأنّ الاتّصاف إن کان بلحاظ حصول الملکیة فهی لیست أثراً له؛ لأنّ الشی‌ء لیس أثراً لنفسه، و إن کان بلحاظ الأحکام المترتّبة علی الملکیة المعبّر عنها بآثارها فنسبتها إلیها نسبة الحکم إلی موضوعه، لا المسبّب إلی سببه؛ لیتّصف بلحاظه بالصحّة</w:t>
      </w:r>
      <w:r>
        <w:rPr>
          <w:rStyle w:val="FootnoteAnchor"/>
          <w:rtl w:val="true"/>
        </w:rPr>
        <w:footnoteReference w:id="10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نظرهما إنّما هو المعاملة العقلائیة؛ أعنی العقد المتوقّع منه ترتّب الأثر و المسبّب علیه لو لا نهی الشارع عنه، فلا یرد إشکاله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تعلّقه بإیجاد الملکیة لکن کون الإیجاد منهیاً عنه یکشف عن تعلّق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کاشف عن صحّة المعاملة و نفوذها، لا صحّة الإیجاد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یتّصف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أجنبی عن محطّ کلامهما علی تقدیر، و مثبت له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معهما فی المعاملات إذا أحرزنا أنّ النهی تکلیفی لا إرشادی إلی فساده؛ إذ حینئذٍ یتمحّض ظهوره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نقل بأنّ النهی إذا تعلّق بمعاملة لأجل مبغوضیة ترتیب الآثار المطلوبة علیها یدلّ علی الفساد فی نظر العقلاء، و إلّا یصیر نظیر الإرشاد إلی الفساد، و یسقط قولهما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العبادات فالمنقول عنهما ساقط فیها علی أیّ تقدیر؛ سواء قلنا بوضعها للأعمّ أم الصحیح، أمّا علی الأوّل فواضح؛ لصحّة إطلاق الصلاة علی الفاسد و إمکان تعلّق النهی به</w:t>
      </w:r>
      <w:r>
        <w:rPr>
          <w:rFonts w:eastAsia="IRNazanin" w:cs="IRNazanin"/>
          <w:color w:val="111111"/>
          <w:sz w:val="28"/>
          <w:szCs w:val="28"/>
          <w:rtl w:val="true"/>
          <w:lang w:bidi="fa-IR"/>
        </w:rPr>
        <w:t>.</w:t>
      </w:r>
      <w:bookmarkStart w:id="124" w:name="pg12907_206545"/>
    </w:p>
    <w:p>
      <w:pPr>
        <w:pStyle w:val="BookText"/>
        <w:rPr/>
      </w:pPr>
      <w:bookmarkEnd w:id="124"/>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قدّمناه من أنّ المراد من الصحیح لیس هو الصحیح من جمیع الجهات؛ إذ الشرائط الآتیة من قبل الأمر خارجة من المدلول، بل مطلق الشرائط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منافاة بین الصحیح من بعض الجهات و بین الفساد و المبغوضیة؛ بحیث لا یصلح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بالصحّة الفعلیة فلا یجتمع مع النهی أصلًا؛ لأنّ العبادة تتقوّم بالأمر أو الملاک، و الأمر لا یجتمع مع النهی؛ لکون العنوان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الملاک؛ إذ لا یمکن أن یکون عنوان واحد محبوباً و مبغوضاً و ذا صلاح و فساد بحیثیة واحدة</w:t>
      </w:r>
      <w:r>
        <w:rPr>
          <w:rFonts w:eastAsia="IRNazanin" w:cs="IRNazanin"/>
          <w:color w:val="111111"/>
          <w:sz w:val="28"/>
          <w:szCs w:val="28"/>
          <w:rtl w:val="true"/>
          <w:lang w:bidi="fa-IR"/>
        </w:rPr>
        <w:t>.</w:t>
      </w:r>
    </w:p>
    <w:p>
      <w:pPr>
        <w:pStyle w:val="Heading4"/>
        <w:numPr>
          <w:ilvl w:val="3"/>
          <w:numId w:val="1"/>
        </w:numPr>
        <w:rPr/>
      </w:pPr>
      <w:bookmarkStart w:id="125" w:name="__RefHeading___Toc3346306_3224264995"/>
      <w:bookmarkStart w:id="126" w:name="_Toc46"/>
      <w:bookmarkEnd w:id="125"/>
      <w:r>
        <w:rPr>
          <w:rtl w:val="true"/>
        </w:rPr>
        <w:t>تنبیه</w:t>
      </w:r>
      <w:r>
        <w:rPr>
          <w:rtl w:val="true"/>
        </w:rPr>
        <w:t xml:space="preserve">: </w:t>
      </w:r>
      <w:r>
        <w:rPr>
          <w:rtl w:val="true"/>
        </w:rPr>
        <w:t>فی حکم تعلّق النهی بجزء العبادة أو شرطها أو وصفها</w:t>
      </w:r>
      <w:bookmarkEnd w:id="126"/>
    </w:p>
    <w:p>
      <w:pPr>
        <w:pStyle w:val="BookText"/>
        <w:rPr/>
      </w:pPr>
      <w:r>
        <w:rPr>
          <w:rFonts w:ascii="IRNazanin" w:hAnsi="IRNazanin" w:eastAsia="IRNazanin"/>
          <w:color w:val="111111"/>
          <w:sz w:val="28"/>
          <w:sz w:val="28"/>
          <w:szCs w:val="28"/>
          <w:rtl w:val="true"/>
          <w:lang w:bidi="fa-IR"/>
        </w:rPr>
        <w:t>قد تقدّم الکلام فی النهی المتعلّق بنفس العبادة، فبعد البناء علی فسادها بتعلّقه بها فهل یوجب تعلّقه بجزئها أو شرطها أو وصفها اللازم أو المفارق فسادها أو لا؟</w:t>
      </w:r>
    </w:p>
    <w:p>
      <w:pPr>
        <w:pStyle w:val="BookText"/>
        <w:rPr/>
      </w:pPr>
      <w:r>
        <w:rPr>
          <w:rFonts w:ascii="IRNazanin" w:hAnsi="IRNazanin" w:eastAsia="IRNazanin"/>
          <w:color w:val="111111"/>
          <w:sz w:val="28"/>
          <w:sz w:val="28"/>
          <w:szCs w:val="28"/>
          <w:rtl w:val="true"/>
          <w:lang w:bidi="fa-IR"/>
        </w:rPr>
        <w:t>و محطّ البحث هو اقتضاء الفساد من هذه الحیثیة لا الحیثیات الاخر، مثل تحقّق الزیادة فی المکتوبة أو کون الزائد المحرّم من کلام الآدمی أو غیر ذلک ممّا لسنا بصدده الآن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هو الثانی؛ لأنّ البحث فیما إذا تعلّق بنفس الجزء لا بالکلّ؛ و لو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فمبغوضیة الجزء یوجب فساد نفسه لا الکلّ، و لا تسری إلیه، و لو کان قابل التدارک یأتی به ثانیاً، و إلّا فالفساد مستند إلی حیثیة اخری من فقدان الجزء أو زیادته، و النهی لم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الجزء یستلزم أخذ العبادة بالإضافة إلیه بشرط لا</w:t>
      </w:r>
      <w:r>
        <w:rPr>
          <w:rStyle w:val="FootnoteAnchor"/>
          <w:rtl w:val="true"/>
        </w:rPr>
        <w:footnoteReference w:id="107"/>
      </w:r>
      <w:r>
        <w:rPr>
          <w:rFonts w:ascii="IRNazanin" w:hAnsi="IRNazanin" w:eastAsia="IRNazanin"/>
          <w:color w:val="111111"/>
          <w:sz w:val="28"/>
          <w:sz w:val="28"/>
          <w:szCs w:val="28"/>
          <w:rtl w:val="true"/>
          <w:lang w:bidi="fa-IR"/>
        </w:rPr>
        <w:t>، مدفوع بعدم الدلیل علیه، علی أنّه خارج من محطّ البحث، 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الوصف فلأنّ المبغوض لیس إلّا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الظهر، فلا یستدعی مبغوضیة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تعلّق بعنوان الصلاة أو القراءة فیها، و النهی تعلّق بإجهار القراءة فیها؛ بحیث یکون المنهی عنه نفس الإجهار و إضافة الإجهار إلی القراءة من قبیل زیادة الحدّ علی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العنوانان فی محطّ تعلّق الأحکام مختلفان، فلا یضرّ الاتّحاد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الوصف اللازم ما لا یمکن سلبه مع بقاء موصوفه، کلزوم الجهر للقراءة؛ حیث ینعدم القراءة الشخصیة مع انعدام وصفها؛ و إن یمکن إیجادها فی ضمن صنف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منه ما لا تکون فیه مندوحة فی البین؛ بحیث یلازم الموصوف فی جمیع الحالات؛ لامتناع تعلّق الأمر بشی‌ء و النهی بلازمه غیر المنفکّ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غیر اللازم من الوصف؛ من حیث عدم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قبیل اجتماع الأمر و النهی، فالبطلان علی القول به مبنی إمّا علی منع کون المبعّد مقرّباً أو علی انتفاء الوصف فی الصلاة، و هو أجنبی عن البحث؛ لأنّ البحث فی اقتضاء کون النهی ذلک، کما هو ملاک البحث عند تعلّقه بنفس العبادة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تعلّق النهی بالقراءة المجهور بها؛ بحیث یکون بین العنوانین عموم مطلق فللتأمّل فیه مجال؛ إذ لقائل أن یمنع جریان أحکام باب الاجتماع فیه؛ لأنّ</w:t>
      </w:r>
    </w:p>
    <w:p>
      <w:pPr>
        <w:pStyle w:val="BookText"/>
        <w:rPr/>
      </w:pPr>
      <w:r>
        <w:rPr>
          <w:rFonts w:ascii="IRNazanin" w:hAnsi="IRNazanin" w:eastAsia="IRNazanin"/>
          <w:color w:val="111111"/>
          <w:sz w:val="28"/>
          <w:sz w:val="28"/>
          <w:szCs w:val="28"/>
          <w:rtl w:val="true"/>
          <w:lang w:bidi="fa-IR"/>
        </w:rPr>
        <w:t>المطلق الواجب هو عین المقیّد الحرام؛ فإنّ المطلق نفس الطبیعة، و لیس قیداً مأخوذاً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فالمقیّد هو نفس الطبیعة مع قید، فیتّحد العنوانان فی حین توارد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أنّ وقوع العامّ و الخاصّ المطلقین محلّ النزاع لا یخلو من إشکال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الشرط فکما لو تعلّق الأمر بالصلاة متستّراً و تعلّق النهی بالتستّر فی الصلاة بوجه خاصّ أو بشی‌ء خاصّ؛ لامتناع تعلّقه بالتستّر مطلقاً مع شرطیته فی الجملة، و حینئذٍ فتعلّق النهی بصنف من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التستّر بوبر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إلّا مبغوضیة شرطه لا المشروط، و مبغوضیة التستّر بنحو خاصّ أو بصنف خاصّ لا ینافی محبوبیة الصلاة متستّراً، فإنّ التقیید بالتستّر المأخوذ فیها أمر عقلی، لیس کالأجزاء، فیمکن أن یتقرّب مع التستّر بستر منهی عنه، و لا یلزم اجتماع الأمر و النهی، و لا المبغوض و المحبوب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الأمر بالمقیّد ینبسط علی نفس الشرط کالجزء کان حکمه حکم الجزء کما عرفت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فساد الشرط یوجب فقدان مشروطه</w:t>
      </w:r>
      <w:r>
        <w:rPr>
          <w:rStyle w:val="FootnoteAnchor"/>
          <w:rtl w:val="true"/>
        </w:rPr>
        <w:footnoteReference w:id="109"/>
      </w:r>
      <w:r>
        <w:rPr>
          <w:rFonts w:ascii="IRNazanin" w:hAnsi="IRNazanin" w:eastAsia="IRNazanin"/>
          <w:color w:val="111111"/>
          <w:sz w:val="28"/>
          <w:sz w:val="28"/>
          <w:szCs w:val="28"/>
          <w:rtl w:val="true"/>
          <w:lang w:bidi="fa-IR"/>
        </w:rPr>
        <w:t>خروج من محطّ البحث؛ إذ الفساد من حیثیة اخری لا ینافی عدم الفساد من جانب النهی، کما أنّ ما ذکرناه فی الجزء و الشرط و الوصف حکم النهی التحریمی لا ما هو ظاهر فی الإرشاد إلی الفساد، هذا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الاستظهار من الأدلّة فلا مضایقة عن دلالتها علی الفساد أحیاناً</w:t>
      </w:r>
      <w:r>
        <w:rPr>
          <w:rFonts w:eastAsia="IRNazanin" w:cs="IRNazanin"/>
          <w:color w:val="111111"/>
          <w:sz w:val="28"/>
          <w:szCs w:val="28"/>
          <w:rtl w:val="true"/>
          <w:lang w:bidi="fa-IR"/>
        </w:rPr>
        <w:t>.</w:t>
      </w:r>
      <w:bookmarkStart w:id="127" w:name="pg12907_206549"/>
    </w:p>
    <w:p>
      <w:pPr>
        <w:pStyle w:val="Heading2"/>
        <w:numPr>
          <w:ilvl w:val="1"/>
          <w:numId w:val="1"/>
        </w:numPr>
        <w:rPr/>
      </w:pPr>
      <w:bookmarkStart w:id="128" w:name="__RefHeading___Toc3346308_3224264995"/>
      <w:bookmarkStart w:id="129" w:name="_Toc47"/>
      <w:bookmarkEnd w:id="127"/>
      <w:bookmarkEnd w:id="128"/>
      <w:r>
        <w:rPr>
          <w:rtl w:val="true"/>
        </w:rPr>
        <w:t>المقصد الثالث فی المفاهیم</w:t>
      </w:r>
      <w:bookmarkEnd w:id="129"/>
    </w:p>
    <w:p>
      <w:pPr>
        <w:pStyle w:val="Heading3"/>
        <w:numPr>
          <w:ilvl w:val="2"/>
          <w:numId w:val="1"/>
        </w:numPr>
        <w:rPr/>
      </w:pPr>
      <w:bookmarkStart w:id="130" w:name="__RefHeading___Toc3346310_3224264995"/>
      <w:bookmarkStart w:id="131" w:name="_Toc48"/>
      <w:bookmarkEnd w:id="130"/>
      <w:r>
        <w:rPr>
          <w:rtl w:val="true"/>
        </w:rPr>
        <w:t>اشارة</w:t>
      </w:r>
      <w:bookmarkEnd w:id="1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مقدّمة و فصول</w:t>
      </w:r>
      <w:r>
        <w:rPr>
          <w:rFonts w:eastAsia="IRNazanin" w:cs="IRNazanin"/>
          <w:color w:val="111111"/>
          <w:sz w:val="28"/>
          <w:szCs w:val="28"/>
          <w:rtl w:val="true"/>
          <w:lang w:bidi="fa-IR"/>
        </w:rPr>
        <w:t>:</w:t>
      </w:r>
      <w:bookmarkStart w:id="132" w:name="pg12907_206551"/>
    </w:p>
    <w:p>
      <w:pPr>
        <w:pStyle w:val="Heading3"/>
        <w:numPr>
          <w:ilvl w:val="2"/>
          <w:numId w:val="1"/>
        </w:numPr>
        <w:rPr/>
      </w:pPr>
      <w:bookmarkStart w:id="133" w:name="__RefHeading___Toc3346312_3224264995"/>
      <w:bookmarkStart w:id="134" w:name="_Toc49"/>
      <w:bookmarkEnd w:id="132"/>
      <w:bookmarkEnd w:id="133"/>
      <w:r>
        <w:rPr>
          <w:rtl w:val="true"/>
        </w:rPr>
        <w:t>مقدّمة فی تعریف المفهوم</w:t>
      </w:r>
      <w:bookmarkEnd w:id="134"/>
    </w:p>
    <w:p>
      <w:pPr>
        <w:pStyle w:val="BookText"/>
        <w:rPr/>
      </w:pPr>
      <w:r>
        <w:rPr>
          <w:rFonts w:ascii="IRNazanin" w:hAnsi="IRNazanin" w:eastAsia="IRNazanin"/>
          <w:color w:val="111111"/>
          <w:sz w:val="28"/>
          <w:sz w:val="28"/>
          <w:szCs w:val="28"/>
          <w:rtl w:val="true"/>
          <w:lang w:bidi="fa-IR"/>
        </w:rPr>
        <w:t>ینبغی قبل الخوض فی المقصود بیان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عبارة عن قضیة غیر مذکورة مستفادة من القضیة المذکورة عند فرض انتفاء أحد قیود الکلام، و بینهما تقابل السلب و الإیجاب بحسب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مسلک القدماء علی ما استنبطه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مخالف لما سلکه المتأخّرون من الاصولیین؛ فإنّ مشرب المتأخّرین هو استفادة الترتّب العلّی الانحصاری عن أدوات الشرط أو عن القضیة الشرطیة؛ وضعاً أو إطلاقاً، و لیس دلالتها علی ذلک بالمعنی الاسمی؛ لأنّ معانی الأدوات و الهیئات حرفیة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المفهوم علی طریقتهم بحسب بعض الوجوه من اللوازم البیّنة للمعنی المستفاد من الکلام، و تصیر الدلالة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الدلالة علی الحصر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أدوات الشرط علی فرض إفادتها المفهوم تدلّ علی تعلیق الجزاء علی العلّة المنحصرة، و لازمه البیّن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بعض الوجوه یکون طریقتهم کطریقة القدماء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القدماء فلیس من الدلالات اللفظیة الالتزامیة حتّی یکون من اللوازم البیّنة؛ لأنّ الاستفادة مبنیة علی أنّ إتیان القید بما أنّه فعل اختیاری للمتکلّم یدلّ علی دخالته فی الحکم، فینتفی الحکم بانتفائه، و هذا لا یعدّ من الدلالة الالتزامیة، کاستفادة المفهوم من الإطلاق علی مسلک المتأخّرین، و سیجی‌ء الفرق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الحاجبی عرّف المنطوق بأنّه ما دلّ علیه اللفظ فی محلّ النطق، و المفهوم بأنّه ما دلّ علیه اللفظ لا فی محلّ النطق</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تطبیقه علی کلا 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المسلک المنسوب إلی القدماء 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من محلّ النطق الدلالات اللفظیة مطلقاً، و أراد من غیره دلالة اللفظ بما أنّه فعل اختیاری للمتکلّم علی دخالته فی موضوع الحکم، فدلّ علی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علیه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استفادة المفهوم من اللفظ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من دلالته فی محلّ النطق دلالة المطابقة أو هی مع التضمّن، و من دلالته لا فی محلّه دلالة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یبعد أن یکون مراده الثانی؛ فإنّ ما یدلّ علیه اللفظ فی محلّ النطق هو الدلالة 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هو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دلالته علی اللازم فبواسطة دلالته علی المعنی المطابقی، فلیس دلالته علیه فی محلّ النطق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دلّ علیه لفظه فی محلّ النطق هو</w:t>
      </w:r>
    </w:p>
    <w:p>
      <w:pPr>
        <w:pStyle w:val="BookText"/>
        <w:rPr/>
      </w:pPr>
      <w:r>
        <w:rPr>
          <w:rFonts w:ascii="IRNazanin" w:hAnsi="IRNazanin" w:eastAsia="IRNazanin"/>
          <w:color w:val="111111"/>
          <w:sz w:val="28"/>
          <w:sz w:val="28"/>
          <w:szCs w:val="28"/>
          <w:rtl w:val="true"/>
          <w:lang w:bidi="fa-IR"/>
        </w:rPr>
        <w:t>طلوع الشمس؛ لأنّ لفظه قالب لهذا المعنی بحسب الوضع، و أمّا وجود النهار فقد دلّ علیه لفظه أیضاً مع عدم التنطق به و عدم الوضع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یمکن استظهار أنّ المختار عند القدماء هو المختار عند المتأخّرین، و أنّه لا اختلاف بین المسلکین؛ إذ من البعید اتّکاؤهم فی استفادة المفهوم علی صرف وجود القید مع کونه ظاهر الفساد، فما نسب إلی القدماء محلّ شکّ، بل منع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المفهوم من صفات الدلالة أو المدلول ربّما یکون بحسب الاعتبار و الإضافة؛ لأنّ دلالة اللفظ علی المعنی المطابقی دلالة منطوقیة، و دلالته علی المعنی الالتزامی دلالة مفهومیة، کما أنّ المدلول إمّا منطوق یفهم من محلّ النطق أو مفهوم یفهم لا من محلّ النطق؛ و إن کان الأشبه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المفهوم علی مسلک المتأخّرین نزاع صغروی؛ لأنّ محصّل البحث یرجع إلی أنّه هل للقضیة الشرطیة مفهوم، و أنّها تدلّ علی العلّة المنحصرة، أو لا؛ بحیث لو ثبت له المفهوم لم یکن محیص عن کونه حجّة؟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رأی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یقال إنّه کبروی؛ لأنّ المفهوم علی هذا لمّا لم یکن فی محلّ النطق، و لیس من المدلولات اللفظیة فحینئذٍ یقع النزاع فی أنّه هل یمکن الاحتجاج علیه أو لا یمکن؛ لأجل عدم التنطّق به؟ فإذا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أنّه إذا لم یجئ لا یجب الإکرام، لکن لا یمکن الاحتجاج به علی المتکلّم بأنّک قلت کذا؛ لأنّه لو سئل عنه عن فائدة القید، له أن یعتذر بأعذار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المفهوم مسلّماً وجوده فی الکلام عند القدماء لا یناسب ظواهر کلماتهم؛ لأنّک تری أنّ المنکر یردّ علی المثبت بأنّ الصون لا ینحصر فی استفادة الانتفاء عند الانتفاء، بل یحصل بأُمور اخر؛ من وقوعه مورد السؤال أو کونه مورد الابتلاء، فما هو الممنوع هو أصل الاستفادة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فطالع ما نقل</w:t>
      </w:r>
      <w:r>
        <w:rPr>
          <w:rStyle w:val="FootnoteAnchor"/>
          <w:rtl w:val="true"/>
        </w:rPr>
        <w:footnoteReference w:id="113"/>
      </w:r>
      <w:r>
        <w:rPr>
          <w:rFonts w:ascii="IRNazanin" w:hAnsi="IRNazanin" w:eastAsia="IRNazanin"/>
          <w:color w:val="111111"/>
          <w:sz w:val="28"/>
          <w:sz w:val="28"/>
          <w:szCs w:val="28"/>
          <w:rtl w:val="true"/>
          <w:lang w:bidi="fa-IR"/>
        </w:rPr>
        <w:t xml:space="preserve">عن السیّد المرتضی من أنّ تأثیر الشرط إنّما هو تعلیق الحکم به، و لیس بممتنع أن ینوب عنه شرط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114"/>
      </w:r>
      <w:r>
        <w:rPr>
          <w:rFonts w:ascii="IRNazanin" w:hAnsi="IRNazanin" w:eastAsia="IRNazanin"/>
          <w:color w:val="111111"/>
          <w:sz w:val="28"/>
          <w:sz w:val="28"/>
          <w:szCs w:val="28"/>
          <w:rtl w:val="true"/>
          <w:lang w:bidi="fa-IR"/>
        </w:rPr>
        <w:t>فإنّ ظاهره یحکی عن أنّ المستفاد من الشرط دخالته، لا عدم دخالة شرط آخر حتّی یفید المفهوم، فهو حینئذٍ ینکر المفهوم لا حجّیته بعد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بالمفهوم علی مسلک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أنّ إتیان القید الزائد بما أنّه فعل اختیاری یدلّ علی کون القید ذا دخل فی ترتّب الحکم و داخلًا فی موضوعه، و مع عدمه لا ینوب عنه شی‌ء، و المنکر إنّما ینکر هذه الدلالة لا حجّیتها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لو قد تدبّرت عبائر السیّد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مسلک القدماء هو عین ما اختاره المتأخّرون؛ حیث یظهر منه أنّ مدّعی المفهوم یدّعی دلالة الکلام علی عدم نیابة قید آخر مناب القید المذکور، و هو عین ما سلکه المتأخّرون، و هو شاهد آخر علی اتّحادهما، مضافاً إلی ما عرفت، و یرشدک إلیه استدلال النافین بمنع الدلالات</w:t>
      </w:r>
      <w:r>
        <w:rPr>
          <w:rFonts w:eastAsia="IRNazanin" w:cs="IRNazanin"/>
          <w:color w:val="111111"/>
          <w:sz w:val="28"/>
          <w:szCs w:val="28"/>
          <w:rtl w:val="true"/>
          <w:lang w:bidi="fa-IR"/>
        </w:rPr>
        <w:t>.</w:t>
      </w:r>
      <w:bookmarkStart w:id="135" w:name="pg12907_206555"/>
    </w:p>
    <w:p>
      <w:pPr>
        <w:pStyle w:val="Heading3"/>
        <w:numPr>
          <w:ilvl w:val="2"/>
          <w:numId w:val="1"/>
        </w:numPr>
        <w:rPr/>
      </w:pPr>
      <w:bookmarkStart w:id="136" w:name="__RefHeading___Toc3346314_3224264995"/>
      <w:bookmarkStart w:id="137" w:name="_Toc50"/>
      <w:bookmarkEnd w:id="135"/>
      <w:bookmarkEnd w:id="136"/>
      <w:r>
        <w:rPr>
          <w:rtl w:val="true"/>
        </w:rPr>
        <w:t>الفصل الأوّل فی مفهوم الشرط</w:t>
      </w:r>
      <w:bookmarkEnd w:id="137"/>
    </w:p>
    <w:p>
      <w:pPr>
        <w:pStyle w:val="Heading4"/>
        <w:numPr>
          <w:ilvl w:val="3"/>
          <w:numId w:val="1"/>
        </w:numPr>
        <w:rPr/>
      </w:pPr>
      <w:bookmarkStart w:id="138" w:name="__RefHeading___Toc3346316_3224264995"/>
      <w:bookmarkStart w:id="139" w:name="_Toc51"/>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هل الجمل الشرطیة تدلّ علی الانتفاء عند الانتفاء مع الخلوّ عن القرینة؟</w:t>
      </w:r>
    </w:p>
    <w:p>
      <w:pPr>
        <w:pStyle w:val="BookText"/>
        <w:rPr/>
      </w:pPr>
      <w:r>
        <w:rPr>
          <w:rFonts w:ascii="IRNazanin" w:hAnsi="IRNazanin" w:eastAsia="IRNazanin"/>
          <w:color w:val="111111"/>
          <w:sz w:val="28"/>
          <w:sz w:val="28"/>
          <w:szCs w:val="28"/>
          <w:rtl w:val="true"/>
          <w:lang w:bidi="fa-IR"/>
        </w:rPr>
        <w:t>فیها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النکتة الوحیدة فی دلالة القضایا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کانت أو وصفیة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شی‌ء واحد غیر مربوط بالدلالات اللفظیة، 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الوحید فی الکلام عند العقلاء هو الإفادة و الاستفادة، فکما هو أصل متّبع فی أصل الکلام فهکذا هو أصل فی قیوده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العقلائی فی کلّ فعل صادر من شاعر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فعله هو الحمل علی أنّه صدر لغرض لا لغواً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الکلام أصل آخر؛ و هو أنّ صدوره للتفهیم لا لغرض آخر؛ لأنّه آلة التفهیم، و استعماله لغیره خلاف الأصل، و لو شکّ فی الاستعمال الحقیقی و المجازی یحمل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جریان الأصل العقلائی فی القیود الزائدة فی الکلام، فإذا شکّ فی قید أنّه أتی به لغواً أو لغرض یحمل علی الثانی، و إذا شکّ أنّه للتفهیم أو غیره حمل علی الأوّل، و ما یکون القیود آلة لتفهیمه هو یرجع إلی</w:t>
      </w:r>
    </w:p>
    <w:p>
      <w:pPr>
        <w:pStyle w:val="BookText"/>
        <w:rPr/>
      </w:pPr>
      <w:r>
        <w:rPr>
          <w:rFonts w:ascii="IRNazanin" w:hAnsi="IRNazanin" w:eastAsia="IRNazanin"/>
          <w:color w:val="111111"/>
          <w:sz w:val="28"/>
          <w:sz w:val="28"/>
          <w:szCs w:val="28"/>
          <w:rtl w:val="true"/>
          <w:lang w:bidi="fa-IR"/>
        </w:rPr>
        <w:t>دخالتها فی الموضوع، و أنّ إتیان الموضوع مقیّداً لأجل کون الموضوع هو الذات مع القید، و هذا لیس من قبیل الدلالات اللفظیة،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القید یدلّ علی دخالته فی الحکم، فینتفی عند انتفائه، من غیر فرق بین الشرط و الوصف و غیرهما، هذا حاصل ما قرّره دام ظلّه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التقریر لا یفید شیئاً ما لم یضمّ إلیه شی‌ء آخر؛ و هو أنّ عدم الإتیان بشی‌ء آخر فی مقام البیان یدلّ علی عدم قرین له، و به یتمّ المطلوب، و إلّا مجرّد عدم لغویة القیود لا یدلّ علی المفهوم ما لم تفد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الطرق التی تشبّث به المتأخّرون، و سیأتی تقریره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إذا کان فی مقام بیان موضوع حکمه فلا بدّ أن یأتی بکلّ ما یتقوّم به طبیعة الحکم، فلو أتی ببعض دون بعض لأخلّ بغرضه، فلو کان المقوّم لوجوب الإکرام أحد الأمرین من المجی‌ء و التسلیم لما کان له ذکر أحدهما و حذف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المقام حکم باب المطلقات، فکما یعلم من عدم ذکر الإیمان عدم دخالته فهکذا المقام؛ إذ المفروض أنّه بصدد بیان ما یتوقّف علیه طبیعة الإکرام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 هذه المقدّمة إلی الاولی لا یفید فی إثبات المدّعی أیضاً؛ لأنّ کون المتکلّم فی مقام البیان لا یقتضی عدا أن یبیّن ما هو تمام الموضوع لوجوب الإکرام المسوق له الکلام، و المفروض أنّه بیّنه؛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فرضنا أنّ للإکرام موضوعاً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تسلیم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فلزوم بیانه لم یدلّ علیه دلیل، و لا یعدّ عدم بیانه نقضاً للغرض و لا کلامه 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باعتبار التقیید بالکرّ علی أنّ ذات الماء لیس موضوعاً للحکم، و إلّا لکان القید لغواً، و یدلّ علی أنّ هذا الموضوع المقیّد تمام الموضوع للحکم، و لا یکون قید آخر دخیلًا فیه، و إلّا کان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نیابة قید آخر عن هذا القید و عدم صدور حکم آخر متعلّقاً بالجاری أو النابع فلیس مقتضی التقیید و لا مقتضی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المقام بالمطلق بالجاری أو النابع فلیس مقتضی التقیید و لا مقتضی الإطلاق و قیاس المقام بالمطلق قیاس مع الفارق؛ إذ الشکّ هنا فی نیابة قید عن آخر بعد تمامیة قیود الحکم المسوق له الکلام، و الشکّ هناک فی تمامیة قیود الحکم المسوق له، و أنّه هل هو تمام الموضوع أو لا؟</w:t>
      </w:r>
    </w:p>
    <w:p>
      <w:pPr>
        <w:pStyle w:val="BookText"/>
        <w:rPr/>
      </w:pPr>
      <w:r>
        <w:rPr>
          <w:rFonts w:ascii="IRNazanin" w:hAnsi="IRNazanin" w:eastAsia="IRNazanin"/>
          <w:color w:val="111111"/>
          <w:sz w:val="28"/>
          <w:sz w:val="28"/>
          <w:szCs w:val="28"/>
          <w:rtl w:val="true"/>
          <w:lang w:bidi="fa-IR"/>
        </w:rPr>
        <w:t>و أمّا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استدلّوا بوجوه غیر نقیة عن الإشکال، کلّها مسوقة لإثبات کون القید علّة منحصرة، و ظاهر ذلک کون الترتّب العلّی أو مطلق الترتّب من المسلّمات عندهم، مع إمکان منع الأوّل، بل کفایة مطلق الملازمة العرفیة لصحّة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 زید لجاء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مصاحبین غالباً بلا تجوّز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بینهما ملازمة مطلقاً لما صحّ استعمال الأداة إلّا بنحو من العنایة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الوجوه المستدلّ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تبادر العلّة المنحصرة من القضیة</w:t>
      </w:r>
      <w:r>
        <w:rPr>
          <w:rStyle w:val="FootnoteAnchor"/>
          <w:rtl w:val="true"/>
        </w:rPr>
        <w:footnoteReference w:id="116"/>
      </w:r>
      <w:r>
        <w:rPr>
          <w:rFonts w:ascii="IRNazanin" w:hAnsi="IRNazanin" w:eastAsia="IRNazanin"/>
          <w:color w:val="111111"/>
          <w:sz w:val="28"/>
          <w:sz w:val="28"/>
          <w:szCs w:val="28"/>
          <w:rtl w:val="true"/>
          <w:lang w:bidi="fa-IR"/>
        </w:rPr>
        <w:t>أو انصرافها إلیها</w:t>
      </w:r>
      <w:r>
        <w:rPr>
          <w:rStyle w:val="FootnoteAnchor"/>
          <w:rtl w:val="true"/>
        </w:rPr>
        <w:footnoteReference w:id="117"/>
      </w:r>
      <w:r>
        <w:rPr>
          <w:rFonts w:ascii="IRNazanin" w:hAnsi="IRNazanin" w:eastAsia="IRNazanin"/>
          <w:color w:val="111111"/>
          <w:sz w:val="28"/>
          <w:sz w:val="28"/>
          <w:szCs w:val="28"/>
          <w:rtl w:val="true"/>
          <w:lang w:bidi="fa-IR"/>
        </w:rPr>
        <w:t>، و إثباته علی المدّعی، مع شیوع الاستعمال فی غیرها بلا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ربّما یدّعی من الأکملیة</w:t>
      </w:r>
      <w:r>
        <w:rPr>
          <w:rStyle w:val="FootnoteAnchor"/>
          <w:rtl w:val="true"/>
        </w:rPr>
        <w:footnoteReference w:id="118"/>
      </w:r>
      <w:r>
        <w:rPr>
          <w:rFonts w:ascii="IRNazanin" w:hAnsi="IRNazanin" w:eastAsia="IRNazanin"/>
          <w:color w:val="111111"/>
          <w:sz w:val="28"/>
          <w:sz w:val="28"/>
          <w:szCs w:val="28"/>
          <w:rtl w:val="true"/>
          <w:lang w:bidi="fa-IR"/>
        </w:rPr>
        <w:t>فهو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أداة الشرط لإثبات الانحصار، کالتمسّک بإطلاق الأمر لإثبات کونه نفسیاً تعیینیاً</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ربّما یورد علیه من أنّ الإطلاق فرع التقیید، و معانی أدوات الشرط آلیات لا تقبل التقیید، فکیف یؤخذ بإطلاقها</w:t>
      </w:r>
      <w:r>
        <w:rPr>
          <w:rStyle w:val="FootnoteAnchor"/>
          <w:rtl w:val="true"/>
        </w:rPr>
        <w:footnoteReference w:id="120"/>
      </w:r>
      <w:r>
        <w:rPr>
          <w:rFonts w:ascii="IRNazanin" w:hAnsi="IRNazanin" w:eastAsia="IRNazanin"/>
          <w:color w:val="111111"/>
          <w:sz w:val="28"/>
          <w:sz w:val="28"/>
          <w:szCs w:val="28"/>
          <w:rtl w:val="true"/>
          <w:lang w:bidi="fa-IR"/>
        </w:rPr>
        <w:t>؟ فمدفوع بما مرّ؛ من أنّ التقیید یمکن أن یکون بلحاظ ثان، و تقدّم الوجوه الاخر فی ذلک، فراجع</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الإشکال کلّه فی أصل الاستدلال؛ لما عرفت فی باب الأوامر من أنّ الأقسام کلّها تتمیّز عن المقسم بقیود خارجة منه، و إلّا لزم أن یکون القسم عین المقسم، و هو باطل، فالإطلاق لا یثبت نفسیة الأمر و لا غیریته، بل کلّ منهما متمیّز عن نفس الطلب بقید خاصّ، فلا یعقل أن یکون عدم بیان قید مثبتاً لقید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فی المقیس علیه باطل، فکیف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الترتّب العلّی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و غیر انحصاری، فکلّ واحد مشتمل علی خصوصیة زائدة علی مقسمه، فلا معنی لإثبات أحدهما بعدم البیان، علی أنّ القیاس مع الفارق، یعلم ذلک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الشرط؛ حیث إنّه لو لم یکن بمنحصر یلزم تقییده؛ ضرورة أنّه لو قارنه أو سبقه الآخر لما أثّر وحده، و قضیة إطلاقه أنّه یؤثّر کذلک مطلقاً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الإطلاق لیس أنّ الشرط مؤثّر؛ سواء قارنه الآخر أم سبقه أم</w:t>
      </w:r>
    </w:p>
    <w:p>
      <w:pPr>
        <w:pStyle w:val="BookText"/>
        <w:rPr/>
      </w:pPr>
      <w:r>
        <w:rPr>
          <w:rFonts w:ascii="IRNazanin" w:hAnsi="IRNazanin" w:eastAsia="IRNazanin"/>
          <w:color w:val="111111"/>
          <w:sz w:val="28"/>
          <w:sz w:val="28"/>
          <w:szCs w:val="28"/>
          <w:rtl w:val="true"/>
          <w:lang w:bidi="fa-IR"/>
        </w:rPr>
        <w:t>لحقه، أو أنّ ذلک مؤثّر وحده بل لا یفید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ذکر القید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 الشی‌ء تمام الموضوع للحکم، و أنّه لو کان شی‌ء آخر دخیلًا کان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بیان ما هو قرین لهذا الموضوع فی تعلّق الحکم فلم یدلّ علیه دلیل؛ لعدم لزوم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فی الاستدلال من أنّه لو لم یکن بمنحصر لزم تقییده، فلم یعلم له وجه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فی مقابل التقیید، و کون شی‌ء آخر موضوعاً للحکم أیضاً لا یوجب تقییداً فی الموضوع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الاستناد الفعلی بالموضوع مع عدم قرین له قبله و بعده فهو شی‌ء غیر راجع إلی الإطلاق و التقیید؛ فإنّ الاستناد اللااستناد فی الوجود الخارجی بالنسبة إلی المقارنات الخارجیة غیر مربوط بمقام جعل الأحکام علی العناوین؛ فإنّ الدلیل لیس ناظراً إلی کیفیة الاستناد فی الوجود؛ فضلًا عن النظر إلی مزاحماته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فالإطلاق غیر متکفّل لإحراز عدم النائب؛ و إن کان کفیلًا لإحراز عدم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إحراز کون المتکلّم بصدد بیان العلّة المنحصرة أو الموضوع المنحصر فهو غیر مربوط بمفهوم الشرط، بل مع هذا یفهم الحصر مع اللقب أیضاً، لکنّه لأجل القرینة لا لأجل المفهوم الذی وقع مورد النزاع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المحقّق المحشّی فی تعلیقته الشریفة، و أشار إلیه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هو أنّ مقتضی الترتّب العلّی أن یکون المقدّم بعنوانه</w:t>
      </w:r>
    </w:p>
    <w:p>
      <w:pPr>
        <w:pStyle w:val="BookText"/>
        <w:rPr/>
      </w:pPr>
      <w:r>
        <w:rPr>
          <w:rFonts w:ascii="IRNazanin" w:hAnsi="IRNazanin" w:eastAsia="IRNazanin"/>
          <w:color w:val="111111"/>
          <w:sz w:val="28"/>
          <w:sz w:val="28"/>
          <w:szCs w:val="28"/>
          <w:rtl w:val="true"/>
          <w:lang w:bidi="fa-IR"/>
        </w:rPr>
        <w:t>الخاصّ علّة، و لو لم تکن العلّة منحصرة لزم استناد التالی إلی الجامع بینهما، و هو خلاف ظاهر الترتّب علی المقدّم بعنوانه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قدّمناه من صحّة استعمال القضیة الشرطیة فی مطلق المتلازمین، فالعلّیة و المعلولیة ممّا لا أصل لهما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علیه أنّ قیاس التشریع بالتکوین منشأ لاشتباهات نبّهنا علی بعضها</w:t>
      </w:r>
      <w:r>
        <w:rPr>
          <w:rStyle w:val="FootnoteAnchor"/>
          <w:rtl w:val="true"/>
        </w:rPr>
        <w:footnoteReference w:id="125"/>
      </w:r>
      <w:r>
        <w:rPr>
          <w:rFonts w:ascii="IRNazanin" w:hAnsi="IRNazanin" w:eastAsia="IRNazanin"/>
          <w:color w:val="111111"/>
          <w:sz w:val="28"/>
          <w:sz w:val="28"/>
          <w:szCs w:val="28"/>
          <w:rtl w:val="true"/>
          <w:lang w:bidi="fa-IR"/>
        </w:rPr>
        <w:t>لأنّ العلّیة و المعلولیة فی المجعولات الشرعیة لیست علی حذو التکوین؛ من صدور أحدهما عن الآخر حتّی یأتی فیهما القاعدة المعروفة؛ إذ یجوز أن یکون کلّ من الکرّ و المطر و الجاری دخیلًا فی عدم الانفعال مستقلًّا بعناوینها، کما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القاعدة مختصّة للبسیط البحت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 ذلک کلّه لا یمکن الإغماض عن أنّ طریق استفادة الأحکام من القضایا هو الاستظهارات العرفیة، لا الدقائق الفلسفیة،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عن بعض الأعاظم، و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بإطلاق الجزاء دون الشرط؛ قائلًا أنّ مقدّمات الحکمة إنّما تجری فی المجعولات الشرعیة، و مسألة العلّیة و السببیة غیر مجعولة، و إنّما المجعول هو المسبّب علی تقدیر وجود سببه، فلا معنی للتمسّک بإطلاق الشرط، بل مقدّمات الحکمة تجری فی جانب الجزاء، من حیث عدم تقییده بغیر ما جعل فی القضیة من الشرط، مع کونه فی مقام البیان، و یحرز کونه فی مقامه من تقیید الجزاء بالشرط</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کونه فی مقام البیان من هذه دون سائر الجهات فاسدة؛ فإنّه لو بنی</w:t>
      </w:r>
    </w:p>
    <w:p>
      <w:pPr>
        <w:pStyle w:val="BookText"/>
        <w:rPr/>
      </w:pPr>
      <w:r>
        <w:rPr>
          <w:rFonts w:ascii="IRNazanin" w:hAnsi="IRNazanin" w:eastAsia="IRNazanin"/>
          <w:color w:val="111111"/>
          <w:sz w:val="28"/>
          <w:sz w:val="28"/>
          <w:szCs w:val="28"/>
          <w:rtl w:val="true"/>
          <w:lang w:bidi="fa-IR"/>
        </w:rPr>
        <w:t>علی ذلک لانسدّ باب التمسّک بالإطلاقات فی جمیع المقامات؛ إذ ما من مورد إلّا و یمکن فیه هذه الدعوی</w:t>
      </w:r>
      <w:r>
        <w:rPr>
          <w:rStyle w:val="FootnoteAnchor"/>
          <w:rtl w:val="true"/>
        </w:rPr>
        <w:footnoteReference w:id="12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ما ذکره عدم التمسّک بالإطلاق فی أغلب الموارد؛ لأنّ مصبّ الإطلاق فی قول الشارع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مفاد الهیئة فهو معنی حرفی غیر قابل لجریان مقدّماته فیها علی مذهب القائل، و إن کان مادّتها أو نفس الرقبة فلیستا من المجعولات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إلّا أنّ إجرائها لا ینحصر بالمجعولات الشرعیة، بل الغالب جریانها فیما له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فی اعتبار قید فی الرقبة تجری المقدّمات فی نفس الرقبة التی جعلت موضوع الحکم، و کذا یتمسّک بإطلاق المادّة لو شکّ فی کیفیة العتق، مع عدم کونهما مجعولین شرعاً، فکما یقال فی مثل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جعل موضوعاً أو متعلّقاً هو تمامهما، و إلّا لکان علیه البیان فکذا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آخر دخیلًا فی الشرط لکان علیه البیان، و هذا غیر مربوط بجعل السببیة 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فی إثبات إطلاق الجزاء عین ما ردّه فی ناحیة الشرط، و ما 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ذکره؛ من حدیث عدم مجعولیة العلّیة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مجعولیة السببیة و العلّیة فی غیر محلّه، و سیوافیک فی محلّه بإذن اللَّه جواز جعلهما، فارتقب</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w:t>
      </w:r>
      <w:bookmarkStart w:id="140" w:name="pg12907_206562"/>
    </w:p>
    <w:p>
      <w:pPr>
        <w:pStyle w:val="Heading4"/>
        <w:numPr>
          <w:ilvl w:val="3"/>
          <w:numId w:val="1"/>
        </w:numPr>
        <w:rPr/>
      </w:pPr>
      <w:bookmarkStart w:id="141" w:name="__RefHeading___Toc3346318_3224264995"/>
      <w:bookmarkStart w:id="142" w:name="_Toc52"/>
      <w:bookmarkEnd w:id="140"/>
      <w:bookmarkEnd w:id="141"/>
      <w:r>
        <w:rPr>
          <w:rtl w:val="true"/>
        </w:rPr>
        <w:t>الأمر الأوّل فی کون المفهوم هو انتفاء سنخ الحکم</w:t>
      </w:r>
      <w:bookmarkEnd w:id="142"/>
    </w:p>
    <w:p>
      <w:pPr>
        <w:pStyle w:val="Heading5"/>
        <w:numPr>
          <w:ilvl w:val="4"/>
          <w:numId w:val="1"/>
        </w:numPr>
        <w:rPr/>
      </w:pPr>
      <w:bookmarkStart w:id="143" w:name="__RefHeading___Toc3346320_3224264995"/>
      <w:bookmarkStart w:id="144" w:name="_Toc53"/>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لا إشکال فی انتفاء شخص الحکم بانتفاء شرطه أو قیده عقلًا، من غیر أن یکون لأجل المفهوم، فإذا وقف علی أولاده العدول أو إن کانوا عدولًا فانتفاؤه مع سلب العدالة لیس للمفهوم، بل لعدم الجعل لغیر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إشکال فیما إذا کان مفاد الجزاء حکماً کلّیاً ممّا عبّر بالمعنی الاسمی فی أنّ انتفائه لأجل المفهوم،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زید یکون إکرامه واجباً</w:t>
      </w:r>
      <w:r>
        <w:rPr>
          <w:rFonts w:eastAsia="IRNazanin" w:cs="IRNazanin"/>
          <w:color w:val="111111"/>
          <w:sz w:val="28"/>
          <w:szCs w:val="28"/>
          <w:rtl w:val="true"/>
          <w:lang w:bidi="fa-IR"/>
        </w:rPr>
        <w:t>».</w:t>
      </w:r>
    </w:p>
    <w:p>
      <w:pPr>
        <w:pStyle w:val="Heading5"/>
        <w:numPr>
          <w:ilvl w:val="4"/>
          <w:numId w:val="1"/>
        </w:numPr>
        <w:rPr/>
      </w:pPr>
      <w:bookmarkStart w:id="145" w:name="__RefHeading___Toc3346322_3224264995"/>
      <w:bookmarkStart w:id="146" w:name="_Toc54"/>
      <w:bookmarkEnd w:id="145"/>
      <w:r>
        <w:rPr>
          <w:rtl w:val="true"/>
        </w:rPr>
        <w:t>الإشکال فیما إذا کان مفاد الجزاء معنی حرفیاً</w:t>
      </w:r>
      <w:bookmarkEnd w:id="146"/>
    </w:p>
    <w:p>
      <w:pPr>
        <w:pStyle w:val="BookText"/>
        <w:rPr/>
      </w:pPr>
      <w:r>
        <w:rPr>
          <w:rFonts w:ascii="IRNazanin" w:hAnsi="IRNazanin" w:eastAsia="IRNazanin"/>
          <w:color w:val="111111"/>
          <w:sz w:val="28"/>
          <w:sz w:val="28"/>
          <w:szCs w:val="28"/>
          <w:rtl w:val="true"/>
          <w:lang w:bidi="fa-IR"/>
        </w:rPr>
        <w:t xml:space="preserve">نعم، وقع الإشکال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المجعول فیه هو الحکم الجزئی باعتبار خصوصیة الموضوع له فی المعانی الحرفیة؛ لأنّ انتفاء الإنشاء الخاصّ بانتفاء بعض قیوده عقلی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هو نفس الوجوب الذی هو مفاد الصیغة، و أمّا الشخص و الخصوصیة فمن طوارئ الاستعمال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معانی الحروف خاصّة، و لا یتصوّر الجامع لها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التحقیق فی 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کلمات الشیخ الأعظم فی طهارته</w:t>
      </w:r>
      <w:r>
        <w:rPr>
          <w:rStyle w:val="FootnoteAnchor"/>
          <w:rtl w:val="true"/>
        </w:rPr>
        <w:footnoteReference w:id="131"/>
      </w:r>
      <w:r>
        <w:rPr>
          <w:rFonts w:ascii="IRNazanin" w:hAnsi="IRNazanin" w:eastAsia="IRNazanin"/>
          <w:color w:val="111111"/>
          <w:sz w:val="28"/>
          <w:sz w:val="28"/>
          <w:szCs w:val="28"/>
          <w:rtl w:val="true"/>
          <w:lang w:bidi="fa-IR"/>
        </w:rPr>
        <w:t>بتوضیح منّا و هو أنّ ظاهر القضیة و إن کان ترتّب بعث المولی علی الشرط، إلّا أنّه ما لم تکن مناسبة بین الشرط و مادّة الجزاء کان طلب إیجاد الجزاء عند وجود الشرط لغواً و جزافاً، فالبعث المترتّب یکشف عن کونهما بمنزلة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المقتضی، فیتوصّل فی بیان ذلک الأمر بالأمر بإیجاده عند ثبوته، و یجعل بعثه عنواناً مشیراً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فالمترتّبان هو ذات الشرط و مطلق الجزاء الذی تعلّق به الحکم بلا خصوصیة للحکم المنشأ، فیشبه الجمل الإخباریة فی عموم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القضایا بدواً و إن کان تعلیق الوجوب علی الشرط لکن حکم العقل و العقلاء فی مثل تلک القضایا أنّ لطبیعة مادّة الجزاء مناسبة مع الشرط تکون سبباً لتعلّق الهیئة بها، فیکون الإیجاب المتعلّق بالمادّة فی الجزاء متفرّعاً علی التناسب الحاصل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العرف و العقلاء منه أنّ التناسب الواقعی بین الإکرامین دعا المولی لإیجابه عند تحقّقه، و إلّا کان التفرّع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دلالة الأداة علی انحصار العلّة تدلّ علی أنّ التناسب بینهما یکون بنحو العلّیة المنحصرة ففی الحقیقة یکون التناسب موجوداً بین طبیعة ما یتلوا أداة الشرط و مادّة الهیئة، فإذا دلّت الأداة علی الانحصار تمّ الدلالة علی المفهوم؛ و إن کان مفادها جزئیاً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و إن کانت دالّة علی البعث الجزئی لکنّ التناسب</w:t>
      </w:r>
    </w:p>
    <w:p>
      <w:pPr>
        <w:pStyle w:val="BookText"/>
        <w:rPr/>
      </w:pPr>
      <w:r>
        <w:rPr>
          <w:rFonts w:ascii="IRNazanin" w:hAnsi="IRNazanin" w:eastAsia="IRNazanin"/>
          <w:color w:val="111111"/>
          <w:sz w:val="28"/>
          <w:sz w:val="28"/>
          <w:szCs w:val="28"/>
          <w:rtl w:val="true"/>
          <w:lang w:bidi="fa-IR"/>
        </w:rPr>
        <w:t>بین الحکم و الموضوع یوجب إلغاء الخصوصیة عرفاً، و یجعل الشرط علّة منحصرة لنفس الوجوب و طبیعیة، فبانتفائه ینتفی طبیعی الوجوب و سنخه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ضعف ما أفاده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لا نتعقّل لسنخ الحکم وجهاً معقولًا؛ لوضوح أنّ المعلّق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المحمول علی إکرامه، و التعلیق یدلّ علی انتفاء نفس المعلّق عند انتفاء المعلّق علیه، فما فرضته سنخاً إن کان متّحداً مع هذا المعلّق موضوعاً و محمولًا فهو شخصه لا سنخه؛ إذ لا تکرّر فی وجوب إکرام زید، و إن کان مختلفاً معه فی الموضوع کإکرام عمرو، أو محمولًا کاستحباب إکرام زید فلا معنی للنزاع</w:t>
      </w:r>
      <w:r>
        <w:rPr>
          <w:rStyle w:val="FootnoteAnchor"/>
          <w:rtl w:val="true"/>
        </w:rPr>
        <w:footnoteReference w:id="1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الضعف ظاهر، فلا نطیل المقام</w:t>
      </w:r>
      <w:r>
        <w:rPr>
          <w:rFonts w:eastAsia="IRNazanin" w:cs="IRNazanin"/>
          <w:color w:val="111111"/>
          <w:sz w:val="28"/>
          <w:szCs w:val="28"/>
          <w:rtl w:val="true"/>
          <w:lang w:bidi="fa-IR"/>
        </w:rPr>
        <w:t>.</w:t>
      </w:r>
      <w:bookmarkStart w:id="147" w:name="pg12907_206565"/>
    </w:p>
    <w:p>
      <w:pPr>
        <w:pStyle w:val="Heading4"/>
        <w:numPr>
          <w:ilvl w:val="3"/>
          <w:numId w:val="1"/>
        </w:numPr>
        <w:rPr/>
      </w:pPr>
      <w:bookmarkStart w:id="148" w:name="__RefHeading___Toc3346324_3224264995"/>
      <w:bookmarkStart w:id="149" w:name="_Toc55"/>
      <w:bookmarkEnd w:id="147"/>
      <w:bookmarkEnd w:id="148"/>
      <w:r>
        <w:rPr>
          <w:rtl w:val="true"/>
        </w:rPr>
        <w:t>الأمر الثانی فی تعدّد الشرط و اتّحاد الجزاء</w:t>
      </w:r>
      <w:bookmarkEnd w:id="149"/>
    </w:p>
    <w:p>
      <w:pPr>
        <w:pStyle w:val="BookText"/>
        <w:rPr/>
      </w:pPr>
      <w:r>
        <w:rPr>
          <w:rFonts w:ascii="IRNazanin" w:hAnsi="IRNazanin" w:eastAsia="IRNazanin"/>
          <w:color w:val="111111"/>
          <w:sz w:val="28"/>
          <w:sz w:val="28"/>
          <w:szCs w:val="28"/>
          <w:rtl w:val="true"/>
          <w:lang w:bidi="fa-IR"/>
        </w:rPr>
        <w:t xml:space="preserve">إذا تعدّد الشرط و اتّحد الجزاء،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ظهور الشرطیة فی المفهوم یقع التعارض بینهما إجمالًا، فهل التعارض بین المنطوقین أوّلًا و بالذات، أو بین مفهوم کلّ منهما و منطوق الآخر؟</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علی جمیع المبانی فی استفادة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بأنّ المتبادر هو العلّة المنحصرة فلأنّ حصر العلّیة فی شی‌ء ینافی إثباتها لشی‌ء آخر؛ فضلًا عن حصرها فیه؛ ضرورة حصول التنافی بین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المنحصرة للقصر خفاء الأذان،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المنحصرة له خفاء الجدران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علی القول بأنّها منصرفة إلی المنحصرة، فالتعارضین یقع بین الانصرافین الواقعین فی أدوات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القول بأنّ الانحصار مقتضی الإطلاق؛ لوقوع التعارض بین أصالتی الإطلاق فی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العلاج و التوفیق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کیفیته باختلاف المبانی فی استفادة المفهوم؛ فإن کان المبنی هو وضع الأدات للعلّة المنحصرة فلا محیص عن القول بتساقط أصالتی الحقیقة من الجانبین إذا لم یکن بینهما ترجیح، کما هو المفروض؛ لعدم ترجیح بین المجازات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العلّة التامّة أقرب إلی المنحصرة واقعاً لا یکون مرجّحاً فی تعیینه؛ لأنّ</w:t>
      </w:r>
    </w:p>
    <w:p>
      <w:pPr>
        <w:pStyle w:val="BookText"/>
        <w:rPr/>
      </w:pPr>
      <w:r>
        <w:rPr>
          <w:rFonts w:ascii="IRNazanin" w:hAnsi="IRNazanin" w:eastAsia="IRNazanin"/>
          <w:color w:val="111111"/>
          <w:sz w:val="28"/>
          <w:sz w:val="28"/>
          <w:szCs w:val="28"/>
          <w:rtl w:val="true"/>
          <w:lang w:bidi="fa-IR"/>
        </w:rPr>
        <w:t>وجه التعیین هو الانس الذهنی الذی یرجع إلی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الأساس فی الاستفادة هو الانصراف بعد وضعها لمطلق العلّیة فالساقط هو الانصرافان، و یکون أصالة الحقیقة فی کلّ منهما محکّمة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لمطلق اللزوم أو الترتّب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وجه الاستفادة هو الإطلاق فحینئذٍ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موضوعة للعلّة التامّة فمع تعارض أصالتی الإطلاق یؤخذ بأصالة الحقیقة بلا تعارض بینهما،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کالانحصار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مستفادة من الإطلاق فللبحث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خفاء الأذان مؤثّر بلا شریک، و أنّ هذا مؤثّر بلا 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کلّ واحد من الجانبین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الانحصار و أصالة الاستقلال، فحینئذٍ کما یحتمل أن یکون خفاء الجدران قیداً لخفاء الأذان یحتمل أن یکون عدلًا له، فیقع التعارض بین أصالتی الإطلاق؛ أی من جانب نفی الشریک و من جهة نفی العدیل، و مع عدم المرجّح یرجع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الانحصار مرتفع بالعلم التفصیلی إمّا لورود تقیید للإطلاق المثبت للانحصار، أو لأجل وروده علی الإطلاق المفید لاستقلال کلّ منهما فی العلّیة، فیرتفع الانحصار أیضاً لأجل ارتفاع موضوعه، و هو علّیة کلّ واحد مستقلًّا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بورود قید؛ إمّا علی الإطلاق من جهة نفی الشریک، و إمّا علیه من جهة نفی البدیل یوجب انحلاله إلی علم تفصیلی بعدم انحصار العلّة لأجل تقیید الإطلاق من جهة البدیل، أو لأجل تقییده من جهة الشریک، فیرتفع موضوع الإطلاق من جهة البدیل، و إلی شکّ بدوی؛ للشکّ فی</w:t>
      </w:r>
    </w:p>
    <w:p>
      <w:pPr>
        <w:pStyle w:val="BookText"/>
        <w:rPr/>
      </w:pPr>
      <w:r>
        <w:rPr>
          <w:rFonts w:ascii="IRNazanin" w:hAnsi="IRNazanin" w:eastAsia="IRNazanin"/>
          <w:color w:val="111111"/>
          <w:sz w:val="28"/>
          <w:sz w:val="28"/>
          <w:szCs w:val="28"/>
          <w:rtl w:val="true"/>
          <w:lang w:bidi="fa-IR"/>
        </w:rPr>
        <w:t>تقیید الإطلاق من جهة الشریک، فیتمسّک بأصالة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الانحلال فیه إلی علم قطعی و شکّ بدوی من آثار العلم الإجمالی برفع أحد الإطلاقین، فکیف یرفع الأثر مؤثّره؟</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بارتفاع الانحصار معلول للعلم بارتفاع الاستقلال أو الانحصار، و لا یعقل حفظ العلم الثانی إلّا بحفظ العلم الأوّل علی حاله، فکیف یمکن أن یکون رافعاً له؟</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باب مقدّمة الواجب</w:t>
      </w:r>
      <w:r>
        <w:rPr>
          <w:rStyle w:val="FootnoteAnchor"/>
          <w:rtl w:val="true"/>
        </w:rPr>
        <w:footnoteReference w:id="133"/>
      </w:r>
      <w:r>
        <w:rPr>
          <w:rFonts w:ascii="IRNazanin" w:hAnsi="IRNazanin" w:eastAsia="IRNazanin"/>
          <w:color w:val="111111"/>
          <w:sz w:val="28"/>
          <w:sz w:val="28"/>
          <w:szCs w:val="28"/>
          <w:rtl w:val="true"/>
          <w:lang w:bidi="fa-IR"/>
        </w:rPr>
        <w:t>أنّ الانحلال أینما کان یتقوّم بالعلم التفصیلی بأحد الأطراف و الشکّ فی الآخر، کما فی الأقلّ و الأکثر، و فیما نحن فیه لا یکون کذلک؛ لأنّ العلم الإجمالی محفوظ و منه یتولّد علم تفصیلی آخر، و فی مثله یکون الانحلال محالًا، فیجب الرجوع إلی قواعد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یفکّ به العقدة هو أنّه لا بدّ من رفع الید بمقدار یرفع المعارضة؛ و هو خصوص الانحصار لا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الموجب لوقوع المعارضة إنّما هو ظهور کلّ من القضیتین فی المفهوم، و بما أنّ نسبة کلّ من المنطوقین بالإضافة إلی مفهوم القضیة الاخری نسبة الخاصّ إلی العامّ فلا بدّ من رفع الید عن عموم المفهوم فی مورد المعارضة، و أمّا رفع الید عن الإطلاق المفید للعلّیة فهو و إن کان موجباً لرفع الانحصار إلّا أنّه بلا موجب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ما ذکرت إلی تقدیم رجوع القید إلی الإطلاق المفید للانحصار لا المفید للاستقلال، و هو أوّل الکلام؛ ضرورة دوران الأمر بین رجوع القید، کخفاء</w:t>
      </w:r>
    </w:p>
    <w:p>
      <w:pPr>
        <w:pStyle w:val="BookText"/>
        <w:rPr/>
      </w:pPr>
      <w:r>
        <w:rPr>
          <w:rFonts w:ascii="IRNazanin" w:hAnsi="IRNazanin" w:eastAsia="IRNazanin"/>
          <w:color w:val="111111"/>
          <w:sz w:val="28"/>
          <w:sz w:val="28"/>
          <w:szCs w:val="28"/>
          <w:rtl w:val="true"/>
          <w:lang w:bidi="fa-IR"/>
        </w:rPr>
        <w:t>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الإطلاق من حیث الاستقلال حتّی یصیر الموضوع للحکم بالقصر مجموع خفاء الأذان و الجدران، أو إلی الإطلاق من حیث الانحصار حتّی یکون الموضوع متعدّداً، خفاء الأذان مستقلًّا و خفاء الجدران کذلک، و مع هذا العلم الإجمالی یقع التعارض بین أصالتی الإطلاق فی کلّ قضیة منهما لا فی قضیتین، و لا رافع للتعارض و لا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هو حال الدلیلین، کلٌّ مع صاحبه، فهل یدلّان علی عدم مدخلیة شی‌ء آخر شریکاً معهما أو عدیلًا لهما؟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ذلک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علی الانحصار و الاستقلال بالإطلاق؛ للزوم رفع الید عن الإطلاق بمقدار الدلیل علی القید،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بالوضع أو الانصراف؛ لعدم الدلیل علی عدم المدخلیة بعد رفع الید عن المعنی الحقیقی أو الانصرافی</w:t>
      </w:r>
      <w:r>
        <w:rPr>
          <w:rFonts w:eastAsia="IRNazanin" w:cs="IRNazanin"/>
          <w:color w:val="111111"/>
          <w:sz w:val="28"/>
          <w:szCs w:val="28"/>
          <w:rtl w:val="true"/>
          <w:lang w:bidi="fa-IR"/>
        </w:rPr>
        <w:t>.</w:t>
      </w:r>
      <w:bookmarkStart w:id="150" w:name="pg12907_206569"/>
    </w:p>
    <w:p>
      <w:pPr>
        <w:pStyle w:val="Heading4"/>
        <w:numPr>
          <w:ilvl w:val="3"/>
          <w:numId w:val="1"/>
        </w:numPr>
        <w:rPr/>
      </w:pPr>
      <w:bookmarkStart w:id="151" w:name="__RefHeading___Toc3346326_3224264995"/>
      <w:bookmarkStart w:id="152" w:name="_Toc56"/>
      <w:bookmarkEnd w:id="150"/>
      <w:bookmarkEnd w:id="151"/>
      <w:r>
        <w:rPr>
          <w:rtl w:val="true"/>
        </w:rPr>
        <w:t>الأمر الثالث فی تداخل الأسباب و المسبّبات</w:t>
      </w:r>
      <w:bookmarkEnd w:id="152"/>
    </w:p>
    <w:p>
      <w:pPr>
        <w:pStyle w:val="Heading5"/>
        <w:numPr>
          <w:ilvl w:val="4"/>
          <w:numId w:val="1"/>
        </w:numPr>
        <w:rPr/>
      </w:pPr>
      <w:bookmarkStart w:id="153" w:name="__RefHeading___Toc3346328_3224264995"/>
      <w:bookmarkStart w:id="154" w:name="_Toc57"/>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إذا تعدّد الشرط و اتّحد الجزاء فهل اللازم لزوم الإتیان بالجزاء متعدّداً حسب تعدّد الشرط، أو یکتفی بإتیانه دفعة واحدة؟</w:t>
      </w:r>
    </w:p>
    <w:p>
      <w:pPr>
        <w:pStyle w:val="Heading5"/>
        <w:numPr>
          <w:ilvl w:val="4"/>
          <w:numId w:val="1"/>
        </w:numPr>
        <w:rPr/>
      </w:pPr>
      <w:bookmarkStart w:id="155" w:name="__RefHeading___Toc3346330_3224264995"/>
      <w:bookmarkStart w:id="156" w:name="_Toc58"/>
      <w:bookmarkEnd w:id="155"/>
      <w:r>
        <w:rPr>
          <w:rtl w:val="true"/>
        </w:rPr>
        <w:t>و قبل الخوض نقدّم مقدّمات</w:t>
      </w:r>
      <w:r>
        <w:rPr>
          <w:rtl w:val="true"/>
        </w:rPr>
        <w:t>:</w:t>
      </w:r>
      <w:bookmarkEnd w:id="156"/>
    </w:p>
    <w:p>
      <w:pPr>
        <w:pStyle w:val="Heading6"/>
        <w:numPr>
          <w:ilvl w:val="5"/>
          <w:numId w:val="1"/>
        </w:numPr>
        <w:rPr/>
      </w:pPr>
      <w:bookmarkStart w:id="157" w:name="__RefHeading___Toc3346332_3224264995"/>
      <w:bookmarkStart w:id="158" w:name="_Toc59"/>
      <w:bookmarkEnd w:id="157"/>
      <w:r>
        <w:rPr>
          <w:rtl w:val="true"/>
        </w:rPr>
        <w:t>الاولی</w:t>
      </w:r>
      <w:r>
        <w:rPr>
          <w:rtl w:val="true"/>
        </w:rPr>
        <w:t xml:space="preserve">: </w:t>
      </w:r>
      <w:r>
        <w:rPr>
          <w:rtl w:val="true"/>
        </w:rPr>
        <w:t>فی تحریر محل النزاع</w:t>
      </w:r>
      <w:bookmarkEnd w:id="158"/>
    </w:p>
    <w:p>
      <w:pPr>
        <w:pStyle w:val="BookText"/>
        <w:rPr/>
      </w:pPr>
      <w:r>
        <w:rPr>
          <w:rFonts w:ascii="IRNazanin" w:hAnsi="IRNazanin" w:eastAsia="IRNazanin"/>
          <w:color w:val="111111"/>
          <w:sz w:val="28"/>
          <w:sz w:val="28"/>
          <w:szCs w:val="28"/>
          <w:rtl w:val="true"/>
          <w:lang w:bidi="fa-IR"/>
        </w:rPr>
        <w:t>إنّ محطّ البحث ما إذا فرغنا عن تأثیر کلّ واحد من الشروط مستقلًّا فی البعث نحو الجزاء، لو لم یکن معه غیره، و لکن نشکّ فی حال اجتماعهما فی التداخل و عدمه، و هذا مثل الجنابة و الحیض و النفاس؛ فإنّ کلًّا منها سبب مستقلّ إذا انفرد، و البحث فی کفایة غسل واحد عن الجمیع حال اجتماعها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احتملنا أنّ الشروط ترجع إلی شرط واحد و یکون کلّ واحد جزءًا للسبب فهو خارج من محطّ البحث فی تداخل الأسباب و المسبّبات</w:t>
      </w:r>
      <w:r>
        <w:rPr>
          <w:rFonts w:eastAsia="IRNazanin" w:cs="IRNazanin"/>
          <w:color w:val="111111"/>
          <w:sz w:val="28"/>
          <w:szCs w:val="28"/>
          <w:rtl w:val="true"/>
          <w:lang w:bidi="fa-IR"/>
        </w:rPr>
        <w:t>.</w:t>
      </w:r>
    </w:p>
    <w:p>
      <w:pPr>
        <w:pStyle w:val="Heading6"/>
        <w:numPr>
          <w:ilvl w:val="5"/>
          <w:numId w:val="1"/>
        </w:numPr>
        <w:rPr/>
      </w:pPr>
      <w:bookmarkStart w:id="159" w:name="__RefHeading___Toc3346334_3224264995"/>
      <w:bookmarkStart w:id="160" w:name="_Toc60"/>
      <w:bookmarkEnd w:id="159"/>
      <w:r>
        <w:rPr>
          <w:rtl w:val="true"/>
        </w:rPr>
        <w:t>الثانیة</w:t>
      </w:r>
      <w:r>
        <w:rPr>
          <w:rtl w:val="true"/>
        </w:rPr>
        <w:t xml:space="preserve">: </w:t>
      </w:r>
      <w:r>
        <w:rPr>
          <w:rtl w:val="true"/>
        </w:rPr>
        <w:t>فی المراد من تداخل الأسباب و المسبّبات</w:t>
      </w:r>
      <w:bookmarkEnd w:id="1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تداخل الأسباب هو أنّ کلّ واحد من الشروط لا یقتضی إلّا إیجاد صرف الطبیعة غیر مغایر مع ما یطلبه الآخر، و تعلّق البعثین بها لا یکشف عن أنّ هنا تکالیف متعدّدة مجتمعة فی مصداق واحد، بل هنا تکلیف واحد؛ و إن تعدّدت الأسباب، و لهذا یکون التداخل عزیمة لا رخصة،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الجنابة</w:t>
      </w:r>
      <w:bookmarkStart w:id="161" w:name="pg12907_206570"/>
    </w:p>
    <w:p>
      <w:pPr>
        <w:pStyle w:val="BookText"/>
        <w:rPr/>
      </w:pPr>
      <w:bookmarkEnd w:id="161"/>
      <w:r>
        <w:rPr>
          <w:rFonts w:ascii="Amiri" w:hAnsi="Amiri" w:eastAsia="Amiri" w:cs="Amiri"/>
          <w:color w:val="111111"/>
          <w:sz w:val="28"/>
          <w:sz w:val="28"/>
          <w:szCs w:val="28"/>
          <w:rtl w:val="true"/>
          <w:lang w:bidi="ar-SA"/>
        </w:rPr>
        <w:t>و الحیض و غیرهما و إن تعدّدت إلّا أنّها حال الاجتماع لا یقتضی إلّا غسلًا واحداً و جزاءً فارداً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تداخل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عدم تداخل الأسباب، و أنّ کلّ سبب یقتضی مسبّباً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الاکتفاء بمصداق واحد جائز فی مقام امتثال تکالیف عدیدة، کما إذا أکرم العالم الهاشمی ممتثلًا کلّ واحد من الأمرین المتعلّقین بإکرام العالم و الهاشمی، و هذا المثال و إن کان خارجاً من المقام إلّا أنّه یقرّب من وجه، و حینئذٍ إذا کانت العناوین المکلّف بها قهریة الانطباق علی المصداق، و کانت التکالیف توصّلیات یکون التداخل عزیمة، و إلّا یکون رخصة</w:t>
      </w:r>
      <w:r>
        <w:rPr>
          <w:rFonts w:eastAsia="IRNazanin" w:cs="IRNazanin"/>
          <w:color w:val="111111"/>
          <w:sz w:val="28"/>
          <w:szCs w:val="28"/>
          <w:rtl w:val="true"/>
          <w:lang w:bidi="fa-IR"/>
        </w:rPr>
        <w:t>.</w:t>
      </w:r>
    </w:p>
    <w:p>
      <w:pPr>
        <w:pStyle w:val="Heading6"/>
        <w:numPr>
          <w:ilvl w:val="5"/>
          <w:numId w:val="1"/>
        </w:numPr>
        <w:rPr/>
      </w:pPr>
      <w:bookmarkStart w:id="162" w:name="__RefHeading___Toc3346336_3224264995"/>
      <w:bookmarkStart w:id="163" w:name="_Toc61"/>
      <w:bookmarkEnd w:id="162"/>
      <w:r>
        <w:rPr>
          <w:rtl w:val="true"/>
        </w:rPr>
        <w:t>الثالثة</w:t>
      </w:r>
      <w:r>
        <w:rPr>
          <w:rtl w:val="true"/>
        </w:rPr>
        <w:t xml:space="preserve">: </w:t>
      </w:r>
      <w:r>
        <w:rPr>
          <w:rtl w:val="true"/>
        </w:rPr>
        <w:t>فی اختصاص النزاع بالماهیة القابلة للتکثّر</w:t>
      </w:r>
      <w:bookmarkEnd w:id="163"/>
    </w:p>
    <w:p>
      <w:pPr>
        <w:pStyle w:val="BookText"/>
        <w:rPr/>
      </w:pPr>
      <w:r>
        <w:rPr>
          <w:rFonts w:ascii="IRNazanin" w:hAnsi="IRNazanin" w:eastAsia="IRNazanin"/>
          <w:color w:val="111111"/>
          <w:sz w:val="28"/>
          <w:sz w:val="28"/>
          <w:szCs w:val="28"/>
          <w:rtl w:val="true"/>
          <w:lang w:bidi="fa-IR"/>
        </w:rPr>
        <w:t>إنّ النزاع فیما إذا کان الجزاء ماهیة قابلة للتکثّر کالغسل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غیر قابلة له کالقتل فیما إذا ارتدّ و ارتکب زناً عن إحصان فخارج من البحث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الجزاء غیر القابل للتکثّر إن کان قابلًا للتقیید یکون داخلًا فی النزاع، کالخیار القابل للتقیید بالسبب، کالتقیید بالمجلس و الحیوان و العیب و غیرها، مع أنّه أمر واحد؛ و هو ملک فسخ العقد و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تقیّده بالسبب هو أنّه یلاحظ الخیار المستند إلی المجلس، فیسقطه أو یصالح علیه و یبقی له الخیار المستند إلی الحیوان، و کالقتل لأجل حقوق الناس؛ فلو قتل زید عمراً و بکراً و خالداً، فقتله قصاصاً و إن لم یقبل التعدّد إلّا أنّه قابل للتقیید بالسبب؛ أی یلاحظ استحقاق زید للقتل باعتبار قتله عمراً، فلو أسقط ورثة عمرو حقّ القود</w:t>
      </w:r>
      <w:bookmarkStart w:id="164" w:name="pg12907_206571"/>
    </w:p>
    <w:p>
      <w:pPr>
        <w:pStyle w:val="BookText"/>
        <w:rPr/>
      </w:pPr>
      <w:bookmarkEnd w:id="164"/>
      <w:r>
        <w:rPr>
          <w:rFonts w:ascii="IRNazanin" w:hAnsi="IRNazanin" w:eastAsia="IRNazanin"/>
          <w:color w:val="111111"/>
          <w:sz w:val="28"/>
          <w:sz w:val="28"/>
          <w:szCs w:val="28"/>
          <w:rtl w:val="true"/>
          <w:lang w:bidi="fa-IR"/>
        </w:rPr>
        <w:t>لم یسقط حقّ ورثة بکر و خالدٍ</w:t>
      </w:r>
      <w:r>
        <w:rPr>
          <w:rStyle w:val="FootnoteAnchor"/>
          <w:rtl w:val="true"/>
        </w:rPr>
        <w:footnoteReference w:id="1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إذا کان واحداً غیر قابل للتکثّر مع اجتماع الأسباب علیه فلا یمکن إسقاطه من قِبَل أحدها و إبقاؤه من قبل غیره؛ لأنّ الإسقاط لا بدّ و أن یتعلّق بالخیار الجائی من قبل کذا، و مع الوحدة لم یکن ذلک غیر الجائی من قبل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الخیار متعدّداً بالعنوان؛ بحیث یکون خیار المجلس شیئاً غیر خیار العیب فیخرج من محلّ البحث، و إن کان کلّیاً قابلًا للتکثّر فیرجع إلی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القتل؛ فإنّ حقّ القود إمّا واحد فلا یمکن إسقاطه من قبل سبب و إبقائه من قبل آخر، أو متعدّد عنواناً؛ فیخرج من محلّ البحث، أو کلّی قابل للتکثّر؛ فیدخل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قبول القتل للتکثّر غیر مربوط بعدم قبول حقّ القود له، و القائل خلط بینهما</w:t>
      </w:r>
      <w:r>
        <w:rPr>
          <w:rFonts w:eastAsia="IRNazanin" w:cs="IRNazanin"/>
          <w:color w:val="111111"/>
          <w:sz w:val="28"/>
          <w:szCs w:val="28"/>
          <w:rtl w:val="true"/>
          <w:lang w:bidi="fa-IR"/>
        </w:rPr>
        <w:t>.</w:t>
      </w:r>
    </w:p>
    <w:p>
      <w:pPr>
        <w:pStyle w:val="Heading6"/>
        <w:numPr>
          <w:ilvl w:val="5"/>
          <w:numId w:val="1"/>
        </w:numPr>
        <w:rPr/>
      </w:pPr>
      <w:bookmarkStart w:id="165" w:name="__RefHeading___Toc3346338_3224264995"/>
      <w:bookmarkStart w:id="166" w:name="_Toc62"/>
      <w:bookmarkEnd w:id="165"/>
      <w:r>
        <w:rPr>
          <w:rtl w:val="true"/>
        </w:rPr>
        <w:t>الرابعة</w:t>
      </w:r>
      <w:r>
        <w:rPr>
          <w:rtl w:val="true"/>
        </w:rPr>
        <w:t xml:space="preserve">: </w:t>
      </w:r>
      <w:r>
        <w:rPr>
          <w:rtl w:val="true"/>
        </w:rPr>
        <w:t>فی إمکان التداخل و عدمه</w:t>
      </w:r>
      <w:bookmarkEnd w:id="166"/>
    </w:p>
    <w:p>
      <w:pPr>
        <w:pStyle w:val="BookText"/>
        <w:rPr/>
      </w:pPr>
      <w:r>
        <w:rPr>
          <w:rFonts w:ascii="IRNazanin" w:hAnsi="IRNazanin" w:eastAsia="IRNazanin"/>
          <w:color w:val="111111"/>
          <w:sz w:val="28"/>
          <w:sz w:val="28"/>
          <w:szCs w:val="28"/>
          <w:rtl w:val="true"/>
          <w:lang w:bidi="fa-IR"/>
        </w:rPr>
        <w:t>قبل الخوض فی المقصود لا بدّ من إثبات إمکان التداخل و عدمه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إمکان التداخل؛ بمعنی اجتماع أسباب متعدّدة شرعیة علی مسبّب واحد فلا إشکال فیه؛ لأنّ الأسباب الشرعیة لیست کالعلل التکوینیة حتّی یمتنع اجتماعها؛ إذ للشارع جعل النوم و البول سبباً لإیجاب الوضوء فی حال الانفراد</w:t>
      </w:r>
    </w:p>
    <w:p>
      <w:pPr>
        <w:pStyle w:val="BookText"/>
        <w:rPr/>
      </w:pPr>
      <w:r>
        <w:rPr>
          <w:rFonts w:ascii="IRNazanin" w:hAnsi="IRNazanin" w:eastAsia="IRNazanin"/>
          <w:color w:val="111111"/>
          <w:sz w:val="28"/>
          <w:sz w:val="28"/>
          <w:szCs w:val="28"/>
          <w:rtl w:val="true"/>
          <w:lang w:bidi="fa-IR"/>
        </w:rPr>
        <w:t>و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 جعل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له جعل إیجاب الوضوء عقیب النوم فی حال انفراده و عقیبهما فی صورة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الأکابر بامتناعه، بدعوی أنّه یمتنع أن یکون متعلّق الوجوب فی القضیتین الحیثیة المطلقة؛ لامتناع تعلّق الوجوبین بشی‌ء واحد، فلا بدّ أن یکون کلاهما أو أحدهما مقیّداً، فیسأل عمّا یقیّد الطبیعة، فلا بدّ أن یکون متعلّق الوجوب فی الشرطیة الاولی نفس الطبیعة، و فی الثانیة الطبیعة الاخری متقیّدة به،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التغایر بوجه آخر؛ و هو أن یتعلّق الأمر فی الاولی علی فرد منها، و فی الثانیة علی فرد آخر،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التقیید ممتنع؛ لأنّ النوم قد یکون مقدّماً علی البول و قد یکون مؤخّراً عنه، فلا یصحّ أن یقال فی صورة التقدّم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 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إنّما یصحّ إذا کان کلّ من الخطابین ناظراً إلی الآخر؛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وضوءً غیر ما یجب علیک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به مشکل؛ بداهة عدم کون کلّ واحد ناظراً إلی الآخر، فالإشکال کلّه فی إمکان التقیید، لعدم قید صالح لذلک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ظهور القضیتین فی عدم التداخل، و انحصر الإشکال فی تصویر القید الصالح فلنا تصویر قید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 من قبل النوم، أو من قبل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لا یجوز رفع الید عن الظاهر لأجل عدم معقولیة تقیید الجزاء، بل إنّما یرفع عنه الید لو ثبت امتناع کافّة القیود، و هو بمکان من المنع، فلا یجوز الالتزام بالتداخل لأجل</w:t>
      </w:r>
      <w:bookmarkStart w:id="167" w:name="pg12907_206573"/>
    </w:p>
    <w:p>
      <w:pPr>
        <w:pStyle w:val="BookText"/>
        <w:rPr/>
      </w:pPr>
      <w:bookmarkEnd w:id="167"/>
      <w:r>
        <w:rPr>
          <w:rFonts w:ascii="IRNazanin" w:hAnsi="IRNazanin" w:eastAsia="IRNazanin"/>
          <w:color w:val="111111"/>
          <w:sz w:val="28"/>
          <w:sz w:val="28"/>
          <w:szCs w:val="28"/>
          <w:rtl w:val="true"/>
          <w:lang w:bidi="fa-IR"/>
        </w:rPr>
        <w:t>هذه الشبهة و رفع الید عن ظاهر الدلیل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العلّة فی معلوله؛ و هو الوجوب المسبّب عن النوم الذی هو علّة لهذا الوجوب المقیّد بالنوم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الأسباب الشرعیة لیست کالعلل التکوینیة، علی أنّ الأخذ هنا لأجل الإشارة و تمیّزه عن الوجوب الآتی من الجهة الاخری، لا أنّ الوجوب قد تعلّق بإیجاد الوضوء المتقیّد بالنوم</w:t>
      </w:r>
      <w:r>
        <w:rPr>
          <w:rFonts w:eastAsia="IRNazanin" w:cs="IRNazanin"/>
          <w:color w:val="111111"/>
          <w:sz w:val="28"/>
          <w:szCs w:val="28"/>
          <w:rtl w:val="true"/>
          <w:lang w:bidi="fa-IR"/>
        </w:rPr>
        <w:t>.</w:t>
      </w:r>
    </w:p>
    <w:p>
      <w:pPr>
        <w:pStyle w:val="Heading6"/>
        <w:numPr>
          <w:ilvl w:val="5"/>
          <w:numId w:val="1"/>
        </w:numPr>
        <w:rPr/>
      </w:pPr>
      <w:bookmarkStart w:id="168" w:name="__RefHeading___Toc3346340_3224264995"/>
      <w:bookmarkStart w:id="169" w:name="_Toc63"/>
      <w:bookmarkEnd w:id="168"/>
      <w:r>
        <w:rPr>
          <w:rtl w:val="true"/>
        </w:rPr>
        <w:t>الخامسة</w:t>
      </w:r>
      <w:r>
        <w:rPr>
          <w:rtl w:val="true"/>
        </w:rPr>
        <w:t xml:space="preserve">: </w:t>
      </w:r>
      <w:r>
        <w:rPr>
          <w:rtl w:val="true"/>
        </w:rPr>
        <w:t>فی أنحاء تعدّد الشرط</w:t>
      </w:r>
      <w:bookmarkEnd w:id="169"/>
    </w:p>
    <w:p>
      <w:pPr>
        <w:pStyle w:val="BookText"/>
        <w:rPr/>
      </w:pPr>
      <w:r>
        <w:rPr>
          <w:rFonts w:ascii="IRNazanin" w:hAnsi="IRNazanin" w:eastAsia="IRNazanin"/>
          <w:color w:val="111111"/>
          <w:sz w:val="28"/>
          <w:sz w:val="28"/>
          <w:szCs w:val="28"/>
          <w:rtl w:val="true"/>
          <w:lang w:bidi="fa-IR"/>
        </w:rPr>
        <w:t>إنّ الشرط قد یکون متعدّداً نوعاً و مختلفاً ماهیة، مثل النوم و البول، فیقع البحث فی أنّه عند تقارنهما أو تعاقبهما مع عدم تخلّل المسبّب بینهما هل یتداخل الأسباب أو لا؟ و قد یکون ماهیة واحدة ذات أفراد، فیقع البحث فی أنّه مع تعدّد الفرد هل یتعدّد الجزاء أو لا؟</w:t>
      </w:r>
    </w:p>
    <w:p>
      <w:pPr>
        <w:pStyle w:val="Heading5"/>
        <w:numPr>
          <w:ilvl w:val="4"/>
          <w:numId w:val="1"/>
        </w:numPr>
        <w:rPr/>
      </w:pPr>
      <w:bookmarkStart w:id="170" w:name="__RefHeading___Toc3346342_3224264995"/>
      <w:bookmarkStart w:id="171" w:name="_Toc64"/>
      <w:bookmarkEnd w:id="170"/>
      <w:r>
        <w:rPr>
          <w:rtl w:val="true"/>
        </w:rPr>
        <w:t>نقل آراء الأعلام فی تداخل الأسباب و المسبّبات و نقدها</w:t>
      </w:r>
      <w:bookmarkEnd w:id="171"/>
    </w:p>
    <w:p>
      <w:pPr>
        <w:pStyle w:val="Heading6"/>
        <w:numPr>
          <w:ilvl w:val="5"/>
          <w:numId w:val="1"/>
        </w:numPr>
        <w:rPr/>
      </w:pPr>
      <w:bookmarkStart w:id="172" w:name="__RefHeading___Toc3346344_3224264995"/>
      <w:bookmarkStart w:id="173" w:name="_Toc65"/>
      <w:bookmarkEnd w:id="172"/>
      <w:r>
        <w:rPr>
          <w:rtl w:val="true"/>
        </w:rPr>
        <w:t>اشارة</w:t>
      </w:r>
      <w:bookmarkEnd w:id="1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الأقوال فی المسألة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مطلقاً</w:t>
      </w:r>
      <w:r>
        <w:rPr>
          <w:rStyle w:val="FootnoteAnchor"/>
          <w:rtl w:val="true"/>
        </w:rPr>
        <w:footnoteReference w:id="136"/>
      </w:r>
      <w:r>
        <w:rPr>
          <w:rFonts w:ascii="IRNazanin" w:hAnsi="IRNazanin" w:eastAsia="IRNazanin"/>
          <w:color w:val="111111"/>
          <w:sz w:val="28"/>
          <w:sz w:val="28"/>
          <w:szCs w:val="28"/>
          <w:rtl w:val="true"/>
          <w:lang w:bidi="fa-IR"/>
        </w:rPr>
        <w:t>، و عدمه کذلک</w:t>
      </w:r>
      <w:r>
        <w:rPr>
          <w:rStyle w:val="FootnoteAnchor"/>
          <w:rtl w:val="true"/>
        </w:rPr>
        <w:footnoteReference w:id="137"/>
      </w:r>
      <w:r>
        <w:rPr>
          <w:rFonts w:ascii="IRNazanin" w:hAnsi="IRNazanin" w:eastAsia="IRNazanin"/>
          <w:color w:val="111111"/>
          <w:sz w:val="28"/>
          <w:sz w:val="28"/>
          <w:szCs w:val="28"/>
          <w:rtl w:val="true"/>
          <w:lang w:bidi="fa-IR"/>
        </w:rPr>
        <w:t>، و التفصیل بین تعدّد الماهیة نوعاً و تعدّد الفرد مع وحدتها</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bookmarkStart w:id="174" w:name="pg12907_206574"/>
    </w:p>
    <w:p>
      <w:pPr>
        <w:pStyle w:val="Heading6"/>
        <w:numPr>
          <w:ilvl w:val="5"/>
          <w:numId w:val="1"/>
        </w:numPr>
        <w:rPr/>
      </w:pPr>
      <w:bookmarkStart w:id="175" w:name="__RefHeading___Toc3346346_3224264995"/>
      <w:bookmarkStart w:id="176" w:name="_Toc66"/>
      <w:bookmarkEnd w:id="174"/>
      <w:bookmarkEnd w:id="175"/>
      <w:r>
        <w:rPr>
          <w:rtl w:val="true"/>
        </w:rPr>
        <w:t>المقام الأوّل فیما إذا تعدّد الشرط ماهیة و نوعاً</w:t>
      </w:r>
      <w:bookmarkEnd w:id="176"/>
    </w:p>
    <w:p>
      <w:pPr>
        <w:pStyle w:val="Heading6"/>
        <w:numPr>
          <w:ilvl w:val="5"/>
          <w:numId w:val="1"/>
        </w:numPr>
        <w:rPr/>
      </w:pPr>
      <w:bookmarkStart w:id="177" w:name="__RefHeading___Toc3346348_3224264995"/>
      <w:bookmarkStart w:id="178" w:name="_Toc67"/>
      <w:bookmarkEnd w:id="177"/>
      <w:r>
        <w:rPr>
          <w:rtl w:val="true"/>
        </w:rPr>
        <w:t>الاستدلال علی عدم تداخل الأسباب</w:t>
      </w:r>
      <w:bookmarkEnd w:id="178"/>
    </w:p>
    <w:p>
      <w:pPr>
        <w:pStyle w:val="BookText"/>
        <w:rPr/>
      </w:pPr>
      <w:r>
        <w:rPr>
          <w:rFonts w:ascii="IRNazanin" w:hAnsi="IRNazanin" w:eastAsia="IRNazanin"/>
          <w:color w:val="111111"/>
          <w:sz w:val="28"/>
          <w:sz w:val="28"/>
          <w:szCs w:val="28"/>
          <w:rtl w:val="true"/>
          <w:lang w:bidi="fa-IR"/>
        </w:rPr>
        <w:t xml:space="preserve">فعن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التداخل بأنّه إذا تعاقب السببان أو 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یقتضیا مسبّبین مستقلّین أو مسبّباً واحداً، أو لا یقتضیا شیئاً، أو یقتضی أحدهما دون الآخر، و الثلاثة الأخیرة باطلة، فتعیّن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الشیخ الأعظم رحمه الله أنّ الاستدلال المذکور ینحلّ إلی مقدّمات ثلاث</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تأثیر السبب الثانی؛ بمعنی کون کلّ واحد من الشرطین مؤثّراً 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کلّ شرط غیر أثر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التأثیر هو تعدّد الوجود لا تأکّد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توضیح المقدّمات المذکورة و ما یمکن به إثباتها، فقد ذکر فی توجیه أنّ السبب الثانی مستقلّ وجوهاً من البیان</w:t>
      </w:r>
      <w:r>
        <w:rPr>
          <w:rStyle w:val="FootnoteAnchor"/>
          <w:rtl w:val="true"/>
        </w:rPr>
        <w:footnoteReference w:id="140"/>
      </w:r>
      <w:r>
        <w:rPr>
          <w:rFonts w:ascii="IRNazanin" w:hAnsi="IRNazanin" w:eastAsia="IRNazanin"/>
          <w:color w:val="111111"/>
          <w:sz w:val="28"/>
          <w:sz w:val="28"/>
          <w:szCs w:val="28"/>
          <w:rtl w:val="true"/>
          <w:lang w:bidi="fa-IR"/>
        </w:rPr>
        <w:t>، و أخذ کلّ من تأخّر عنه وجهاً من بیاناته، و کان الجلّ عیالًا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الجملة</w:t>
      </w:r>
    </w:p>
    <w:p>
      <w:pPr>
        <w:pStyle w:val="BookText"/>
        <w:rPr/>
      </w:pPr>
      <w:r>
        <w:rPr>
          <w:rFonts w:ascii="IRNazanin" w:hAnsi="IRNazanin" w:eastAsia="IRNazanin"/>
          <w:color w:val="111111"/>
          <w:sz w:val="28"/>
          <w:sz w:val="28"/>
          <w:szCs w:val="28"/>
          <w:rtl w:val="true"/>
          <w:lang w:bidi="fa-IR"/>
        </w:rPr>
        <w:t>الشرطیة فی کون الشرط سبباً أو کاشفاً عن السبب و مقتضیاً للتعدّد بیانٌ لما هو المراد من الإطلاق، و لا دوران بین ظهور الجملة فی حدوث الجزاء و ظهور الإطلاق؛ ضرورة أنّ ظهور الإطلاق یکون معلّقاً علی عدم البیان، و ظهورها فی ذلک صالح لأن یکون بیاناً، فلا ظهور له مع ظهورها، فلا یلزم علی القول بعدم التداخل تصرّف أصلًا، بخلاف القول بالتداخل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حاله و بیان إشکاله هو أنّ دلالة القضیة الشرطیة علی السببیة المستقلّة الحدوث عند الحدوث هل هو بالوضع أو بالإطلاق؟ و أنّه إذا جعلت الماهیة تلو أداة الشرط بلا تقییدها بقید کما یدلّ علی أنّها تمام الموضوع لترتّب الجزاء علیه، کذلک یدلّ علی استقلالها فی السببیة سواء سبقها أو قارنها شی‌ء أم لا علی اصطلاح القوم فی معنی الإطلاق؟</w:t>
      </w:r>
    </w:p>
    <w:p>
      <w:pPr>
        <w:pStyle w:val="BookText"/>
        <w:rPr/>
      </w:pPr>
      <w:r>
        <w:rPr>
          <w:rFonts w:ascii="IRNazanin" w:hAnsi="IRNazanin" w:eastAsia="IRNazanin"/>
          <w:color w:val="111111"/>
          <w:sz w:val="28"/>
          <w:sz w:val="28"/>
          <w:szCs w:val="28"/>
          <w:rtl w:val="true"/>
          <w:lang w:bidi="fa-IR"/>
        </w:rPr>
        <w:t>الظاهر هو الثانی؛ لتصریح بعضهم علی أنّ دلالة الشرطیة علی العلّیة المستقلّة بالإطلاق</w:t>
      </w:r>
      <w:r>
        <w:rPr>
          <w:rStyle w:val="FootnoteAnchor"/>
          <w:rtl w:val="true"/>
        </w:rPr>
        <w:footnoteReference w:id="142"/>
      </w:r>
      <w:r>
        <w:rPr>
          <w:rFonts w:ascii="IRNazanin" w:hAnsi="IRNazanin" w:eastAsia="IRNazanin"/>
          <w:color w:val="111111"/>
          <w:sz w:val="28"/>
          <w:sz w:val="28"/>
          <w:szCs w:val="28"/>
          <w:rtl w:val="true"/>
          <w:lang w:bidi="fa-IR"/>
        </w:rPr>
        <w:t>، و حینئذٍ فلو کان الدلالة علی السببیة التامّة لأجل الوضع کان لما ذکره وجه؛ خصوصاً علی مذهب الشیخ من أنّ الإطلاق معلّق علی عدم البیان</w:t>
      </w:r>
      <w:r>
        <w:rPr>
          <w:rStyle w:val="FootnoteAnchor"/>
          <w:rtl w:val="true"/>
        </w:rPr>
        <w:footnoteReference w:id="143"/>
      </w:r>
      <w:r>
        <w:rPr>
          <w:rFonts w:ascii="IRNazanin" w:hAnsi="IRNazanin" w:eastAsia="IRNazanin"/>
          <w:color w:val="111111"/>
          <w:sz w:val="28"/>
          <w:sz w:val="28"/>
          <w:szCs w:val="28"/>
          <w:rtl w:val="true"/>
          <w:lang w:bidi="fa-IR"/>
        </w:rPr>
        <w:t>، و لکن لا أظنّ صحّة ذلک و لا ارتضاؤهم به، مع ما عرفت سابقاً من ضعفه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دلالتها علی السببیة بالإطلاق فللمنع عمّا ذکر مجال،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کما هو منعقد فی ناحیة الشرط فکذلک موجود فی جانب</w:t>
      </w:r>
    </w:p>
    <w:p>
      <w:pPr>
        <w:pStyle w:val="BookText"/>
        <w:rPr/>
      </w:pPr>
      <w:r>
        <w:rPr>
          <w:rFonts w:ascii="IRNazanin" w:hAnsi="IRNazanin" w:eastAsia="IRNazanin"/>
          <w:color w:val="111111"/>
          <w:sz w:val="28"/>
          <w:sz w:val="28"/>
          <w:szCs w:val="28"/>
          <w:rtl w:val="true"/>
          <w:lang w:bidi="fa-IR"/>
        </w:rPr>
        <w:t>الجزاء، و لا رجحان فی ترجیح أحدهما علی الآخر بعد کون ثبوتهما ببرکة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الشرط فی کلتا القضیتین هو کون کلّ شرط مستقلًّا علّة للجزاء، و تلک الماهیة مؤثّرة؛ سواء کان قبلها أو معها شی‌ء، أم لم یکن، و لو کان المؤثّر هو الشرط، بشرط أن لا یسبقه أو لا یقارنه شی‌ء آخر، کان علیه البیان و رفع الجهل عن المکلّف، هذا مقتضی إطلاق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مقتضی إطلاق الجزاء فهو أنّ الجزاء و ماهیة الوضوء تمام المتعلّق لتعلّق الإیجاب علیها، بلا تقییدها بما یغایرها مع الجزاء الآخر، فیکون الموضوع فی القضیتین نفس طبیعة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یقع التعارض بین إطلاق الجزاء فی القضیتین مع إطلاق الشرط فیهما، و بتبعه یقع التعارض بین إطلاق الشرطیتین، و لا یمکن الجمع بین إطلاق الشرط فی القضیتین و إطلاق الجزاء فیهما؛ لبطلان تعلّق إرادتین علی ماهیة واحدة بلا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رفع الید عن إطلاق الشرط و الاحتفاظ علی إطلاق الجزاء،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شرط مع عدم تقدّم شرط آخر علیه أو تقارنه به مؤثّر مستقلًّا، و بین رفع الید عن إطلاق الجزاء و حفظ إطلاق الشرط بتقیید ماهیة الوضوء، و لا ترجیح لشی‌ء منهما؛ لأنّ ظهور الإطلاقین علی حدّ سواء، فلا یمکن أن یکون أحدهما بیاناً للآخر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إطلاقات أربعة فی جملتین؛ اثنان فی جانب الشرط، و آخران فی جانب الجزاء، و رفع التعارض یحصل تارة بتحکیم إطلاق الشرط فیهما المفید للاستقلال و الحدوث عند الحدوث علی إطلاق الجزاء فیهما الدالّ علی أنّ</w:t>
      </w:r>
    </w:p>
    <w:p>
      <w:pPr>
        <w:pStyle w:val="BookText"/>
        <w:rPr/>
      </w:pPr>
      <w:r>
        <w:rPr>
          <w:rFonts w:ascii="IRNazanin" w:hAnsi="IRNazanin" w:eastAsia="IRNazanin"/>
          <w:color w:val="111111"/>
          <w:sz w:val="28"/>
          <w:sz w:val="28"/>
          <w:szCs w:val="28"/>
          <w:rtl w:val="true"/>
          <w:lang w:bidi="fa-IR"/>
        </w:rPr>
        <w:t>نفس الماهیة تمام المتعلّق بتقییده بأحد القیود؛ حتّی یکون متعلّق الإرادتین شیئین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بتحکیم إطلاقه علی الشرط، و تخصیص استقلالهما بما إذا لم یسبق إلیه شرط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العلاجین صحیح لا یتعیّن واحد منهما إلّا بمرجّح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صدر القضیة مقدّم علی ظهور الذیل فاسد؛ لأنّه لو سلّم فإنّما هو بین صدر کلّ قضیة و ذیلها، لا بین صدر قضیة و ذیل قضیة اخری، و نحن الآن فی بیان تعارض القضیتین، و لولا ضمّ قضیة إلی مثلها لما کان بین صدر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ذیله تعارض حتّی نعالجه؛ إذ التعارض ناشٍ من ضمّ قضیة إلی مثلها،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الشیخ فی تمهید المقدّمة الاولی ما ذکره بعض الأعاظم فی تقریراته،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الطلب بصرف الوجود من الطبیعة و إن کان مدلولًا لفظیاً إلّا أنّ عدم قابلیة صرف الوجود للتکرّر لیس مدلولًا لفظیاً حتّی یعارض ظاهر القضیة الشرطیة فی تأثیر کلّ شرط فی جزاء غیر ما أثّر فیه الآخر، بل من باب حکم العقل بأنّ المطلوب الواحد إذا امتثل لا یمکن امتثاله ثانیاً، و أمّا أنّ المطلوب واحد أو متعدّد فلا یحکم به العقل و لا یدلّ علیه اللفظ، فلو دلّ الدلیل علی أنّ المطلوب متعدّد لا یعارضه حکم العقل، فالوجه فی تقدیم ظهور القضیتین من جهة کونه بیاناً لإطلاق الجزاء فهو حقیقة رافع لموضوع حکم العقل</w:t>
      </w:r>
      <w:r>
        <w:rPr>
          <w:rStyle w:val="FootnoteAnchor"/>
          <w:rtl w:val="true"/>
        </w:rPr>
        <w:footnoteReference w:id="1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إطلاق الجزاء یقتضی أن یکون بنفسه تمام المتعلّق، کما</w:t>
      </w:r>
    </w:p>
    <w:p>
      <w:pPr>
        <w:pStyle w:val="BookText"/>
        <w:rPr/>
      </w:pPr>
      <w:r>
        <w:rPr>
          <w:rFonts w:ascii="IRNazanin" w:hAnsi="IRNazanin" w:eastAsia="IRNazanin"/>
          <w:color w:val="111111"/>
          <w:sz w:val="28"/>
          <w:sz w:val="28"/>
          <w:szCs w:val="28"/>
          <w:rtl w:val="true"/>
          <w:lang w:bidi="fa-IR"/>
        </w:rPr>
        <w:t>أنّ إطلاق الشرط یقتضی أن یکون مؤثّراً مستقلًّا؛ سبقه شی‌ء أو لا، و حینئذٍ فما المرجّح لتقدیم ظهور الشرط علی التالی، بعد الاعتراف بکون الظهور فیهما مستنداً إلی الإطلاق دون الوضع؟</w:t>
      </w:r>
    </w:p>
    <w:p>
      <w:pPr>
        <w:pStyle w:val="BookText"/>
        <w:rPr/>
      </w:pPr>
      <w:r>
        <w:rPr>
          <w:rFonts w:ascii="IRNazanin" w:hAnsi="IRNazanin" w:eastAsia="IRNazanin"/>
          <w:color w:val="111111"/>
          <w:sz w:val="28"/>
          <w:sz w:val="28"/>
          <w:szCs w:val="28"/>
          <w:rtl w:val="true"/>
          <w:lang w:bidi="fa-IR"/>
        </w:rPr>
        <w:t>و لو کان الوجه فی تقدیم الشرط معلّقیة إطلاق الجزاء بعدم بیان وارد علی خلافه فلیکن إطلاق الشرط کذلک؛ لأنّ إثبات تعدّد التأثیر یتوقّف علی عدم ورود بیان علی خلافه فی ناحیة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بأنّ الشی‌ء الواحد لا یتعلّق به إرادتان و بعثان حقیقیان یکشف عن وحدة المؤثّر و التأثیر فالتقدیم ما لم یستند إلی مرجّح خارجی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المحشّی من أنّ متعلّق الجزاء نفس الماهیة المهملة، فهی بالنسبة إلی الوحدة و التعدّد بلا اقتضاء، بخلاف أداة الشرط؛ فإنّها ظاهرة فی السببیة المطلقة، و لا تعارض بین المقتضی اللااقتضاء</w:t>
      </w:r>
      <w:r>
        <w:rPr>
          <w:rStyle w:val="FootnoteAnchor"/>
          <w:rtl w:val="true"/>
        </w:rPr>
        <w:footnoteReference w:id="1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الاقتضاء الظهور الإطلاقی للمقدّم فهو بعینه موجود فی التالی، و إن ارید أنّ إطلاق الشرط تامّ غیر معلّق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جوابه؛ و أنّ ظهور کلّ من المقدّم و التالی إطلاقی، لا مرجّح لتقدیم أحدهما علی الآخر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 تقریب أو تقریبان یستفاد من کلام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سبقه الشیخ الأعظم</w:t>
      </w:r>
      <w:r>
        <w:rPr>
          <w:rStyle w:val="FootnoteAnchor"/>
          <w:rtl w:val="true"/>
        </w:rPr>
        <w:footnoteReference w:id="147"/>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اللفظیة</w:t>
      </w:r>
    </w:p>
    <w:p>
      <w:pPr>
        <w:pStyle w:val="BookText"/>
        <w:rPr/>
      </w:pPr>
      <w:r>
        <w:rPr>
          <w:rFonts w:ascii="IRNazanin" w:hAnsi="IRNazanin" w:eastAsia="IRNazanin"/>
          <w:color w:val="111111"/>
          <w:sz w:val="28"/>
          <w:sz w:val="28"/>
          <w:szCs w:val="28"/>
          <w:rtl w:val="true"/>
          <w:lang w:bidi="fa-IR"/>
        </w:rPr>
        <w:t>سببیة کلّ شرط للجزاء مستقلًّا، و مقتضاه تعدّد اشتغال الذمّة بفعل الجزاء، و لا یعقل تعدّد الاشتغال إلّا مع تعدّد المشتغل به؛ فإنّ السبب الأوّل سبب تامّ فی اشتغال ذمّة المکلّف بإیجاد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الثانی إن أثّر ثانیاً وجب أن یکون أثره اشتغالًا آخر؛ لأنّ تأثیر المتأخّر فی المتقدّم غیر معقول، و تعدّد الاشتغال مع وحدة الفعل المشتغل به ذاتاً و وجوداً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یؤثّر یجب أن 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فقد المقتضی أو وجود المانع، و الکلّ منتفٍ؛ لأنّ ظاهر القضیة الشرطیة سببیة الشرط مطلقاً، و المحلّ قابل للتأثیر، و المکلّف قادر علی الامتثال، فأیّ مانع من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 حال الأسباب الشرعیة إلّا کالأسباب العقلیة، فکما أنّه یجب تحقّق الطبیعة فی ضمن فردین علی تقدیر تکرّر علّة وجودها و قابلیتها للتکرار، فکذا یتعدّد اشتغال الذمّة بتعدّد أسبابه</w:t>
      </w:r>
      <w:r>
        <w:rPr>
          <w:rStyle w:val="FootnoteAnchor"/>
          <w:rtl w:val="true"/>
        </w:rPr>
        <w:footnoteReference w:id="1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شیخنا العلّامة قدس سره قریباً ممّا ذکره فی أواخر عمره</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بانیاً علی التداخل سالفاً</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شطر منه فی مبحث التوصّلی و التعبّدی، فراجع</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کلًّا من الظهورین مقتضٍ لمدلوله و مانع عن صحّة الاحتجاج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یظهر ضعف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الاشتغال إمّا لعدم المقتضی أو لوجود المانع،</w:t>
      </w:r>
    </w:p>
    <w:p>
      <w:pPr>
        <w:pStyle w:val="BookText"/>
        <w:rPr/>
      </w:pPr>
      <w:r>
        <w:rPr>
          <w:rFonts w:ascii="IRNazanin" w:hAnsi="IRNazanin" w:eastAsia="IRNazanin"/>
          <w:color w:val="111111"/>
          <w:sz w:val="28"/>
          <w:sz w:val="28"/>
          <w:szCs w:val="28"/>
          <w:rtl w:val="true"/>
          <w:lang w:bidi="fa-IR"/>
        </w:rPr>
        <w:t>و الکلّ منتفٍ؛ إذ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موجود؛ و هو إطلاق الجزاء المعارض مع إطلاق الشرط، و الدلیل علی تعدّد الاشتغال و المشتغل به لیس إلّا الإطلاق، و هو معارض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الجزاء إنّما نشأ من حکم العقل بعد استفادة السببیة التامّة من الدلیل، فإطلاق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حکم العقل بأنّ تعدّد المؤثّر یستلزم تعدّد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للجزاء، و معه لا مجال للتمسّک بإطلاقه، و لیس المقام من قبیل تحکیم أحد الظاهرین علی الآخر حتّی یطالب بالدلیل، بل لأنّ وجوب الجزاء بالسبب الثانی یتوقّف علی إطلاق سببیته، و معه یمتنع إطلاق الجزاء بحکم العقل، فوجوبه ملزوم لعدم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 بذلک المحقّق المزبور فی خلال کلماته؛ دفعاً للإشکال الذی أوردناه و هو أنّ المانع موجود و هو إطلاق الجزاء و أنت خبیر بأنّه غیر مفید؛ فإنّه مع اعترافه بأنّ وجوب الجزاء بالسبب الثانی إنّما هو بالإطلاق لا بالدلالة اللغویة فأیّ معنی لتحکیم أحد الإطلاقین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التخلّص عن امتناع تعدّد المؤثّر مع وحدة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عدم کون حکم العقل الدقیق مناطاً للجمع بین الأدلّة، و بعد الإغماض عن أنّ مثل ما نحن فیه لیس من قبیل التأثیر التکوینی، بل علّة الامتناع هو عدم إمکان تعلّق إرادتین بمراد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بما ذکره کذلک یمکن برفع الید عن إطلاق الشرط عند اجتماعه مع شرط آخر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فالعقل إنّما یحکم باستحالة وحدة الأثر مع تعدّد المؤثّر؛ و هی تنشأ من حفظ إطلاق الشرطیتین و إطلاق الجزاء، فلا محیص إمّا عن القول بأنّ الأثر متعدّد أو المؤثّر واحد، و لا 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التکوین بالتشریع فقد صار منشأً لاشتباهات و نبّهنا علی بعضها</w:t>
      </w:r>
      <w:r>
        <w:rPr>
          <w:rStyle w:val="FootnoteAnchor"/>
          <w:rtl w:val="true"/>
        </w:rPr>
        <w:footnoteReference w:id="152"/>
      </w:r>
      <w:r>
        <w:rPr>
          <w:rFonts w:ascii="IRNazanin" w:hAnsi="IRNazanin" w:eastAsia="IRNazanin"/>
          <w:color w:val="111111"/>
          <w:sz w:val="28"/>
          <w:sz w:val="28"/>
          <w:szCs w:val="28"/>
          <w:rtl w:val="true"/>
          <w:lang w:bidi="fa-IR"/>
        </w:rPr>
        <w:t>إذ المعلول التکوینی إنّما یتشخّص بعلّته، و هو فی وجوده ربط و متدلّ بعلّته، فیکون فی وحدته و کثرته تابعاً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التشریع فإن ارید منه الإرادة المولویة فالإرادة تتعیّن بمرادها و تتشخّص بمتعلّقها، فهما فی أمر التشخّص و التعیّن متعاکسان، و إن ارید منه الأسباب الشرعیة فلیست هی أیضاً بمثابة التکوین؛ ضرورة أنّ النوم و البول لم یکونا مؤثّرین فی الإیجاب و الوجوب، و لا فی الوضوء، فالقیاس مع الفارق، بل لا بدّ من ملاحظة ظهور الأدلّة، و مجرّد هذه المقایسة لا یوجب تقدیم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المحرّک الواحد یقتضی التحریک الواحد، و المحرّک المتعدّد یقتضی المتعدّد، کالعلل التکوینیة</w:t>
      </w:r>
      <w:r>
        <w:rPr>
          <w:rStyle w:val="FootnoteAnchor"/>
          <w:rtl w:val="true"/>
        </w:rPr>
        <w:footnoteReference w:id="153"/>
      </w:r>
      <w:r>
        <w:rPr>
          <w:rFonts w:ascii="IRNazanin" w:hAnsi="IRNazanin" w:eastAsia="IRNazanin"/>
          <w:color w:val="111111"/>
          <w:sz w:val="28"/>
          <w:sz w:val="28"/>
          <w:szCs w:val="28"/>
          <w:rtl w:val="true"/>
          <w:lang w:bidi="fa-IR"/>
        </w:rPr>
        <w:t>إذ فساده یلوح من خلاله؛ لأنّ کون التحریک فی المقام متعدّداً غیر مسلّم؛ إذ یمکن أن نستکشف من وحدة الماهیة و کونها متعلّقة بلا قید أنّ التحریک واحد، و التکرار فی البعث لأجل التأکید لا التأسیس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القول بعدم التداخل و إن کان مقالتهم حقّة إلّا أنّ ذلک لا یصحّ إثباته بالقواعد الصناعیة کما عرفت، و لا بدّ من التمسّک بأمر آخر، و قد نبّه بذلک المحقّق الخراسانی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لا یشکّ بعد الاطلاع علی تعدّد القضیة الشرطیة فی أنّ ظهور کلّ قضیة هو وجوب فرد غیر ما</w:t>
      </w:r>
    </w:p>
    <w:p>
      <w:pPr>
        <w:pStyle w:val="BookText"/>
        <w:rPr/>
      </w:pPr>
      <w:r>
        <w:rPr>
          <w:rFonts w:ascii="IRNazanin" w:hAnsi="IRNazanin" w:eastAsia="IRNazanin"/>
          <w:color w:val="111111"/>
          <w:sz w:val="28"/>
          <w:sz w:val="28"/>
          <w:szCs w:val="28"/>
          <w:rtl w:val="true"/>
          <w:lang w:bidi="fa-IR"/>
        </w:rPr>
        <w:t>وجب فی الاخری، کما إذا اتّصلت القضایا و کانت فی کلام واحد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منشأ فهم العرف و علّة استیناسه هو ملاحظة العلل الخارجیة؛ إذ العلل الخارجیة بمرأی و مسمع منه؛ حیث یری أنّ کلّ علّة إنّما یؤثّر فی غیر ما أثّر فیه الآخر، و هذه المشاهدات الخارجیة ربّما تورث له ارتکازاً و فطرة، فإذا خوطب بخطابین ظاهرهما کون الموضوع فیه من قبیل العلل و الأسباب فلا محالة ینتقل منه إلی أنّ کلّ واحد یقتضی مسبّباً غیر ما یقتضیه الآخر؛ قیاساً لها بالتکوین، بل العرف غیر فارق بینهما إلّا بعد التنبیه و التذکار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 للعرف الساذج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وقوع الفأرة فی البئر یوجب نزح عدّة دلاء معیّنة، و کذا الهرّة ینتقل بفطرته إلی أنّ لوقوع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تناسباً لنزح سبع دلاء، و لوقوع الهرّة فیها مناسبة کذلک، و أنّ الأمر إنّما تعلّق به لأجل التناسب بینهما، و إلّا کان جزافاً، و إلی أنّ لوقوع کلّ منهما اقتضاءً خاصّاً بها، و ارتباطاً مستقلًّا لا یکون فی الاخری، و هو یوجب تعدّد وجوب نزح المقدار أو استحبابه، و هذا یوجب تحکیم ظهور الشرطیة علی إطلاق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أبطلناه من مقایسة التشریع بالتکوین فإنّما هو ببرهان عقلی لا یقف علیه العرف الساذج، و لکن هذا الارتکاز و إن کان غیر صحیح إلّا أنّه ربّما یصیر منشأً للظهور العرفی، و یوجب تحکیم ظهور الشرط علی ظهور الجزاء، فلا بدّ من اتّباعه، فإنّه المحکّم فی تلکم المواضع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راجع إلی المقدّمة الاولی؛ أعنی فرض استقلال کلّ شرط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وحدها لا تفید شیئاً، بل لا بدّ من إثبات المقدّمة الثانیة؛ و هی أنّ أثر الثانی غیر أثر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یمنع هذه المقدّمة؛ لأنّ غایة ما تلزم من الاولی من استقلالهما فی التأثیر هی أنّ الوجوب الآتی من قبل النوم غیر الآتی من قبل الآخر، و ذلک لا یوجب إلّا تعدّد الوجوب لا تعدّد الواجب، بل یمکن أن یستکشف من وحدة المتعلّق کون ثانیهما تأکیداً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یوجب التأکید استعمال اللفظ فی غیر معناه؛ لأنّ معنی وضع الأمر للوجوب هو وضعها لإیجاد بعث ناشٍ من الإرادة الحتمیة، و الأوامر التأکیدیة کلّها مستعملة کذلک؛ ضرورة أنّ التأکید إنّما یؤتی به فی الامور الهامّة التی لا یکتفی فیها بأمر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بعث ناشٍ من الإرادة الأکیدة، و لا معنی للتأکید إلّا ذلک، لا أنّ الثانی مستعمل فی عنوان التأکید أو فی الاستحباب أو الإرشاد أو غیر ذلک؛ فإنّها لا ترجع إلی محصّل، بل التأکید لا یمکن إلّا أن یکون المؤکّد من سنخ المؤکّد، فلا بدّ أن یکون البعثان ناشئین من الإرادة الأکیدة لغرض الانبعاث حتّی ینتزع التأکید من الثانی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الشرعیة علل للأحکام، لا لأفعال المکلّفین، فتعدّدها لا یوجب إلّا تعدّد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فیستنتج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حمل الأمر علی التأکید یحفظ إطلاق الشرطیتین و إطلاق الجزاء فیهما، و لا یوجب تجوّزاً فی صیغة الأمر علی فرض وضعها للوجوب؛ فإنّ المراد من وضعها لیس وضعها له لهذا المفهوم الاسمی، بل لإیجاد البعث الناشئ من الإرادة الحتمیة، و هو حاصل فی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أمرت ولدک بأوامر مؤکّدة أن تمنع عن کون الثانی و الثالث مستعملة فی غیر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هذا کتاب اللَّه و الذکر الحکیم بین ظهْرانَیْنا تتلی آیاته آناء اللیل و النهار، فهل تجد من نفسک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أوامره المؤکّدة فی الصلاة و غیرها ممّا استعملت فی غیر البعث عن الإرادة الإلزامیة؟</w:t>
      </w:r>
    </w:p>
    <w:p>
      <w:pPr>
        <w:pStyle w:val="BookText"/>
        <w:rPr/>
      </w:pPr>
      <w:r>
        <w:rPr>
          <w:rFonts w:ascii="IRNazanin" w:hAnsi="IRNazanin" w:eastAsia="IRNazanin"/>
          <w:color w:val="111111"/>
          <w:sz w:val="28"/>
          <w:sz w:val="28"/>
          <w:szCs w:val="28"/>
          <w:rtl w:val="true"/>
          <w:lang w:bidi="fa-IR"/>
        </w:rPr>
        <w:t>بل تری کلّها صادرة عن إرادة إلزامیة، و غایة کلّ منها انبعاث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حمل الأمر علی التأکید یوجب ارتفاع التأسیس، و هو خلاف ظاهر الأمر، لکنّه ظهور لا یعارض إطلاق المادّة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دار الأمر بین رفع الید عن أحد الإطلاقین و رفع الید عن التأسیس لا ریب فی أولویة الثانی، و فیما نحن فیه إذا حمل الأمر علی التأکید یرفع التعارض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لا یقتضی إلّا رفع الید من التأسیس الذی یقتضیه السیاق، و لا ضیر فیه؛ لإطباقهم علی طرده إذا دار الأمر بینه و بین الأخذ بإطلاق بعض أجزاء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ضعف ما فی مقالات بعض محقّقی العصر رحمه الله من أنّ تأکّد الوجوب فی ظرف تکرّر الشرط یوجب عدم استقلال الشرط فی التأثیر؛ لبداهة استناد الوجوب الواحد المتأکّد إلیهما، لا إلی کلّ منهما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الإلزامی الناشئ من الإرادة الإلزامیة متعدّد، و کلّ منهما معلول لواحد من الشرطیتین، لا أنّهما یؤثّران فی وجوب واحد متأکّد؛ لأنّ التأکید منتزع من تکرار البعثین و کذا الوجوب المتأکّد أمر انتزاعی منه، لا أنّه معلول للشرطیتین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الشیخ الأعظم تحکیم هذه المقدّمة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الشرعیة کالأسباب العقلیة، فحینئذٍ لو کانت الأسباب الشرعیة سبباً لنفس الأحکام یجب تعدّد إیجاد الفعل؛ فإنّ المسبّب یکون هو اشتغال الذمّة بإیجاده، و السبب الثانی لو لم یقتض اشتغالًا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لنقص فی السبب أو المسبّب، و لیس النقص فی شی‌ء منهما؛ أمّا الأوّل فمفروض،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قبول الاشتغال للتعدّد تابع لقبول الفعل المتعلّق له، و المفروض قبوله للتعدّد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التأکید مدفوع بعد ملاحظة الأسباب العقلیة</w:t>
      </w:r>
      <w:r>
        <w:rPr>
          <w:rStyle w:val="FootnoteAnchor"/>
          <w:rtl w:val="true"/>
        </w:rPr>
        <w:footnoteReference w:id="1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التشریع بالتکوین قیاس مع الفارق، و قد أوعزنا إلی فساده غیر مرّة،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اشتغال الذمّة بإیجاد الفعل لیس إلّا الوجوب علی المکلّف، و لیس هاهنا شی‌ء غیر بعث المکلّف نحو الطبیعة المنتزع منه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تحقّق اشتغال آخر من السبب الثانی فرع تقدیم الظهور التأسیسی علی إطلاق الجزاء، 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فرض معنی آخر لاشتغال الذمّة فتعدّده فرع هذا التقدیم الممنوع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ذیل کلامه من أنّ احتمال التأکید فیما تعلّق بعنوانین أقوی ممّا إذا تعلّق بعنوان واحد لا یخلو من غرابة؛ إذ لو عکس لکان أقرب إلی الصواب؛ لأنّ الأحکام تتعلّق بالعناوین لا بالمصادیق، فلا وجه للقول بأنّ الأمر المتعلّق بأحد العناوین تأکید لما تعلّق بالعنوان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تعلّقا بعنوان واحد لکان للتأکید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أنّ الأحکام الکلّیة فی عرض واحد، فلا مجال لتأکید أحدهما الآخر إلّا إذا کان متعلّقها الامور الخارجیة مع فرض تأخّر أحدهما عن الآخر؛ و ذلک لأنّ مدار التأکید هو تشخیص العرف دون التقدّم و التأخّر، بل لو فرض إمکان التکلّم بشی‌ء واحد مرّتین فی آنٍ واحد لحکم العرف بأنّ المتکلّم أتی بشی‌ء مؤکّد، کما هو کذلک فی البعث اللفظی المقارن للإشارة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تأخّر أحدهما ینتزع التأکید من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الأسباب أسباب لنفس الأفعال لا الأحکام، و لا یلزم منه الانفکاک بین العلّة و المعلول؛ لأنّها أسباب جعلیة لا عقلیة و لا عادیة، و معنی السبب الجعلی أنّ لها نحو اقتضاء فی نظر الجاعل بالنسبة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الشرطیة کونه مقتضیاً لوجود المسبّب، و أنّ اقتضائه لوجوبه من تبعات اقتضائه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اقتضائه التشریعی لوجود شی‌ء کونه موجباً لوجوبه، و حینئذٍ لازم إبقاء ظهور الشرط فی المؤثّریة المستقلّة اقتضاؤه وجوداً مستقلًّا،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ممّا لم یرتضه الشیخ نفسه؛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یسمن شیئاً</w:t>
      </w:r>
      <w:r>
        <w:rPr>
          <w:rStyle w:val="FootnoteAnchor"/>
          <w:rtl w:val="true"/>
        </w:rPr>
        <w:footnoteReference w:id="157"/>
      </w:r>
      <w:r>
        <w:rPr>
          <w:rFonts w:ascii="IRNazanin" w:hAnsi="IRNazanin" w:eastAsia="IRNazanin"/>
          <w:color w:val="111111"/>
          <w:sz w:val="28"/>
          <w:sz w:val="28"/>
          <w:szCs w:val="28"/>
          <w:rtl w:val="true"/>
          <w:lang w:bidi="fa-IR"/>
        </w:rPr>
        <w:t xml:space="preserve">، و لکن ارتضاه بعض محقّقی العصر رحمه الله، و اعتمد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یسمن و لا یغنی من جوع؛ إذ بعد الاعتراف علی أنّ معنی السببیة الجعلیة هو الاقتضاء لا المؤثّریة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انفکاک العلّة عن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استقلال الاقتضاء و عدم تعدّد الوجود؛ لأنّ معنی استقلاله</w:t>
      </w:r>
      <w:bookmarkStart w:id="179" w:name="pg12907_206587"/>
    </w:p>
    <w:p>
      <w:pPr>
        <w:pStyle w:val="BookText"/>
        <w:rPr/>
      </w:pPr>
      <w:bookmarkEnd w:id="179"/>
      <w:r>
        <w:rPr>
          <w:rFonts w:ascii="IRNazanin" w:hAnsi="IRNazanin" w:eastAsia="IRNazanin"/>
          <w:color w:val="111111"/>
          <w:sz w:val="28"/>
          <w:sz w:val="28"/>
          <w:szCs w:val="28"/>
          <w:rtl w:val="true"/>
          <w:lang w:bidi="fa-IR"/>
        </w:rPr>
        <w:t>أنّ کلّ سبب بنفسه تمام المقتضی لا جزؤه، و لا یتنافی الاستقلال فی الاقتضاء و الاشتراک فی التأثیر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 حفظ إطلاق الجزاء و استقلال الشرطیتین فی الاقتضاء صارت النتیجة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بقوله لازم إبقاء ظهور الشرط فی المؤثریة المستقلّة اقتضاؤه وجوداً مستقلًّا فرجوع عن أنّ السببیة الجعلیة عبارة عن نحو اقتضاء بالنسبة إلی المعلول، لا المؤثّریة الفعلیة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بذیل فهم العرف فی إثبات تعدّد الجزاء وجوداً لأجل مناسبات مغروسة فی ذهنه، کما أشرنا إلیها؛ و لهذا لا ینقدح فی ذهنه التعارض بین إطلاق الجزاء و ظهور الشرطیة فی التعدّد، بل یحکم بالتعدّد من غیر التفات إلی إطلاق الجزاء</w:t>
      </w:r>
      <w:r>
        <w:rPr>
          <w:rFonts w:eastAsia="IRNazanin" w:cs="IRNazanin"/>
          <w:color w:val="111111"/>
          <w:sz w:val="28"/>
          <w:szCs w:val="28"/>
          <w:rtl w:val="true"/>
          <w:lang w:bidi="fa-IR"/>
        </w:rPr>
        <w:t>.</w:t>
      </w:r>
    </w:p>
    <w:p>
      <w:pPr>
        <w:pStyle w:val="Heading6"/>
        <w:numPr>
          <w:ilvl w:val="5"/>
          <w:numId w:val="1"/>
        </w:numPr>
        <w:rPr/>
      </w:pPr>
      <w:bookmarkStart w:id="180" w:name="__RefHeading___Toc3346350_3224264995"/>
      <w:bookmarkStart w:id="181" w:name="_Toc68"/>
      <w:bookmarkEnd w:id="180"/>
      <w:r>
        <w:rPr>
          <w:rtl w:val="true"/>
        </w:rPr>
        <w:t>فی تداخل المسبّبات ثبوتاً و إثباتاً</w:t>
      </w:r>
      <w:bookmarkEnd w:id="181"/>
    </w:p>
    <w:p>
      <w:pPr>
        <w:pStyle w:val="BookText"/>
        <w:rPr/>
      </w:pPr>
      <w:r>
        <w:rPr>
          <w:rFonts w:ascii="IRNazanin" w:hAnsi="IRNazanin" w:eastAsia="IRNazanin"/>
          <w:color w:val="111111"/>
          <w:sz w:val="28"/>
          <w:sz w:val="28"/>
          <w:szCs w:val="28"/>
          <w:rtl w:val="true"/>
          <w:lang w:bidi="fa-IR"/>
        </w:rPr>
        <w:t>ثمّ إنّه بعد تسلیم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ظهور الشرطیة فی استقلال التأثیر، و کون أثر الثانی غیر 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فی المقدّمة الثالثة من أنّ تعدّد الأثر هل یوجب تعدّد الفعل أو لا؟ فیقع البحث تارة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إمکان تداخل المسبّبین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 الإثبات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تداخل المسبّبین فقد منع الشیخ الأعظم إمکانه،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قرّرنا فی المقدّمة السابقة أنّ متعلّق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المغایر للفرد الواجب بالسبب الأوّل، و لا یعقل تداخل فردین من ماهیة واحدة، بل و لا یعقل ورود دلیل علی التداخل أیضاً علی ذلک التقدیر، إلّا أن یکون ناسخاً لحکم السببیة</w:t>
      </w:r>
      <w:r>
        <w:rPr>
          <w:rStyle w:val="FootnoteAnchor"/>
          <w:rtl w:val="true"/>
        </w:rPr>
        <w:footnoteReference w:id="1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الفرد المغایر للفرد الواجب بالسبب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الفرد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 الفردین غیر معقول بلا إشکال، لکن تعلّق الحکم بالفرد الخارجی ممتنع؛ و إن کان المراد هو العنوان القابل للانطباق علی الخارج، و إنّما سمّاه فرداً لکونه تحت العنوان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إمکان تداخل العنوانین من ماهیة واحدة غیر مسلّم، بل القیود الواردة علی الماهیة مختلفة؛ فقد تکون موجبة لصیرورة المقیّدین متباینین، کالإنسان الأبیض و الأسود، و قد توجب کون المقیّدین عامّین من وجه، کالإنسان الأبیض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فالوضوء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 و 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واحدة، و لأجل تسلیم المقدّمتین لا بدّ من کونهما مقیّدتین بقیدین؛ حتّی یکون کلّ سبب علّة مستقلّة للإیجاب علی أحد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یجب أن یکون بین العنوانین نسبة التباین حتّی یمتنع تصادقهما علی الفرد الخارجی، فمع عدم قیام دلیل علی امتناعه لا یجوز رفع الید عن الدلیل الدالّ علی التداخل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ورود دلیل علی التداخل فرع إثبات الامتناع، و هو مفقود، 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ظهور الشرطیتین فیما ذکر، و لازم ورود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التداخل هو کون المقیّدین قابلین للتصادق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یدلّ دلیل علی التداخل لا مجال للقول به، فلا بدّ فی مقام العمل من الإتیان بفردین حتّی یحصل الیقین بالبراءة؛ للعلم بالاشتغال بعد استقلال الشرطیتین فی التأثیر، و لفرض أنّ أثر کلّ غیر الآخر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تفاهم العرف تکرار الوضوء من الشرطیتین فعُهدتها علی مدّعیها؛ لأنّها ترجع إلی دعوی استظهار کون کلّ عنوان مبایناً للآخر، و هی بمکان من البعد</w:t>
      </w:r>
      <w:r>
        <w:rPr>
          <w:rFonts w:eastAsia="IRNazanin" w:cs="IRNazanin"/>
          <w:color w:val="111111"/>
          <w:sz w:val="28"/>
          <w:szCs w:val="28"/>
          <w:rtl w:val="true"/>
          <w:lang w:bidi="fa-IR"/>
        </w:rPr>
        <w:t>.</w:t>
      </w:r>
      <w:bookmarkStart w:id="182" w:name="pg12907_206589"/>
    </w:p>
    <w:p>
      <w:pPr>
        <w:pStyle w:val="Heading6"/>
        <w:numPr>
          <w:ilvl w:val="5"/>
          <w:numId w:val="1"/>
        </w:numPr>
        <w:rPr/>
      </w:pPr>
      <w:bookmarkStart w:id="183" w:name="__RefHeading___Toc3346352_3224264995"/>
      <w:bookmarkStart w:id="184" w:name="_Toc69"/>
      <w:bookmarkEnd w:id="182"/>
      <w:bookmarkEnd w:id="183"/>
      <w:r>
        <w:rPr>
          <w:rtl w:val="true"/>
        </w:rPr>
        <w:t>المقام الثانی فیما إذا تعدّد الشرط شخصاً لا نوعاً</w:t>
      </w:r>
      <w:bookmarkEnd w:id="184"/>
    </w:p>
    <w:p>
      <w:pPr>
        <w:pStyle w:val="Heading6"/>
        <w:numPr>
          <w:ilvl w:val="5"/>
          <w:numId w:val="1"/>
        </w:numPr>
        <w:rPr/>
      </w:pPr>
      <w:bookmarkStart w:id="185" w:name="__RefHeading___Toc3346354_3224264995"/>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فرضنا أنّ المکلّف نام مکرّراً، و شکّ فی أنّ المصداقین منه یتداخلان فی إیجاب الوضوء أو لا، فربّما یقال بالتفریق بین ما إذا کانت العلّة نفس الطبیعة فیتداخلان، و بین ما إذا کان السبب هو وجود کلّ فرد مستقلًّا فلا یتداخلان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بعد الفراغ عن سببیة کلّ فرد مستقلًّا لو وجد منفرداً، و إلّا فلو فرضنا أنّ السبب هو نفس الطبیعة أو احتملنا ذلک یخرج النزاع من باب تداخل الأسباب، بل یرجع البحث إلی أنّ السبب واحد أو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البحث عن تعدّد السبب أو وحدته من مبادئ المسألة المبحوث عنها هنا بالفعل؛ إذ لا بدّ أن یثبت أوّلًا أنّ السبب هو الفرد لا الطبیعة حتّی یتعدّد السبب، ثمّ یبحث فی تداخل الأسباب و أنّ المصداقین منه یتداخلان فی إیجاب الوضوء أو لا؟</w:t>
      </w:r>
    </w:p>
    <w:p>
      <w:pPr>
        <w:pStyle w:val="BookText"/>
        <w:rPr/>
      </w:pPr>
      <w:r>
        <w:rPr>
          <w:rFonts w:ascii="IRNazanin" w:hAnsi="IRNazanin" w:eastAsia="IRNazanin"/>
          <w:color w:val="111111"/>
          <w:sz w:val="28"/>
          <w:sz w:val="28"/>
          <w:szCs w:val="28"/>
          <w:rtl w:val="true"/>
          <w:lang w:bidi="fa-IR"/>
        </w:rPr>
        <w:t>فما أتعب به بعض الأعاظم نفسه الزکیة و استظهر انحلال القضیة الشرطیة و قال بتقدیم ظهورها فی الانحلال علی ظهور الجزاء فی الاتّحاد</w:t>
      </w:r>
      <w:r>
        <w:rPr>
          <w:rStyle w:val="FootnoteAnchor"/>
          <w:rtl w:val="true"/>
        </w:rPr>
        <w:footnoteReference w:id="160"/>
      </w:r>
      <w:r>
        <w:rPr>
          <w:rFonts w:ascii="IRNazanin" w:hAnsi="IRNazanin" w:eastAsia="IRNazanin"/>
          <w:color w:val="111111"/>
          <w:sz w:val="28"/>
          <w:sz w:val="28"/>
          <w:szCs w:val="28"/>
          <w:rtl w:val="true"/>
          <w:lang w:bidi="fa-IR"/>
        </w:rPr>
        <w:t>فأجنبی من حریم النزاع، مع أنّه غیر خالٍ عن الإشکال، فتدبّر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الکلام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ظهور القضیة فی سببیة کلّ</w:t>
      </w:r>
      <w:bookmarkStart w:id="187" w:name="pg12907_206590"/>
    </w:p>
    <w:p>
      <w:pPr>
        <w:pStyle w:val="BookText"/>
        <w:rPr/>
      </w:pPr>
      <w:bookmarkEnd w:id="187"/>
      <w:r>
        <w:rPr>
          <w:rFonts w:ascii="IRNazanin" w:hAnsi="IRNazanin" w:eastAsia="IRNazanin"/>
          <w:color w:val="111111"/>
          <w:sz w:val="28"/>
          <w:sz w:val="28"/>
          <w:szCs w:val="28"/>
          <w:rtl w:val="true"/>
          <w:lang w:bidi="fa-IR"/>
        </w:rPr>
        <w:t xml:space="preserve">مصداق من البول لإیجاب الوضوء فلا شکّ أنّه یقع التعارض بین صدر القضیة الدالّ علی سببیة کلّ فرد، کما إذا صدره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إطلاق الجزاء، و لکن الترجیح مع الصدر عرفاً، فیتقدّم علی إطلاق الذیل؛ إذ لا شکّ أنّه إذا سمع العرف بأنّ کلّ فرد سبب لإیجاب الوضوء لا یعتمد علی إطلاق الجزاء، بل یحکم بأنّ کلّ فرد سبب لوجوب خاصّ بلا تداخل الأسباب، و قد ذکرنا وجه فهمه و منشأ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تداخل الأسباب، و أمّا تداخل المسبّبات فی هذا المقام فقد قدّمناه فی المقام الأوّل ثبوتاً و إثباتاً</w:t>
      </w:r>
      <w:r>
        <w:rPr>
          <w:rFonts w:eastAsia="IRNazanin" w:cs="IRNazanin"/>
          <w:color w:val="111111"/>
          <w:sz w:val="28"/>
          <w:szCs w:val="28"/>
          <w:rtl w:val="true"/>
          <w:lang w:bidi="fa-IR"/>
        </w:rPr>
        <w:t>.</w:t>
      </w:r>
    </w:p>
    <w:p>
      <w:pPr>
        <w:pStyle w:val="Heading6"/>
        <w:numPr>
          <w:ilvl w:val="5"/>
          <w:numId w:val="1"/>
        </w:numPr>
        <w:rPr/>
      </w:pPr>
      <w:bookmarkStart w:id="188" w:name="__RefHeading___Toc3346356_3224264995"/>
      <w:bookmarkStart w:id="189" w:name="_Toc71"/>
      <w:bookmarkEnd w:id="188"/>
      <w:r>
        <w:rPr>
          <w:rtl w:val="true"/>
        </w:rPr>
        <w:t>تتمّة فی أنّ مفهوم العامّ الاستغراقی جزئی لا کلّی</w:t>
      </w:r>
      <w:bookmarkEnd w:id="189"/>
    </w:p>
    <w:p>
      <w:pPr>
        <w:pStyle w:val="BookText"/>
        <w:rPr/>
      </w:pPr>
      <w:r>
        <w:rPr>
          <w:rFonts w:ascii="IRNazanin" w:hAnsi="IRNazanin" w:eastAsia="IRNazanin"/>
          <w:color w:val="111111"/>
          <w:sz w:val="28"/>
          <w:sz w:val="28"/>
          <w:szCs w:val="28"/>
          <w:rtl w:val="true"/>
          <w:lang w:bidi="fa-IR"/>
        </w:rPr>
        <w:t>لا بدّ فی أخذ المفهوم من القضیة الشرطیة من حفظ الموضوع مع تمام ما اعتبر قیداً فی طرف الموضوع أو فی طرف الجزاء، فمفهوم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راکباً یوم الجمعة فاضربه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قولنا إن لم یجئک زید راکباً یوم الجمعة فلا یجب علیک ضربه، و قس علیه سائر القیود، و هذا ما یعبّر عنه من تبعیة المفهوم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القیود العامّ المجموعی،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تسالم کلّ من قال بالمفهوم أنّ مفهومه هو أنّه إن لم یجئک لا یجب إکرام مجموعهم، و لا ینافی ذلک وجوب إکرام بعضهم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الإشکال فی العامّ الاستغراقی؛ سواء استفید بالوضع اللغوی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المحلّی باللام، أم بغیره مثل النکرة فی سیاق النفی،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القول بإفادته المفهوم فهل هو الإیجاب الجزئی؛ بداهة أنّ نقیض السالبة الکلّیة هی الموجبة الجزئیة، کما علیه الشیخ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أو الموجبة الکلّیة، کما عن الشیخ الأعظم قدس سره، و 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معناه العامّ من دون جعله عبرة لعناوین اخر التی هی موضوعات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کالدم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عنواناً مشیراً إلی العناوین الواقعة موضوعاً للنجاسات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المفهوم هو الإیجاب الجزئی،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لم یبلغ الکرّ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مفاد المنطوق لم ینجّسه هذا و هذا، و یصیر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منطبقة علیها،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لم یبلغ قدر الکرّ ینجّسه هذا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هو الموجبة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Style w:val="FootnoteAnchor"/>
          <w:rtl w:val="true"/>
        </w:rPr>
        <w:footnoteReference w:id="163"/>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من جعله عبرة و مرآة للعناوین هو جعل الحکم علی الکثرة التفصیلیة أوّلًا و بالذات بلا وساطة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واضح البطلان؛ ضرورة ملحوظیة عنوانی الکلّ و الشی‌ء فی موضوع القضیة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أنّ الغرض من التوصّل بهما لیس جعل الحکم علیهما بما هما کذلک، بل الغرض هو اتّخاذهما وسیلة لإسراء الحکم منهما إلی العناوین الواقعیة</w:t>
      </w:r>
    </w:p>
    <w:p>
      <w:pPr>
        <w:pStyle w:val="BookText"/>
        <w:rPr/>
      </w:pPr>
      <w:r>
        <w:rPr>
          <w:rFonts w:ascii="IRNazanin" w:hAnsi="IRNazanin" w:eastAsia="IRNazanin"/>
          <w:color w:val="111111"/>
          <w:sz w:val="28"/>
          <w:sz w:val="28"/>
          <w:szCs w:val="28"/>
          <w:rtl w:val="true"/>
          <w:lang w:bidi="fa-IR"/>
        </w:rPr>
        <w:t>فهو حقّ لکن ذلک لا یستلزم ما یبتغیه؛ إذ لا بدّ أن یکون الحکم فی طرف المفهوم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ینفی الحکم عن العنوان المشیر إلی العناوین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قولنا إذا جاءک زید أکرم کلّ عالم هو أنّه إذا لم یجئک لا یجب إکرام کلّ عالم، و لا إشکال فی إفادته قضیة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للعناوین لا یستلزم أن یکون العناوین موضوعاً للحکم فی لسان الدلیل، بل الموضوع هو لفظ شی‌ء؛ و إن کان مرآة للعناوین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فمدار أخذ المفهوم هو رفع الحکم عمّا جعل موضوعاً فی لسان الدلیل، کما أنّ الحکم ثابت علیه ظاهراً، و حینئذٍ یکون مفهوم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یضرّ کونه مرآة لما هو موضوع،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فهم العرف أقوی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کونه مرآة بالمعنی المتقدّم، و أنّ العناوین بکثرتها التفصیلیة وقعت موضوعاً للحکم، إلّا أنّه لا یستفاد من القضیة إلّا الجزئیة؛ لأنّ المفهوم لیس إلّا رفع سنخ الحکم المذکور عن الموضوع، لا إثبات حکم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بأنّ مفهوم ما ذکر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نشأت من وضع لازم المفهوم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البول و الدم و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قدر کرّ لیس لا ینجّسه البول و الدم و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لا ینافی تنجیس بعضها؛ إذ المفهوم هو سلب السالبة الکلّیة، و هو یتحقّق تارة بالإیجاب الجزئی و اخری بالإیجاب الکلّی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أنّ العرف فی مثل القضیة لا ینتقل إلی سلب السلب بل ینتقل إلی</w:t>
      </w:r>
    </w:p>
    <w:p>
      <w:pPr>
        <w:pStyle w:val="BookText"/>
        <w:rPr/>
      </w:pPr>
      <w:r>
        <w:rPr>
          <w:rFonts w:ascii="IRNazanin" w:hAnsi="IRNazanin" w:eastAsia="IRNazanin"/>
          <w:color w:val="111111"/>
          <w:sz w:val="28"/>
          <w:sz w:val="28"/>
          <w:szCs w:val="28"/>
          <w:rtl w:val="true"/>
          <w:lang w:bidi="fa-IR"/>
        </w:rPr>
        <w:t>الإیجاب فلا إشکال فیما هو مورد نزاع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مساعد للإیجاب الجزئی، و أنّ المفهوم من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قدر کرّ ینجّسه شی‌ء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کلّ شی‌ء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حصر العلّة فی الکرّیة الذی هو الأساس لإثبات المفهوم أن لا یکون لبعض أفراد العامّ علّة اخری غیر ما ذکر فی الشرطیة، و إلّا یکون مخالفاً لظهور الشرطیة فی الانحصار، بل ینهدم أساس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انحصار العلّة فی جمیع الأفراد و العناوین هو الإیجاب الکلّی فی صورة عدم الکرّیة، فیثبت أنّ مفهومه هو أنّه ینجّسه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الشرطیة فی مثل تلک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الشرط علّة منحصرة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استغراقیاً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عدم الانحصار بالنسبة 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فبلوغ الکرّ علّة منحصرة لعدم تنجّسه بکلّ نجاسة، لا أنّه علّة منحصرة لعدم تنجّسه بالبول، و علّة منحصرة لعدم تنجّسه بالدم، و هکذا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انحلّت القضیة إلی تعلیقات عدیدة أو الجزاء إلی کثرة تفصیلیة حکماً و موضوعاً کان لما ذکره وجه، لکن الانحلالین ممنوعان، و الدلیل الأسدّ الذی هو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قطعنا النظر عمّا یقتضیه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لما قوّیناه</w:t>
      </w:r>
      <w:r>
        <w:rPr>
          <w:rFonts w:eastAsia="IRNazanin" w:cs="IRNazanin"/>
          <w:color w:val="111111"/>
          <w:sz w:val="28"/>
          <w:szCs w:val="28"/>
          <w:rtl w:val="true"/>
          <w:lang w:bidi="fa-IR"/>
        </w:rPr>
        <w:t>.</w:t>
      </w:r>
      <w:bookmarkStart w:id="190" w:name="pg12907_206595"/>
    </w:p>
    <w:p>
      <w:pPr>
        <w:pStyle w:val="Heading3"/>
        <w:numPr>
          <w:ilvl w:val="2"/>
          <w:numId w:val="1"/>
        </w:numPr>
        <w:rPr/>
      </w:pPr>
      <w:bookmarkStart w:id="191" w:name="__RefHeading___Toc3346358_3224264995"/>
      <w:bookmarkStart w:id="192" w:name="_Toc72"/>
      <w:bookmarkEnd w:id="190"/>
      <w:bookmarkEnd w:id="191"/>
      <w:r>
        <w:rPr>
          <w:rtl w:val="true"/>
        </w:rPr>
        <w:t>الفصل الثانی فی مفهوم الوصف</w:t>
      </w:r>
      <w:bookmarkEnd w:id="192"/>
    </w:p>
    <w:p>
      <w:pPr>
        <w:pStyle w:val="BookText"/>
        <w:rPr/>
      </w:pPr>
      <w:r>
        <w:rPr>
          <w:rFonts w:ascii="IRNazanin" w:hAnsi="IRNazanin" w:eastAsia="IRNazanin"/>
          <w:color w:val="111111"/>
          <w:sz w:val="28"/>
          <w:sz w:val="28"/>
          <w:szCs w:val="28"/>
          <w:rtl w:val="true"/>
          <w:lang w:bidi="fa-IR"/>
        </w:rPr>
        <w:t>و قبل الخوض ینبغی تقدیم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محطّ البحث هو مطلق الوصف؛ سواء اعتمد علی موصوفه أم لا؛ لأنّ المثبت</w:t>
      </w:r>
      <w:r>
        <w:rPr>
          <w:rStyle w:val="FootnoteAnchor"/>
          <w:rtl w:val="true"/>
        </w:rPr>
        <w:footnoteReference w:id="164"/>
      </w:r>
      <w:r>
        <w:rPr>
          <w:rFonts w:ascii="IRNazanin" w:hAnsi="IRNazanin" w:eastAsia="IRNazanin"/>
          <w:color w:val="111111"/>
          <w:sz w:val="28"/>
          <w:sz w:val="28"/>
          <w:szCs w:val="28"/>
          <w:rtl w:val="true"/>
          <w:lang w:bidi="fa-IR"/>
        </w:rPr>
        <w:t>ربّما یتمسّک بفهم أبی عبیدة 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تری أنّ النافی لم یردّه بأنّه خارج عن محطّ البحث؛ لأنّ الوصف لم یعتمد علی موصوفه، بل ردّه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الأدلّة المذکورة من الوضع و الصون عن اللغویة جاریة فی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 أفاده بعض الأعاظم من أنّ الالتزام بالمفهوم فیما إذا ذکر الموصوف صریحاً إنّما هو لخروج الکلام عن اللغویة، و هذا لا یجری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ذکر الموضوع لا یحتاج إلی نکتة غیر إثبات الحکم له، لا إثباته له و نفیه عن غیره</w:t>
      </w:r>
      <w:r>
        <w:rPr>
          <w:rStyle w:val="FootnoteAnchor"/>
          <w:rtl w:val="true"/>
        </w:rPr>
        <w:footnoteReference w:id="1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اللغویة یأتی فی الثانی أیضاً؛ لأنّ الحکم لو کان ثابتاً لفاقد الوصف لما کان لذکر الموصوف بما هو موصوف وجه، و الصون عن اللغویة لو تمّ فی الأوّل لتمّ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هما متّحدان استدلالًا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المفهوم من الوصف کاستفادته من الجملة الشرطیة، فلا بدّ من حفظ جمیع ما ذکر فی الکلام من القیود، عدا الوصف الذی یدور علیه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الوصف أخصّ مطلقاً من الموصوف فلا ریب فی دخوله فی محطّ البحث؛ لبقاء الموضوع بعد انتفائه؛ حتّی فی الوصف الذی لم یعتمد علی موصوفه،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بدّ علی القول بالمفهوم من تقدیر موصوف عند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ریب فی خروج الوصف المساوی لموصوفه عن حریم النزاع؛ لارتفاع الموضوع بارتفاعه، فلا یبقی للحکم مرکز حتّی یحمل علیه أو یسلب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المحقّق الخراسانی من تعمیم البحث للمساوی</w:t>
      </w:r>
      <w:r>
        <w:rPr>
          <w:rStyle w:val="FootnoteAnchor"/>
          <w:rtl w:val="true"/>
        </w:rPr>
        <w:footnoteReference w:id="168"/>
      </w:r>
      <w:r>
        <w:rPr>
          <w:rFonts w:ascii="IRNazanin" w:hAnsi="IRNazanin" w:eastAsia="IRNazanin"/>
          <w:color w:val="111111"/>
          <w:sz w:val="28"/>
          <w:sz w:val="28"/>
          <w:szCs w:val="28"/>
          <w:rtl w:val="true"/>
          <w:lang w:bidi="fa-IR"/>
        </w:rPr>
        <w:t>فهو مخدوش، و أمّا العامّان من وجه فلو کان الافتراق من جانب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Style w:val="FootnoteAnchor"/>
          <w:rtl w:val="true"/>
        </w:rPr>
        <w:footnoteReference w:id="1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الغنم غیر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داخل أیضاً فی</w:t>
      </w:r>
    </w:p>
    <w:p>
      <w:pPr>
        <w:pStyle w:val="BookText"/>
        <w:rPr/>
      </w:pPr>
      <w:r>
        <w:rPr>
          <w:rFonts w:ascii="IRNazanin" w:hAnsi="IRNazanin" w:eastAsia="IRNazanin"/>
          <w:color w:val="111111"/>
          <w:sz w:val="28"/>
          <w:sz w:val="28"/>
          <w:szCs w:val="28"/>
          <w:rtl w:val="true"/>
          <w:lang w:bidi="fa-IR"/>
        </w:rPr>
        <w:t>محطّ النزاع، نعم لو کان الافتراق من جانب الوصف فهو خارج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حکی عن بعض الشافعیة من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الزکاة فی الإبل المعلوفة</w:t>
      </w:r>
      <w:r>
        <w:rPr>
          <w:rStyle w:val="FootnoteAnchor"/>
          <w:rtl w:val="true"/>
        </w:rPr>
        <w:footnoteReference w:id="170"/>
      </w:r>
      <w:r>
        <w:rPr>
          <w:rFonts w:ascii="IRNazanin" w:hAnsi="IRNazanin" w:eastAsia="IRNazanin"/>
          <w:color w:val="111111"/>
          <w:sz w:val="28"/>
          <w:sz w:val="28"/>
          <w:szCs w:val="28"/>
          <w:rtl w:val="true"/>
          <w:lang w:bidi="fa-IR"/>
        </w:rPr>
        <w:t>فاسد؛ لأنّ حفظ الموضوع فی المنطوق و المفهوم ممّا لا بدّ منه، و إنّما الاختلاف بینهما فی تحقّق الوصف فی أحدهما دون الآخر بعد حفظه، فلا معنی لنفی الحکم عن موضوع أجنبی، و عدّه مفهوماً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عدم دلالة الجملة الوصفیة علی المفهوم؛ لا بالوضع و التبادر و لا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کما یدلّ علی أنّه تمام الموضوع و بلا شریک کذلک یدلّ علی أنّه بلا عدیل قد عرفت جوابه فیما مضی مفصّلًا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التمسّک بفهم أبی عبیدة ضعیف جدّاً؛ ضرورة أنّه لا یثبت به الوضع، و لم یعلم أنّه ادّعی الوضع، بل لعلّه استند إلی قرائن حافّة بالکلام و غیر ذلک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اللغویة فمدفوع بأنّ الغرض لا ینحصر فی الاحتراز، و لو سلّمنا فهی أیضاً حاصلة؛ لأنّ معناها أنّ الذات بلا قید لیس موضوعاً للحکم، و هو هناک کذلک، و هو لا یدلّ علی عدم نیابة قید مکانه عند فقدانه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عمّا افید فی المقام من التدقیقات الصناعیة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مرّ نظیره فی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إحراز أنّ الأصل فی القید أن یکون احترازیاً أنّ معنی قیدیة شی‌ء لموضوع حکم هو أنّ ذات الموضوع غیر قابلة لتعلّقه بها إلّا بعد</w:t>
      </w:r>
    </w:p>
    <w:p>
      <w:pPr>
        <w:pStyle w:val="BookText"/>
        <w:rPr/>
      </w:pPr>
      <w:r>
        <w:rPr>
          <w:rFonts w:ascii="IRNazanin" w:hAnsi="IRNazanin" w:eastAsia="IRNazanin"/>
          <w:color w:val="111111"/>
          <w:sz w:val="28"/>
          <w:sz w:val="28"/>
          <w:szCs w:val="28"/>
          <w:rtl w:val="true"/>
          <w:lang w:bidi="fa-IR"/>
        </w:rPr>
        <w:t>اتّصافها بهذا الوصف، فالوصف متمّم قابلیة القابل، و هو معنی الشرط حقیقة، و حیث إنّ الظاهر دخله بعنوانه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تعدّد العلّة یکون الجامع علّة، و 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ینتفی سنخ الوجوب بانتفاء قید الموضوع</w:t>
      </w:r>
      <w:r>
        <w:rPr>
          <w:rStyle w:val="FootnoteAnchor"/>
          <w:rtl w:val="true"/>
        </w:rPr>
        <w:footnoteReference w:id="1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 من الإشکال، قد نبّهنا علیها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التشریع بالتکوین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بطلانه؛ إذ لا مانع من جعل العناوین المختلفة موضوعاً لحکم واحد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القاعدة المعروفة فی الفنّ الأعلی فی نظائر المقام، مع أنّه لا مساس لها بهذه المقامات أصلًا، و هو غیر خفی علی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تأثیر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قد عرفت أنّه غیر صحیح، و أنّ الجامع بنعت الجامعیة یمتنع أن یکون موجوداً خارجیاً حتّی یؤثّر فی الشی‌ء، و إلّا یلزم الالتزام بمقالة الرجل الهمدانی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هذه المقدّمات لا یفید شیئاً؛ لأنّ المیزان فی هذا المقام هو فهم العرف الساذج لا الدقائق الفلسفیة</w:t>
      </w:r>
      <w:r>
        <w:rPr>
          <w:rFonts w:eastAsia="IRNazanin" w:cs="IRNazanin"/>
          <w:color w:val="111111"/>
          <w:sz w:val="28"/>
          <w:szCs w:val="28"/>
          <w:rtl w:val="true"/>
          <w:lang w:bidi="fa-IR"/>
        </w:rPr>
        <w:t>.</w:t>
      </w:r>
      <w:bookmarkStart w:id="193" w:name="pg12907_206599"/>
    </w:p>
    <w:p>
      <w:pPr>
        <w:pStyle w:val="Heading3"/>
        <w:numPr>
          <w:ilvl w:val="2"/>
          <w:numId w:val="1"/>
        </w:numPr>
        <w:rPr/>
      </w:pPr>
      <w:bookmarkStart w:id="194" w:name="__RefHeading___Toc3346360_3224264995"/>
      <w:bookmarkStart w:id="195" w:name="_Toc73"/>
      <w:bookmarkEnd w:id="193"/>
      <w:bookmarkEnd w:id="194"/>
      <w:r>
        <w:rPr>
          <w:rtl w:val="true"/>
        </w:rPr>
        <w:t>الفصل الثالث فی مفهوم الغایة</w:t>
      </w:r>
      <w:bookmarkEnd w:id="195"/>
    </w:p>
    <w:p>
      <w:pPr>
        <w:pStyle w:val="Heading4"/>
        <w:numPr>
          <w:ilvl w:val="3"/>
          <w:numId w:val="1"/>
        </w:numPr>
        <w:rPr/>
      </w:pPr>
      <w:bookmarkStart w:id="196" w:name="__RefHeading___Toc3346362_3224264995"/>
      <w:bookmarkStart w:id="197" w:name="_Toc74"/>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و البحث فیه یقع فی مقامین</w:t>
      </w:r>
      <w:r>
        <w:rPr>
          <w:rFonts w:eastAsia="IRNazanin" w:cs="IRNazanin"/>
          <w:color w:val="111111"/>
          <w:sz w:val="28"/>
          <w:szCs w:val="28"/>
          <w:rtl w:val="true"/>
          <w:lang w:bidi="fa-IR"/>
        </w:rPr>
        <w:t>:</w:t>
      </w:r>
    </w:p>
    <w:p>
      <w:pPr>
        <w:pStyle w:val="Heading4"/>
        <w:numPr>
          <w:ilvl w:val="3"/>
          <w:numId w:val="1"/>
        </w:numPr>
        <w:rPr/>
      </w:pPr>
      <w:bookmarkStart w:id="198" w:name="__RefHeading___Toc3346364_3224264995"/>
      <w:bookmarkStart w:id="199" w:name="_Toc75"/>
      <w:bookmarkEnd w:id="198"/>
      <w:r>
        <w:rPr>
          <w:rtl w:val="true"/>
        </w:rPr>
        <w:t>الأوّل</w:t>
      </w:r>
      <w:r>
        <w:rPr>
          <w:rtl w:val="true"/>
        </w:rPr>
        <w:t xml:space="preserve">: </w:t>
      </w:r>
      <w:r>
        <w:rPr>
          <w:rtl w:val="true"/>
        </w:rPr>
        <w:t>فی دلالة الغایة علی ارتفاع الحکم عمّا بعدها</w:t>
      </w:r>
      <w:bookmarkEnd w:id="199"/>
    </w:p>
    <w:p>
      <w:pPr>
        <w:pStyle w:val="BookText"/>
        <w:rPr/>
      </w:pPr>
      <w:r>
        <w:rPr>
          <w:rFonts w:ascii="IRNazanin" w:hAnsi="IRNazanin" w:eastAsia="IRNazanin"/>
          <w:color w:val="111111"/>
          <w:sz w:val="28"/>
          <w:sz w:val="28"/>
          <w:szCs w:val="28"/>
          <w:rtl w:val="true"/>
          <w:lang w:bidi="fa-IR"/>
        </w:rPr>
        <w:t>هل الغایة فی القضیة تدلّ علی ارتفاع الحکم عمّا بعد الغایة أو لا؟</w:t>
      </w:r>
    </w:p>
    <w:p>
      <w:pPr>
        <w:pStyle w:val="BookText"/>
        <w:rPr/>
      </w:pPr>
      <w:r>
        <w:rPr>
          <w:rFonts w:ascii="IRNazanin" w:hAnsi="IRNazanin" w:eastAsia="IRNazanin"/>
          <w:color w:val="111111"/>
          <w:sz w:val="28"/>
          <w:sz w:val="28"/>
          <w:szCs w:val="28"/>
          <w:rtl w:val="true"/>
          <w:lang w:bidi="fa-IR"/>
        </w:rPr>
        <w:t>المشهور هو دلالة الغایة المذکورة فی القضیة علی ارتفاع الحکم عمّا بعدها</w:t>
      </w:r>
      <w:r>
        <w:rPr>
          <w:rStyle w:val="FootnoteAnchor"/>
          <w:rtl w:val="true"/>
        </w:rPr>
        <w:footnoteReference w:id="174"/>
      </w:r>
      <w:r>
        <w:rPr>
          <w:rFonts w:ascii="IRNazanin" w:hAnsi="IRNazanin" w:eastAsia="IRNazanin"/>
          <w:color w:val="111111"/>
          <w:sz w:val="28"/>
          <w:sz w:val="28"/>
          <w:szCs w:val="28"/>
          <w:rtl w:val="true"/>
          <w:lang w:bidi="fa-IR"/>
        </w:rPr>
        <w:t xml:space="preserve">خلافاً لجماعة منهم السیّد و الشیخ </w:t>
      </w:r>
      <w:r>
        <w:rPr>
          <w:rFonts w:eastAsia="IRNazanin" w:cs="IRNazanin"/>
          <w:color w:val="111111"/>
          <w:sz w:val="28"/>
          <w:szCs w:val="28"/>
          <w:lang w:bidi="fa-IR"/>
        </w:rPr>
        <w:t>0</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جمع من المحقّقین بین الغایة المجعولة للموضوع بحسب اللبّ و بین المجعولة للحکم؛ قائلین بالدلالة فی الثانی دون الأوّل</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أمّا عدم الدلالة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الغایة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الوصف فی أنّها قید للموضوع، و ارتفاع الحکم عن الموضوع المقیّد لیس من باب المفهوم، بل لارتفاع الموضوع الذی لا بدّ من بقائه فی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فأسدّ ما قیل فی تقریبه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الغایة غایة للحکم فالظاهر الدلالة؛ لأنّ مفاد الهیئة إنشاء حقیقة الطلب لا الطلب الجزئی، فتکون الغایة غایة لحقیقة الطلب، و لازمه ارتفاع حقیقته عند وجود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الهیئة الطلب الجزئی فالغایة لا تدلّ علی ارتفاع سنخ الوجوب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لکنّه عدل عنه فی الدورة الأخیرة، و محصّل ما أفاده فی وجه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دلالة لها علی الانحصار مطلقاً؛ لأنّ الطلب مسبّب عن سبب بحسب الواقع؛ و إن لم یذکر فی القضیة، و لیس فیها دلالة علی حصره حتّی تدلّ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فی المتن غیر وجیه؛ لأنّ الطلب المعلول لعلّة لا إطلاق له بالنسبة إلی غیر موردها؛ و إن کان غیر متقیّد بها أیضاً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قرّر وجه رجوعه فی النسخة المطبوعة أخیراً بما حاصله دعوی مساعدة الوجدان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المفهوم؛ لأنّه لو قال المتکلّم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 زید فاجلس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مخالفاً لظاهر کلامه، و هذا یکشف عن أنّ المغیّی لیس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علّة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السنخ المعلول لعلّة خاصّة؛ سواء کانت مذکورة أم لا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لو سلّمنا أنّ الهیئة موضوعة لإنشاء حقیقة الطلب لا الطلب الجزئی لا یرد علیه شی‌ء من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ببالنا مطابقاً لما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المفهوم لا یتوقّف علی انحصار العلّة دائماً، بل ربّما یثبت لو کان موافقاً لاستظهار العرف و فهمه؛ و إن لم یلتفت إلی انحصارها؛ و ذلک لأنّا إذا فرضنا أنّ الغایة للحکم عند العرف غایة لسنخ الطلب المنشأ فلازمه انتفاء الحکم لدی الوصول إلی الغایة، و إلّا لما کان غایة لسنخة، بل لحصّة خاصّة،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ربّما یستفاد من تحدید حقیقة الحکم بلا تقییدها بقید خاصّ إلی غایة،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وجوب الجلوس تکون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الوجوب بعد الزوال مناقضاً له، و العرف ینتقل إلی المفهوم بعد ثبوت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کون الغایة للحکم و ثبوت کون الهیئة ظاهرة فی حقیقة الطلب، من غیر توجّه إلی علّة الحکم؛ فضلًا عن انحصارها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توجّهه إلیها یکشف من هذا الظهور المتّبع انحصارها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قرّر فی ذیل النسخة المطبوعة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الخلل إنّما هو فی مثاله؛ فإنّ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رجوع الغایة إلی المادّة، و لعلّ عدم فهم المخالفة بعد التصریح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فاجلس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 إلّا فلو سلّمنا کون القید غایة للحکم و کون المنشأ حقیقة الطلب فیفهم المخالفة قطعاً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الإشکال کلّه فی أصل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المنشأ حقیقة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قدّمناه سابقاً من إبطال کون معانی الحروف مفاهیم عامّة؛ لامتناع تصوّر</w:t>
      </w:r>
      <w:bookmarkStart w:id="200" w:name="pg12907_206602"/>
    </w:p>
    <w:p>
      <w:pPr>
        <w:pStyle w:val="BookText"/>
        <w:rPr/>
      </w:pPr>
      <w:bookmarkEnd w:id="200"/>
      <w:r>
        <w:rPr>
          <w:rFonts w:ascii="IRNazanin" w:hAnsi="IRNazanin" w:eastAsia="IRNazanin"/>
          <w:color w:val="111111"/>
          <w:sz w:val="28"/>
          <w:sz w:val="28"/>
          <w:szCs w:val="28"/>
          <w:rtl w:val="true"/>
          <w:lang w:bidi="fa-IR"/>
        </w:rPr>
        <w:t>جامع بینها کما سلف</w:t>
      </w:r>
      <w:r>
        <w:rPr>
          <w:rStyle w:val="FootnoteAnchor"/>
          <w:rtl w:val="true"/>
        </w:rPr>
        <w:footnoteReference w:id="179"/>
      </w:r>
      <w:r>
        <w:rPr>
          <w:rFonts w:ascii="IRNazanin" w:hAnsi="IRNazanin" w:eastAsia="IRNazanin"/>
          <w:color w:val="111111"/>
          <w:sz w:val="28"/>
          <w:sz w:val="28"/>
          <w:szCs w:val="28"/>
          <w:rtl w:val="true"/>
          <w:lang w:bidi="fa-IR"/>
        </w:rPr>
        <w:t>، و بسقوطه یسقط ما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ذکرنا فی خاتمة بحث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الإیجادی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خاصّة توجد بنفس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کحروف النداء و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العرف بعد سماع الإنشاء اللفظی ینتزع نفس البعث و حقیقته؛ و لو بإلغاء الخصوصیة، من غیر توجّه إلی الجزئیة و الکلّیة، و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إلی هذا الحدّ، من غیر توجّه إلی إیقاع الوجوب، و أنّه أمر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یحصل من القضیة بحسب فهم العرف ارتفاع سنخ الحکم من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الثبوت، و أمّا الکلام إثباتاً و أنّ القید هل هو راجع إلی الموضوع أو الحکم أو المتعلّق فلیس له میزان تامّ، بل یختلف باختلاف التراکیب و المقامات و المناسبات، فتذکّر</w:t>
      </w:r>
      <w:r>
        <w:rPr>
          <w:rFonts w:eastAsia="IRNazanin" w:cs="IRNazanin"/>
          <w:color w:val="111111"/>
          <w:sz w:val="28"/>
          <w:szCs w:val="28"/>
          <w:rtl w:val="true"/>
          <w:lang w:bidi="fa-IR"/>
        </w:rPr>
        <w:t>.</w:t>
      </w:r>
    </w:p>
    <w:p>
      <w:pPr>
        <w:pStyle w:val="Heading4"/>
        <w:numPr>
          <w:ilvl w:val="3"/>
          <w:numId w:val="1"/>
        </w:numPr>
        <w:rPr/>
      </w:pPr>
      <w:bookmarkStart w:id="201" w:name="__RefHeading___Toc3346366_3224264995"/>
      <w:bookmarkStart w:id="202" w:name="_Toc76"/>
      <w:bookmarkEnd w:id="201"/>
      <w:r>
        <w:rPr>
          <w:rtl w:val="true"/>
        </w:rPr>
        <w:t>المقام الثانی</w:t>
      </w:r>
      <w:r>
        <w:rPr>
          <w:rtl w:val="true"/>
        </w:rPr>
        <w:t xml:space="preserve">: </w:t>
      </w:r>
      <w:r>
        <w:rPr>
          <w:rtl w:val="true"/>
        </w:rPr>
        <w:t>فی أنّ الغایة داخلة فی المغیّی أو لا؟</w:t>
      </w:r>
      <w:bookmarkEnd w:id="202"/>
    </w:p>
    <w:p>
      <w:pPr>
        <w:pStyle w:val="BookText"/>
        <w:rPr/>
      </w:pPr>
      <w:r>
        <w:rPr>
          <w:rFonts w:ascii="Amiri" w:hAnsi="Amiri" w:eastAsia="Amiri" w:cs="Amiri"/>
          <w:color w:val="111111"/>
          <w:sz w:val="28"/>
          <w:sz w:val="28"/>
          <w:szCs w:val="28"/>
          <w:rtl w:val="true"/>
          <w:lang w:bidi="ar-SA"/>
        </w:rPr>
        <w:t xml:space="preserve">و محطّه ما إذا کان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أجزاء، کما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ذا امتداد،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بناءً علی أنّ المراد منه محلّ رفق العظمین ممّا له امتداد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عرفیة، و لیس المراد من الغایة هو انتهاء الأجسام حتّی یکون البحث عن أنّ غایات الأجسام داخلة فیها أو لا؛ لأنّ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فلسفیاً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شیخنا العلّامة من ابتناء المسألة علی امتناع الجزء الذی لا یتجزّی و عدمه، فالغایة داخلة علی الثانی دون الأوّل</w:t>
      </w:r>
      <w:r>
        <w:rPr>
          <w:rStyle w:val="FootnoteAnchor"/>
          <w:rtl w:val="true"/>
        </w:rPr>
        <w:footnoteReference w:id="181"/>
      </w:r>
      <w:r>
        <w:rPr>
          <w:rFonts w:ascii="IRNazanin" w:hAnsi="IRNazanin" w:eastAsia="IRNazanin"/>
          <w:color w:val="111111"/>
          <w:sz w:val="28"/>
          <w:sz w:val="28"/>
          <w:szCs w:val="28"/>
          <w:rtl w:val="true"/>
          <w:lang w:bidi="fa-IR"/>
        </w:rPr>
        <w:t>، لیس بوجیه؛ لعدم ارتباطه بالمسألة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ما ذکرنا من کون المدخول ذا أجزاء و امتداد؛ لأجل إخراج ما لیس قابلًا للتجزئة و الامتداد کالفصل المشترک فلا ینتج البحث نتیجة مطلوبة، لکن تعمیمه بالنسبة إلیه لا مانع منه؛ و إن لم یترتّب الثمرة إلّا علی بعض التقادیر، ککثیر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النزاع لیس بمختصّ بغایة الموضوع و المتعلّق، بل یجری فیما إذا کانت غایة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صرّح القائل بأنّ الغایة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للوجوب فلنا أن نبحث فی أنّ الوجوب هل ینقطع بانتهاء الیوم، أو یبقی إلی دخول مقدار من اللیل، أو إلی انقضائه؟</w:t>
      </w:r>
    </w:p>
    <w:p>
      <w:pPr>
        <w:pStyle w:val="BookText"/>
        <w:rPr/>
      </w:pPr>
      <w:r>
        <w:rPr>
          <w:rFonts w:ascii="Amiri" w:hAnsi="Amiri" w:eastAsia="Amiri" w:cs="Amiri"/>
          <w:color w:val="111111"/>
          <w:sz w:val="28"/>
          <w:sz w:val="28"/>
          <w:szCs w:val="28"/>
          <w:rtl w:val="true"/>
          <w:lang w:bidi="ar-SA"/>
        </w:rPr>
        <w:t xml:space="preserve">و أیضاً أنّ البحث فی المقام إنّما هو إذا کانت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للغایة، 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 اللَّه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کانت عاطفة، کما فی المثال الدائر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لیست الکلمتان فیهما مستعملة فی الغایة فهی خارجة عن محطّ البحث قطعاً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بعض محقّقی العصر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w:t>
      </w:r>
    </w:p>
    <w:p>
      <w:pPr>
        <w:pStyle w:val="BookText"/>
        <w:rPr/>
      </w:pPr>
      <w:r>
        <w:rPr>
          <w:rFonts w:ascii="IRNazanin" w:hAnsi="IRNazanin" w:eastAsia="IRNazanin"/>
          <w:color w:val="111111"/>
          <w:sz w:val="28"/>
          <w:sz w:val="28"/>
          <w:szCs w:val="28"/>
          <w:rtl w:val="true"/>
          <w:lang w:bidi="fa-IR"/>
        </w:rPr>
        <w:t xml:space="preserve">دخول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المغیّی فی مثال السمکة</w:t>
      </w:r>
      <w:r>
        <w:rPr>
          <w:rStyle w:val="FootnoteAnchor"/>
          <w:rtl w:val="true"/>
        </w:rPr>
        <w:footnoteReference w:id="183"/>
      </w:r>
      <w:r>
        <w:rPr>
          <w:rFonts w:ascii="IRNazanin" w:hAnsi="IRNazanin" w:eastAsia="IRNazanin"/>
          <w:color w:val="111111"/>
          <w:sz w:val="28"/>
          <w:sz w:val="28"/>
          <w:szCs w:val="28"/>
          <w:rtl w:val="true"/>
          <w:lang w:bidi="fa-IR"/>
        </w:rPr>
        <w:t>غیر صحیح، نشأ من الخلط بین الخافضة و العاطفة، و البحث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اختار شیخنا الاستاذ قدس سره دخولها فی المغیّی فیما إذا کانت قیداً للفعل،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دخولها فیما إذا کانت غایة للحکم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الدخول مطلقاً؛ لأنّ الکوفة لو کانت اسماً لذلک الموضع المحصور بسورها و جدرانها، و فرضنا أنّ المکلّف سار من البصرة منتهیاً سیره إلی جدرانها، من دون أن یدخل جزء من الکوفة یصدق علیه أنّه أتی بالمأمور به و امتثل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القرآن إلی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القراءة إلی الإسراء، و لم یقرء شیئاً من تلک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نظائره و 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فی انتهاء الغایة؛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البارحة حتّی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یفهم منه إلّا ما یفهم إذا أبدلته إلی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البارحة إلی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وَ اشْرَبُوا حَتَّی یَتَبَیَّنَ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استعمالها فی غیر الغایة کثیر، و لعلّه صار منشأً للاشتباه حتّی ادّعی بعضهم فیها الإجماع علی الدخول</w:t>
      </w:r>
      <w:r>
        <w:rPr>
          <w:rStyle w:val="FootnoteAnchor"/>
          <w:rtl w:val="true"/>
        </w:rPr>
        <w:footnoteReference w:id="186"/>
      </w:r>
      <w:bookmarkStart w:id="203" w:name="pg12907_206605"/>
    </w:p>
    <w:p>
      <w:pPr>
        <w:pStyle w:val="Heading3"/>
        <w:numPr>
          <w:ilvl w:val="2"/>
          <w:numId w:val="1"/>
        </w:numPr>
        <w:rPr/>
      </w:pPr>
      <w:bookmarkStart w:id="204" w:name="__RefHeading___Toc3346368_3224264995"/>
      <w:bookmarkStart w:id="205" w:name="_Toc77"/>
      <w:bookmarkEnd w:id="203"/>
      <w:bookmarkEnd w:id="204"/>
      <w:r>
        <w:rPr>
          <w:rtl w:val="true"/>
        </w:rPr>
        <w:t>الفصل الرابع فی مفهوم الاستثناء</w:t>
      </w:r>
      <w:bookmarkEnd w:id="205"/>
    </w:p>
    <w:p>
      <w:pPr>
        <w:pStyle w:val="BookText"/>
        <w:rPr/>
      </w:pPr>
      <w:r>
        <w:rPr>
          <w:rFonts w:ascii="IRNazanin" w:hAnsi="IRNazanin" w:eastAsia="IRNazanin"/>
          <w:color w:val="111111"/>
          <w:sz w:val="28"/>
          <w:sz w:val="28"/>
          <w:szCs w:val="28"/>
          <w:rtl w:val="true"/>
          <w:lang w:bidi="fa-IR"/>
        </w:rPr>
        <w:t>و من جملة ما یستفاد منه المفهوم الجملة المحفوفة بالاستثناء، و الکلام فیها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الاستثناء من النفی یدلّ علی الإثبات، و من الإثبات یدلّ علی النفی؟</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للتبادر فی اللغات التی نمارسها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حنیفة</w:t>
      </w:r>
      <w:r>
        <w:rPr>
          <w:rStyle w:val="FootnoteAnchor"/>
          <w:rtl w:val="true"/>
        </w:rPr>
        <w:footnoteReference w:id="187"/>
      </w:r>
      <w:r>
        <w:rPr>
          <w:rFonts w:ascii="IRNazanin" w:hAnsi="IRNazanin" w:eastAsia="IRNazanin"/>
          <w:color w:val="111111"/>
          <w:sz w:val="28"/>
          <w:sz w:val="28"/>
          <w:szCs w:val="28"/>
          <w:rtl w:val="true"/>
          <w:lang w:bidi="fa-IR"/>
        </w:rPr>
        <w:t>مستدّلًا بالأثر المشهور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r>
        <w:rPr>
          <w:rStyle w:val="FootnoteAnchor"/>
          <w:rtl w:val="true"/>
        </w:rPr>
        <w:footnoteReference w:id="18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علی تقدیر الدلالة یلزم أن یکون الصلاة المقرونة بها مع فقد سائر شرائطها صلاة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المتکلّم فی مقام بیان أنّ الفاتحة من أجزاء الصلاة؛ بحیث تنتفی بانتفائها، و لا تثبت إلّا بإثباتها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محقّق الصلاة هی نفسها وحدها أو هی بانضمام شرائط اخری فلیس بصدد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بصدد إفادة شرطیة الطهارة و جزئیة الفاتحة فی الصلاة لا الإخبار عن أنّ الصلاة تتحقّق عند وجودها دائماً، فهو بصدد إفادة الجزئیة لا بصدد الإخبار عن العقد السلبی و الإیجابی، و فی مثله لا یجری ما یجری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یستدلّ للمطلوب بقبول رسول اللَّه صلی الله علیه و آله و سلم إسلام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لولا دلالته علی إثبات الالوهیة للَّه لما کان مفیداً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فی صدر الإسلام لم یکونوا مشرکین فی ذات الواجب تعالی، بل کانوا معتقدین لوحدة ذاته، فقد کانوا یعبدون الأصنام لیقرّبوهم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فکلمة الإخلاص وردت لردّهم، فمعناه نفی استحقاق العبودیة عمّا سواه لا إثبات کونه 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المعبود،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غیره تعالی غیر مستحقّ للعبودیة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البارئ کان مفروغاً عنه عند عَبَدة الأصنام و الأوثان، و کان الغرض من عبادتهم لها لأجل کونها وسائط القرب من اللَّه تبارک و تعالی؛ فکلمة الإخلاص وردت لنفی معبودیة غیر اللَّه تعالی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الجواب عن الإشکال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الخبر المقدّر إمّا لفظ موجود أو ممکن؛ و علی الأوّل یدلّ الاستثناء علی حصر وجود الآلهة فی البارئ، و لا یدلّ علی نفی إمکان الغیر، و علی الثانی یدلّ علی إثبات</w:t>
      </w:r>
    </w:p>
    <w:p>
      <w:pPr>
        <w:pStyle w:val="BookText"/>
        <w:rPr/>
      </w:pPr>
      <w:r>
        <w:rPr>
          <w:rFonts w:ascii="IRNazanin" w:hAnsi="IRNazanin" w:eastAsia="IRNazanin"/>
          <w:color w:val="111111"/>
          <w:sz w:val="28"/>
          <w:sz w:val="28"/>
          <w:szCs w:val="28"/>
          <w:rtl w:val="true"/>
          <w:lang w:bidi="fa-IR"/>
        </w:rPr>
        <w:t>الإمکان لوجوده لا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کلمة الإخلاص سیقت لنفی ما یعتقده عبدة الأوثان من الشرک فی العبادة، لا لإثبات وجود الواجب أو وجوبه حتّی یرد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الأجوبة الفلسفیة و إن کانت صحیحة فی محلّها، لکنّها لبُعدها عن أذهان العامّة لا یمکن ابتناء قبوله علیها ممّا قصرت أفهام العامّة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الدلالة علی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ثابت بالتبادر و الارتکاز العرفی ممّا هو المعمول فی أمثال المقامات، فخروج فرد آخر مخالف للحصر، کما أنّه مخالف للعموم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زیداً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الکلام إلی هنا، لیلة الثلاثاء بعد ما مضی سبع و عشرون من الجمادی الاولی من شهور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صاحبها آلاف الثناء و التحیة</w:t>
      </w:r>
      <w:r>
        <w:rPr>
          <w:rFonts w:eastAsia="IRNazanin" w:cs="IRNazanin"/>
          <w:color w:val="111111"/>
          <w:sz w:val="28"/>
          <w:szCs w:val="28"/>
          <w:rtl w:val="true"/>
          <w:lang w:bidi="fa-IR"/>
        </w:rPr>
        <w:t>.</w:t>
      </w:r>
      <w:bookmarkStart w:id="206" w:name="pg12907_206609"/>
    </w:p>
    <w:p>
      <w:pPr>
        <w:pStyle w:val="Heading2"/>
        <w:numPr>
          <w:ilvl w:val="1"/>
          <w:numId w:val="1"/>
        </w:numPr>
        <w:rPr/>
      </w:pPr>
      <w:bookmarkStart w:id="207" w:name="__RefHeading___Toc3346370_3224264995"/>
      <w:bookmarkStart w:id="208" w:name="_Toc78"/>
      <w:bookmarkEnd w:id="206"/>
      <w:bookmarkEnd w:id="207"/>
      <w:r>
        <w:rPr>
          <w:rtl w:val="true"/>
        </w:rPr>
        <w:t>المقصد الرابع فی العامّ و الخاصّ</w:t>
      </w:r>
      <w:bookmarkEnd w:id="208"/>
    </w:p>
    <w:p>
      <w:pPr>
        <w:pStyle w:val="Heading3"/>
        <w:numPr>
          <w:ilvl w:val="2"/>
          <w:numId w:val="1"/>
        </w:numPr>
        <w:rPr/>
      </w:pPr>
      <w:bookmarkStart w:id="209" w:name="__RefHeading___Toc3346372_3224264995"/>
      <w:bookmarkStart w:id="210" w:name="_Toc79"/>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 فیه فصول،</w:t>
      </w:r>
    </w:p>
    <w:p>
      <w:pPr>
        <w:pStyle w:val="Heading3"/>
        <w:numPr>
          <w:ilvl w:val="2"/>
          <w:numId w:val="1"/>
        </w:numPr>
        <w:rPr/>
      </w:pPr>
      <w:bookmarkStart w:id="211" w:name="__RefHeading___Toc3346374_3224264995"/>
      <w:bookmarkStart w:id="212" w:name="_Toc80"/>
      <w:bookmarkEnd w:id="211"/>
      <w:r>
        <w:rPr>
          <w:rtl w:val="true"/>
        </w:rPr>
        <w:t>و قبل الخوض فیها نقدّم البحث عن امور</w:t>
      </w:r>
      <w:r>
        <w:rPr>
          <w:rtl w:val="true"/>
        </w:rPr>
        <w:t>:</w:t>
      </w:r>
      <w:bookmarkEnd w:id="2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3346376_3224264995"/>
      <w:bookmarkStart w:id="214" w:name="_Toc81"/>
      <w:bookmarkEnd w:id="213"/>
      <w:r>
        <w:rPr>
          <w:rtl w:val="true"/>
        </w:rPr>
        <w:t>اشارة</w:t>
      </w:r>
      <w:bookmarkStart w:id="215" w:name="pg12907_206611"/>
      <w:bookmarkEnd w:id="214"/>
    </w:p>
    <w:p>
      <w:pPr>
        <w:pStyle w:val="Heading4"/>
        <w:numPr>
          <w:ilvl w:val="3"/>
          <w:numId w:val="1"/>
        </w:numPr>
        <w:rPr/>
      </w:pPr>
      <w:bookmarkStart w:id="216" w:name="__RefHeading___Toc3346378_3224264995"/>
      <w:bookmarkStart w:id="217" w:name="_Toc82"/>
      <w:bookmarkEnd w:id="215"/>
      <w:bookmarkEnd w:id="216"/>
      <w:r>
        <w:rPr>
          <w:rtl w:val="true"/>
        </w:rPr>
        <w:t>الأمر الأوّل فی تعریف العامّ</w:t>
      </w:r>
      <w:bookmarkEnd w:id="217"/>
    </w:p>
    <w:p>
      <w:pPr>
        <w:pStyle w:val="BookText"/>
        <w:rPr/>
      </w:pPr>
      <w:r>
        <w:rPr>
          <w:rFonts w:ascii="IRNazanin" w:hAnsi="IRNazanin" w:eastAsia="IRNazanin"/>
          <w:color w:val="111111"/>
          <w:sz w:val="28"/>
          <w:sz w:val="28"/>
          <w:szCs w:val="28"/>
          <w:rtl w:val="true"/>
          <w:lang w:bidi="fa-IR"/>
        </w:rPr>
        <w:t>أنّ القوم عرّفه بتعاریف عدیدة، و نوقشت عکساً و طرداً، و لکن لا طائل فی البحث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لننبّه علی أمر یتّضح فی خلاله حال العامّ و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علی خلط دائر بین کلماتهم؛ حیث قسّموا العموم إلی وضعی و إطلاقی، مع أنّ باب الإطلاق غیر مربوط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الصرفة کما لا یوجب تصوّرها إلّا الانتقال إلی ذاتها اللابشرط، من دون إراءة مشخِّصاتها و قیودها الصنفیة، کذلک اللفظ الموضوع مقابل هذه الطبیعة لا یدلّ إلّا علی ذات الماهیة المجرّدة من کلّ قید؛ لأنّ الحکایة الاعتباریة الوضعیة دائر مدار الوضع سعة و ضیقاً، و المفروض أنّ الوضع لم ینحدر إلّا علی ذات الطبیعة بلا انضمام قیوده و عوارضه، فلا محالة ینحصر دلالته علیها فقط، و لا یحکی و لا یکشف عن الأفراد و عوارضها و لوازمها أصلًا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نفس الطبیعة لا یمکن أن تکون مرآة و کاشفة عن الأفراد؛ سواء کان التشخّص بالوجود و العوارض أماراته، أو کان بالعوارض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نفس الطبیعة تخالف الوجود و التشخّص و سائر عوارضها؛ ذهنیة کانت</w:t>
      </w:r>
    </w:p>
    <w:p>
      <w:pPr>
        <w:pStyle w:val="BookText"/>
        <w:rPr/>
      </w:pPr>
      <w:r>
        <w:rPr>
          <w:rFonts w:ascii="IRNazanin" w:hAnsi="IRNazanin" w:eastAsia="IRNazanin"/>
          <w:color w:val="111111"/>
          <w:sz w:val="28"/>
          <w:sz w:val="28"/>
          <w:szCs w:val="28"/>
          <w:rtl w:val="true"/>
          <w:lang w:bidi="fa-IR"/>
        </w:rPr>
        <w:t>أو خارجیة، و لا یمکن کاشفیة الشی‌ء عمّا یخالفه، فالماهیة لا تکون مرآة للوجود الخارجی و العوارض الحافّة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الألفاظ الموضوعة للطبائع بلا شرط، کأسماء الأجناس و غیرها لا تکون حاکیة إلّا عن نفس الطبائع الموضوعة لها، فالإنسان لا یدلّ إلّا علی الطبیعة بلا شرط، و خصوصیات المصادیق لا تکون محکیة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الطبیعة کما یمکن أن تلاحظ مهملة جامدة فهکذا یمکن أن تلاحظ ساریة فی أفرادها دارجة فی مصادیقها، کما هو الحال فی القضیة الحقیقیة؛ فهی علی فرض السریان عین کلّ فرد فی الخارج، و متّحدة معه فی وعائه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فتصوّر هذه عین تصوّر ذاک؛ لأنّ المفروض أنّ الطبیعة لوحظت لا بما هی هی، بل بما هی موجودة فی الخارج و أنّها عین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من العجب، و هو خلط بین الانتقال و الحکایة؛ إذ مجرّد الاتّحاد لا یوجب الحکایة و المرآتیة، و إلّا کانت الأعراض حاکیة عن جواهرها؛ لأنّ وجود العرض فی نفسه عین وجوده لموضوعه، و المتّحدات فی الخارج حاکیة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عالم اللفظ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طبیعة منحلّة إلی جنسه و فصله عند التحلیل لا غیر، فلنفس المفهوم ضیق ذاتی لا یکشف عن العوارض و الخصوصیات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وضع لفظ لتلک الطبیعة فهو لا یمکن أن یحکی إلّا عمّا وضع بإزائه لا غیر، و اتّحاد الإنسان خارجاً مع الأفراد لا یقتضی حکایتها؛ لأنّ مقام الدلالة التابعة للوضع غیر الاتّحاد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الإطلاق إنّما یتقوّم بوقوع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بلا قید، و أمّا العموم فهو یتقوّم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نفس الطبیعة، و ثانیهما ما یدلّ علی العموم و الشمول،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وضعت للکثرات أو تستفاد منه الکثرة لجهة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اضیفت هذه المذکورات إلی الطبائع أو دخل بها و صارتا ککلمةٍ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تستفاد منهما الکثرة بتعدّد الدالّ و المدلول، فإذا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الطبیعة الصرفة، من دون أن تکون حاکیة عن الکثرة و الأفراد، أو تکون الطبیعة المحکیة به مرآة لها،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نفس الکثرة و التعدّد، و إضافتها إلیها تدلّ علی أنّ هذه الکثرة هو کثرة الإنسان لا کثرة طبیعة اخری؛ و هی الأفراد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 علیه العامّ المجموعی أو البدلی؛ إذ کلّ ذلک إنّما یستفاد من دوالّ اخر غیر ما یدلّ علی الطبیعة،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ذکر منه فی بحث الواجب المشروط</w:t>
      </w:r>
      <w:r>
        <w:rPr>
          <w:rStyle w:val="FootnoteAnchor"/>
          <w:rtl w:val="true"/>
        </w:rPr>
        <w:footnoteReference w:id="190"/>
      </w:r>
      <w:r>
        <w:rPr>
          <w:rFonts w:ascii="IRNazanin" w:hAnsi="IRNazanin" w:eastAsia="IRNazanin"/>
          <w:color w:val="111111"/>
          <w:sz w:val="28"/>
          <w:sz w:val="28"/>
          <w:szCs w:val="28"/>
          <w:rtl w:val="true"/>
          <w:lang w:bidi="fa-IR"/>
        </w:rPr>
        <w:t>، و یأتی إن شاء اللَّه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أمران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الإطلاق غیر مربوط بباب العموم، و أنّه لا جامع بینهما حتّی نلتمس فی وجه الافتراق؛ إذ الغایة من إثبات الإطلاق إحراز کون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للحکم من غیر قید، و أمّا الاستغراق و البدل و نحوهما فلا یمکن استفادتها من الإطلاق؛ إذ الإطلاق لا یتعرّض للکثرة حتّی یبحث عن کیفیتها، و أمّا العموم فهو المفید للکثرة و کیفیتها</w:t>
      </w:r>
      <w:r>
        <w:rPr>
          <w:rFonts w:eastAsia="IRNazanin" w:cs="IRNazanin"/>
          <w:color w:val="111111"/>
          <w:sz w:val="28"/>
          <w:szCs w:val="28"/>
          <w:rtl w:val="true"/>
          <w:lang w:bidi="fa-IR"/>
        </w:rPr>
        <w:t>.</w:t>
      </w:r>
      <w:bookmarkStart w:id="218" w:name="pg12907_206614"/>
    </w:p>
    <w:p>
      <w:pPr>
        <w:pStyle w:val="BookText"/>
        <w:rPr/>
      </w:pPr>
      <w:bookmarkEnd w:id="218"/>
      <w:r>
        <w:rPr>
          <w:rFonts w:ascii="IRNazanin" w:hAnsi="IRNazanin" w:eastAsia="IRNazanin"/>
          <w:color w:val="111111"/>
          <w:sz w:val="28"/>
          <w:sz w:val="28"/>
          <w:szCs w:val="28"/>
          <w:rtl w:val="true"/>
          <w:lang w:bidi="fa-IR"/>
        </w:rPr>
        <w:t>و علی هذا یصحّ أن یعرّف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دلّ علی تمام مصادیق مدخوله ممّا یصحّ أن ینطبق علیه</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تعریفه بأنّه ما دلّ علی شمول مفهوم لجمیع ما یصلح أن ینطبق علیه فلا یخلو من مسامحة؛ ضرورة أنّ الکلّ لا یدلّ علی شمول الإنسان لجمیع أفراده، و الخطب بعد سهل</w:t>
      </w:r>
      <w:r>
        <w:rPr>
          <w:rFonts w:eastAsia="IRNazanin" w:cs="IRNazanin"/>
          <w:color w:val="111111"/>
          <w:sz w:val="28"/>
          <w:szCs w:val="28"/>
          <w:rtl w:val="true"/>
          <w:lang w:bidi="fa-IR"/>
        </w:rPr>
        <w:t>.</w:t>
      </w:r>
    </w:p>
    <w:p>
      <w:pPr>
        <w:pStyle w:val="Heading4"/>
        <w:numPr>
          <w:ilvl w:val="3"/>
          <w:numId w:val="1"/>
        </w:numPr>
        <w:rPr/>
      </w:pPr>
      <w:bookmarkStart w:id="219" w:name="__RefHeading___Toc3346380_3224264995"/>
      <w:bookmarkStart w:id="220" w:name="_Toc83"/>
      <w:bookmarkEnd w:id="219"/>
      <w:r>
        <w:rPr>
          <w:rtl w:val="true"/>
        </w:rPr>
        <w:t>الأمر الثانی فی الفرق بین المطلق و العامّ</w:t>
      </w:r>
      <w:bookmarkEnd w:id="220"/>
    </w:p>
    <w:p>
      <w:pPr>
        <w:pStyle w:val="BookText"/>
        <w:rPr/>
      </w:pPr>
      <w:r>
        <w:rPr>
          <w:rFonts w:ascii="IRNazanin" w:hAnsi="IRNazanin" w:eastAsia="IRNazanin"/>
          <w:color w:val="111111"/>
          <w:sz w:val="28"/>
          <w:sz w:val="28"/>
          <w:szCs w:val="28"/>
          <w:rtl w:val="true"/>
          <w:lang w:bidi="fa-IR"/>
        </w:rPr>
        <w:t>إذا أمعنت النظر فیما ذکرناه من أنّه لا جامع قریب بین باب الإطلاق و العموم یظهر النظر فیما أفاده شیخنا العلّامة</w:t>
      </w:r>
      <w:r>
        <w:rPr>
          <w:rStyle w:val="FootnoteAnchor"/>
          <w:rtl w:val="true"/>
        </w:rPr>
        <w:footnoteReference w:id="192"/>
      </w:r>
      <w:r>
        <w:rPr>
          <w:rFonts w:ascii="IRNazanin" w:hAnsi="IRNazanin" w:eastAsia="IRNazanin"/>
          <w:color w:val="111111"/>
          <w:sz w:val="28"/>
          <w:sz w:val="28"/>
          <w:szCs w:val="28"/>
          <w:rtl w:val="true"/>
          <w:lang w:bidi="fa-IR"/>
        </w:rPr>
        <w:t xml:space="preserve">و بعض الأعاظم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العموم قد یستفاد من دلیل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یستفاد من مقدّمات الحکمة، و المقصود بالبحث فی هذا الباب هو الأوّل، و المتکفّل للثانی هو مبحث المطلق و المقیّد</w:t>
      </w:r>
      <w:r>
        <w:rPr>
          <w:rStyle w:val="FootnoteAnchor"/>
          <w:rtl w:val="true"/>
        </w:rPr>
        <w:footnoteReference w:id="193"/>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صریح فی أنّ العامّ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یسمّی عامّاً و فی مقابله الخاصّ و یبحث عنه فی هذا المقام، و قسم یسمّی مطلقاً و فی مقابله المقیّد و یبحث عنه فی باب المطلق و المقیّد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أفاداه لا یخلو من غرابة؛ لأنّ ملاک العامّ غیر ملاک المطلق،</w:t>
      </w:r>
    </w:p>
    <w:p>
      <w:pPr>
        <w:pStyle w:val="BookText"/>
        <w:rPr/>
      </w:pPr>
      <w:r>
        <w:rPr>
          <w:rFonts w:ascii="IRNazanin" w:hAnsi="IRNazanin" w:eastAsia="IRNazanin"/>
          <w:color w:val="111111"/>
          <w:sz w:val="28"/>
          <w:sz w:val="28"/>
          <w:szCs w:val="28"/>
          <w:rtl w:val="true"/>
          <w:lang w:bidi="fa-IR"/>
        </w:rPr>
        <w:t>و المستفاد من الأوّل غیر المستفاد من الآخر؛ إذ حقیقة العامّ و کیفیة دلالته قد عرفت بما یسعه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 فهو وقوع الطبیعة تمام الموضوع للحکم باعتبار کون المقنّن عاقلًا غیر ناقض لغرضه فی مقام إعطاء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الطبیعة موضوعاً للحکم بصرافتها و إطلاقها، من دون أن یقیّد بوقت دون وقت أو بأمرٍ دون أمر، فموضوع الحکم فی العامّ هو أفراد الطبیعة و فی المطلق هو نفسها بلا قید، و لم تکن الأفراد بما هی موضوعاً للحکم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فاستوضح الفرق بین العامّ و المطلق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فإنّ مفاد الأوّل هو التصریح بوجوب الوفاء بکلّ مصداق من العقد، فمصبّ الحکم هو الأفراد بآلیة الجمع المحلّی بالألف و اللام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الإطلاق و تمامیة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النفوذ و الحلّیة لنفس طبیعة البیع، من غیر أن یکون للموضوع کثرة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استکشاف صحّة هذا الفرد الخارجی من البیع فإنّما هو لأجل انطباق ما هو تمام الموضوع للحلّیة علیه، من دون أن یتعرّض نفس الدلیل للکثرة، و سیوافیک مزید بیان لذلک عن قریب بإذنه تعالی</w:t>
      </w:r>
      <w:r>
        <w:rPr>
          <w:rFonts w:eastAsia="IRNazanin" w:cs="IRNazanin"/>
          <w:color w:val="111111"/>
          <w:sz w:val="28"/>
          <w:szCs w:val="28"/>
          <w:rtl w:val="true"/>
          <w:lang w:bidi="fa-IR"/>
        </w:rPr>
        <w:t>.</w:t>
      </w:r>
      <w:bookmarkStart w:id="221" w:name="pg12907_206616"/>
    </w:p>
    <w:p>
      <w:pPr>
        <w:pStyle w:val="Heading4"/>
        <w:numPr>
          <w:ilvl w:val="3"/>
          <w:numId w:val="1"/>
        </w:numPr>
        <w:rPr/>
      </w:pPr>
      <w:bookmarkStart w:id="222" w:name="__RefHeading___Toc3346382_3224264995"/>
      <w:bookmarkStart w:id="223" w:name="_Toc84"/>
      <w:bookmarkEnd w:id="221"/>
      <w:bookmarkEnd w:id="222"/>
      <w:r>
        <w:rPr>
          <w:rtl w:val="true"/>
        </w:rPr>
        <w:t>الأمر الثالث فی عدم احتیاج العامّ إلی مقدّمات الحکمة</w:t>
      </w:r>
      <w:bookmarkEnd w:id="223"/>
    </w:p>
    <w:p>
      <w:pPr>
        <w:pStyle w:val="BookText"/>
        <w:rPr/>
      </w:pPr>
      <w:r>
        <w:rPr>
          <w:rFonts w:ascii="IRNazanin" w:hAnsi="IRNazanin" w:eastAsia="IRNazanin"/>
          <w:color w:val="111111"/>
          <w:sz w:val="28"/>
          <w:sz w:val="28"/>
          <w:szCs w:val="28"/>
          <w:rtl w:val="true"/>
          <w:lang w:bidi="fa-IR"/>
        </w:rPr>
        <w:t>ربّما یقال إنّ استفادة العموم فی جمیع المقامات یتوقّف علی إجراء مقدّمات الحکمة؛ لأنّ الألفاظ المفیدة للعموم تابعة لمدخولها، فإذا اخذ المدخول مطلقاً یدلّ علی تمام أفراده بنحو الإطلاق، و إذا اخذ مهملًا أو مقیّداً یدلّ علی استیعابه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إذ هی موضوعة لنفی الطبیعة؛ سواء کان مطلقة أو مهملة، و إحراز کونها نافیة بصرافتها یحتاج إلی إجراء مقدّمات الحکمة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متین جدّاً لو ارید من إجراء المقدّمات إثبات کون کلّ فرد موضوعاً للحکم؛ لأنّ الاحتیاج إلی الإطلاق و مقدّماته فیما إذا لم یکن فی الکلام دلالة لفظیة علی أنّ کلّ واحد موضوع للحکم حتّی یثبت الإطلاق کون کلّ فرد موضوعاً علی مبنی القوم فی باب الإطلاق، و أمّا إذا توصّل إلیه المتکلّم بالأدوات الموضوعة له فلا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الإطلاق هو الطبیعة، و إذا جرت مقدّماته یستکشف أنّ تمام الموضوع هی نفسها دون قید معها، و موضوع العامّ هو أفراد الطبیعة لا نفسها، کما عرفت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یکون جریان المقدّمات فی استفادة العموم لغواً عاطلًا؛ لأنّ المقدّمات</w:t>
      </w:r>
    </w:p>
    <w:p>
      <w:pPr>
        <w:pStyle w:val="BookText"/>
        <w:rPr/>
      </w:pPr>
      <w:r>
        <w:rPr>
          <w:rFonts w:ascii="IRNazanin" w:hAnsi="IRNazanin" w:eastAsia="IRNazanin"/>
          <w:color w:val="111111"/>
          <w:sz w:val="28"/>
          <w:sz w:val="28"/>
          <w:szCs w:val="28"/>
          <w:rtl w:val="true"/>
          <w:lang w:bidi="fa-IR"/>
        </w:rPr>
        <w:t xml:space="preserve">تجری بعد تعلّق الحکم، و المفروض أنّ الحکم متعلّق بالأفراد؛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یدلّ علی استغراق المدخول، فحینئذٍ هذه الألفاظ دالّة علی الاستغراق بحکم أوضاعها؛ جرت المقدّمات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العموم موضوعة للکثرة لغة، و إضافتها إلی الطبیعة تفید الاستغراق، و تعلّق الحکم متأخّر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جریان المقدّمات متأخّر برتبتین، فلا یعقل توقّفه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الغرض من إجرائها هو دفع احتمال دخالة بعض حالات الفرد و أوقاته فالحقّ أنّه یحتاج فی دفعه إلی التمسّک به، و سیوافیک أنّ مصبّ الإطلاق تارة یکون نفس الطبیعة باعتبار قیودها و صنوفها، و اخری یکون الفرد الخارجی باعتبار حالاته، فانتظر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ألفاظ العموم علی نفس الطبیعة المهملة یدلّ علی استغراق أفرادها، و معه لا حاجة فی جانب الأفراد إلی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لما ذکرنا قضاء العرف بذلک، و أنت إذا تفحّصت جمیع أبواب الفقه و فنون المحاورات لا تجد مورداً یتوقّف فیه العرف فی استفادة العموم من القضایا المسوّرة بألفاظه من جهة عدم کون المتکلّم فی مقام البیان، کما یتوقّفون فی المطلقات إلی ما شاء 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ممّن یری أنّ الإطلاق بعد جریان المقدّمات یفید العموم، و معه ذهب إلی لزوم جریانها فی العموم</w:t>
      </w:r>
      <w:r>
        <w:rPr>
          <w:rStyle w:val="FootnoteAnchor"/>
          <w:rtl w:val="true"/>
        </w:rPr>
        <w:footnoteReference w:id="198"/>
      </w:r>
      <w:r>
        <w:rPr>
          <w:rFonts w:ascii="IRNazanin" w:hAnsi="IRNazanin" w:eastAsia="IRNazanin"/>
          <w:color w:val="111111"/>
          <w:sz w:val="28"/>
          <w:sz w:val="28"/>
          <w:szCs w:val="28"/>
          <w:rtl w:val="true"/>
          <w:lang w:bidi="fa-IR"/>
        </w:rPr>
        <w:t>، مع أنّ لازمه لغویة الإتیان بألفاظ العموم</w:t>
      </w:r>
      <w:r>
        <w:rPr>
          <w:rFonts w:eastAsia="IRNazanin" w:cs="IRNazanin"/>
          <w:color w:val="111111"/>
          <w:sz w:val="28"/>
          <w:szCs w:val="28"/>
          <w:rtl w:val="true"/>
          <w:lang w:bidi="fa-IR"/>
        </w:rPr>
        <w:t>.</w:t>
      </w:r>
      <w:bookmarkStart w:id="224" w:name="pg12907_206618"/>
    </w:p>
    <w:p>
      <w:pPr>
        <w:pStyle w:val="Heading4"/>
        <w:numPr>
          <w:ilvl w:val="3"/>
          <w:numId w:val="1"/>
        </w:numPr>
        <w:rPr/>
      </w:pPr>
      <w:bookmarkStart w:id="225" w:name="__RefHeading___Toc3346384_3224264995"/>
      <w:bookmarkStart w:id="226" w:name="_Toc85"/>
      <w:bookmarkEnd w:id="224"/>
      <w:bookmarkEnd w:id="225"/>
      <w:r>
        <w:rPr>
          <w:rtl w:val="true"/>
        </w:rPr>
        <w:t>الأمر الرابع فی أقسام العموم</w:t>
      </w:r>
      <w:bookmarkEnd w:id="226"/>
    </w:p>
    <w:p>
      <w:pPr>
        <w:pStyle w:val="Heading5"/>
        <w:numPr>
          <w:ilvl w:val="4"/>
          <w:numId w:val="1"/>
        </w:numPr>
        <w:rPr/>
      </w:pPr>
      <w:bookmarkStart w:id="227" w:name="__RefHeading___Toc3346386_3224264995"/>
      <w:bookmarkStart w:id="228" w:name="_Toc86"/>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ینقسم العموم إلی العموم الاستغراقی و المجموعی و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فلا یأتی فیه هذا التقسیم، و لا یمکن إثبات واحد منها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انقسام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اللفظ الدالّ علی الکثرة و الشمول إن دلّ علی مصادیق الطبیعة و أفرادها عرضاً؛ بحیث یکون کلّ واحد محطّاً للحکم لا واحد منها لا بعینه، و لا یکون الأفراد ملحوظة بنعت الاجتماع فهو العامّ الاستغراقی،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 یدلّ علی تمام أفراد مدخولها بنحو کلّ واحد واحد، لا باعتبار اجتماعها و صیرورتها موضوعاً واحداً کما فی العامّ المجموعی، و لا باعتبار کون شموله علیها بنحو البدلیة کما فی العامّ البدلی، بل بنحو العرضیة فی شموله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اعتبرت مع شموله لها بنحو العرضیة صفة الوحدة و الاجتماع فی الأفراد فتعرّضها الوحدة الاعتباریة؛ بحیث یصیر الأفراد بمنزلة الأجزاء حکماً، فلا محالة یصیر العامّ مجموعیاً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اللفظ المفید له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اختصّ هذا اللفظ به ارتکازاً،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ثبوت الحکم علی الأفراد بنحو العرضیة مع اعتبار صفة الإجماع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تعلّق الحکم بها لا بنحو العرضیة فی الشمول، بل بنحو البدلیة فهو عامّ بدلی، و اللفظ المفید له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استفهامیة کانت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فالاستفهامیة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یأتینی بعرشها</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و غیر الاستفهامیة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 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من أیّ طریق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الکلمة بوضعها اللفظی یدلّ علی العموم البدلی، و قد عرفت أنّ العموم عن مدالیل الألفاظ، هذا کلّه راجع إلی انقسام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انقسام الإطلاق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من أن یخفی؛ لما عرفت أنّ غایة ما یثبته الإطلاق کون ما اخذ موضوعاً تمام الموضوع فقط</w:t>
      </w:r>
      <w:r>
        <w:rPr>
          <w:rStyle w:val="FootnoteAnchor"/>
          <w:rtl w:val="true"/>
        </w:rPr>
        <w:footnoteReference w:id="202"/>
      </w:r>
      <w:r>
        <w:rPr>
          <w:rFonts w:ascii="IRNazanin" w:hAnsi="IRNazanin" w:eastAsia="IRNazanin"/>
          <w:color w:val="111111"/>
          <w:sz w:val="28"/>
          <w:sz w:val="28"/>
          <w:szCs w:val="28"/>
          <w:rtl w:val="true"/>
          <w:lang w:bidi="fa-IR"/>
        </w:rPr>
        <w:t>، و الحاکم بذلک هو العقل، و أمّا کون الموضوع هو الطبیعة أو الأفراد، و أنّ تعلّق الحکم هل هو بنحو الاستغراق أو البدلیة أو غیرهما فلا سبیل له إلی إثبات واحد من هذه المطالب من الإطلاق، بل لا بدّ فی استفادة ذلک من التوصّل بالألفاظ الموضوعة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کثیر من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خلطوا بین البابین، 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مقدّمات الحکمة فی المطلقات تختلف باختلاف المقامات؛ فإنّها تارة یفید العموم الاستغراقی و اخری العموم البدلی</w:t>
      </w:r>
      <w:r>
        <w:rPr>
          <w:rStyle w:val="FootnoteAnchor"/>
          <w:rtl w:val="true"/>
        </w:rPr>
        <w:footnoteReference w:id="2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نسج علی منواله بعض أهل التحقیق،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الامتیاز بین البدلی و غیره بلحاظ خصوصیة مدخوله؛ من کونه نکرة أو جنساً؛ فإنّ فی النکرة</w:t>
      </w:r>
    </w:p>
    <w:p>
      <w:pPr>
        <w:pStyle w:val="BookText"/>
        <w:rPr/>
      </w:pPr>
      <w:r>
        <w:rPr>
          <w:rFonts w:ascii="IRNazanin" w:hAnsi="IRNazanin" w:eastAsia="IRNazanin"/>
          <w:color w:val="111111"/>
          <w:sz w:val="28"/>
          <w:sz w:val="28"/>
          <w:szCs w:val="28"/>
          <w:rtl w:val="true"/>
          <w:lang w:bidi="fa-IR"/>
        </w:rPr>
        <w:t>اعتبرت جهة البدلیة دون الجنس</w:t>
      </w:r>
      <w:r>
        <w:rPr>
          <w:rStyle w:val="FootnoteAnchor"/>
          <w:rtl w:val="true"/>
        </w:rPr>
        <w:footnoteReference w:id="2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الخلط هو ما ربّما یتراءی بین الکلمات أنّ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العموم، 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البدلی، و لکنّک قد عرفت أنّ استفادة الاستغراق بمعنی نفوذ کلّ بیع بالنتیجة من الأوّل لیس باعتبار دلالة اللفظ علیه و لا الإطلاق، بل لمّا کان تمام الموضوع هو طبیعة البیع ببرکة الإطلاق، و کان العقل و العقلاء یرون أنّ ما أخذه موضوعاً موجود فی هذا و ذاک فلا محالة یحکمون بنفوذ هذا و ذاک، فأین هذا من دلالة الإطلاق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استفادة البدلیة من النکرة،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تدلّ بمادّتها علی نفس الطبیعة بلا شرط، و تنوین التنکیر یدلّ علی الوحدة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بتعدّد الدالّ علی واحد غیر معیّن من الطبیعة، و لیس فیه دلالة علی البدلیة بلا ریب؛ إذ البدلیة غیر کونه دالًّا علی واحد غیر معیّن؛ إذ هی عبارة عن جعل الحکم علی الأفراد لا بنحو العرضیة بل بنحو التخییر و البدلیة فیها، کما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النکرة فلیست فیها دلالة علی هذا، و إنّما یحکم العقل بتخییر المکلّف بین الإتیان بأیّ فرد شاء فی مورد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عتق رقبة واحدة، من غیر دلالة علی التبادل؛ و لذا یکون التخییر عقلیاً،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أیّة رقبة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التخییر فیه شرعی مستفاد من اللفظ</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مقدّمات الحکمة شی‌ء ممّا ذکر، سوی کون ما وقع تحت دائرة الحکم تمام الموضوع له، و هذا معنی واحد فی جمیع الموارد</w:t>
      </w:r>
      <w:r>
        <w:rPr>
          <w:rFonts w:eastAsia="IRNazanin" w:cs="IRNazanin"/>
          <w:color w:val="111111"/>
          <w:sz w:val="28"/>
          <w:szCs w:val="28"/>
          <w:rtl w:val="true"/>
          <w:lang w:bidi="fa-IR"/>
        </w:rPr>
        <w:t>.</w:t>
      </w:r>
      <w:bookmarkStart w:id="229" w:name="pg12907_206621"/>
    </w:p>
    <w:p>
      <w:pPr>
        <w:pStyle w:val="BookText"/>
        <w:rPr/>
      </w:pPr>
      <w:bookmarkEnd w:id="229"/>
      <w:r>
        <w:rPr>
          <w:rFonts w:ascii="IRNazanin" w:hAnsi="IRNazanin" w:eastAsia="IRNazanin"/>
          <w:color w:val="111111"/>
          <w:sz w:val="28"/>
          <w:sz w:val="28"/>
          <w:szCs w:val="28"/>
          <w:rtl w:val="true"/>
          <w:lang w:bidi="fa-IR"/>
        </w:rPr>
        <w:t>نعم حکم العقل و العقلاء فیها مختلفة، و هو غیر مربوط بباب الألفاظ و العموم، و لا بباب الإطلاق</w:t>
      </w:r>
      <w:r>
        <w:rPr>
          <w:rFonts w:eastAsia="IRNazanin" w:cs="IRNazanin"/>
          <w:color w:val="111111"/>
          <w:sz w:val="28"/>
          <w:szCs w:val="28"/>
          <w:rtl w:val="true"/>
          <w:lang w:bidi="fa-IR"/>
        </w:rPr>
        <w:t>.</w:t>
      </w:r>
    </w:p>
    <w:p>
      <w:pPr>
        <w:pStyle w:val="Heading5"/>
        <w:numPr>
          <w:ilvl w:val="4"/>
          <w:numId w:val="1"/>
        </w:numPr>
        <w:rPr/>
      </w:pPr>
      <w:bookmarkStart w:id="230" w:name="__RefHeading___Toc3346388_3224264995"/>
      <w:bookmarkStart w:id="231" w:name="_Toc87"/>
      <w:bookmarkEnd w:id="230"/>
      <w:r>
        <w:rPr>
          <w:rtl w:val="true"/>
        </w:rPr>
        <w:t>تنبیه</w:t>
      </w:r>
      <w:r>
        <w:rPr>
          <w:rtl w:val="true"/>
        </w:rPr>
        <w:t xml:space="preserve">: </w:t>
      </w:r>
      <w:r>
        <w:rPr>
          <w:rtl w:val="true"/>
        </w:rPr>
        <w:t>فی نقد کلام المحقّق الخراسانی فی وجه انقسام العامّ</w:t>
      </w:r>
      <w:bookmarkEnd w:id="231"/>
    </w:p>
    <w:p>
      <w:pPr>
        <w:pStyle w:val="BookText"/>
        <w:rPr/>
      </w:pPr>
      <w:r>
        <w:rPr>
          <w:rFonts w:ascii="IRNazanin" w:hAnsi="IRNazanin" w:eastAsia="IRNazanin"/>
          <w:color w:val="111111"/>
          <w:sz w:val="28"/>
          <w:sz w:val="28"/>
          <w:szCs w:val="28"/>
          <w:rtl w:val="true"/>
          <w:lang w:bidi="fa-IR"/>
        </w:rPr>
        <w:t>یظهر من المحقّق الخراسانی</w:t>
      </w:r>
      <w:r>
        <w:rPr>
          <w:rStyle w:val="FootnoteAnchor"/>
          <w:rtl w:val="true"/>
        </w:rPr>
        <w:footnoteReference w:id="205"/>
      </w:r>
      <w:r>
        <w:rPr>
          <w:rFonts w:ascii="IRNazanin" w:hAnsi="IRNazanin" w:eastAsia="IRNazanin"/>
          <w:color w:val="111111"/>
          <w:sz w:val="28"/>
          <w:sz w:val="28"/>
          <w:szCs w:val="28"/>
          <w:rtl w:val="true"/>
          <w:lang w:bidi="fa-IR"/>
        </w:rPr>
        <w:t>و تبعه بعضهم</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انقسام العموم إلی الأقسام المذکورة إنّما هو بلحاظ تعلّق الحکم بموضوعاتها، و أنّه مع قطع النظر عن هذا التعلّق لا واقعیة للتقسیم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خلافه؛ لما عرفت من أنّ لکلّ من الثلاثة ألفاظاً مخصوصة قد وضعت لإفادتها بنحو الدلالة التصوّریة،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یدلّان علی استغراق أفراد مدخولهما قبل تعلّق الحکم، و 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یرشدک إلی ما ذکرنا المحاورات العرفیة؛ فإنّهم لا یرتابون فی أنّ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استغراق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ما تقدّم من أمثلة البدلی و المجموعی؛ إذ لا شکّ أنّهم یفهمون من تلک الأمثلة واحداً من الثلاثة بحسب لفظه بحکم التبادر، من غیر توقّع قرینة تدلّ علی کیفیة تعلّق الحکم بالموضوع، بل یحکمون علی أنّ الحکم قد تعلّق بنحو الاستغراق فی المدخول أو غیره بنفس دلالة اللفظ</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ما ذکره المحقّق الخراسانی أن یتوقّف أهل المحاورة فی فهم کیفیة تعلّق الحکم حتّی یتفحّصوا و یتطلّبوا حوله</w:t>
      </w:r>
      <w:r>
        <w:rPr>
          <w:rFonts w:eastAsia="IRNazanin" w:cs="IRNazanin"/>
          <w:color w:val="111111"/>
          <w:sz w:val="28"/>
          <w:szCs w:val="28"/>
          <w:rtl w:val="true"/>
          <w:lang w:bidi="fa-IR"/>
        </w:rPr>
        <w:t>.</w:t>
      </w:r>
      <w:bookmarkStart w:id="232" w:name="pg12907_206622"/>
    </w:p>
    <w:p>
      <w:pPr>
        <w:pStyle w:val="BookText"/>
        <w:rPr/>
      </w:pPr>
      <w:bookmarkEnd w:id="232"/>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ذلک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الحکم تابع لموضوعه، و لا یعقل تعلّق الحکم الوحدانی بالموضوعات الکثیرة المأخوذة بنحو الاستغراق، و لا الحکم الاستغراقی علی الموضوع الوحدانی، بل لا بدّ من تعیین الموضوع استغراقاً أو جمعاً حتّی یتبعه الحکم، فهو تابع للموضوع، فینحلّ بنحو الاستغراق فی فرض دون فرض</w:t>
      </w:r>
      <w:r>
        <w:rPr>
          <w:rFonts w:eastAsia="IRNazanin" w:cs="IRNazanin"/>
          <w:color w:val="111111"/>
          <w:sz w:val="28"/>
          <w:szCs w:val="28"/>
          <w:rtl w:val="true"/>
          <w:lang w:bidi="fa-IR"/>
        </w:rPr>
        <w:t>.</w:t>
      </w:r>
    </w:p>
    <w:p>
      <w:pPr>
        <w:pStyle w:val="Heading4"/>
        <w:numPr>
          <w:ilvl w:val="3"/>
          <w:numId w:val="1"/>
        </w:numPr>
        <w:rPr/>
      </w:pPr>
      <w:bookmarkStart w:id="233" w:name="__RefHeading___Toc3346390_3224264995"/>
      <w:bookmarkStart w:id="234" w:name="_Toc88"/>
      <w:bookmarkEnd w:id="233"/>
      <w:r>
        <w:rPr>
          <w:rtl w:val="true"/>
        </w:rPr>
        <w:t>الأمر الخامس فی الألفاظ الدالّة علی العموم</w:t>
      </w:r>
      <w:bookmarkEnd w:id="234"/>
    </w:p>
    <w:p>
      <w:pPr>
        <w:pStyle w:val="BookText"/>
        <w:rPr/>
      </w:pPr>
      <w:r>
        <w:rPr>
          <w:rFonts w:ascii="IRNazanin" w:hAnsi="IRNazanin" w:eastAsia="IRNazanin"/>
          <w:color w:val="111111"/>
          <w:sz w:val="28"/>
          <w:sz w:val="28"/>
          <w:szCs w:val="28"/>
          <w:rtl w:val="true"/>
          <w:lang w:bidi="fa-IR"/>
        </w:rPr>
        <w:t>ربّما یعدّ من ألفاظ العموم النکرة الواقعة فی سیاق النهی أو النفی، أو اسم الجنس الواقع کذلک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إشکال؛ لأنّ اسم الجنس موضوع لنفس الطبیعة بلا شرط، و تنوین التنکیر لتقییدها بقید الوحدة غیر المعیّنة، لکن لا بالمعنی الاسمی بل بالمعنی الحرفی، و ألفاظ النفی و النهی وضعت لنفی مدخولها أو الزجر عنها، فلا دلالة فیها لنفی الأفراد التی هی المناط فی صدق العموم، و لا وضع علی حدة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فی أنّ الماهیة متعلّقة للحکم، و فی عدم الدلالة علی الأفراد، و فی أنّ کلًّا منهما محتاج إلی مقدّمات الحکمة حتّی یثبت أنّ ما یلیه تمام الموضوع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تمامیتها تکون نتیجتها فی النفی و الإثبات مختلفة عرفاً؛ لما تقدّم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من حکم العرف بأنّ المهملة توجد بوجود فرد ما، و تنعدم بعدم جمیع الأفراد؛ و إن کان ما یحکم علیه العرف خلاف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شی‌ء من ألفاظ العموم یتوقّف علی وضع اللفظ لما یفید الشمول بالدلالة اللفظیة، لا لأجل دلالة من العقل أو کون الارتکاز علیه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واضح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الثانی موضوع بحسب التبادر لاستیعاب الأفراد، فهو بدلالته اللفظیة دالّ علی الشمول، و الاولی موضوعة لنفی المدخول، و مدخولها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یدلّ علی نفس الطبیعة، أو علیها مع قید الوحدة إذا کان المدخول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التحلیل لیس هنا لفظ یدلّ علی الکثرة سوی حکم العرف بأنّ عدم الطبیعة بعدم جمیع الأفراد، و لیس هذا مفاد اللفظ حتّی یعدّ من ألفاظ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غیر مستغنٍ عن إجراء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الألف و اللام فهو فی المفرد یفید تعریف الجنس فقط دون الاستغراق، فیحتاج إلی مقدّمات الحکمة لإثبات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الجمع المحلّی باللام یفید العموم، و لیس الدالّ علیه هو اللام و لا نفس الجمع؛ و لذا لا یستفاد ذلک من المفرد المحلّی و الجمع غیر المحلّی، بل إنّما یستفاد من تعریف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دلالتها هو أنّ الجمع له عرض عریض و اللام وضعت لتعریفه، و ما هو معیّن و معرّف إنّما هو أقصی المراتب، و غیره لا تعیین فیه؛ حتّی أدنی المراتب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 عدم احتیاجه إلی مقدّمات الحکمة</w:t>
      </w:r>
      <w:r>
        <w:rPr>
          <w:rFonts w:eastAsia="IRNazanin" w:cs="IRNazanin"/>
          <w:color w:val="111111"/>
          <w:sz w:val="28"/>
          <w:szCs w:val="28"/>
          <w:rtl w:val="true"/>
          <w:lang w:bidi="fa-IR"/>
        </w:rPr>
        <w:t>.</w:t>
      </w:r>
      <w:bookmarkStart w:id="235" w:name="pg12907_206625"/>
    </w:p>
    <w:p>
      <w:pPr>
        <w:pStyle w:val="Heading3"/>
        <w:numPr>
          <w:ilvl w:val="2"/>
          <w:numId w:val="1"/>
        </w:numPr>
        <w:rPr/>
      </w:pPr>
      <w:bookmarkStart w:id="236" w:name="__RefHeading___Toc3346392_3224264995"/>
      <w:bookmarkStart w:id="237" w:name="_Toc89"/>
      <w:bookmarkEnd w:id="235"/>
      <w:bookmarkEnd w:id="236"/>
      <w:r>
        <w:rPr>
          <w:rtl w:val="true"/>
        </w:rPr>
        <w:t>الفصل الأوّل فی حجّیة العامّ المخصّص فی الباقی</w:t>
      </w:r>
      <w:bookmarkEnd w:id="237"/>
    </w:p>
    <w:p>
      <w:pPr>
        <w:pStyle w:val="BookText"/>
        <w:rPr/>
      </w:pPr>
      <w:r>
        <w:rPr>
          <w:rFonts w:ascii="Amiri" w:hAnsi="Amiri" w:eastAsia="Amiri" w:cs="Amiri"/>
          <w:color w:val="111111"/>
          <w:sz w:val="28"/>
          <w:sz w:val="28"/>
          <w:szCs w:val="28"/>
          <w:rtl w:val="true"/>
          <w:lang w:bidi="ar-SA"/>
        </w:rPr>
        <w:t>لا ریب فی أنّ تخصیص العامّ لا یوجب مجازیته مطلقاً؛ متّصلًا کان المخصِّص أم منفصلًا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حجّة فیما بقی بعد التخصیص، و علی القول بالمجازیة لازمه سقوطه عن الحجّیة و صیرورة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استعمال اللفظ فی غیر ما وضع له؛ إذ التلاعب بالألفاظ لا حسن فیه، و کون زید أسداً لفظاً لا بلاغة فیه، بل کلّ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مرسل و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لفظها إلّا فیما وضع له، لکن بادّعاء أنّ المورد و ما سبق لأجله الکلام من مصادیقه؛ و إن کانت العامّة غافلین عنه، کما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بَشَراً إِنْ هذا إِلَّا مَلَکٌ کَرِیمٌ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 تقدّم تفصیله، فراجع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القائل بأنّ العامّ المخصَّص مجاز لا بدّ أن یصحّح مقالته بالادّعاء؛ إذ قوام</w:t>
      </w:r>
    </w:p>
    <w:p>
      <w:pPr>
        <w:pStyle w:val="BookText"/>
        <w:rPr/>
      </w:pPr>
      <w:r>
        <w:rPr>
          <w:rFonts w:ascii="IRNazanin" w:hAnsi="IRNazanin" w:eastAsia="IRNazanin"/>
          <w:color w:val="111111"/>
          <w:sz w:val="28"/>
          <w:sz w:val="28"/>
          <w:szCs w:val="28"/>
          <w:rtl w:val="true"/>
          <w:lang w:bidi="fa-IR"/>
        </w:rPr>
        <w:t>المجاز فی جمیع الأقسام و الأمثلة إنّما هو بالادّعاء، و أنّ ما قصده أیضاً هو نفسه أو من مصادیقه، فانظر إلی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جددت یوم الأربعین عزائی‌و النوح نوحی و البکاء بکائی</w:t>
      </w:r>
    </w:p>
    <w:p>
      <w:pPr>
        <w:pStyle w:val="BookText"/>
        <w:rPr/>
      </w:pPr>
      <w:r>
        <w:rPr>
          <w:rFonts w:ascii="IRNazanin" w:hAnsi="IRNazanin" w:eastAsia="IRNazanin"/>
          <w:color w:val="111111"/>
          <w:sz w:val="28"/>
          <w:sz w:val="28"/>
          <w:szCs w:val="28"/>
          <w:rtl w:val="true"/>
          <w:lang w:bidi="fa-IR"/>
        </w:rPr>
        <w:t>تری أنّ حسن کلامه و جمال مقاله إنّما هو فی ادّعائه بأنّ النوح و البکاء منحصران فی نوحه و بکائه، و لیس غیرهما نوحاً و 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لا یجوز أن یکون العامّ المخصّص من قبیل المجاز؛ ضرورة عدم ادّعاءٍ و تأوّلٍ فیه، فلیس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ادّعاء کون جمیع العقود هی العقود التی لم تخرج من تحته، و أنّ الباقی بعد التخصیص عین الکلّ قبله؛ إذ لیس المقام مقام مبالغة و إغراق حتّی یتمسّک بهذه الذوقیات، و کذلک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فی المطلق الوارد علیه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العامّ المخصَّص علی باب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مداره الادّعاء، و هو غیر مناسب فی هذه العمومات التی لم یقصد منها إلّا ضرب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کونه حقیقة علی وجه صحیح، و إلیک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الدواعی لإنشاء الحکم و إلقاء الأمر علی المخاطب کثیرة جدّاً، قد أشرنا إلی بعضها فی باب الأوامر، و من تلک الدواعی هو ضرب القانون و إعطاء القاعدة الکلّیة للعبید بجعل حکم علی عنوان کلّی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للموضوع آلاف من المصادیق، و لکن بعضها محکوم بالإکرام بالإرادة الجدّیة، و بعضها محکوم بعدم الإکرام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یستعمل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أفراده الذی هو المعنی الحقیقی بالإرادة الاستعمالیة، ثمّ یشیر بدلیل منفصل أو متّصل علی أنّ الفسّاق منهم و إن تعلّقت بهم الإرادة الاستعمالیة و شملهم عموم القانون إلّا أنّ الإرادة الجدّیة فی هذا المورد علی خلافه، و أنّهم یحرم إکرامهم أو لا یجب، و هذا الجعل بهذه الکیفیة ربّما یفید العبد فیما إذا شکّ فی خروج غیر الفسّاق أو فی المخصّص المجمل المنفصل الدائر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فالجعل علی عنوان کلّی یصیر ضابطة و تکون حجّة فی الموارد المشکوکة؛ إذ الأصل الدائر بین العقلاء هو تطابق الإرادة الاستعمالیة مع الإرادة الجدّیة إلّا ما قام الدلیل من جانب المولی علی خلافه، فهذا الظهور بنحو العموم حجّة علیه فی کلّ فرد من أفراده؛ حتّی یقوم حجّة أقوی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مستعمل فی معناه الأوّل، و أنّ التضییق و التخصیص فی الإرادة الجدّیة، و مدار کون الشی‌ء حقیقة أو مجازاً علی الاولی من الإرادتین دون الثانیة، و یصیر حجّة فی الباقی؛ لما عرفت من أنّ الأصل الدائر بین العقلاء هو تطابق الإرادتین حتّی یقوم دلیل أقوی علی خلافه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استعمل جمیع ألفاظه فیما وضعت له، لکن البعث المستفاد من الهیئة لم یکن فی مورد التخصیص لداعی الانبعاث، بل إنشاؤه علی نحو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إرادة الانبعاث فی مورد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لداعٍ آخر؛ و هو إعطاء القاعدة لیتمسّک بها العبد فی الموارد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فالإرادة الاستعمالیة التی هی فی مقابل الجدّیة قد تکون بالنسبة إلی الحکم بنحو الکلّیة إنشائیاً و قد تکون جدّیاً لغرض الانبعاث، و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البعث إلی الوفاء بجمیع العقود، و هو حجّة ما لم تدفعها حجّة أقوی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مخصّص یکشف عن عدم مطابقة الجدّ للاستعمال فی مورده، و لا ترفع الید عن العامّ فی غیر مورده؛ لظهور الکلام و عدم انثلامه بورود المخصّص، و أصالة الجدّ التی هی من الاصول العقلائیة حجّة فی غیر ما قامت الحجّة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البعث حقیقیاً بالإضافة إلی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متعلّقاً به فی مرحلة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صدور الواحد عن داعیین بلا جهة جامعة تکون هو الداعی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بالقاعدة المعروفة فی هاتیک المباحث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غیر خفی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فی إبطال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الدواعی المختلفة ربّما تدعو الإنسان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الدواعی المختلفة لیست علّة فاعلیة لشی‌ء، بل الدواعی غایات لصدور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قرع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الغایات علل فاعلیة الفاعل</w:t>
      </w:r>
      <w:r>
        <w:rPr>
          <w:rStyle w:val="FootnoteAnchor"/>
          <w:rtl w:val="true"/>
        </w:rPr>
        <w:footnoteReference w:id="215"/>
      </w:r>
      <w:r>
        <w:rPr>
          <w:rFonts w:ascii="IRNazanin" w:hAnsi="IRNazanin" w:eastAsia="IRNazanin"/>
          <w:color w:val="111111"/>
          <w:sz w:val="28"/>
          <w:sz w:val="28"/>
          <w:szCs w:val="28"/>
          <w:rtl w:val="true"/>
          <w:lang w:bidi="fa-IR"/>
        </w:rPr>
        <w:t>لیس معناه أنّها مصدر فاعلیته؛ بحیث تکون علّة فاعلیة لها و یصدر حرکة الفاعل منها، بل معناه أنّ الفاعل لا یصیر مبدأ إلّا لأجلها، فالغایة ما لأجلها الحرکة لا فاعل التحریک و الحرکة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الاستعمال لیس إلّا إلقاء المعنی بلفظه، و الألفاظ</w:t>
      </w:r>
    </w:p>
    <w:p>
      <w:pPr>
        <w:pStyle w:val="BookText"/>
        <w:rPr/>
      </w:pPr>
      <w:r>
        <w:rPr>
          <w:rFonts w:ascii="IRNazanin" w:hAnsi="IRNazanin" w:eastAsia="IRNazanin"/>
          <w:color w:val="111111"/>
          <w:sz w:val="28"/>
          <w:sz w:val="28"/>
          <w:szCs w:val="28"/>
          <w:rtl w:val="true"/>
          <w:lang w:bidi="fa-IR"/>
        </w:rPr>
        <w:t>مغفول عنها حینه؛ لأنّها قنطرة و مرآة للمعانی، و لیس للاستعمال إرادة مغایرة لإرادة المعنی الواقعی، و المستعمِل إن أراد من لفظ العامّ المعنی الواقعی فهو، و إلّا کان هازلًا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خلط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صدر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الإرادة الاستعمالیة و الجدّیة متعلّقتین بلفظ العامّ؛ بحیث یکون المراد الاستعمالی جمیع العلماء و الجدّی بعضهم؛ حتّی یرد علیه ما ذکر، بل الاستعمالیة و الجدّیة إنّما هی بالنسبة إلی الحکم؛ فما ذکر من الإشکال أجنبی عن مقصودهم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ما أفاده القوم و راموه؛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الذی یتمسّک به لحمل العامّ علی الباقی لیس راجعاً إلی تعیین المراد من اللفظ فی مرحلة الاستعمال، بل هو راجع إلی تعیین الموضوع للحکم</w:t>
      </w:r>
      <w:r>
        <w:rPr>
          <w:rStyle w:val="FootnoteAnchor"/>
          <w:rtl w:val="true"/>
        </w:rPr>
        <w:footnoteReference w:id="21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أهل التحقیق قد أجاب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العامّ و إن کانت واحدة لکن هذه الدلالة الواحدة إذا کانت حاکیة عن مصادیق متعدّدة فلا شبهة فی أنّ هذه الحکایة بملاحظة تعدّد محکیها بمنزلة حکایات متعدّدة؛ نظراً إلی أنّ الحاکی یتلوّن بلون محکیه و یقتضیه فی آثاره، فمع تعدّده یکون الحاکی کأنّه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رفع الید عن حجّیة الحکایة المزبورة بالنسبة إلی فرد لا یوجب رفع الید عن حجّیته العلیا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أیّد کلامه بالمخصّص المتّصل؛ مدّعیاً أنّ الظهور فی الباقی مستند إلی وضعه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تمنع القرینة عن إفادة الوضع لأعلی المراتب من الظهور،</w:t>
      </w:r>
    </w:p>
    <w:p>
      <w:pPr>
        <w:pStyle w:val="BookText"/>
        <w:rPr/>
      </w:pPr>
      <w:r>
        <w:rPr>
          <w:rFonts w:ascii="IRNazanin" w:hAnsi="IRNazanin" w:eastAsia="IRNazanin"/>
          <w:color w:val="111111"/>
          <w:sz w:val="28"/>
          <w:sz w:val="28"/>
          <w:szCs w:val="28"/>
          <w:rtl w:val="true"/>
          <w:lang w:bidi="fa-IR"/>
        </w:rPr>
        <w:t>فیبقی اقتضاؤه للمرتبة الاخری دونها بحاله</w:t>
      </w:r>
      <w:r>
        <w:rPr>
          <w:rStyle w:val="FootnoteAnchor"/>
          <w:rtl w:val="true"/>
        </w:rPr>
        <w:footnoteReference w:id="2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حدیث جذب الألفاظ لون محکیها أشبه بالخطابة، و مبنی علی ما اشتهر من أنّ أحکام المعانی ربّما تسری إلی الألفاظ؛ مستشهداً بأسماء ما یستقبح ذکره؛ غافلًا عن أنّ قبحه لأجل أنّ التلفّظ به یوجب الانتقال إلی معناه؛ و لذا لا یدرک الجاهل باللغة قبحه و 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فتعدّد المحکی لا یوجب تعدّد الحکایة بعد کون الحاکی عنواناً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العامّ بعنوان واحد و حکایة واحدة یحکی عن الکثیر، فإذا علم أنّ اللفظ لم یستعمل فی معناه 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حکایة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المخصّص المتّصل من مراتب الظهور ممنوع؛ ضرورة أنّ کلّ لفظ فی المخصّص المتّصل مستعمل فی معناه، و أنّ إفادة المحدودیة إنّما هو لأجل القیود و الإخراج بالاستثناء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لاستغراق مدخوله؛ فإذا کان مدخوله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إلّا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یستغرق ذلک المدخول المرکّب من المستثنی منه و المستثنی، من دون أن یکون الاستثناء مانعاً من ظهوره؛ لعدم ظهوره إلّا فی استغراق المدخول؛ أیّ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القید أو الاستثناء یمنعان عن ظهوره صار الکلام مجملًا؛ لعدم مراتب للظهور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 من إجراء التطابق بین الإرادتین فی کلّ فردٍ فردٍ غیر مربوط بهذا الفرض؛ لأنّ العامّ علی ما ذکرنا قد انعقد له الظهور فیما وضع له، و هذا العامّ مع هذا الأصل حجّتان حتّی یرد حجّة أقوی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أمعنت النظر فیه یسهّل لک التصدیق</w:t>
      </w:r>
      <w:r>
        <w:rPr>
          <w:rFonts w:eastAsia="IRNazanin" w:cs="IRNazanin"/>
          <w:color w:val="111111"/>
          <w:sz w:val="28"/>
          <w:szCs w:val="28"/>
          <w:rtl w:val="true"/>
          <w:lang w:bidi="fa-IR"/>
        </w:rPr>
        <w:t>.</w:t>
      </w:r>
      <w:bookmarkStart w:id="238" w:name="pg12907_206631"/>
    </w:p>
    <w:p>
      <w:pPr>
        <w:pStyle w:val="Heading3"/>
        <w:numPr>
          <w:ilvl w:val="2"/>
          <w:numId w:val="1"/>
        </w:numPr>
        <w:rPr/>
      </w:pPr>
      <w:bookmarkStart w:id="239" w:name="__RefHeading___Toc3346394_3224264995"/>
      <w:bookmarkStart w:id="240" w:name="_Toc90"/>
      <w:bookmarkEnd w:id="238"/>
      <w:bookmarkEnd w:id="239"/>
      <w:r>
        <w:rPr>
          <w:rtl w:val="true"/>
        </w:rPr>
        <w:t>الفصل الثانی فی سرایة إجمال المخصِّص إلی العامّ</w:t>
      </w:r>
      <w:bookmarkEnd w:id="240"/>
    </w:p>
    <w:p>
      <w:pPr>
        <w:pStyle w:val="Heading4"/>
        <w:numPr>
          <w:ilvl w:val="3"/>
          <w:numId w:val="1"/>
        </w:numPr>
        <w:rPr/>
      </w:pPr>
      <w:bookmarkStart w:id="241" w:name="__RefHeading___Toc3346396_3224264995"/>
      <w:bookmarkStart w:id="242" w:name="_Toc9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إنّ المخصّص قد یکون مبیّن المفهوم و قد یکون غیر مبیّنة، و علی الثانی تارة یکون دائراً بین الأقلّ و الأکثر و اخری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التقادیر فهو إمّا متّصل أو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إمّا لبّی أو غیر لبّی، و أیضاً الشبهة إمّا مفهومیة أو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 المسألة، و لنقدّم البحث عن المفهومیة علی البحث عن المصداقیة</w:t>
      </w:r>
      <w:r>
        <w:rPr>
          <w:rFonts w:eastAsia="IRNazanin" w:cs="IRNazanin"/>
          <w:color w:val="111111"/>
          <w:sz w:val="28"/>
          <w:szCs w:val="28"/>
          <w:rtl w:val="true"/>
          <w:lang w:bidi="fa-IR"/>
        </w:rPr>
        <w:t>:</w:t>
      </w:r>
    </w:p>
    <w:p>
      <w:pPr>
        <w:pStyle w:val="Heading4"/>
        <w:numPr>
          <w:ilvl w:val="3"/>
          <w:numId w:val="1"/>
        </w:numPr>
        <w:rPr/>
      </w:pPr>
      <w:bookmarkStart w:id="243" w:name="__RefHeading___Toc3346398_3224264995"/>
      <w:bookmarkStart w:id="244" w:name="_Toc92"/>
      <w:bookmarkEnd w:id="243"/>
      <w:r>
        <w:rPr>
          <w:rtl w:val="true"/>
        </w:rPr>
        <w:t>التمسّک بالعامّ فی الشبهة المفهومیة</w:t>
      </w:r>
      <w:bookmarkEnd w:id="24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الشبهة المفهومیة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المتّصل المجمل من حیث المفهوم،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أمره دائراً بین الأقلّ و الأکثر، کما إذا شکّ فی أنّ الفاسق هو خصوص مرتکب الکبیرة أو الأعمّ منها و الصغیرة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إجماله إلی العامّ، و لا یکون العامّ المخصّص حجّة فی موارد</w:t>
      </w:r>
    </w:p>
    <w:p>
      <w:pPr>
        <w:pStyle w:val="BookText"/>
        <w:rPr/>
      </w:pPr>
      <w:r>
        <w:rPr>
          <w:rFonts w:ascii="IRNazanin" w:hAnsi="IRNazanin" w:eastAsia="IRNazanin"/>
          <w:color w:val="111111"/>
          <w:sz w:val="28"/>
          <w:sz w:val="28"/>
          <w:szCs w:val="28"/>
          <w:rtl w:val="true"/>
          <w:lang w:bidi="fa-IR"/>
        </w:rPr>
        <w:t>الشکّ؛ لأنّ اتصال المخصّص المجمل یوجب عدم انعقاد ظهوره من أوّل إلقائه إلّا فی العالم غیر الفاسق أو العالم العادل، و لیس لکلّ من الموصوف و الصفة ظهور مستقلّ حتّی یتشبّث بظهور العامّ فی الموارد المشکوکة، فیشبه المقام بباب المقیّد إذا شکّ فی حصول قیده؛ أعنی العدالة أو عدم الفسق فیمن کان مرتکباً للصغیرة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العامّ الذی استثنی منه أو اتّصف بصفة مجملة متعلّق بموضوع وحدانی عرفاً، فکما أنّ الموضوع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الموصوف بما هو کذلک فهکذا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لا ینقدح التعارض حتّی التعارض البدوی بین العامّ و المخصّص، کما ینقدح بینه و بین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التمسّک بالعامّ،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مجمل الصدق بالنسبة إلی مورد، کذلک لا یجوز فی العامّ المتّصف أو المستثنی منه بشی‌ء مجمل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مفهومه بین المتباینین مع کونه متّصلًا، کما إذا استثنی منه زیداً، و احتمل أن یکون المراد هو زید بن عمرو و أن یکون هو زید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إجماله أیضاً بالبیان المتقدّم فی الأقلّ و الأکثر؛ لأنّ الموضوع یصیر بعد الاستثناء العالم الذی هو غیر زید، و هو أمر وحدانی لا یکون حجّة إلّا فیما ینطبق علیه یقیناً، و المفروض أنّه مجمل من حیث المفهوم، فکیف یمکن الاحتجاج بشی‌ء یشکّ فی انطباقه علی المشکوک؟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المخصّص المنفصل المجمل من حیث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بین الأقلّ و الأکثر، فلا یسری أصلًا، و یتمسّک به فی موارد الشکّ؛ لأنّ الخاصّ المجمل لیس بحجّة فی موارد الإجمال، فلا ترفع الید عن الحجّة بما لیس بحجّة، و لا یصیر العامّ معنوناً بعنوان خاصّ فی المنفصلات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قد تعلّق بعنوان الکلّ و الجمیع، فلا محالة یتعلّق الحکم علی الأفراد المتصوّرة إجمالًا، و الأصل العقلائی حاکم علی التطابق بین الإرادتین فی عامّة الأفراد، فلا یرفع الید عن هذا الظهور المنعقد إلّا بمقدارٍ قامت علیه الحجّة، و المفروض أنّ الحجّة لم تقم إلّا علی مرتکب الکبائر، و غیرها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ذلک بالمتّصل المردّد بین الأقلّ و الأکثر؛ إذ لم ینعقد للعامّ هناک ظهور قطّ، إلّا فی المعنون بالعنوان المجمل، و المرتکب للصغائر مشکوک الدخول فی العامّ هناک من أوّل الأمر، بخلافه هنا؛ فإنّ ظهور العامّ یشمله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فلو کان المخصّص المجمل حکماً ابتدائیاً من دون أن یسبقه العامّ لما کان حجّة إلّا فی مقدار المتیقّن دون المشکوک، فکیف مع ظهور العامّ فی إکرام المشکوک؟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صارت عادة المتکلّم علی ذکر المخصّص منفصلًا فحال المنفصل فی کلامه حال المتّصل فی کلام غیره</w:t>
      </w:r>
      <w:r>
        <w:rPr>
          <w:rStyle w:val="FootnoteAnchor"/>
          <w:rtl w:val="true"/>
        </w:rPr>
        <w:footnoteReference w:id="219"/>
      </w:r>
      <w:r>
        <w:rPr>
          <w:rFonts w:ascii="IRNazanin" w:hAnsi="IRNazanin" w:eastAsia="IRNazanin"/>
          <w:color w:val="111111"/>
          <w:sz w:val="28"/>
          <w:sz w:val="28"/>
          <w:szCs w:val="28"/>
          <w:rtl w:val="true"/>
          <w:lang w:bidi="fa-IR"/>
        </w:rPr>
        <w:t>، لا یخلو عن نظر؛ فإنّ وجوب الفحص عن المخصّص باب، و سرایة إجمال المخصّص إلیه باب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ما ذکره عدم جواز العمل بالعامّ قبل الفحص، لا سرایة الإجمال؛ لأنّ ظهور العامّ لا ینثلم لأجل</w:t>
      </w:r>
    </w:p>
    <w:p>
      <w:pPr>
        <w:pStyle w:val="BookText"/>
        <w:rPr/>
      </w:pPr>
      <w:r>
        <w:rPr>
          <w:rFonts w:ascii="IRNazanin" w:hAnsi="IRNazanin" w:eastAsia="IRNazanin"/>
          <w:color w:val="111111"/>
          <w:sz w:val="28"/>
          <w:sz w:val="28"/>
          <w:szCs w:val="28"/>
          <w:rtl w:val="true"/>
          <w:lang w:bidi="fa-IR"/>
        </w:rPr>
        <w:t>جریان تلک العادة، کما أنّ الأصل العقلائی بتطابق الاستعمال و الجدّ حجّة بعد الفحص عن المخصّص و عدم العثور إلّا علی المجمل منه، لکنّه قدس سره رجع فی الدورة الأخیرة عمّا أفاده فی متن کتابه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الخاصّ المجمل المردّد بین الأقلّ و الأکثر وارداً بلسان الحکومة علی نحو التفسیر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أنحاء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فسرایة إجماله و صیرورة العامّ معنوناً غیر بعیدة، کما إذا قال المراد من العلماء هو غیر الفسّاق، أو أنّ الوجوب لم یجعل علی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فالمسألة بعد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المخصّص المنفصل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یسری الإجمال إلیه حکماً؛ بمعنی عدم جواز التمسّک به فی واحد منهما؛ و إن کان العامّ حجّة فی واحد معیّن واقعاً، و لازمه إعمال قواعد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بخروج واحد منهما یوجب تساوی العامّ فی الشمول لکلّ واحد منهما، و لا یتمسّک به فی إثبات واحد منهما إلّا بمرجّح، و هو منتفٍ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الاطّلاع بالمخصّص لا متیقّن فی البین حتّی یؤخذ به و یترک المشکوک، کما فی الأقلّ و الأکثر، بل کلاهما فی الاحتمال متساویان، فلا محیص عن إجراء قواعد العلم الإجمالی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المخصّص رافعاً لکُلفة الوجوب عن مورد التخصیص و کان مقتضی العامّ هو الوجوب فلازمه إکرام کلا الرجلین حتّی یستیقن بالبراءة</w:t>
      </w:r>
      <w:r>
        <w:rPr>
          <w:rFonts w:eastAsia="IRNazanin" w:cs="IRNazanin"/>
          <w:color w:val="111111"/>
          <w:sz w:val="28"/>
          <w:szCs w:val="28"/>
          <w:rtl w:val="true"/>
          <w:lang w:bidi="fa-IR"/>
        </w:rPr>
        <w:t>.</w:t>
      </w:r>
      <w:bookmarkStart w:id="245" w:name="pg12907_206635"/>
    </w:p>
    <w:p>
      <w:pPr>
        <w:pStyle w:val="BookText"/>
        <w:rPr/>
      </w:pPr>
      <w:bookmarkEnd w:id="245"/>
      <w:r>
        <w:rPr>
          <w:rFonts w:ascii="IRNazanin" w:hAnsi="IRNazanin" w:eastAsia="IRNazanin"/>
          <w:color w:val="111111"/>
          <w:sz w:val="28"/>
          <w:sz w:val="28"/>
          <w:szCs w:val="28"/>
          <w:rtl w:val="true"/>
          <w:lang w:bidi="fa-IR"/>
        </w:rPr>
        <w:t>و لو کان المخصّص ظاهراً فی حرمة مورده فیکون المقام من قبیل دوران الأمر بین المحذورین، و لکلّ حکمه</w:t>
      </w:r>
      <w:r>
        <w:rPr>
          <w:rFonts w:eastAsia="IRNazanin" w:cs="IRNazanin"/>
          <w:color w:val="111111"/>
          <w:sz w:val="28"/>
          <w:szCs w:val="28"/>
          <w:rtl w:val="true"/>
          <w:lang w:bidi="fa-IR"/>
        </w:rPr>
        <w:t>.</w:t>
      </w:r>
    </w:p>
    <w:p>
      <w:pPr>
        <w:pStyle w:val="Heading4"/>
        <w:numPr>
          <w:ilvl w:val="3"/>
          <w:numId w:val="1"/>
        </w:numPr>
        <w:rPr/>
      </w:pPr>
      <w:bookmarkStart w:id="246" w:name="__RefHeading___Toc3346400_3224264995"/>
      <w:bookmarkStart w:id="247" w:name="_Toc93"/>
      <w:bookmarkEnd w:id="246"/>
      <w:r>
        <w:rPr>
          <w:rtl w:val="true"/>
        </w:rPr>
        <w:t>التمسّک بالعامّ فی الشبهة المصداقیة للمخصّص المنفصل اللفظی</w:t>
      </w:r>
      <w:bookmarkEnd w:id="247"/>
    </w:p>
    <w:p>
      <w:pPr>
        <w:pStyle w:val="BookText"/>
        <w:rPr/>
      </w:pPr>
      <w:r>
        <w:rPr>
          <w:rFonts w:ascii="IRNazanin" w:hAnsi="IRNazanin" w:eastAsia="IRNazanin"/>
          <w:color w:val="111111"/>
          <w:sz w:val="28"/>
          <w:sz w:val="28"/>
          <w:szCs w:val="28"/>
          <w:rtl w:val="true"/>
          <w:lang w:bidi="fa-IR"/>
        </w:rPr>
        <w:t>محطّ البحث فی الاشتباه المصداقی لأجل الشبهة الخارجیة إنّما هو فیما إذا احرز کون فرد مصداقاً لعنوان العامّ؛ أعنی العالم قطعاً، و لکن شکّ فی انطباق عنوان المخصّص؛ أعنی الفاسق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فیما إذا خصّ العامّ و لم یتعنون ظهور العامّ بقید زائد سوی نفسه، لا فی تقیید المطلق الذی یوجب تقییده بقید زائد، سوی ما اخذ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الخلط فیما أفاده بعض الأعاظم؛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الموضوع فی العامّ قبل التخصیص هو طبیعة العالم، و إذا ورد المخصّص یکشف عن أنّ العالم بعض الموضوع و بعضه الآخر هو العادل، فیکون الموضوع واقعاً هو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فی الشبهة المصداقیة للخاصّ یرجع إلی التمسّک فیها لنفس العامّ، من غیر فرق بین القضایا الحقیقیة و غیرها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صحیح فی المطلق و المقیّد، و أمّا العامّ فالحکم فیه متعلّق بأفراد مدخول أداته، لا علی عنوان الطبیعة، و المخصّص یخرج طائفة من أفراد العامّ، کأفراد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یتکرّر فی کلامه من أنّ الحکم فی القضایا الحقیقیة علی العنوان بما أنّه مرآة لما ینطبق</w:t>
      </w:r>
      <w:r>
        <w:rPr>
          <w:rStyle w:val="FootnoteAnchor"/>
          <w:rtl w:val="true"/>
        </w:rPr>
        <w:footnoteReference w:id="222"/>
      </w:r>
      <w:r>
        <w:rPr>
          <w:rFonts w:ascii="IRNazanin" w:hAnsi="IRNazanin" w:eastAsia="IRNazanin"/>
          <w:color w:val="111111"/>
          <w:sz w:val="28"/>
          <w:sz w:val="28"/>
          <w:szCs w:val="28"/>
          <w:rtl w:val="true"/>
          <w:lang w:bidi="fa-IR"/>
        </w:rPr>
        <w:t>علیه غیر تامّ؛ لأنّ العنوان لا یمکن أن یکون مرآة للخصوصیات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 ما ذکره أن یکون الأفراد موضوعاً للحکم؛ لأنّ المحکوم علیه هو المرئی دون المرآة، فلا یصحّ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 الموضوع فی العامّ قبل التخصیص هو طبیعة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کما تقدّم</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لم یکن مرآة إلّا لنفس الطبیعة الموضوع لها، و أداة العموم تفید أفرادها، و القضیة الحقیقیة متعرّضة للأفراد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إنّما هو فی العامّ المخصّص، لا المطلق المقیّد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لجواز التمسّک بأنّ العامّ بعمومه شامل لکلّ فرد من الطبیعة و حجّة فیه، و الفرد المشکوک فیه لا یکون الخاصّ حجّة بالنسبة إلیه؛ للشکّ فی فردیته، فمع القطع بفردیته للعامّ و الشکّ فی فردیته للخاصّ یکون رفع الید عن العامّ رفع الید عن الحجّة بغیر حجّة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ظهور اللفظ و جریان أصالة الحقیقة لا یوجب تمامیة الاحتجاج ما لم تحرز أصالة الجدّ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الاحتجاج لا تتمّ إلّا بعد أن یسلّم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إحراز ظهوره، و عدم إجماله مفهوماً، و عدم قیام قرینة علی خلافه؛ حتّی یختتم الأمر</w:t>
      </w:r>
    </w:p>
    <w:p>
      <w:pPr>
        <w:pStyle w:val="BookText"/>
        <w:rPr/>
      </w:pPr>
      <w:r>
        <w:rPr>
          <w:rFonts w:ascii="IRNazanin" w:hAnsi="IRNazanin" w:eastAsia="IRNazanin"/>
          <w:color w:val="111111"/>
          <w:sz w:val="28"/>
          <w:sz w:val="28"/>
          <w:szCs w:val="28"/>
          <w:rtl w:val="true"/>
          <w:lang w:bidi="fa-IR"/>
        </w:rPr>
        <w:t>بإحراز أنّ المراد استعمالًا هو المراد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یمکن الاحتجاج بکلام من دأبه و عادته الدعابة؛ و إن احرز ظهوره و جرت أصالة الحقیقة؛ لعدم جریان أصالة الجدّ مع أنّ دیدنه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أصالة التطابق بین الإرادتین إنّما هو فیما إذا شکّ فی أصل التخصیص، و أنّ هذا الفرد بخصوصه أو بعنوان آخر هل خرج عن حکم العامّ أو لا؟ و أمّا إذا علم خروج عدّة أفراد بعنوان معیّن، و شکّ فی أنّ هذا العنوان هل هو مصداق جدّی لهذا العنوان أو ذاک العنوان فلا یجری أصلًا، و لا یرتفع به الشکّ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المخصّص نستکشف عن أنّ إنشائه فی مورد التخصیص لم یکن بنحو الجدّ، و یدور أمر المشتبه بین کونه مصداقاً للمخصّص حتّی یکون تحت الإرادة الجدّیة لحکم المخصّص، و بین عدم کونه مصداقاً له حتّی یکون تحت الإرادة الجدّیة لحکم العامّ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هذه الشبهة لا أصل لإحراز أحد الطرفین؛ فإنّها کالشبهة المصداقیة لأصالة الجدّ بالنسبة إلی العامّ و الخاصّ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 ما ذکرنا یرجع ما أفاده الشیخ الأعظم</w:t>
      </w:r>
      <w:r>
        <w:rPr>
          <w:rStyle w:val="FootnoteAnchor"/>
          <w:rtl w:val="true"/>
        </w:rPr>
        <w:footnoteReference w:id="225"/>
      </w:r>
      <w:r>
        <w:rPr>
          <w:rFonts w:ascii="IRNazanin" w:hAnsi="IRNazanin" w:eastAsia="IRNazanin"/>
          <w:color w:val="111111"/>
          <w:sz w:val="28"/>
          <w:sz w:val="28"/>
          <w:szCs w:val="28"/>
          <w:rtl w:val="true"/>
          <w:lang w:bidi="fa-IR"/>
        </w:rPr>
        <w:t>و المحقّق الخراسانی</w:t>
      </w:r>
      <w:r>
        <w:rPr>
          <w:rStyle w:val="FootnoteAnchor"/>
          <w:rtl w:val="true"/>
        </w:rPr>
        <w:footnoteReference w:id="226"/>
      </w:r>
      <w:r>
        <w:rPr>
          <w:rFonts w:ascii="Amiri" w:hAnsi="Amiri" w:eastAsia="Amiri" w:cs="Amiri"/>
          <w:color w:val="111111"/>
          <w:sz w:val="28"/>
          <w:sz w:val="28"/>
          <w:szCs w:val="28"/>
          <w:rtl w:val="true"/>
          <w:lang w:bidi="ar-SA"/>
        </w:rPr>
        <w:t>، قدّس اللَّه روحهما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بعض أهل التحقیق فسّر کلام الشیخ بما لا یخلو عن إشکال،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بعد ما کانت منحصرة فی الظهور التصدیقی المبنی علی کون المتکلّم فی مقام الإفادة و الاستفادة فإنّما یتحقّق هذا</w:t>
      </w:r>
    </w:p>
    <w:p>
      <w:pPr>
        <w:pStyle w:val="BookText"/>
        <w:rPr/>
      </w:pPr>
      <w:r>
        <w:rPr>
          <w:rFonts w:ascii="IRNazanin" w:hAnsi="IRNazanin" w:eastAsia="IRNazanin"/>
          <w:color w:val="111111"/>
          <w:sz w:val="28"/>
          <w:sz w:val="28"/>
          <w:szCs w:val="28"/>
          <w:rtl w:val="true"/>
          <w:lang w:bidi="fa-IR"/>
        </w:rPr>
        <w:t>المعنی فی فرض تعلّق قصد المتکلّم بإبراز مرامه باللفظ، و هو فرع التفات المتکلّم بما تعلّق به مرامه، و إلّا فمع جهله به و احتمال خروجه عن مرامه کیف یتعلّق قصده بلفظه علی کشفه و إبرازه؟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الشبهات الموضوعیة طرّاً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شیخنا الأعظم فیما أفاد فی وجه المنع بمثل هذا البیان، و مرجع هذا الوجه إلی منع کون المولی فی مقام إفادة المراد بالنسبة إلی ما کان هو بنفسه مشتبهاً فیه، فلا یکون الظهور حینئذٍ تصدیقیاً؛ کی یکون واجداً لشرائط الحجّیة</w:t>
      </w:r>
      <w:r>
        <w:rPr>
          <w:rStyle w:val="FootnoteAnchor"/>
          <w:rtl w:val="true"/>
        </w:rPr>
        <w:footnoteReference w:id="2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علی المتکلّم فی الإخبار عن موضوع واقعی الفحص عن کلّ فردٍ فردٍ حتّی یعلم مقطوعه و مشکوکه، بل ما یلزم علیه فی جعل الحکم علی عنوان کلّیاً إحراز أنّ کلّ فرد واقعی منه محکوم بهذا الحکم،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تشخیص کون شی‌ء ناراً فلیس متعلّقاً بمرامه و لا مربوطاً بمقامه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و إن کانت منحصرة فی الظاهر الذی صدر من المتکلّم لأجل الإفادة، و لا بدّ له أن یکون علی تیقّن فیما تعلّق به مرامه، لکن ذلک فی مقام جعل الکبریات لا فی تشخیص الصغریات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لا بدّ له إنّما هو تشخیص أنّ کلّ فرد من العلماء فیه ملاک الوجوب؛ و إن اشتبه علیه الأفراد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تشخیص کون</w:t>
      </w:r>
    </w:p>
    <w:p>
      <w:pPr>
        <w:pStyle w:val="BookText"/>
        <w:rPr/>
      </w:pPr>
      <w:r>
        <w:rPr>
          <w:rFonts w:ascii="IRNazanin" w:hAnsi="IRNazanin" w:eastAsia="IRNazanin"/>
          <w:color w:val="111111"/>
          <w:sz w:val="28"/>
          <w:sz w:val="28"/>
          <w:szCs w:val="28"/>
          <w:rtl w:val="true"/>
          <w:lang w:bidi="fa-IR"/>
        </w:rPr>
        <w:t>ملاک الوجوب فی عدولهم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فرد عادلًا فی الخارج أو لا فلیس داخلًا فی مرامه؛ حتّی یکون بصدد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المولی لم یکن بصدد إفادة المراد بالنسبة إلی ما کان بنفسه مشتبهاً فیه، لا بدّ من التزامه بعدم وجوب إکرام من اشتبه عند المولی أنّه عادل أو لا و لکن العبد أحرز کونه عالماً عادلًا، مع أنّ العبد لا یعدّ معذوراً فی ترک إکرامه؛ و إن اعتذر بأنّ المولی لم یکن فی مقام البیان بالنسبة إلی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ما أفاده إلی الشیخ الأعظم ففی غیر محلّه؛ فإنّ کلامه فی تقریراته آبٍ عن ذلک،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الواقع فی کلام المتکلّم غیر صالح لرفع الشبهة الموضوعیة التی هو بنفسه أیضاً قد یکون مثل العبد فیها، فالعامّ مرجع لرفع الشبهة الحکمیة لا الموضوعیة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آبٍ عمّا نسب إلیه، بل یرجع إلی ما فصّلناه و أوضحناه، و لولا تشویش عبائر القائل و إغلاقها لجاز حملها علی ما أفاده الشیخ الأعظم قدس سره، کما قد یظهر من ذیل کلامه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شیخنا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تقریباً لجواز التمسّک عن المحقّق النهاوندی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اللَّه رمسه</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بعمومه الأفرادی علی وجوب إکرام کلّ واحد من العلماء، و یدلّ بإطلاقه علی سرایة الحکم إلی کلّ حالة من الحالات، و من جملة حالات الموضوع کونه مشکوک الفسق</w:t>
      </w:r>
    </w:p>
    <w:p>
      <w:pPr>
        <w:pStyle w:val="BookText"/>
        <w:rPr/>
      </w:pPr>
      <w:r>
        <w:rPr>
          <w:rFonts w:ascii="IRNazanin" w:hAnsi="IRNazanin" w:eastAsia="IRNazanin"/>
          <w:color w:val="111111"/>
          <w:sz w:val="28"/>
          <w:sz w:val="28"/>
          <w:szCs w:val="28"/>
          <w:rtl w:val="true"/>
          <w:lang w:bidi="fa-IR"/>
        </w:rPr>
        <w:t xml:space="preserve">و العدالة، و قد علم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معلوم الفسق منهم، فمقتضی أصالة العموم و الإطلاق بقاء المشکوک تحته</w:t>
      </w:r>
      <w:r>
        <w:rPr>
          <w:rStyle w:val="FootnoteAnchor"/>
          <w:rtl w:val="true"/>
        </w:rPr>
        <w:footnoteReference w:id="2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فسّر به الإطلاق غیر صحیح؛ لأنّ الإطلاق لیس إلّا کون الشی‌ء تمام الموضوع کما تقدّم</w:t>
      </w:r>
      <w:r>
        <w:rPr>
          <w:rStyle w:val="FootnoteAnchor"/>
          <w:rtl w:val="true"/>
        </w:rPr>
        <w:footnoteReference w:id="231"/>
      </w:r>
      <w:r>
        <w:rPr>
          <w:rFonts w:ascii="IRNazanin" w:hAnsi="IRNazanin" w:eastAsia="IRNazanin"/>
          <w:color w:val="111111"/>
          <w:sz w:val="28"/>
          <w:sz w:val="28"/>
          <w:szCs w:val="28"/>
          <w:rtl w:val="true"/>
          <w:lang w:bidi="fa-IR"/>
        </w:rPr>
        <w:t>، لا أخذ جمیع الحالات و العناوین فی الموضوع، فإنّ ذلک معنی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اصطلح به من الإطلاق الأحوالی باطل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إنّما هو فی العامّ المتضمّن لبیان الحکم الواقعی، و المفروض أنّ الموضوع له إنّما هو العالم بقید کونه غیر الفاسق لبّاً، فکیف یحکم بوجوب إکرام المشتبه مع کونه فاسقاً واقعیاً؟</w:t>
      </w:r>
    </w:p>
    <w:p>
      <w:pPr>
        <w:pStyle w:val="BookText"/>
        <w:rPr/>
      </w:pPr>
      <w:r>
        <w:rPr>
          <w:rFonts w:ascii="IRNazanin" w:hAnsi="IRNazanin" w:eastAsia="IRNazanin"/>
          <w:color w:val="111111"/>
          <w:sz w:val="28"/>
          <w:sz w:val="28"/>
          <w:szCs w:val="28"/>
          <w:rtl w:val="true"/>
          <w:lang w:bidi="fa-IR"/>
        </w:rPr>
        <w:t>و ما ذکره من أنّ العامّ و إن کان غیر شامل له بإطلاقه الأفرادی إلّا أنّه شامل له بإطلاقه 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العالم واجب الإکرام فی جمیع الحالات؛ و منها کونه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اجتماع حکمین فی موضوع واحد بعنوان واحد؛ لأنّ ما ذکره من الإطلاق الأحوالی موجود فی الخاصّ أیضاً؛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لمشتبه الفسق و معلومه إذا کان فاسقاً واقعیاً، فهذا الفرد بما أنّه مشتبه الفسق واجب الإکرام و محرّمه، و لو التجأ قدس سره إلی أنّ العامّ متکفّل للحکم الواقعی و الظاهری یلزمه أخذ الشکّ فی الحکم فی جانب موضوع نفس ذلک الحکم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أخذ الشکّ فی الموضوع لا یصحّح الحکم الظاهری</w:t>
      </w:r>
      <w:r>
        <w:rPr>
          <w:rFonts w:eastAsia="IRNazanin" w:cs="IRNazanin"/>
          <w:color w:val="111111"/>
          <w:sz w:val="28"/>
          <w:szCs w:val="28"/>
          <w:rtl w:val="true"/>
          <w:lang w:bidi="fa-IR"/>
        </w:rPr>
        <w:t>-</w:t>
      </w:r>
      <w:bookmarkStart w:id="248" w:name="pg12907_206641"/>
    </w:p>
    <w:p>
      <w:pPr>
        <w:pStyle w:val="BookText"/>
        <w:rPr/>
      </w:pPr>
      <w:bookmarkEnd w:id="248"/>
      <w:r>
        <w:rPr>
          <w:rFonts w:ascii="IRNazanin" w:hAnsi="IRNazanin" w:eastAsia="IRNazanin"/>
          <w:color w:val="111111"/>
          <w:sz w:val="28"/>
          <w:sz w:val="28"/>
          <w:szCs w:val="28"/>
          <w:rtl w:val="true"/>
          <w:lang w:bidi="fa-IR"/>
        </w:rPr>
        <w:t>أنّ مجرّد أخذه فیه لا یرفع الإشکال؛ إذ کیف یمکن تکفّل العامّ بجعل واحد للحکم الواقعی علی الموضوع الواقعی، و للحکم الظاهری علی مشتبه الحکم، مع ترتّبهما؟</w:t>
      </w:r>
    </w:p>
    <w:p>
      <w:pPr>
        <w:pStyle w:val="BookText"/>
        <w:rPr/>
      </w:pPr>
      <w:r>
        <w:rPr>
          <w:rFonts w:ascii="IRNazanin" w:hAnsi="IRNazanin" w:eastAsia="IRNazanin"/>
          <w:color w:val="111111"/>
          <w:sz w:val="28"/>
          <w:sz w:val="28"/>
          <w:szCs w:val="28"/>
          <w:rtl w:val="true"/>
          <w:lang w:bidi="fa-IR"/>
        </w:rPr>
        <w:t>و هل هذا إلّا الجمع بین عدم لحاظ الشکّ موضوعاً و لحاظه کذلک؟</w:t>
      </w:r>
      <w:r>
        <w:rPr>
          <w:rFonts w:eastAsia="IRNazanin" w:cs="IRNazanin"/>
          <w:color w:val="111111"/>
          <w:sz w:val="28"/>
          <w:szCs w:val="28"/>
          <w:rtl w:val="true"/>
          <w:lang w:bidi="fa-IR"/>
        </w:rPr>
        <w:t>!</w:t>
      </w:r>
    </w:p>
    <w:p>
      <w:pPr>
        <w:pStyle w:val="Heading4"/>
        <w:numPr>
          <w:ilvl w:val="3"/>
          <w:numId w:val="1"/>
        </w:numPr>
        <w:rPr/>
      </w:pPr>
      <w:bookmarkStart w:id="249" w:name="__RefHeading___Toc3346402_3224264995"/>
      <w:bookmarkStart w:id="250" w:name="_Toc94"/>
      <w:bookmarkEnd w:id="249"/>
      <w:r>
        <w:rPr>
          <w:rtl w:val="true"/>
        </w:rPr>
        <w:t>القول فی الشبهة المصداقیة للمخصّص اللبّی</w:t>
      </w:r>
      <w:bookmarkEnd w:id="250"/>
    </w:p>
    <w:p>
      <w:pPr>
        <w:pStyle w:val="BookText"/>
        <w:rPr/>
      </w:pPr>
      <w:r>
        <w:rPr>
          <w:rFonts w:ascii="IRNazanin" w:hAnsi="IRNazanin" w:eastAsia="IRNazanin"/>
          <w:color w:val="111111"/>
          <w:sz w:val="28"/>
          <w:sz w:val="28"/>
          <w:szCs w:val="28"/>
          <w:rtl w:val="true"/>
          <w:lang w:bidi="fa-IR"/>
        </w:rPr>
        <w:t>ما ذکرناه فی المخصّص اللفظی جارٍ فی اللبّی، لکن بعد تمحیض المقام فی الشبهة المصداقیة للمخصّص اللبّی، کما إذا خرج عنوان عن تحت العامّ بالإجماع أو العقل، و شکّ فی مصداقه، فلا محالة یکون الحکم الجدّی فی العامّ علی أفراد المخصّص دون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لا مجال للتمسّک بالعامّ لرفع الشبهة الموضوعیة؛ لما مرّ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النظر فی کلام المحقّق الخراسانی رحمه الله؛ حیث فصّل بین اللبّی الذی یکون کالمخصّص المتّصل و غیره</w:t>
      </w:r>
      <w:r>
        <w:rPr>
          <w:rStyle w:val="FootnoteAnchor"/>
          <w:rtl w:val="true"/>
        </w:rPr>
        <w:footnoteReference w:id="233"/>
      </w:r>
      <w:r>
        <w:rPr>
          <w:rFonts w:ascii="IRNazanin" w:hAnsi="IRNazanin" w:eastAsia="IRNazanin"/>
          <w:color w:val="111111"/>
          <w:sz w:val="28"/>
          <w:sz w:val="28"/>
          <w:szCs w:val="28"/>
          <w:rtl w:val="true"/>
          <w:lang w:bidi="fa-IR"/>
        </w:rPr>
        <w:t>، مع أنّ الفارق بین اللفظی و اللبّی من هذه الجهة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بناء العقلاء علی التمسّک فی اللبّیات</w:t>
      </w:r>
      <w:r>
        <w:rPr>
          <w:rStyle w:val="FootnoteAnchor"/>
          <w:rtl w:val="true"/>
        </w:rPr>
        <w:footnoteReference w:id="234"/>
      </w:r>
      <w:r>
        <w:rPr>
          <w:rFonts w:ascii="IRNazanin" w:hAnsi="IRNazanin" w:eastAsia="IRNazanin"/>
          <w:color w:val="111111"/>
          <w:sz w:val="28"/>
          <w:sz w:val="28"/>
          <w:szCs w:val="28"/>
          <w:rtl w:val="true"/>
          <w:lang w:bidi="fa-IR"/>
        </w:rPr>
        <w:t>عهدتها علیه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النظر فیما یظهر من الشیخ الأعظم من التفصیل بین ما یوجب تنویع الموضوعین، کالعالم الفاسق و العالم غیر الفاسق فلا یجوز، و غیره کما إذا لم یعتبر المتکلّم صفة فی موضوع الحکم غیر ما أخذه عنواناً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علمنا بأنّه لو فرض فی أفراد العامّ من هو فاسق لا یرید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التمسّک بالعامّ و إحراز</w:t>
      </w:r>
    </w:p>
    <w:p>
      <w:pPr>
        <w:pStyle w:val="BookText"/>
        <w:rPr/>
      </w:pPr>
      <w:r>
        <w:rPr>
          <w:rFonts w:ascii="IRNazanin" w:hAnsi="IRNazanin" w:eastAsia="IRNazanin"/>
          <w:color w:val="111111"/>
          <w:sz w:val="28"/>
          <w:sz w:val="28"/>
          <w:szCs w:val="28"/>
          <w:rtl w:val="true"/>
          <w:lang w:bidi="fa-IR"/>
        </w:rPr>
        <w:t>حال الفرد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فی بیانه بما لا مزید علیه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یظهر من مجموعه خروجه عن محطّ البحث و وروده فی واد الشکّ فی أصل التخصیص، مع أنّ الکلام فی الشکّ فی مصداق المخصّص، فراجع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کلامه بأنّ المخصّص ربّما لا یکون معنوناً بعنوان، بل یکون مخرجاً لذوات الأفراد، لکن بحیثیة تعلیلیة و علّة ساریة فإذا شکّ فی مصداق أنّه محیّث بالحیثیة التعلیلیة یتمسّک بالعامّ</w:t>
      </w:r>
      <w:r>
        <w:rPr>
          <w:rStyle w:val="FootnoteAnchor"/>
          <w:rtl w:val="true"/>
        </w:rPr>
        <w:footnoteReference w:id="236"/>
      </w:r>
      <w:r>
        <w:rPr>
          <w:rFonts w:ascii="IRNazanin" w:hAnsi="IRNazanin" w:eastAsia="IRNazanin"/>
          <w:color w:val="111111"/>
          <w:sz w:val="28"/>
          <w:sz w:val="28"/>
          <w:szCs w:val="28"/>
          <w:rtl w:val="true"/>
          <w:lang w:bidi="fa-IR"/>
        </w:rPr>
        <w:t>فغیر صحیح؛ لما تقرّر فی محلّه من أنّ الحیثیات التعلیلیة جهات تقییدیة فی الأحکام العقلیة؛ بحیث تصیر تلک الجهات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فالخارج إنّما هو العنوان مع حکمه عن تحته لا نفس الأفراد؛ لأنّ الفرض أنّ المخصّص لبّی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 الخارج هو نفس الأفراد و ذواتها دون عنوانها یخرج الکلام عن الشبهة المصداقیة للمخصّص و النزاع هنا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حالًا ممّا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أعاظم العصر من الفرق بین ما إذا کان المخصّص صالحاً لأن یؤخذ قیداً للموضوع و لم یکن إحراز انطباق ذلک العنوان علی مصادیقه من وظیفة الآمر، کقیام الإجماع علی اعتبار العدالة فی المجتهد، و بین ما إذا لم یکن کذلک، کما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حیث یعلم أنّ الحکم لا یعمّ من کان مؤمناً منهم، و لکن إحراز أن لا مؤمن فی بنی امیة من وظیفة المتکلّم؛ حیث لا یصحّ له إلقاء مثل هذا العموم إلّا بعد إحرازه</w:t>
      </w:r>
      <w:r>
        <w:rPr>
          <w:rFonts w:eastAsia="IRNazanin" w:cs="IRNazanin"/>
          <w:color w:val="111111"/>
          <w:sz w:val="28"/>
          <w:szCs w:val="28"/>
          <w:rtl w:val="true"/>
          <w:lang w:bidi="fa-IR"/>
        </w:rPr>
        <w:t>.</w:t>
      </w:r>
      <w:bookmarkStart w:id="251" w:name="pg12907_206643"/>
    </w:p>
    <w:p>
      <w:pPr>
        <w:pStyle w:val="BookText"/>
        <w:rPr/>
      </w:pPr>
      <w:bookmarkEnd w:id="251"/>
      <w:r>
        <w:rPr>
          <w:rFonts w:ascii="IRNazanin" w:hAnsi="IRNazanin" w:eastAsia="IRNazanin"/>
          <w:color w:val="111111"/>
          <w:sz w:val="28"/>
          <w:sz w:val="28"/>
          <w:szCs w:val="28"/>
          <w:rtl w:val="true"/>
          <w:lang w:bidi="fa-IR"/>
        </w:rPr>
        <w:t>و لو فرض أنّا علمنا من الخارج أنّ خالد بن سعید کان مؤمناً کان ذلک موجباً لعدم اندراجه تحت العموم، فلو شککنا فی إیمان أحد فاللازم جواز لعنه؛ استکشافاً من العموم، و أنّ المتکلّم أحرز ذلک؛ حیث إنّه وظیفته</w:t>
      </w:r>
      <w:r>
        <w:rPr>
          <w:rStyle w:val="FootnoteAnchor"/>
          <w:rtl w:val="true"/>
        </w:rPr>
        <w:footnoteReference w:id="2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ابن سعید إن کان لخصوصیة قائمة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لأجل انطباق عنوان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غیره یرجع إلی الشکّ فی تخصیص زائد، فیخرج عن محلّ البحث؛ لأنّ البحث فی الشبهة المصداقیة للمخصّص، و إن کان لأجل انطباق عنوان المؤمن علیه فالکلام فیه هو الکلام فی غیره؛ من سقوط أصالة الجدّ فی المؤمن لأجل تردّد الفرد بین کونه مصداقاً جدّیاً للعامّ أو لغیره</w:t>
      </w:r>
      <w:r>
        <w:rPr>
          <w:rFonts w:eastAsia="IRNazanin" w:cs="IRNazanin"/>
          <w:color w:val="111111"/>
          <w:sz w:val="28"/>
          <w:szCs w:val="28"/>
          <w:rtl w:val="true"/>
          <w:lang w:bidi="fa-IR"/>
        </w:rPr>
        <w:t>.</w:t>
      </w:r>
    </w:p>
    <w:p>
      <w:pPr>
        <w:pStyle w:val="Heading4"/>
        <w:numPr>
          <w:ilvl w:val="3"/>
          <w:numId w:val="1"/>
        </w:numPr>
        <w:rPr/>
      </w:pPr>
      <w:bookmarkStart w:id="252" w:name="__RefHeading___Toc3346404_3224264995"/>
      <w:bookmarkStart w:id="253" w:name="_Toc95"/>
      <w:bookmarkEnd w:id="252"/>
      <w:r>
        <w:rPr>
          <w:rtl w:val="true"/>
        </w:rPr>
        <w:t>تنبیهات</w:t>
      </w:r>
      <w:bookmarkEnd w:id="253"/>
    </w:p>
    <w:p>
      <w:pPr>
        <w:pStyle w:val="Heading5"/>
        <w:numPr>
          <w:ilvl w:val="4"/>
          <w:numId w:val="1"/>
        </w:numPr>
        <w:rPr/>
      </w:pPr>
      <w:bookmarkStart w:id="254" w:name="__RefHeading___Toc3346406_3224264995"/>
      <w:bookmarkStart w:id="255" w:name="_Toc96"/>
      <w:bookmarkEnd w:id="254"/>
      <w:r>
        <w:rPr>
          <w:rtl w:val="true"/>
        </w:rPr>
        <w:t>التنبیه الأوّل</w:t>
      </w:r>
      <w:r>
        <w:rPr>
          <w:rtl w:val="true"/>
        </w:rPr>
        <w:t xml:space="preserve">: </w:t>
      </w:r>
      <w:r>
        <w:rPr>
          <w:rtl w:val="true"/>
        </w:rPr>
        <w:t>التمسّک بالعامّ مع کون الخاصّ معلّلًا</w:t>
      </w:r>
      <w:bookmarkEnd w:id="255"/>
    </w:p>
    <w:p>
      <w:pPr>
        <w:pStyle w:val="BookText"/>
        <w:rPr/>
      </w:pPr>
      <w:r>
        <w:rPr>
          <w:rFonts w:ascii="IRNazanin" w:hAnsi="IRNazanin" w:eastAsia="IRNazanin"/>
          <w:color w:val="111111"/>
          <w:sz w:val="28"/>
          <w:sz w:val="28"/>
          <w:szCs w:val="28"/>
          <w:rtl w:val="true"/>
          <w:lang w:bidi="fa-IR"/>
        </w:rPr>
        <w:t xml:space="preserve">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منفصلًا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و عمراً و بکراً؛ لأنّهم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التمسّک هنا بالعامّ فی الفرد المشکوک أو لا؟</w:t>
      </w:r>
    </w:p>
    <w:p>
      <w:pPr>
        <w:pStyle w:val="BookText"/>
        <w:rPr/>
      </w:pPr>
      <w:r>
        <w:rPr>
          <w:rFonts w:ascii="IRNazanin" w:hAnsi="IRNazanin" w:eastAsia="IRNazanin"/>
          <w:color w:val="111111"/>
          <w:sz w:val="28"/>
          <w:sz w:val="28"/>
          <w:szCs w:val="28"/>
          <w:rtl w:val="true"/>
          <w:lang w:bidi="fa-IR"/>
        </w:rPr>
        <w:t>الظاهر،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لأنّ تعلیله بکونهم فسّاقاً یعطی أنّ المخرج هو العنوان دون الأشخاص مستقلّة، و یأتی فیه ما قدّمناه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التمسّک بالعامّ فیه؛ لأنّه من قبیل التخصیص الزائد لا الشبهة المصداقیة</w:t>
      </w:r>
      <w:r>
        <w:rPr>
          <w:rStyle w:val="FootnoteAnchor"/>
          <w:rtl w:val="true"/>
        </w:rPr>
        <w:footnoteReference w:id="238"/>
      </w:r>
      <w:r>
        <w:rPr>
          <w:rFonts w:ascii="Amiri" w:hAnsi="Amiri" w:eastAsia="Amiri" w:cs="Amiri"/>
          <w:color w:val="111111"/>
          <w:sz w:val="28"/>
          <w:sz w:val="28"/>
          <w:szCs w:val="28"/>
          <w:rtl w:val="true"/>
          <w:lang w:bidi="ar-SA"/>
        </w:rPr>
        <w:t>غیر تامّ، کما مرّ وجهه</w:t>
      </w:r>
      <w:r>
        <w:rPr>
          <w:rFonts w:eastAsia="Amiri" w:cs="Amiri" w:ascii="Amiri" w:hAnsi="Amiri"/>
          <w:color w:val="111111"/>
          <w:sz w:val="28"/>
          <w:szCs w:val="28"/>
          <w:rtl w:val="true"/>
          <w:lang w:bidi="ar-SA"/>
        </w:rPr>
        <w:t>.</w:t>
      </w:r>
      <w:bookmarkStart w:id="256" w:name="pg12907_206644"/>
    </w:p>
    <w:p>
      <w:pPr>
        <w:pStyle w:val="Heading5"/>
        <w:numPr>
          <w:ilvl w:val="4"/>
          <w:numId w:val="1"/>
        </w:numPr>
        <w:rPr/>
      </w:pPr>
      <w:bookmarkStart w:id="257" w:name="__RefHeading___Toc3346408_3224264995"/>
      <w:bookmarkStart w:id="258" w:name="_Toc97"/>
      <w:bookmarkEnd w:id="256"/>
      <w:bookmarkEnd w:id="257"/>
      <w:r>
        <w:rPr>
          <w:rtl w:val="true"/>
        </w:rPr>
        <w:t>التنبیه الثانی فی العامّین من وجه المتنافیی الحکم</w:t>
      </w:r>
      <w:bookmarkEnd w:id="258"/>
    </w:p>
    <w:p>
      <w:pPr>
        <w:pStyle w:val="BookText"/>
        <w:rPr/>
      </w:pPr>
      <w:r>
        <w:rPr>
          <w:rFonts w:ascii="IRNazanin" w:hAnsi="IRNazanin" w:eastAsia="IRNazanin"/>
          <w:color w:val="111111"/>
          <w:sz w:val="28"/>
          <w:sz w:val="28"/>
          <w:szCs w:val="28"/>
          <w:rtl w:val="true"/>
          <w:lang w:bidi="fa-IR"/>
        </w:rPr>
        <w:t>إذا تعلّق الحکم علی عنوانین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أحدهما حاکماً علی الآخر؛ فلا شبهة فی کونه من قبیل المخصّص، فلا یجوز التمسّک بالعامّ المحکوم فی الشبهة المصداقیة فی دلیل الحاکم؛ لعین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العامّین من وجه یشملهما أدلّة التعارض و قواعد الترجیح و قدّمنا أحدهما مع الترجیح،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قبیل المتزاحمین،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ناظر إلی مقام التزاحم، و کان حکمه إنشائیاً بالنسبة إلی المرجوح یکون حاله أیضاً حال المخصّص فی عدم جواز التمسّک مع الشبهة المصداقیة فی الراجح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الحکمین فی المتزاحمین فعلیان علی موضوعهما، و التزاحم الخارجی و عدم قدرة العبد علی إطاعتهما لا یوجب شأنیة الحکم فی المرجوح، بل العقل یحکم بکونه معذوراً فی امتثال کلیهما، من غیر تغییر فی ناحیة الحکم فالظاهر جواز التمسّک فی مورد الشکّ فی انطباق الدلیل المزاحم الذی هو أقوی ملاکاً؛ لأنّ الحکم الفعلی علی موضوعه حجّة علی المکلّف ما لم یحرز العذر القاطع، و لا یجوز عقلًا رفع الید عن الحکم الفعلی بلا حجّة، نظیر الشکّ فی القدرة؛ حیث لا یجوز التقاعد عن التکلیف الفعلی مع احتمال العجز</w:t>
      </w:r>
      <w:r>
        <w:rPr>
          <w:rFonts w:eastAsia="IRNazanin" w:cs="IRNazanin"/>
          <w:color w:val="111111"/>
          <w:sz w:val="28"/>
          <w:szCs w:val="28"/>
          <w:rtl w:val="true"/>
          <w:lang w:bidi="fa-IR"/>
        </w:rPr>
        <w:t>.</w:t>
      </w:r>
      <w:bookmarkStart w:id="259" w:name="pg12907_206645"/>
    </w:p>
    <w:p>
      <w:pPr>
        <w:pStyle w:val="Heading5"/>
        <w:numPr>
          <w:ilvl w:val="4"/>
          <w:numId w:val="1"/>
        </w:numPr>
        <w:rPr/>
      </w:pPr>
      <w:bookmarkStart w:id="260" w:name="__RefHeading___Toc3346410_3224264995"/>
      <w:bookmarkStart w:id="261" w:name="_Toc98"/>
      <w:bookmarkEnd w:id="259"/>
      <w:bookmarkEnd w:id="260"/>
      <w:r>
        <w:rPr>
          <w:rtl w:val="true"/>
        </w:rPr>
        <w:t>التنبیه الثالث فی إحراز المشتبه بالأصل الموضوعی</w:t>
      </w:r>
      <w:bookmarkEnd w:id="261"/>
    </w:p>
    <w:p>
      <w:pPr>
        <w:pStyle w:val="Heading6"/>
        <w:numPr>
          <w:ilvl w:val="5"/>
          <w:numId w:val="1"/>
        </w:numPr>
        <w:rPr/>
      </w:pPr>
      <w:bookmarkStart w:id="262" w:name="__RefHeading___Toc3346412_3224264995"/>
      <w:bookmarkStart w:id="263" w:name="_Toc99"/>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بعد البناء علی عدم جواز التمسّک بالعامّ فی الشبهة المصداقیة یقع الکلام فی أنّه هل یمکن إحراز المصداق بالأصل و إجراء حکم العامّ علیه مطلقاً، أو لا مطلقاً، أو تفصیل بین المقامات؟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المخصّص هو إخراج الفرد الخاصّ مع بقاء العامّ علی تمامیة موضوعه بالنسبة إلی الباقی، من دون انقلاب الموضوع عمّا هو علیه؛ إذ إخراج الفرد نظیر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یبقی مجال لجریان الأصل؛ إذ الأصل السلبی لیس شأنه إلّا نفی حکم الخاصّ عنه لا إثبات حکم العامّ له، و نفی أحد الحکمین لا یثبت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الشکّ فی مخالفة الشرط أو الصلح للکتاب أمکن دعوی أنّه من الشبهة المصداقیة الناشئة عن الجهل بالمخالفة، الذی کان أمر رفعه بید المولی، و فی مثله لا بأس بالتمسّک بالعامّ، من غیر احتیاج إلی الأصل</w:t>
      </w:r>
      <w:r>
        <w:rPr>
          <w:rStyle w:val="FootnoteAnchor"/>
          <w:rtl w:val="true"/>
        </w:rPr>
        <w:footnoteReference w:id="2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قوله إنّ التخصیص لا یعطی عنواناً زائداً علی الموجود فی نفس العامّ، عدم حدوث انقلاب فی موضوع العامّ بحسب الظهور فهو حقّ لا غبار علیه؛ إذ هذا هو الفرق بین التخصیص بالمنفصل و بین المتّصل منها و التقیید؛ فإنّ شأن الأخیرین إعطاء قید زائد علی الموجود فی الدلیل الأوّل، و لکن ذلک لا یمنع عن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الموضوع باقٍ علی سعته بحسب الواقع و الإرادة الجدّیة أیضاً فهو ممنوع جدّاً؛ إذ التخصیص یکشف عن أنّ الحکم الجدّی تعلّق بالعالم غیر الفاسق أو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المقام بموت الفرد غریب؛ لعدم کون الدلیل ناظراً إلی حالات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اخترام المنیة لبعض الأفراد لا یوجب تقییداً أو تخصیصاً فی الأدلّة، بخلاف إخراج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ذیل کلامه من جواز التمسّک فی الشبهة المصداقیة لمخالفة الکتاب؛ مستدلًّا بأنّ رفعها بید المولی؛ إذ لو کان الشکّ راجعاً إلی الشبهة المصداقیة فلیس رفعها بید المولی؛ لأنّ الشبهة عرضت من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المثالین من باب المخصّص المتّصل؛ لاتّصال المخصّص 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إلا ما حرم حلالا أو أحل حراما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 إلا صلحا أحل حراما أو حرم حلالا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لا یجوز التمسّک فیه بالعامّ بلا إشکال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القائل بجریانه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القرشیة و النبطیة من أوصاف الشی‌ء فی الوجود الخارجی؛ لأنّها التولّد من ماء من هو منتسب إلیهم، فلک أن تشیر إلی ماهیة المرأة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لم تکن قرشیة قبل وجودها، فیستصحب عدمها و یترتّب علیه حکم العامّ؛ لأنّ الخارج من العامّ المرأة التی من قریش، و التی لم تکن منه بقیت تحته، فیحرز موضوع حکم العامّ بالأصل</w:t>
      </w:r>
      <w:r>
        <w:rPr>
          <w:rStyle w:val="FootnoteAnchor"/>
          <w:rtl w:val="true"/>
        </w:rPr>
        <w:footnoteReference w:id="2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آخر فی تقریبه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شامل لجمیع العناوین، و ما خرج منه هو عنوان خاصّ و بقی سائرها تحته، فمع استصحاب عدم انتساب المرأة إلی قریش أو عدم قرشیتها ینقّح موضوع العامّ</w:t>
      </w:r>
      <w:r>
        <w:rPr>
          <w:rStyle w:val="FootnoteAnchor"/>
          <w:rtl w:val="true"/>
        </w:rPr>
        <w:footnoteReference w:id="2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تقریبه أیضاً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عرض فی موضوع الحکم بنحو النعتیة و مفاد کان الناقصة لا یقتضی أخذ عدمه نعتاً فی موضوع عدم ذلک الحکم؛ ضرورة أنّ ارتفاع الموضوع المقیّد بما هو مفاد کان الناقصة إنّما یکون بعدم اتّصاف الذات بذلک القید علی نحو السالبة المحصّلة لا علی نحو لیس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فمفاد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تحیض إلی خمسین إلّا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المرأة التی لا تکون متّصفة بکونها من قریش تحیض إلی خمسین، لا المرأة المتّصفة بأن لا تکون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الاولی سالبة محصّلة و الثانیة مفاد لیس الناقص، فلا مانع من جریان الأصل لإحراز موضوع العامّ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التعرّض لکلّ ما قیل فی المقام أو جلّه یوجب السأمة و الملال، و الأولی صرف عنان الکلام إلی ما هو المختار علی وجه یظهر الخلل فی کثیر من التقریبات التی أفادها الأعلام الکبار، و سیوافیک تفصیل القول فی مباحث البراءة و الاشتغال، بإذنه و توفیقه سبحانه</w:t>
      </w:r>
      <w:r>
        <w:rPr>
          <w:rFonts w:eastAsia="IRNazanin" w:cs="IRNazanin"/>
          <w:color w:val="111111"/>
          <w:sz w:val="28"/>
          <w:szCs w:val="28"/>
          <w:rtl w:val="true"/>
          <w:lang w:bidi="fa-IR"/>
        </w:rPr>
        <w:t>.</w:t>
      </w:r>
      <w:bookmarkStart w:id="264" w:name="pg12907_206648"/>
    </w:p>
    <w:p>
      <w:pPr>
        <w:pStyle w:val="Heading6"/>
        <w:numPr>
          <w:ilvl w:val="5"/>
          <w:numId w:val="1"/>
        </w:numPr>
        <w:rPr/>
      </w:pPr>
      <w:bookmarkStart w:id="265" w:name="__RefHeading___Toc3346414_3224264995"/>
      <w:bookmarkStart w:id="266" w:name="_Toc100"/>
      <w:bookmarkEnd w:id="264"/>
      <w:bookmarkEnd w:id="265"/>
      <w:r>
        <w:rPr>
          <w:rtl w:val="true"/>
        </w:rPr>
        <w:t>مقتضی التحقیق فی المقام</w:t>
      </w:r>
      <w:bookmarkEnd w:id="266"/>
    </w:p>
    <w:p>
      <w:pPr>
        <w:pStyle w:val="Heading6"/>
        <w:numPr>
          <w:ilvl w:val="5"/>
          <w:numId w:val="1"/>
        </w:numPr>
        <w:rPr/>
      </w:pPr>
      <w:bookmarkStart w:id="267" w:name="__RefHeading___Toc3346416_3224264995"/>
      <w:bookmarkStart w:id="268" w:name="_Toc101"/>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الحقّ یتوقّف علی بیان مقدّمات نافعة فی استنتاجه</w:t>
      </w:r>
      <w:r>
        <w:rPr>
          <w:rFonts w:eastAsia="IRNazanin" w:cs="IRNazanin"/>
          <w:color w:val="111111"/>
          <w:sz w:val="28"/>
          <w:szCs w:val="28"/>
          <w:rtl w:val="true"/>
          <w:lang w:bidi="fa-IR"/>
        </w:rPr>
        <w:t>:</w:t>
      </w:r>
    </w:p>
    <w:p>
      <w:pPr>
        <w:pStyle w:val="Heading6"/>
        <w:numPr>
          <w:ilvl w:val="5"/>
          <w:numId w:val="1"/>
        </w:numPr>
        <w:rPr/>
      </w:pPr>
      <w:bookmarkStart w:id="269" w:name="__RefHeading___Toc3346418_3224264995"/>
      <w:bookmarkStart w:id="270" w:name="_Toc102"/>
      <w:bookmarkEnd w:id="269"/>
      <w:r>
        <w:rPr>
          <w:rtl w:val="true"/>
        </w:rPr>
        <w:t>الاولی</w:t>
      </w:r>
      <w:r>
        <w:rPr>
          <w:rtl w:val="true"/>
        </w:rPr>
        <w:t xml:space="preserve">: </w:t>
      </w:r>
      <w:r>
        <w:rPr>
          <w:rtl w:val="true"/>
        </w:rPr>
        <w:t>فی أقسام القضایا بلحاظ النسبة</w:t>
      </w:r>
      <w:bookmarkEnd w:id="270"/>
    </w:p>
    <w:p>
      <w:pPr>
        <w:pStyle w:val="BookText"/>
        <w:rPr/>
      </w:pPr>
      <w:r>
        <w:rPr>
          <w:rFonts w:ascii="IRNazanin" w:hAnsi="IRNazanin" w:eastAsia="IRNazanin"/>
          <w:color w:val="111111"/>
          <w:sz w:val="28"/>
          <w:sz w:val="28"/>
          <w:szCs w:val="28"/>
          <w:rtl w:val="true"/>
          <w:lang w:bidi="fa-IR"/>
        </w:rPr>
        <w:t>تقدّم القول فی أنّ القوم قد أرسلوا اشتمال القضایا علی النسبة فی الموجبات و السوالب بأقسامها إرسال المسلّمات، و بنوا علیه ما بنوا، 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إذ الحملیة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حملیة حقیقیة غیر مأوّلة؛ و هی ما یحمل فیها المحمول علی موضوعه بلا أداة تتوسّط بینهما،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حملیة مأوّلة؛ و هی علی خلاف الاولی تتوسّط بینهما الأداة،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یشتمل علی النسبة مطلقاً؛ لا علی الکلامیة و لا علی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الحمل أوّلیاً أو شائعاً صناعیاً، أو یکون الحمل علی المصداق بالذات أو بالعرض، کما لا فرق بین الموجبات و السوالب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الهیئة تدلّ فی الموجبة علی الهوهویة التصدیقیة و فی السالبة علی سلب الهوهویة کذلک، و قد تقدّم براهین ذلک کلّه عند البحث عن الهیئات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یشتمل علی النسبة؛ خارجیة و کلامیة و ذهنیة، لکن فی الموجبات تدلّ علی تحقّق النسبة خارجاً،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bookmarkStart w:id="271" w:name="pg12907_206649"/>
    </w:p>
    <w:p>
      <w:pPr>
        <w:pStyle w:val="BookText"/>
        <w:rPr/>
      </w:pPr>
      <w:bookmarkEnd w:id="271"/>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من الحملیات المأوّلة، کما أنّ السوالب منها باعتبار تخلّل أداة النسبة و ورود حرف السلب علیها تدلّ علی سلب النسبة، و تحکی عن عدم تحقّقها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الکون الرابط أو النسبة یختصّ من بین القضایا بموجبات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الحملیة المأوّلة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السوالب من هذا القسم و القسم الأوّل بکلا نوعیه فلا تشتمل علیها؛ لما تقدّم فی محلّه</w:t>
      </w:r>
      <w:r>
        <w:rPr>
          <w:rStyle w:val="FootnoteAnchor"/>
          <w:rtl w:val="true"/>
        </w:rPr>
        <w:footnoteReference w:id="246"/>
      </w:r>
      <w:r>
        <w:rPr>
          <w:rFonts w:ascii="IRNazanin" w:hAnsi="IRNazanin" w:eastAsia="IRNazanin"/>
          <w:color w:val="111111"/>
          <w:sz w:val="28"/>
          <w:sz w:val="28"/>
          <w:szCs w:val="28"/>
          <w:rtl w:val="true"/>
          <w:lang w:bidi="fa-IR"/>
        </w:rPr>
        <w:t>من امتناع تحقّق النسبة بین الشی‌ء و نفسه و الشی‌ء و ذاتیاته کما فی الأوّلیات، و الشی‌ء و ما یتّحد معه کما فی الصناعیات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السوالب فهی لسلب النسبة أو نفی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خالیة عنها، کما لا یخفی</w:t>
      </w:r>
      <w:r>
        <w:rPr>
          <w:rFonts w:eastAsia="IRNazanin" w:cs="IRNazanin"/>
          <w:color w:val="111111"/>
          <w:sz w:val="28"/>
          <w:szCs w:val="28"/>
          <w:rtl w:val="true"/>
          <w:lang w:bidi="fa-IR"/>
        </w:rPr>
        <w:t>.</w:t>
      </w:r>
    </w:p>
    <w:p>
      <w:pPr>
        <w:pStyle w:val="Heading6"/>
        <w:numPr>
          <w:ilvl w:val="5"/>
          <w:numId w:val="1"/>
        </w:numPr>
        <w:rPr/>
      </w:pPr>
      <w:bookmarkStart w:id="272" w:name="__RefHeading___Toc3346420_3224264995"/>
      <w:bookmarkStart w:id="273" w:name="_Toc103"/>
      <w:bookmarkEnd w:id="272"/>
      <w:r>
        <w:rPr>
          <w:rtl w:val="true"/>
        </w:rPr>
        <w:t>الثانیة</w:t>
      </w:r>
      <w:r>
        <w:rPr>
          <w:rtl w:val="true"/>
        </w:rPr>
        <w:t xml:space="preserve">: </w:t>
      </w:r>
      <w:r>
        <w:rPr>
          <w:rtl w:val="true"/>
        </w:rPr>
        <w:t>فی بیان ما یوجب کون الکلام محتملًا للصدق و الکذب و مناطهما</w:t>
      </w:r>
      <w:bookmarkEnd w:id="273"/>
    </w:p>
    <w:p>
      <w:pPr>
        <w:pStyle w:val="BookText"/>
        <w:rPr/>
      </w:pPr>
      <w:r>
        <w:rPr>
          <w:rFonts w:ascii="IRNazanin" w:hAnsi="IRNazanin" w:eastAsia="IRNazanin"/>
          <w:color w:val="111111"/>
          <w:sz w:val="28"/>
          <w:sz w:val="28"/>
          <w:szCs w:val="28"/>
          <w:rtl w:val="true"/>
          <w:lang w:bidi="fa-IR"/>
        </w:rPr>
        <w:t>و فیها نتعرّض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هو مناط احتمال الصدق و الکذب، و ما یوجب کون الکلام محتملًا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ذلک هو الحکایة التصدیقیة لا التصوّریة؛ سواء تعلّقت بالهوهویة إثباتاً و نفیاً أم بالکون الرابط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الحکایة التصدیقیة التی تفید فائدة تامّة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بالهوهویة و أنّ هذا ذاک تصدیقاً، أو سلب الهوهویة و نفی أنّ هذا ذاک بنحو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بالکون الرابط بنحو الإثبات،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بنحو النفی،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فالمناط فی احتمال الصدق و الکذب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خلی الکلام عن تلک الحکایة التصدیقیة فینتفی مناط الاحتمال؛ سواء دلّ علی الاتّحاد التصوّری نحو زید العالم، أو علی النسبة التصوّریة کما فی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مناط صدق القضایا و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مناطه ما دارج بینهم من تطابق النسبة الکلامیة مع النسبة الواقعیة؛ ضرورة عدم إمکان اشتمال الحملیات غیر المأوّلة علی النسبة مطلقاً، و کذا السوالب من المأوّلة مع وجود الصدق و الکذب فیهما، بل مناطه هو مطابقة الحکایة لنفس الأمر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یلاحظ الواقع بمراتبه و عرضه العریض؛ فإن طابق المحکی فهو صادق و إلّا فهو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فإنّ الأوّل یحکی حکایة تصدیقیة عن الهوهویة بینهما، و المحکی أیضاً کذلک، و الثانی یحکی تصدیقاً عن عروض الوجود و نفس الأمر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أنّها لیس للأعدام مصداق واقعی فمناط الصدق و الکذب مطابقة الحکایة التصدیقیة لنفس الأمر؛ بمعنی لزوم کون الحکایة عن سلب الهوهویة أو سلب الکون الرابط مطابقاً للواقع، لا بمعنی أنّ لمحکیها نحو واقعیة بحسب نفس الأمر؛ ضرورة عدم واقعیة للأعدام، بل بمعنی خلوّ صحیفة الوجود عن الهوهویة و النسبة و عدم وجود لواحد منهما فی مراتب نفس الأمر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فعدم مصداق واقعی للهوهویة و النسبة مناط لصدقها، و اشتمال الوجود علی واحد منها مناط کذب ما یدلّ علی نفیه</w:t>
      </w:r>
      <w:r>
        <w:rPr>
          <w:rFonts w:eastAsia="IRNazanin" w:cs="IRNazanin"/>
          <w:color w:val="111111"/>
          <w:sz w:val="28"/>
          <w:szCs w:val="28"/>
          <w:rtl w:val="true"/>
          <w:lang w:bidi="fa-IR"/>
        </w:rPr>
        <w:t>.</w:t>
      </w:r>
      <w:bookmarkStart w:id="274" w:name="pg12907_206651"/>
    </w:p>
    <w:p>
      <w:pPr>
        <w:pStyle w:val="BookText"/>
        <w:rPr/>
      </w:pPr>
      <w:bookmarkEnd w:id="274"/>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شریک البارئ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صادقاً؛ لخلوّ صحیفة الوجود عنه، و المفروض أنّ الحکایة عن خلوّه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فالحکایة مطابقة لنفس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الإیجاب العدولی لصار کاذباً؛ لأنّ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محصّلة کانت أو 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فی صدقها إلی وجود موضوع فی ظرف الإخبار، و هو هنا مفقود، إلّا أن یؤوّل بالسالبة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محیص عن التأویل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مناط الصدق و الکذب فی لوازم الماهیة فلیس معناه أنّ لکلّ من اللازم و الملزوم محصّلًا مع قطع النظر عن الوجود، بل معناه أنّ الإنسان عند تصوّر الأربعة یجد معه فی تلک المرتبة زوجیتها، مع الغفلة عن وجود الأربعة فی الذهن، و یری بینهما التلازم مع الغفلة عن التحصّل الذهنی، فیستکشف من ذلک أنّ الوجود الذهنی دخیل فی ظهور الملازمة، لا فی لزومها حتّی یکون من قبیل لازم الوجودین</w:t>
      </w:r>
      <w:r>
        <w:rPr>
          <w:rFonts w:eastAsia="IRNazanin" w:cs="IRNazanin"/>
          <w:color w:val="111111"/>
          <w:sz w:val="28"/>
          <w:szCs w:val="28"/>
          <w:rtl w:val="true"/>
          <w:lang w:bidi="fa-IR"/>
        </w:rPr>
        <w:t>.</w:t>
      </w:r>
    </w:p>
    <w:p>
      <w:pPr>
        <w:pStyle w:val="Heading6"/>
        <w:numPr>
          <w:ilvl w:val="5"/>
          <w:numId w:val="1"/>
        </w:numPr>
        <w:rPr/>
      </w:pPr>
      <w:bookmarkStart w:id="275" w:name="__RefHeading___Toc3346422_3224264995"/>
      <w:bookmarkStart w:id="276" w:name="_Toc104"/>
      <w:bookmarkEnd w:id="275"/>
      <w:r>
        <w:rPr>
          <w:rtl w:val="true"/>
        </w:rPr>
        <w:t>الثالثة</w:t>
      </w:r>
      <w:r>
        <w:rPr>
          <w:rtl w:val="true"/>
        </w:rPr>
        <w:t xml:space="preserve">: </w:t>
      </w:r>
      <w:r>
        <w:rPr>
          <w:rtl w:val="true"/>
        </w:rPr>
        <w:t>فی القضایا المفتقرة إلی وجود الموضوع</w:t>
      </w:r>
      <w:bookmarkEnd w:id="276"/>
    </w:p>
    <w:p>
      <w:pPr>
        <w:pStyle w:val="BookText"/>
        <w:rPr/>
      </w:pPr>
      <w:r>
        <w:rPr>
          <w:rFonts w:ascii="IRNazanin" w:hAnsi="IRNazanin" w:eastAsia="IRNazanin"/>
          <w:color w:val="111111"/>
          <w:sz w:val="28"/>
          <w:sz w:val="28"/>
          <w:szCs w:val="28"/>
          <w:rtl w:val="true"/>
          <w:lang w:bidi="fa-IR"/>
        </w:rPr>
        <w:t>و هی من أهمّ المقدّمات، ثمّ أنّ القضیة تنقسم إلی الموجبة و السالبة و کلّ واحدة منهما إلی البسیطة و المرکّبة، و الکلّ إلی المحصّلة و المعدولة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فبما أنّ ثبوت شی‌ء لشی‌ء فرع ثبوت المثبت له فلا محیص فی الموجبة من وجود موضوع فی ظرف ثبوت الحکم حتّی یصحّ الحکم و یحکم بالصدق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 من القاعدة الفرعیة حکم بتّی لا یقبل التخصیص، فلا فرق بین أن یکون الثابت أمراً وجودیاً کما فی الموجبة المحصّلة، أو أمراً غیر وجودی کما فی الموجبة المعدولة،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یجعل فیه السالبة المحصّلة نعتاً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زید هو الذی لیس بقائم</w:t>
      </w:r>
      <w:r>
        <w:rPr>
          <w:rFonts w:eastAsia="IRNazanin" w:cs="IRNazanin"/>
          <w:color w:val="111111"/>
          <w:sz w:val="28"/>
          <w:szCs w:val="28"/>
          <w:rtl w:val="true"/>
          <w:lang w:bidi="fa-IR"/>
        </w:rPr>
        <w:t>.</w:t>
      </w:r>
      <w:bookmarkStart w:id="277" w:name="pg12907_206652"/>
    </w:p>
    <w:p>
      <w:pPr>
        <w:pStyle w:val="BookText"/>
        <w:rPr/>
      </w:pPr>
      <w:bookmarkEnd w:id="277"/>
      <w:r>
        <w:rPr>
          <w:rFonts w:ascii="IRNazanin" w:hAnsi="IRNazanin" w:eastAsia="IRNazanin"/>
          <w:color w:val="111111"/>
          <w:sz w:val="28"/>
          <w:sz w:val="28"/>
          <w:szCs w:val="28"/>
          <w:rtl w:val="true"/>
          <w:lang w:bidi="fa-IR"/>
        </w:rPr>
        <w:t>وجه عدم الفرق هو أنّه کما اعتبر الاتّحاد و الهوهویة بین زید و قائم فی الموجبة المحصّلة کذلک اعتبرت الهوهویة بین زید و عنوان اللاقیام؛ إذ لا بدّ من نحو تحقّق للمتّحدین فی ظرف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قلنا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المعدولة لا تعتبر إلّا إذا کانت الأعدام فیها من قبیل أعدام الملکات؛ حتّی یکون لملکاتها نحو تحقّق،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الجدار 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لتحقّق ما به الاتّحاد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الموجبة السالبة المحمول؛ إذ هی ترجع إلی نحو اتّحاد أو توصیف و له نحو ثبوت، فلا بدّ من نحو وجود حتّی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الموجبات تفتقر فی صدقها إلی وجود الموضوع فی جمیع أقسامها، و هو واضح</w:t>
      </w:r>
      <w:r>
        <w:rPr>
          <w:rFonts w:eastAsia="IRNazanin" w:cs="IRNazanin"/>
          <w:color w:val="111111"/>
          <w:sz w:val="28"/>
          <w:szCs w:val="28"/>
          <w:rtl w:val="true"/>
          <w:lang w:bidi="fa-IR"/>
        </w:rPr>
        <w:t>.</w:t>
      </w:r>
    </w:p>
    <w:p>
      <w:pPr>
        <w:pStyle w:val="Heading6"/>
        <w:numPr>
          <w:ilvl w:val="5"/>
          <w:numId w:val="1"/>
        </w:numPr>
        <w:rPr/>
      </w:pPr>
      <w:bookmarkStart w:id="278" w:name="__RefHeading___Toc3346424_3224264995"/>
      <w:bookmarkStart w:id="279" w:name="_Toc105"/>
      <w:bookmarkEnd w:id="278"/>
      <w:r>
        <w:rPr>
          <w:rtl w:val="true"/>
        </w:rPr>
        <w:t>الرابعة</w:t>
      </w:r>
      <w:r>
        <w:rPr>
          <w:rtl w:val="true"/>
        </w:rPr>
        <w:t xml:space="preserve">: </w:t>
      </w:r>
      <w:r>
        <w:rPr>
          <w:rtl w:val="true"/>
        </w:rPr>
        <w:t>ضرورة کون الموضوع فی الجملة الخبریة و الإنشائیة مفرداً</w:t>
      </w:r>
      <w:bookmarkEnd w:id="279"/>
    </w:p>
    <w:p>
      <w:pPr>
        <w:pStyle w:val="BookText"/>
        <w:rPr/>
      </w:pPr>
      <w:r>
        <w:rPr>
          <w:rFonts w:ascii="IRNazanin" w:hAnsi="IRNazanin" w:eastAsia="IRNazanin"/>
          <w:color w:val="111111"/>
          <w:sz w:val="28"/>
          <w:sz w:val="28"/>
          <w:szCs w:val="28"/>
          <w:rtl w:val="true"/>
          <w:lang w:bidi="fa-IR"/>
        </w:rPr>
        <w:t>إنّ موضوع الحکم فی الجملة الخبریة و الإنشائیة لا بدّ أن یکون مفرداً أو فی حکم المفرد؛ حتّی أنّ الشرطیة التی تتألّف من قضیتین تخرجان بذلک عن التمامیة و تصیران کالجمل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الحکایة عن موضوع الحکم فقط أو محموله کذلک لا بدّ أن تکون حکایة تصوّریة، کما أنّ الحکایة عن اتّحادهما أو حصول أحدهما فی الآخر لا بدّ أن تکون حکایة تصدیقیة، و هی الملاک لکون الجملة قضیة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الحکایة التصوّریة متقدّمة علی التصدیقیة؛ أعنی جعل الحکم علی الموضوع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کون الموضوع أمراً مفرداً أو مأوّلًا به؛ إذ لا تجتمع</w:t>
      </w:r>
      <w:bookmarkStart w:id="280" w:name="pg12907_206653"/>
    </w:p>
    <w:p>
      <w:pPr>
        <w:pStyle w:val="BookText"/>
        <w:rPr/>
      </w:pPr>
      <w:bookmarkEnd w:id="280"/>
      <w:r>
        <w:rPr>
          <w:rFonts w:ascii="IRNazanin" w:hAnsi="IRNazanin" w:eastAsia="IRNazanin"/>
          <w:color w:val="111111"/>
          <w:sz w:val="28"/>
          <w:sz w:val="28"/>
          <w:szCs w:val="28"/>
          <w:rtl w:val="true"/>
          <w:lang w:bidi="fa-IR"/>
        </w:rPr>
        <w:t>الحکایة التصوّریة مع التصدیقیة، و لا یجتمع النقص و التمام فی جملة واحدة و فی حال واحد؛ و لو بتکرّر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غیر عمرو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الحکایة التصدیقیة فیه إلّا عن مغایرة جملتین لا عن قیام زید و قعود عمرو، فلو قال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غیر لیس عمرو بقاعد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الموضوع و المحمول جملة ناقصة بالفعل، و إذا انحلّت القضیة خرج کلّ واحدة منهما من النقص، و صار قضیة تامّة موجبة محصّلة أو سالبة محصّلة، کما فی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صار سالبة معدولة أو موجبة سالبة المحمول،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لیست بقرشیة حکمها کذا</w:t>
      </w:r>
      <w:r>
        <w:rPr>
          <w:rFonts w:eastAsia="IRNazanin" w:cs="IRNazanin"/>
          <w:color w:val="111111"/>
          <w:sz w:val="28"/>
          <w:szCs w:val="28"/>
          <w:rtl w:val="true"/>
          <w:lang w:bidi="fa-IR"/>
        </w:rPr>
        <w:t>».</w:t>
      </w:r>
    </w:p>
    <w:p>
      <w:pPr>
        <w:pStyle w:val="Heading6"/>
        <w:numPr>
          <w:ilvl w:val="5"/>
          <w:numId w:val="1"/>
        </w:numPr>
        <w:rPr/>
      </w:pPr>
      <w:bookmarkStart w:id="281" w:name="__RefHeading___Toc3346426_3224264995"/>
      <w:bookmarkStart w:id="282" w:name="_Toc106"/>
      <w:bookmarkEnd w:id="281"/>
      <w:r>
        <w:rPr>
          <w:rtl w:val="true"/>
        </w:rPr>
        <w:t>الخامسة</w:t>
      </w:r>
      <w:r>
        <w:rPr>
          <w:rtl w:val="true"/>
        </w:rPr>
        <w:t xml:space="preserve">: </w:t>
      </w:r>
      <w:r>
        <w:rPr>
          <w:rtl w:val="true"/>
        </w:rPr>
        <w:t>فی اعتبارات موضوع العامّ المخصّص</w:t>
      </w:r>
      <w:bookmarkEnd w:id="282"/>
    </w:p>
    <w:p>
      <w:pPr>
        <w:pStyle w:val="BookText"/>
        <w:rPr/>
      </w:pPr>
      <w:r>
        <w:rPr>
          <w:rFonts w:ascii="Amiri" w:hAnsi="Amiri" w:eastAsia="Amiri" w:cs="Amiri"/>
          <w:color w:val="111111"/>
          <w:sz w:val="28"/>
          <w:sz w:val="28"/>
          <w:szCs w:val="28"/>
          <w:rtl w:val="true"/>
          <w:lang w:bidi="ar-SA"/>
        </w:rPr>
        <w:t>إنّه قد مرّ سابقاً</w:t>
      </w:r>
      <w:r>
        <w:rPr>
          <w:rStyle w:val="FootnoteAnchor"/>
          <w:rtl w:val="true"/>
        </w:rPr>
        <w:footnoteReference w:id="247"/>
      </w:r>
      <w:r>
        <w:rPr>
          <w:rFonts w:ascii="IRNazanin" w:hAnsi="IRNazanin" w:eastAsia="IRNazanin"/>
          <w:color w:val="111111"/>
          <w:sz w:val="28"/>
          <w:sz w:val="28"/>
          <w:szCs w:val="28"/>
          <w:rtl w:val="true"/>
          <w:lang w:bidi="fa-IR"/>
        </w:rPr>
        <w:t>أنّ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متّصلًا أم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تضیّق ما هو موضوع للعامّ بحسب الإرادة الجدّیة، و لا یمکن تعلّق الحکم الجدّی علی جمیع الأفراد، مع أنّه خصّصه بالإرادة الجدّیة علی أفراد مقیّدة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الامتناع لأجل تضادّ الحکمین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الغائلة ترتفع بتکثّر العنوان، بل لأجل أنّ الإرادة الجدّیة إذا تعلّقت بحرمة إکرام کلّ واحد من الفسّاق منهم یمتنع تعلّق إرادة اخری علی إکرام کلّ واحد من العلماء جدّاً بلا تخصیص، مع العلم بأنّ بعض العلماء فاسق، و یؤول ذلک الامتناع إلی امتناع نفس التکلیف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الملتفت بموضوع حکمه لا تتعلّق إرادته الجدّیة</w:t>
      </w:r>
    </w:p>
    <w:p>
      <w:pPr>
        <w:pStyle w:val="BookText"/>
        <w:rPr/>
      </w:pPr>
      <w:r>
        <w:rPr>
          <w:rFonts w:ascii="IRNazanin" w:hAnsi="IRNazanin" w:eastAsia="IRNazanin"/>
          <w:color w:val="111111"/>
          <w:sz w:val="28"/>
          <w:sz w:val="28"/>
          <w:szCs w:val="28"/>
          <w:rtl w:val="true"/>
          <w:lang w:bidi="fa-IR"/>
        </w:rPr>
        <w:t>علی الحکم به إلّا بعد تحقّق المقتضی و عدم المانع، فإذا رأی أنّ فی إکرام عدول العلماء مصلحة بلا مفسدة، و فی إکرام فسّاق العلماء مفسدة ملزمة أو لیست فیه مصلحة فلا محالة تتضیّق إرادته و تتعلّق بإکرام عدولهم أو ما عدا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بباب التزاحم؛ إذ المولی لم یحرز فی الأفراد المخصّصة مصلحة، بل ربّما أحرز مفسدة فی إکرامهم، فلا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الحکم فی حقّهم، بخلاف باب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یسقط ما ربّما یقال من أنّ المزاحمة فی مقام العمل لا توجب رفع فعلیة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العامّ بحسب الإرادة الجدّیة بعد التخصیص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نحو العدم النعتی علی حذو لفظ العدول، کالعلماء غیر الفسّاق، و کالمرأة غیر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العدم النعتی علی حذو السالبة المحمول،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الذین لا یکونون فسّاقاً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لا تکون قرشیة تری الدم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العامّ علی حذو السالبة المحصّلة التی تصدق مع عدم موضوعها، کما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العالم فاسقاً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حکمه الإیجابی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فیما إذا لم یکن للعالم وجود أصلًا، کما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تکن المرأة قرشیة تری الدم إلی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فیصدق موضوعه مع قطع النظر عن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تکن المرأة موجودة رأساً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الوجوه المتصوّرة، و لکن لا سبیل إلی الثالث؛ إذ جعل الحکم</w:t>
      </w:r>
    </w:p>
    <w:p>
      <w:pPr>
        <w:pStyle w:val="BookText"/>
        <w:rPr/>
      </w:pPr>
      <w:r>
        <w:rPr>
          <w:rFonts w:ascii="IRNazanin" w:hAnsi="IRNazanin" w:eastAsia="IRNazanin"/>
          <w:color w:val="111111"/>
          <w:sz w:val="28"/>
          <w:sz w:val="28"/>
          <w:szCs w:val="28"/>
          <w:rtl w:val="true"/>
          <w:lang w:bidi="fa-IR"/>
        </w:rPr>
        <w:t>الإیجابی علی المعدوم بما هو معدوم غیر معقول، و الحکایة بالإیجاب عن موضوع معدوم حکایة عن أمر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فالسالبة المحصّلة بما أنّها تصدق بانتفاء الموضوع أیضاً یمتنع أن یقع موضوعاً لحکم إیجابی؛ إذ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تکن المرأة قرشیة تری الدم إلی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بنحو السلب التحصیلی الصادق مع سلب موضوعه یرجع مغزاه إلی أنّ المرأة التی لم توجد أیضاً تری الدم، فلا محیص عن فرض وجود الموضوع، فیکون الحکم متعلّقاً بالمرأة الموجودة إذا لم تکن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فالاعتبارات التی یمکن أخذها قیداً لموضوع العامّ المخصّص أحد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النعتی العدولی، و السالبة المحمول، و السالبة المحصّلة، بشرط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الموضوع و إلّا یلزم جعل الحکم علی المعدوم، و عدم إرجاعه إلی التقیید و النعت و إلّا یرجع إلی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مهّدناه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الفرد الموجود متّصفاً بعنوان العامّ و غیر متّصف بعنوان الخاصّ سابقاً؛ بحیث کان عالماً غیر فاسق، فشکّ بعد برهة من الزمن فی انقلاب أحد القیدین إلی ضدّه فلا إشکال فی أنّه یجری الأصل و یحرز به عنوان العامّ بما هو حجّة؛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فیما إذا کان العلم بعدالته مقارناً للعلم بأنّه عالم، بأن نعلم أنّه کان قبل سنة عالماً و عادلًا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علمنا أنّ زیداً کان غیر فاسق، و شککنا فی بقاء عدمه النعتی، و لکن لم یکن علمه فی حال عدم فسقه متیقّناً حتّی یکون المعلوم عندنا کونه العالم غیر الفاسق، بل علم أنّه عالم فی الحال فلا یمکن حینئذٍ إحراز موضوع العامّ بالأصل و الوجدان، إلّا علی القول بحجّیة الاصول المثبتة؛ لأنّ استصحاب عدم کون زید</w:t>
      </w:r>
    </w:p>
    <w:p>
      <w:pPr>
        <w:pStyle w:val="BookText"/>
        <w:rPr/>
      </w:pPr>
      <w:r>
        <w:rPr>
          <w:rFonts w:ascii="IRNazanin" w:hAnsi="IRNazanin" w:eastAsia="IRNazanin"/>
          <w:color w:val="111111"/>
          <w:sz w:val="28"/>
          <w:sz w:val="28"/>
          <w:szCs w:val="28"/>
          <w:rtl w:val="true"/>
          <w:lang w:bidi="fa-IR"/>
        </w:rPr>
        <w:t>فاسقاً أو کونه غیر فاسق، مع العلم بأنّه عالم فی الحال یلزمه عقلًا أنّ زیداً العالم غیر فاسق علی نحو النعت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موضوعه هو العالم المتّصف بعدم کونه فاسقاً، فجزؤه عدم نعتی للعالم بما هو عالم، و هو غیر مسبوق بالیقین، و ما هو مسبوق به هو زید المتّصف بعدم الفسق لا العالم، و هو لیس جزءه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العدم النعتی لعنوان لا یثبت العدم النعتی لعنوان متّحد معه إلّا بحکم العقل، و هو أصل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العلم بأنّ زیداً العالم فی الحال لم یکن فاسقاً بنحو السلب التحصیلی لا یفید؛ لعدم کونه بهذا الاعتبار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إحراز جزئی الموضوع بالأصل إذا شکّ فی علمه و عدالته مع العلم باتّصافه بهما سابقاً فی الجملة، لو لم یعلم اتّصافه بهما فی زمان واحد؛ حتّی یکون العالم غیر الفاسق مسبوقاً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فی صحّة الإحراز هو مسبوقیة العدم النعتی لعنوان العالم، لا العدم النعتی مطلقاً،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الأوصاف العرضیة المفارقة، و قد عرفت مناط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الاتّصاف اللااتّصاف من العناوین التی تلزم وجود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کالقابلیة اللاقابلیة للذبح فی الحیوان، و القرشیة اللاقرشیة فی المرأة، و المخالفة و عدمها للکتاب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یجری فیه الأصل لإحراز مصداق العامّ أو لا؟</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جریانه علی جمیع الوجوه المتصوّرة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الوصف من قبیل العدم النعتی بنحو العدول أو بنحو الموجبة السالبة المحمول فواضح؛ لأنّ کلًّا منهما یعدّ من أوصاف الموضوع و قیوده؛ بحیث تتّصف الموضوع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الاتّصاف و الصفة فرع کون الموضوع</w:t>
      </w:r>
    </w:p>
    <w:p>
      <w:pPr>
        <w:pStyle w:val="BookText"/>
        <w:rPr/>
      </w:pPr>
      <w:r>
        <w:rPr>
          <w:rFonts w:ascii="IRNazanin" w:hAnsi="IRNazanin" w:eastAsia="IRNazanin"/>
          <w:color w:val="111111"/>
          <w:sz w:val="28"/>
          <w:sz w:val="28"/>
          <w:szCs w:val="28"/>
          <w:rtl w:val="true"/>
          <w:lang w:bidi="fa-IR"/>
        </w:rPr>
        <w:t>موجوداً فی الخارج؛ لما مرّ من القاعدة الفرعیة؛ حتّی یتقیّد بأمر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إنّ الموضوع بعد التخصیص عبارة عن المرأة غیر القرشیة و الشرط غیر المخالف علی نحو الإیجاب العدولی، أو عبارة عن المرأة التی لیست بالقرشیة، و الشرط الذی لیس مخالفاً للکتاب بنحو السالبة المحمول، فلا محیص عن فرض وجود الموضوع حتّی یصحّ فی حقّه هذه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هذا الفرض غیر مسبوق بالیقین؛ إذ الفرد المشکوک کونها قرشیة أو لا، أو مخالفاً للکتاب أو لا لم تتعلّق به الیقین فی زمان بأنّه متّصف بغیر القرشیة، أو بأنّها لیست بقرشیة؛ کی یجرّ إلی حالة الشکّ؛ لأنّ هذه الأوصاف ملازمة لوجود الفرد من بدو نشوه لا ینفکّ عنه أصلًا، فهی إمّا تولدت قرشیة أو غیر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لو تأمّلت فی أمرین یسهل لک التصدیق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العدولی 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کونهما جملة ناقصة لأجل أخذهما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یحتاجان إلی الموضوع؛ فإنّه فی کلّ منهما یکون الموضوع متّصفاً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المرأة غیر القرشیة تتّصف بهذه الصفة کذلک المرأة التی لم تتّصف بالقرشیة أو لم تکن قرشیة موصوفة بوصف أنّها لم تتّصف بذلک أو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بالعدول و سلب المحمول غیر فارق فیما نحن فیه؛ إذ المرأة قبل وجودها کما لا تتّصف بأنّها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الاتّصاف بشی‌ء فرع وجود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تتّصف بأنّها هی التی لا تتّصف بها؛ لعین ما ذکر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من قبیل السلب التحصیلی ناشٍ من الخلط بین الموجبة السالبة المحمول و بین السالبة المحصّلة، و القید فی العامّ بعد التخصیص یتردّد بین التقیید بنحو الإیجاب العدولی و الموجبة السالبة المحمول، و لا یکون من قبیل</w:t>
      </w:r>
    </w:p>
    <w:p>
      <w:pPr>
        <w:pStyle w:val="BookText"/>
        <w:rPr/>
      </w:pPr>
      <w:r>
        <w:rPr>
          <w:rFonts w:ascii="IRNazanin" w:hAnsi="IRNazanin" w:eastAsia="IRNazanin"/>
          <w:color w:val="111111"/>
          <w:sz w:val="28"/>
          <w:sz w:val="28"/>
          <w:szCs w:val="28"/>
          <w:rtl w:val="true"/>
          <w:lang w:bidi="fa-IR"/>
        </w:rPr>
        <w:t>السلب التحصیلی؛ لأنّه لا یوجب تقییداً فی الموضوع، و المفروض ورود تقیید علی العامّ بحسب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حالة سابقة لهذا الموضوع المقیّد بأحد القیدین؛ لأنّ هذه المرأة المشکوک فیها لم یتعلّق بها العلم بکونها غیر قرشیة فی زمان بدو وجودها حتّی نشکّ فی بقائه، بل من أوّل وجودها مجهولة الحال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القید من قبیل السلب التحصیلی الذی لا یوجب تقییداً فی الموضوع فهو و إن کان لا یحتاج فی صدقه إلی وجود الموضوع؛ لعدم التقیید و الاتّصاف حتّی یحتاج إلی المقیّد و الموصوف إلّا أنّه یمتنع أن یقع موضوعاً لحکم إیجابی؛ أعنی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السلب التحصیلی یصدق بلا وجود موضوعه، فلا یعقل جعله موضوعاً لحکم 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لتعلّق الحکم الإیجابی علی العالم؛ مسلوباً عنه الفسق بالسلب التحصیلی الذی یصدق بلا وجود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أخذ الموضوع مفروض الوجود، فیکون العالم الموجود إذا لم یکن فاسقاً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علی القسمین الأوّلین من انتفاء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هذه المرأة لم تکن قرشیة قبل وجودها قول کاذب؛ إذ لا ماهیة قبل الوجود، و المعدوم المطلق لا یمکن الإشارة إلیه؛ لا حسّاً و لا عقلًا، فلا تکون هذه المرأة قبل وجودها هذه المرأة، بل تلک الإشارة من مخترعات الخیال و أکاذیبها، فلا تتّحد القضیة المتیقّنة مع القضیة المشکوک فیها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صحّة الاستصحاب منوطة بوحدتهما، و هذا الشرط مفقودة فی المقام؛ لأنّ المرأة المشار إلیها فی حال الوجود لیست موضوعة للقضیة المتیقّنة الحاکیة عن ظرف العدم؛ لما عرفت أنّ القضایا السالبة لا تحکی عن النسبة و الوجود</w:t>
      </w:r>
    </w:p>
    <w:p>
      <w:pPr>
        <w:pStyle w:val="BookText"/>
        <w:rPr/>
      </w:pPr>
      <w:r>
        <w:rPr>
          <w:rFonts w:ascii="IRNazanin" w:hAnsi="IRNazanin" w:eastAsia="IRNazanin"/>
          <w:color w:val="111111"/>
          <w:sz w:val="28"/>
          <w:sz w:val="28"/>
          <w:szCs w:val="28"/>
          <w:rtl w:val="true"/>
          <w:lang w:bidi="fa-IR"/>
        </w:rPr>
        <w:t>الرابط، و لا عن الهوهویة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للنسبة السلبیة واقعیة حتّی تکون القضیة 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فانتساب هذه المرأة إلی قریش مسلوب أزلًا، بمعنی مسلوبیة کلّ واحد من أجزاء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هذه المرأة و قریش و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مسلوبیة الانتساب عن هذه المرأة إلی قریش، و إلّا یلزم کون الأعدام متمایزة حال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المتیقّنة غیر المشکوک فیها، بل لو سلّم وحدتهما یکون الأصل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فالقضیتان مختلفتان؛ فما هو المتیقّن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هذه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باعتبار عدم وجودها، و المشکوک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کانت متّصفة بأنّها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هو عدم کون هذه المرأة قرشیة باعتبار سلب الموضوع، أو الأعمّ منه و من سلب المحمول، و استصحاب ذلک و إثبات الحکم للقسم المقابل أو للأخصّ مثبت؛ لأنّ انطباق العامّ علی الخاصّ فی ظرف الوجود عقلی، و هذا کاستصحاب بقاء الحیوان فی الدار، و إثبات حکم قسم منه بواسطة العلم بالانحصار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السالبة المتقیّدة بالوجود أخصّ من السالبة المحصّلة المطلقة، و استصحاب السلب المطلق العامّ الذی یلائم مع عدم الوجود لا یثبت الخاصّ المقیّد بالوجود و یعدّ من لوازمه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أمعنت النظر فی أحکام القضایا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المعدولة و السالبة المحمول و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 الأوّلین باعتبار وقوعهما وصفین لموضوع العامّ لا بدّ فیهما من وجود الموضوع،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w:t>
      </w:r>
      <w:bookmarkStart w:id="283" w:name="pg12907_206660"/>
    </w:p>
    <w:p>
      <w:pPr>
        <w:pStyle w:val="BookText"/>
        <w:rPr/>
      </w:pPr>
      <w:bookmarkEnd w:id="283"/>
      <w:r>
        <w:rPr>
          <w:rFonts w:ascii="IRNazanin" w:hAnsi="IRNazanin" w:eastAsia="IRNazanin"/>
          <w:color w:val="111111"/>
          <w:sz w:val="28"/>
          <w:sz w:val="28"/>
          <w:szCs w:val="28"/>
          <w:rtl w:val="true"/>
          <w:lang w:bidi="fa-IR"/>
        </w:rPr>
        <w:t>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الثالث باعتبار صدقه بلا وجود موضوعه لا یمکن أخذه موضوعاً لحکم إیجابی، و هو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یسهّل لک التصدیق بعدم جریان استصحاب الأعدام الأزلیة فی أمثال المقام مطلقاً؛ لعدم الحالة السابقة لهذا الأصل تارة، و کونه مثبتاً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الإشکال فیما أفاده بعض الأجلّة فی تعالیقه علی تقریراته، فراجع</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3346428_3224264995"/>
      <w:bookmarkStart w:id="285" w:name="_Toc107"/>
      <w:bookmarkEnd w:id="284"/>
      <w:r>
        <w:rPr>
          <w:rtl w:val="true"/>
        </w:rPr>
        <w:t>التنبیه الرابع إحراز حال الفرد بالعناوین الثانویة</w:t>
      </w:r>
      <w:bookmarkEnd w:id="285"/>
    </w:p>
    <w:p>
      <w:pPr>
        <w:pStyle w:val="BookText"/>
        <w:rPr/>
      </w:pPr>
      <w:r>
        <w:rPr>
          <w:rFonts w:ascii="IRNazanin" w:hAnsi="IRNazanin" w:eastAsia="IRNazanin"/>
          <w:color w:val="111111"/>
          <w:sz w:val="28"/>
          <w:sz w:val="28"/>
          <w:szCs w:val="28"/>
          <w:rtl w:val="true"/>
          <w:lang w:bidi="fa-IR"/>
        </w:rPr>
        <w:t xml:space="preserve">لا یجوز التمسّک بعموم وجوب الوفاء بالنذر إذا شکّ فی صحّة الوضوء بمائع مضاف؛ فضلًا عن دعوی کشف حال الفرد و الحکم بصحّته مطلقاً؛ لأنّ إطلاقات أدلّة النذر أو عموماتها مقیّدة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إلّا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یصیر متعلّق الإرادة الجدّیة مقیّدة بعنوان الطاعة أو بکون النذر فی غیر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فالتمسّک بأدلّة النذر مع الشکّ فی أنّ التوضّی بمائع مضاف هل هو طاعة أو غیرها تمسّک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حال الموضوع؛ أی إطلاق الماء 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الخراسانی</w:t>
      </w:r>
      <w:r>
        <w:rPr>
          <w:rStyle w:val="FootnoteAnchor"/>
          <w:rtl w:val="true"/>
        </w:rPr>
        <w:footnoteReference w:id="249"/>
      </w:r>
      <w:r>
        <w:rPr>
          <w:rFonts w:ascii="IRNazanin" w:hAnsi="IRNazanin" w:eastAsia="IRNazanin"/>
          <w:color w:val="111111"/>
          <w:sz w:val="28"/>
          <w:sz w:val="28"/>
          <w:szCs w:val="28"/>
          <w:rtl w:val="true"/>
          <w:lang w:bidi="fa-IR"/>
        </w:rPr>
        <w:t>حیث أیّد تلک الدعوی بما ورد من</w:t>
      </w:r>
      <w:bookmarkStart w:id="286" w:name="pg12907_206661"/>
    </w:p>
    <w:p>
      <w:pPr>
        <w:pStyle w:val="BookText"/>
        <w:rPr/>
      </w:pPr>
      <w:bookmarkEnd w:id="286"/>
      <w:r>
        <w:rPr>
          <w:rFonts w:ascii="IRNazanin" w:hAnsi="IRNazanin" w:eastAsia="IRNazanin"/>
          <w:color w:val="111111"/>
          <w:sz w:val="28"/>
          <w:sz w:val="28"/>
          <w:szCs w:val="28"/>
          <w:rtl w:val="true"/>
          <w:lang w:bidi="fa-IR"/>
        </w:rPr>
        <w:t>صحّة الإحرام قبل المیقات</w:t>
      </w:r>
      <w:r>
        <w:rPr>
          <w:rStyle w:val="FootnoteAnchor"/>
          <w:rtl w:val="true"/>
        </w:rPr>
        <w:footnoteReference w:id="250"/>
      </w:r>
      <w:r>
        <w:rPr>
          <w:rFonts w:ascii="IRNazanin" w:hAnsi="IRNazanin" w:eastAsia="IRNazanin"/>
          <w:color w:val="111111"/>
          <w:sz w:val="28"/>
          <w:sz w:val="28"/>
          <w:szCs w:val="28"/>
          <w:rtl w:val="true"/>
          <w:lang w:bidi="fa-IR"/>
        </w:rPr>
        <w:t>، و الصوم فی السفر إذا تعلّق بهما النذر</w:t>
      </w:r>
      <w:r>
        <w:rPr>
          <w:rStyle w:val="FootnoteAnchor"/>
          <w:rtl w:val="true"/>
        </w:rPr>
        <w:footnoteReference w:id="251"/>
      </w:r>
      <w:r>
        <w:rPr>
          <w:rFonts w:ascii="IRNazanin" w:hAnsi="IRNazanin" w:eastAsia="IRNazanin"/>
          <w:color w:val="111111"/>
          <w:sz w:val="28"/>
          <w:sz w:val="28"/>
          <w:szCs w:val="28"/>
          <w:rtl w:val="true"/>
          <w:lang w:bidi="fa-IR"/>
        </w:rPr>
        <w:t>، و أضاف إلیه شیخنا العلّامة قدس سره نذر النافلة قبل الفریضة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الأمثلة غیر مربوطة بالدعوی؛ لأنّ المدّعی هو التمسّک بالعامّ المخصّص لکشف حال الفرد، و هی لیست من هذا القبیل؛ فإنّ الإحرام قبل المیقات حرام و بعد النذر یصیر واجباً؛ لدلالة الأدلّة، و کذا الصوم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صیرورة الشی‌ء بالنذر واجباً بدلیل خاصّ غیر التمسّک بالعامّ لکشف حال الفرد</w:t>
      </w:r>
      <w:r>
        <w:rPr>
          <w:rFonts w:eastAsia="IRNazanin" w:cs="IRNazanin"/>
          <w:color w:val="111111"/>
          <w:sz w:val="28"/>
          <w:szCs w:val="28"/>
          <w:rtl w:val="true"/>
          <w:lang w:bidi="fa-IR"/>
        </w:rPr>
        <w:t>.</w:t>
      </w:r>
    </w:p>
    <w:p>
      <w:pPr>
        <w:pStyle w:val="Heading5"/>
        <w:numPr>
          <w:ilvl w:val="4"/>
          <w:numId w:val="1"/>
        </w:numPr>
        <w:rPr/>
      </w:pPr>
      <w:bookmarkStart w:id="287" w:name="__RefHeading___Toc3346430_3224264995"/>
      <w:bookmarkStart w:id="288" w:name="_Toc108"/>
      <w:bookmarkEnd w:id="287"/>
      <w:r>
        <w:rPr>
          <w:rtl w:val="true"/>
        </w:rPr>
        <w:t>التنبیه الخامس فی التمسّک بأصالة العموم لکشف حال الفرد</w:t>
      </w:r>
      <w:bookmarkEnd w:id="288"/>
    </w:p>
    <w:p>
      <w:pPr>
        <w:pStyle w:val="BookText"/>
        <w:rPr/>
      </w:pPr>
      <w:r>
        <w:rPr>
          <w:rFonts w:ascii="IRNazanin" w:hAnsi="IRNazanin" w:eastAsia="IRNazanin"/>
          <w:color w:val="111111"/>
          <w:sz w:val="28"/>
          <w:sz w:val="28"/>
          <w:szCs w:val="28"/>
          <w:rtl w:val="true"/>
          <w:lang w:bidi="fa-IR"/>
        </w:rPr>
        <w:t>إذا دار الأمر بین التخصیص و التخصّص فهل یمکن التمسّک بأصالة العموم لکشف حال الفرد، و أنّ حرمة إکرامه لأجل کونه غیر عالم، لا لخروجه عن حکم العلماء مع کونه داخلًا فیهم موضوعاً؟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التمسّک، و هو ظاهر کلام الشیخ الأعظم أیضاً فی باب الاستنجاء لإثبات طهارة مائه؛ متمسّکاً بأصالة عموم کلّ نجس منجّس، و المفروض أنّ ماء الاستنجاء لیس بمنجّس، فهو لیس بنجس، و إلّا لزم التخصیص</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ربّما یتمسّک به لإثبات أنّ ألفاظ العبادات موضوعة للصحیح بطریق عکس النقیض، بدعوی أنّ الصلاة تنهی عن الفحشاء و المنکر، و أنّ ما لا تنهی عن الفحشاء لیست بصلاة؛ لأصالة عموم الدلیل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صحّته؛ لأنّ المتیقّن من حجّیة تلک الاصول و جریانها إنّما هو إذا جعلت عبرة لتشخیص المراد مع الشکّ فیه لا فی مثل المقام، فلو علمنا مراد المتکلّم و علمنا أنّ زیداً عنده محرّم الإکرام، و شککنا فی أنّ خروجه من العامّ أ هو بنحو التخصّص أو التخصیص فلا أصل عند العقلاء لإثباته، و هذا نظیر أصالة الحقیقة الجاریة لکشف المراد لا لکشف الوضع بعد العلم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الاصول للاحتجاج بین العبید و الموالی، لا لکشف حال الوضع و الاستعمال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قرّره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مقالة استاذه المحقّق الخراسانی</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العموم و إن کانت حجّة لکنّها غیر قابلة لإثبات اللوازم، و مثبتات هذا الأصل کسائر الاصول المثبتة فی عدم الحجّیة، مع کونه أمارة فی نفسه، فلا مجال للتمسّک بعکس نقیض القضیة الذی یعدّ من لوازم الموجبة الکلّیة عقلًا؛ لأنّ ذلک اللازم إنّما یترتّب فی فرض حجّیة أصالة العموم لإثبات لازم المدلول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التفکیک بین اللازم و الملزوم عدم نظر العموم إلی تعیین صغری الحکم؛ نفیاً و إثباتاً، و إنّما نظره إلی إثبات الکبری، کما هو المبنی فی عدم جواز</w:t>
      </w:r>
      <w:bookmarkStart w:id="289" w:name="pg12907_206663"/>
    </w:p>
    <w:p>
      <w:pPr>
        <w:pStyle w:val="BookText"/>
        <w:rPr/>
      </w:pPr>
      <w:bookmarkEnd w:id="289"/>
      <w:r>
        <w:rPr>
          <w:rFonts w:ascii="IRNazanin" w:hAnsi="IRNazanin" w:eastAsia="IRNazanin"/>
          <w:color w:val="111111"/>
          <w:sz w:val="28"/>
          <w:sz w:val="28"/>
          <w:szCs w:val="28"/>
          <w:rtl w:val="true"/>
          <w:lang w:bidi="fa-IR"/>
        </w:rPr>
        <w:t>التمسّک بالعامّ فی الشبهة المصداقیة، و ما نحن فیه أیضاً مبنی علی هذه الجهة</w:t>
      </w:r>
      <w:r>
        <w:rPr>
          <w:rStyle w:val="FootnoteAnchor"/>
          <w:rtl w:val="true"/>
        </w:rPr>
        <w:footnoteReference w:id="256"/>
      </w:r>
      <w:r>
        <w:rPr>
          <w:rFonts w:ascii="IRNazanin" w:hAnsi="IRNazanin" w:eastAsia="IRNazanin"/>
          <w:color w:val="111111"/>
          <w:sz w:val="28"/>
          <w:sz w:val="28"/>
          <w:szCs w:val="28"/>
          <w:rtl w:val="true"/>
          <w:lang w:bidi="fa-IR"/>
        </w:rPr>
        <w:t>، انتهی بأدنی تصرّف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عکس النقیض لازم لکون الکبری حکماً کلّیاً، و لا یلزم أن یکون العامّ ناظراً إلی تعیین الصغری فی لزومه له، فلو سلّم أنّ أصالة العموم جاریة و أنّها کالأمارات بالنسبة إلی لوازمها فلا مجال لإنکار حجّیتها بالنسبة إلی لازمها الذی لا ینفکّ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یحکمون بأنّ کلّ فرد محکوم بحکم العامّ واقعاً، و معه یحتمل عندهم أن یکون فرد منه غیر محکوم بحکمه، إلّا أن یلتزم بأنّها أصل تعبّدی لا أمارة، و هو خلاف مفروضه</w:t>
      </w:r>
      <w:r>
        <w:rPr>
          <w:rFonts w:eastAsia="IRNazanin" w:cs="IRNazanin"/>
          <w:color w:val="111111"/>
          <w:sz w:val="28"/>
          <w:szCs w:val="28"/>
          <w:rtl w:val="true"/>
          <w:lang w:bidi="fa-IR"/>
        </w:rPr>
        <w:t>.</w:t>
      </w:r>
    </w:p>
    <w:p>
      <w:pPr>
        <w:pStyle w:val="Heading5"/>
        <w:numPr>
          <w:ilvl w:val="4"/>
          <w:numId w:val="1"/>
        </w:numPr>
        <w:rPr/>
      </w:pPr>
      <w:bookmarkStart w:id="290" w:name="__RefHeading___Toc3346432_3224264995"/>
      <w:bookmarkStart w:id="291" w:name="_Toc109"/>
      <w:bookmarkEnd w:id="290"/>
      <w:r>
        <w:rPr>
          <w:rtl w:val="true"/>
        </w:rPr>
        <w:t>التنبیه السادس فی التمسّک بالعامّ إذا کان المخصّص مجملًا</w:t>
      </w:r>
      <w:bookmarkEnd w:id="2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دلّ الدلیل علی إکرام العلماء، و دلّ دلیل منفصل علی عدم وجوب إکرام زید، لکنّه تردّد بین زید العالم و الجاهل فالظاهر جواز التمسّک بأصالة العموم هنا؛ للفرق الواضح بین هذا المقام و المقام السابق؛ لأنّ الغرض من جریانها هناک لأجل تشخیص کیفیة الإرادة دون تعیین المراد، و هاهنا الأمر علی العکس؛ إذ هو لأجل تشخیص المراد و کشف أنّ الإرادة الاستعمالیة هل هی فی زید العالم مطابقة للجدّ أو لا؟</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المجمل المردّد لیس بحجّة بالنسبة إلی العالم، و لکن العامّ حجّة بلا دافع، فحینئذٍ لو کان الخاصّ حکماً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حلّ إجماله بأصالة العموم؛ لأنّها حاکمة علی أنّ زیداً العالم یجب إکرامه، و لازمه عدم حرمة إکرامه، و لازم ذلک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إکرام زید الجاهل، بناءً علی حجّیة مثبتات الاصول اللفظیة، فینحلّ بذلک حکماً، الحجّة الإجمالیة التی لو لا العامّ یجب بحکم العقل متابعتها، و عدم جواز إکرام واحد منهما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الشیخ فقد سوّی بین القسمین؛ قائلًا بأنّ دیدن العلماء التمسّک بالعامّ فی المباحث الفقهیة فی مثله</w:t>
      </w:r>
      <w:r>
        <w:rPr>
          <w:rStyle w:val="FootnoteAnchor"/>
          <w:rtl w:val="true"/>
        </w:rPr>
        <w:footnoteReference w:id="257"/>
      </w:r>
      <w:bookmarkStart w:id="292" w:name="pg12907_206665"/>
    </w:p>
    <w:p>
      <w:pPr>
        <w:pStyle w:val="Heading3"/>
        <w:numPr>
          <w:ilvl w:val="2"/>
          <w:numId w:val="1"/>
        </w:numPr>
        <w:rPr/>
      </w:pPr>
      <w:bookmarkStart w:id="293" w:name="__RefHeading___Toc3346434_3224264995"/>
      <w:bookmarkStart w:id="294" w:name="_Toc110"/>
      <w:bookmarkEnd w:id="292"/>
      <w:bookmarkEnd w:id="293"/>
      <w:r>
        <w:rPr>
          <w:rtl w:val="true"/>
        </w:rPr>
        <w:t>الفصل الثالث فی عدم جواز العمل بالعامّ قبل الفحص عن المخصّص</w:t>
      </w:r>
      <w:bookmarkEnd w:id="294"/>
    </w:p>
    <w:p>
      <w:pPr>
        <w:pStyle w:val="Heading4"/>
        <w:numPr>
          <w:ilvl w:val="3"/>
          <w:numId w:val="1"/>
        </w:numPr>
        <w:rPr/>
      </w:pPr>
      <w:bookmarkStart w:id="295" w:name="__RefHeading___Toc3346436_3224264995"/>
      <w:bookmarkStart w:id="296" w:name="_Toc111"/>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و لنقدّم أمام المقصود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المحقّق الخراسانی محلّ النزاع ما إذا فرضنا حجّیة الظواهر للمشافه و غیره من باب الظنّ النوعی لا الظنّ الشخصی، و فرضنا عدم العلم الإجمالی بالتخصیص</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کان المناط فی حجّیة الظواهر هو الظنّ الشخصی لما کان للفحص و عدمه دخل، بل کانت الحجّیة دائرة مداره؛ سواء حصل قبله أم بعده، و هکذا لو کان هناک علم بورود التخصیص إجمالًا لما کان لإنکار الفحص مجال بعد القول بتنجیزه إلی أن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ظاهرهم أعمّیة البحث عن ذلک، و یشهد بذلک تمسّکهم فی إثبات وجوب الفحص بالعلم الإجمالی، فالأولی البحث علی فرض العلم و عدمه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البحث معقود لإثبات لزوم الفحص عن المخصّص</w:t>
      </w:r>
      <w:bookmarkStart w:id="297" w:name="pg12907_206666"/>
    </w:p>
    <w:p>
      <w:pPr>
        <w:pStyle w:val="BookText"/>
        <w:rPr/>
      </w:pPr>
      <w:bookmarkEnd w:id="297"/>
      <w:r>
        <w:rPr>
          <w:rFonts w:ascii="IRNazanin" w:hAnsi="IRNazanin" w:eastAsia="IRNazanin"/>
          <w:color w:val="111111"/>
          <w:sz w:val="28"/>
          <w:sz w:val="28"/>
          <w:szCs w:val="28"/>
          <w:rtl w:val="true"/>
          <w:lang w:bidi="fa-IR"/>
        </w:rPr>
        <w:t>المنفصل دون المتّصل؛ لأنّ احتمال عدم وصول المتّصل لأجل إسقاط الراوی عمداً أو خطأ أو نسیاناً غیر معتنی به عند العقلاء؛ لأنّ المفروض أنّ الراوی ثقة غیر خائن فی روایته، فاحتمال العمد خلاف الفرض، و أصالة عدم خطأه و نسیانه تردّ الأخیرین، فیتمحّض البحث للمنفصل، و سیوافیک أنّ مناط الفحص لیس فی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المحقّق الخراسانی الفرق بین المقام و الاصول العملیة، و أنّ الفحص هاهنا عمّا یزاحم الحجّیة بخلافه هناک؛ فإنّه بدونه لا حجّة و یصیر البحث عن متمّماتها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سیمرّ علیک أنّ البابین یرتضعان من ثدی واحد، و البحث فی کلّ واحد من متمّمات الحجّیة لا عن مزاحماتها،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التمسّک بالعامّ قبل الفحص عن المخصّص کذلک لا یجوز التمسّک بالمطلق قبل الفحص عن المقیّد، و بالظاهر قبل الفحص عن معارضه، و بالاصول العقلیة قبل الفحص عن الأدلّة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لزوم الفحص فی الجمیع واحد، کما سیتّضح لک</w:t>
      </w:r>
      <w:r>
        <w:rPr>
          <w:rFonts w:eastAsia="IRNazanin" w:cs="IRNazanin"/>
          <w:color w:val="111111"/>
          <w:sz w:val="28"/>
          <w:szCs w:val="28"/>
          <w:rtl w:val="true"/>
          <w:lang w:bidi="fa-IR"/>
        </w:rPr>
        <w:t>.</w:t>
      </w:r>
    </w:p>
    <w:p>
      <w:pPr>
        <w:pStyle w:val="Heading4"/>
        <w:numPr>
          <w:ilvl w:val="3"/>
          <w:numId w:val="1"/>
        </w:numPr>
        <w:rPr/>
      </w:pPr>
      <w:bookmarkStart w:id="298" w:name="__RefHeading___Toc3346438_3224264995"/>
      <w:bookmarkStart w:id="299" w:name="_Toc112"/>
      <w:bookmarkEnd w:id="298"/>
      <w:r>
        <w:rPr>
          <w:rtl w:val="true"/>
        </w:rPr>
        <w:t>الاستدلال بمعرضیة العامّ للتخصیص علی لزوم الفحص</w:t>
      </w:r>
      <w:bookmarkEnd w:id="2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إثبات لزوم الفحص ما سلکه المحقّق الخراسانی من أنّ معرضیة العامّ للتخصیص یوجب سقوط الاحتجاج به عندهم، و لا أقلّ من الشکّ فی ذلک، و هو کافٍ فی الثبوت</w:t>
      </w:r>
      <w:r>
        <w:rPr>
          <w:rStyle w:val="FootnoteAnchor"/>
          <w:rtl w:val="true"/>
        </w:rPr>
        <w:footnoteReference w:id="2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تدبّرت فی المحاورات العقلائیة و الخطابات الدائرة بینهم تجد أنّ دیدنهم فی المحاورات الشخصیة بین الموالی و العبید و غیرهم من آحاد الناس تختلف مع وضع القوانین و تشریع الشرائع من عند أنفسهم، فتجدهم یعملون بالعمومات و المطلقات الصادرة منهم فی محیط المحاورات، بلا ترقّب منهم لمخصّصها و مقیّدها، و لا انتظار لمخالفها، بل یأخذون بالظاهر؛ عامّاً کان أو مطلقاً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جریان العادة فی تلک الخطابات بذکر مخصّصها بعد عمومها و مقیّدها عقیب مطلقها، بلا تفکیک منهم بینهما؛ بحیث لو لم یجدوها فی متّصل کلامه لاحتجّوا بظواهرها و عمومها و مطلقها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تجد دیدنهم فی وضع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مدنیاً کانت أو عالمیاً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ذلک، فتراهم واقفین أمام کلّ عامّ و مطلق، باذلین جهدهم فی التفتیش عمّا یصرفهما عن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قضاء العادة خلاف ما کان یجری فی المحاورات الشخصیة، بل دیدنهم جری فی وضع القوانین علی التفکیک بین العامّ و مخصّصه و المطلق و مقیّده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یذکرون العمومات و المطلقات فی فصل و مادّة، و مخصّصاتها و مقیّداتها و حدودها تدریجاً و نجوماً فی فصول اخر، و ربّما یذکر الخصوص فی کتاب و عمومه فی کتاب آخر، و قد یتقدّم الخاصّ علی العامّ، إلی غیر ذلک من رسومهم و عاداتهم التی یقف علیها المتضلّع فی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دیدن العقلاء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الشارع الصادع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یسلک غیر ما سلکه العقلاء فی وضع</w:t>
      </w:r>
    </w:p>
    <w:p>
      <w:pPr>
        <w:pStyle w:val="BookText"/>
        <w:rPr/>
      </w:pPr>
      <w:r>
        <w:rPr>
          <w:rFonts w:ascii="IRNazanin" w:hAnsi="IRNazanin" w:eastAsia="IRNazanin"/>
          <w:color w:val="111111"/>
          <w:sz w:val="28"/>
          <w:sz w:val="28"/>
          <w:szCs w:val="28"/>
          <w:rtl w:val="true"/>
          <w:lang w:bidi="fa-IR"/>
        </w:rPr>
        <w:t>قوانینهم، فتری أنّ قوانینه الکلّیة مذکورة فی الکتاب و السنّة منفصلة عن مخصّصاتها و مقیّداتها، و تکون تلک الأحکام المدوّنة فیهما فی معرض التخصیص و التقیید، کما هو الحال فی القوانین السیاسیة و المدنیة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حاله لا یمکن التمسّک فیها بالأُصول بمجرّد العثور علی عمومات أو مطلقات من غیر فحص؛ لما تقدّم</w:t>
      </w:r>
      <w:r>
        <w:rPr>
          <w:rStyle w:val="FootnoteAnchor"/>
          <w:rtl w:val="true"/>
        </w:rPr>
        <w:footnoteReference w:id="261"/>
      </w:r>
      <w:r>
        <w:rPr>
          <w:rFonts w:ascii="IRNazanin" w:hAnsi="IRNazanin" w:eastAsia="IRNazanin"/>
          <w:color w:val="111111"/>
          <w:sz w:val="28"/>
          <w:sz w:val="28"/>
          <w:szCs w:val="28"/>
          <w:rtl w:val="true"/>
          <w:lang w:bidi="fa-IR"/>
        </w:rPr>
        <w:t>من أنّ مجرّد ظهور الکلام و إجراء أصالة الحقیقة و عدم القرینة لا یفید شیئاً حتّی یحرز أنّ الإرادة الاستعمالیة مطابقة للإرادة الجدّیة؛ بحیث لو لا هذا الإحراز لاختلّ نظام الحجّیة، و کون العامّ فی معرض التدافع و التعارض یمنعهم عن إجراء أصالة التطابق بین الاستعمال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رحی الحجّة بعد تمامیة بعض مبادئها تدور مداره، و لا یصیر الشی‌ء حجّة و لا یطلق علیه الحجّة إلّا بعد جریان هذا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مجری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التطابق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بعد الفحص؛ لعلمهم بعادة موالیهم من تفرّق البیان و تشتّته، و لا فرق فی ذلک بین القوانین الإسلامیة الغرّاء و سائر القوانین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الفحص هو المعرضیة لا العلم الإجمالی، بل مع عدمه أیضاً لو فرض انحلاله کان الفحص واجباً؛ لعدم تمامیة الحجّیة العقلائیة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المقام و الاصول العملیة، و أنّ البحث فیهما عن متمّم الحجّة لا عن مزاحمها؛ لأنّه کما لا یجری قاعدة العقاب بلا بیان قبل</w:t>
      </w:r>
    </w:p>
    <w:p>
      <w:pPr>
        <w:pStyle w:val="BookText"/>
        <w:rPr/>
      </w:pPr>
      <w:r>
        <w:rPr>
          <w:rFonts w:ascii="IRNazanin" w:hAnsi="IRNazanin" w:eastAsia="IRNazanin"/>
          <w:color w:val="111111"/>
          <w:sz w:val="28"/>
          <w:sz w:val="28"/>
          <w:szCs w:val="28"/>
          <w:rtl w:val="true"/>
          <w:lang w:bidi="fa-IR"/>
        </w:rPr>
        <w:t>الفحص، بل لا یتحقّق کونه بلا بیان قبله؛ لأنّ التبلیغ قد تمّ من قبل الشارع، و علماء الامّة قد جمعوها فی جوامعهم، فلا عذر فی ترکه، فکذلک الاحتجاج بالعمومات و المطلقات؛ لأنّه قبل الفحص لا یمکن الاعتماد علی أصالة التطابق التی به تتمّ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بها لا یجوز إلّا بعد الفحص حتّی یجعل ذلک مقدّمة لإجراء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لتمامیة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هنا من أنّه لو لا الفحص لما تمّ الحجّة ینافی لما هو المختار عندک فی باب التعادل و الترجیح؛ من أنّ المطلقات حجّة فعلیة غیر معلّقة علی المقیّدات الواقعیة، بل هی بعد وصولها من قبیل المزاحم، و ینقضی بها أمد الحجّیة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هنا حیثی؛ فإنّ الکلام هاهنا فی لزوم الفحص، و قد عرفت عدم حجّیة عامّ و لا مطلق إلّا بعده، و الکلام هناک بعد الفحص، و المختار هناک أنّ الفقیه إذا تفحّص قدر ما کان یلزمه یصیر کلّ واحد من العامّ و المطلق حجّة فعلیة فی حقّه، و لو عثر علی مقیّد أو مخصّص بعده لا یکون المطلق معلّقاً بعدم البیان الواقعی؛ بحیث یکون العثور علیه کاشفاً عن عدم حجّیته، بل ینتهی به أمد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العامّ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علی ما سلکناه؛ تبعاً للمحقّق الخراسانی من کون المستند لوجوب الفحص هو المعرضیة</w:t>
      </w:r>
      <w:r>
        <w:rPr>
          <w:rFonts w:eastAsia="IRNazanin" w:cs="IRNazanin"/>
          <w:color w:val="111111"/>
          <w:sz w:val="28"/>
          <w:szCs w:val="28"/>
          <w:rtl w:val="true"/>
          <w:lang w:bidi="fa-IR"/>
        </w:rPr>
        <w:t>.</w:t>
      </w:r>
      <w:bookmarkStart w:id="300" w:name="pg12907_206670"/>
    </w:p>
    <w:p>
      <w:pPr>
        <w:pStyle w:val="Heading4"/>
        <w:numPr>
          <w:ilvl w:val="3"/>
          <w:numId w:val="1"/>
        </w:numPr>
        <w:rPr/>
      </w:pPr>
      <w:bookmarkStart w:id="301" w:name="__RefHeading___Toc3346440_3224264995"/>
      <w:bookmarkStart w:id="302" w:name="_Toc113"/>
      <w:bookmarkEnd w:id="300"/>
      <w:bookmarkEnd w:id="301"/>
      <w:r>
        <w:rPr>
          <w:rtl w:val="true"/>
        </w:rPr>
        <w:t>الاستدلال بالعلم الإجمالی علی لزوم الفحص</w:t>
      </w:r>
      <w:bookmarkEnd w:id="302"/>
    </w:p>
    <w:p>
      <w:pPr>
        <w:pStyle w:val="BookText"/>
        <w:rPr/>
      </w:pPr>
      <w:r>
        <w:rPr>
          <w:rFonts w:ascii="IRNazanin" w:hAnsi="IRNazanin" w:eastAsia="IRNazanin"/>
          <w:color w:val="111111"/>
          <w:sz w:val="28"/>
          <w:sz w:val="28"/>
          <w:szCs w:val="28"/>
          <w:rtl w:val="true"/>
          <w:lang w:bidi="fa-IR"/>
        </w:rPr>
        <w:t>و أمّا علی القول بأنّ المستند هو العلم الإجمالی فربّما یقال فی تقریره بأنّا نعلم إجمالًا أنّ هنا مخصّصات و مقیّدات یلزم العمل بها، فلا محیص عن الفحص عنها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استشکل علیه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لا ینحلّ؛ و إن بلغ الفحص غایته؛ لأنّ المخصّصات المعلوم وجودها لیست منحصرة فیما بأیدینا من الکتب، بل هی أکثر من ذلک؛ لأنّ الجوامع الأوّلیة مفقودة، و الاصول المدوّنة فی عهد الصادقین کانت تحتوی أخباراً و أحکاماً علی خلاف العمومات، و لازم ذلک أن لا ینحلّ بالفحص فیما بأیدینا من الکتب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لا مدرک له سوی ما بأیدینا من الکتب</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مجرّد احتمال؛ فإنّه لا علم وجدانی لنا بوجود اصول ضائعة غیر واصلة؛ فضلًا عن اشتمالها علی مخصّصات یوجب العمل علیها علی فرض العثور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یحتمل أن یکون المفقود علی فرض قبوله غیر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کونه أحکاماً فمن أین حصل العلم بأنّها غیر ما بأیدینا؟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فمن أین حصل العلم لنا بوجوب العمل بها لو عثرنا بها؟ و لعلّ</w:t>
      </w:r>
    </w:p>
    <w:p>
      <w:pPr>
        <w:pStyle w:val="BookText"/>
        <w:rPr/>
      </w:pPr>
      <w:r>
        <w:rPr>
          <w:rFonts w:ascii="IRNazanin" w:hAnsi="IRNazanin" w:eastAsia="IRNazanin"/>
          <w:color w:val="111111"/>
          <w:sz w:val="28"/>
          <w:sz w:val="28"/>
          <w:szCs w:val="28"/>
          <w:rtl w:val="true"/>
          <w:lang w:bidi="fa-IR"/>
        </w:rPr>
        <w:t>أسنادها کانت ضعیفة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بورود مخصّصات فیما بأیدینا من الکتب و إن اقتضی عدم جریان الاصول اللفظیة قبل الفحص إلّا أنّه بعد الفحص و العثور علی المقدار المتیقّن منها یوجب انحلاله، و مقتضاه جریانها فی سائر الموارد بلا فحص، مع أنّهم یوجبون الفحص عند کلّ شبهة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المقدار المتیقّن بعد ما کان مردّداً بین محتملات منتشرات فی أبواب الفقه یصیر جمیع ما شکّ فیه فی تمام الأبواب طرف هذا العلم، فیمنع عن الأخذ به قبل فحصه، و لا یفید الظفر بمقدار المعلوم؛ إذ هذه العلوم نظیر العلوم الجدیدة الحاصلة بعد العلم الإجمالی، و لا یکون سبباً لانحلالها</w:t>
      </w:r>
      <w:r>
        <w:rPr>
          <w:rStyle w:val="FootnoteAnchor"/>
          <w:rtl w:val="true"/>
        </w:rPr>
        <w:footnoteReference w:id="2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کون أطراف العلم منتشرة لا یفید شیئاً، و قیاسه بالعلم الجدید قیاس مع الفارق، و ذلک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المقدار المتیقّن کان مردّداً بین محتملات منتشرات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یشعر بأنّ هنا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بأصل وجود المخصّصات بمقدار محدود، و علماً بانتشارها بین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فالعثور بالمقدار المتیقّن إن کان بعد الفحص فی جمیع الأبواب فلا محیص عن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انطباق ما هو المعلوم إجمالًا علی المعلوم تفصیلًا من الأوّل، و بعد هذا الاحتمال لا علم لنا أصلًا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العثور علیه لأجل الفحص فی بعض الأبواب دون بعض فلا محالة</w:t>
      </w:r>
    </w:p>
    <w:p>
      <w:pPr>
        <w:pStyle w:val="BookText"/>
        <w:rPr/>
      </w:pPr>
      <w:r>
        <w:rPr>
          <w:rFonts w:ascii="IRNazanin" w:hAnsi="IRNazanin" w:eastAsia="IRNazanin"/>
          <w:color w:val="111111"/>
          <w:sz w:val="28"/>
          <w:sz w:val="28"/>
          <w:szCs w:val="28"/>
          <w:rtl w:val="true"/>
          <w:lang w:bidi="fa-IR"/>
        </w:rPr>
        <w:t>یحصل القطع بأنّ أحد العلمین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علمه بانحصار المخصّص فی المقدار المحدود المتیقّن، فیتجدّد له علم آخر بأنّ المخصّص أزید ممّا أحصاه أوّلًا و لکنّه خلاف الفرض؛ لأنّ الفرض أنّه لا علم له إلّا بالمقدار المحدود الذی عدّده أوّلًا مطلقاً؛ قبل الفحص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علمه بأنّ المخصّصات منتشرة فی جمیع الأبواب فلا محیص عن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أجاب عنه بعض الأعاظم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بالإجمال تارة یکون مرسلًا غیر معلّم بعلامة، و اخری معلّماً بعلامة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انحلال العلم الإجمالی بالعثور بالمقدار المتیقّن إنّما یکون فی القسم الأوّل؛ لأنّ منشأ العلم فیه هو ضمّ قضیة مشکوکة إلی قضیة متیقّنة، کما إذا علم بأنّه مدیون لزید، و تردّد الدین بین أن یکون خمسة دنانیر أو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فلا ینحلّ به، بل حاله حال دوران الأمر بین المتباینین، و لا انحلال فی مثله؛ لعدم الرجوع إلی العلم بالأقلّ و الشکّ فی الأکثر من أوّل الأمر، بل یتعلّق العلم بجمیع الأطراف؛ بحیث لو کان الأکثر واجباً لکان ممّا تعلّق به العلم و تنجّز بسببه، و لیس الأکثر مشکوکاً فیه من أوّل الأمر، و ذلک کما إذا علمت بأنّک مدیون لزید بما فی الدفتر، و تردّد الدین بین خمسة و عشرة، فلو کان دین زید عشرة فقد تعلّق العلم به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لأنّ العلم تعلّق بأنّ فی الکتب التی بأیدینا مقیّدات و مخصّصات، فکلّ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وجوده فیما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أصابه العلم، و مثل هذا لا ینحلّ بالعثور علی المقدار المتیقّن</w:t>
      </w:r>
      <w:r>
        <w:rPr>
          <w:rStyle w:val="FootnoteAnchor"/>
          <w:rtl w:val="true"/>
        </w:rPr>
        <w:footnoteReference w:id="268"/>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تامّ؛ لأنّ العلم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نفسه دائراً بین الأقلّ و الأکثر، کما مثّله قدس سره، و حقیقته ما عرفت من أنّه مرکّب من قضیة علمیة و قضیة شکّیة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فالإجمال بدوی یرتفع بأدنی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لکن تعلّق العلم الإجمالی بعنوان غیر ذی أثر، کما إذا علم بأنّ الدنانیر الموجودة فی کیس زید قد تلفت، و هی مردّدة بین الخمسة و العشرة؛ فإنّ تعلّقه مع هذا العنوان لا یوجب تنجّز الأکثر، بل لا بدّ من لحاظ ما هو منشأ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الحال لو دار أمره بین الأقلّ و الأکثر ینحلّ علمه بلا ریب، و إلّا فلا یمکن إثبات الانحلال فی مورد من الموارد؛ إذ ما من معلوم إجمالی إلّا و قد یقترن بعدّة عنوانات و لوازم، قلّما تنفکّ عنه مثل ما فی الکیس، ما فی الدار، ما أقرضنی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ادّعاه قدس سره من أنّ العلم إذا تعلّق بما فی الدفتر یوجب إصابة العلم بالأکثر لم یعلم له وجه؛ لأنّ تعلّق علمه بما فی الدفتر نظیر تعلّق علمه بأنّ ما فی الکیس صار مضموناً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مجرّد ذلک لا یوجب إصابة العلم بالأکثر، بل لا یزید عن الدوران بین الأقلّ و الأکثر بالضرورة، فهکذا علمه بأنّه مدیون بما فی الدفتر المردّد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لا یعقل صیرورة الأکثر منجّزاً به، و لا متعلّقاً للعلم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نظیر ما مثّله من کونه مدیوناً بما فی الدفتر؛ لأنّ الکون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کالکون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أثر؛ إذ لیس هذا الکون موضوعاً للحکم و لا جزء موضوع، و ما هو موضوع له للأثر نفس المخصّصات، و الکتب ظرفها بلا دخالة فی التأثیر</w:t>
      </w:r>
      <w:r>
        <w:rPr>
          <w:rFonts w:eastAsia="IRNazanin" w:cs="IRNazanin"/>
          <w:color w:val="111111"/>
          <w:sz w:val="28"/>
          <w:szCs w:val="28"/>
          <w:rtl w:val="true"/>
          <w:lang w:bidi="fa-IR"/>
        </w:rPr>
        <w:t>.</w:t>
      </w:r>
      <w:bookmarkStart w:id="303" w:name="pg12907_206674"/>
    </w:p>
    <w:p>
      <w:pPr>
        <w:pStyle w:val="BookText"/>
        <w:rPr/>
      </w:pPr>
      <w:bookmarkEnd w:id="303"/>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المتعلّق للعلم لو کان ذا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کان منحلًّا إلی التکالیف الدائرة بین الأقلّ و الأکثر فهو أیضاً لا یوجب تنجیز غیر ما هو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العنوان بسیطاً و کان الأقلّ و الأکثر من محصّلاته وجب الاحتیاط، لکنّه أجنبی عمّا نحن فیه</w:t>
      </w:r>
      <w:r>
        <w:rPr>
          <w:rFonts w:eastAsia="IRNazanin" w:cs="IRNazanin"/>
          <w:color w:val="111111"/>
          <w:sz w:val="28"/>
          <w:szCs w:val="28"/>
          <w:rtl w:val="true"/>
          <w:lang w:bidi="fa-IR"/>
        </w:rPr>
        <w:t>.</w:t>
      </w:r>
    </w:p>
    <w:p>
      <w:pPr>
        <w:pStyle w:val="Heading4"/>
        <w:numPr>
          <w:ilvl w:val="3"/>
          <w:numId w:val="1"/>
        </w:numPr>
        <w:rPr/>
      </w:pPr>
      <w:bookmarkStart w:id="304" w:name="__RefHeading___Toc3346442_3224264995"/>
      <w:bookmarkStart w:id="305" w:name="_Toc114"/>
      <w:bookmarkEnd w:id="304"/>
      <w:r>
        <w:rPr>
          <w:rtl w:val="true"/>
        </w:rPr>
        <w:t>مقدار الفحص عن المخصّص</w:t>
      </w:r>
      <w:bookmarkEnd w:id="3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مقدار الفحص فیختلف باختلاف المبانی، فلو کان المبنی فی إیجاب الفحص هو العلم الإجمالی فغایته انحلال علمه، و علی المختار فلا بدّ من التفحّص التامّ حتّی یخرج عن المعرضیة و یحصل الیأس عن المخصّص و المعارض، و سیوافیک فی باب الاجتهاد و التقلید ما ینفع فی المقام، فانتظر</w:t>
      </w:r>
      <w:r>
        <w:rPr>
          <w:rFonts w:eastAsia="IRNazanin" w:cs="IRNazanin"/>
          <w:color w:val="111111"/>
          <w:sz w:val="28"/>
          <w:szCs w:val="28"/>
          <w:rtl w:val="true"/>
          <w:lang w:bidi="fa-IR"/>
        </w:rPr>
        <w:t>.</w:t>
      </w:r>
      <w:bookmarkStart w:id="306" w:name="pg12907_206675"/>
    </w:p>
    <w:p>
      <w:pPr>
        <w:pStyle w:val="Heading3"/>
        <w:numPr>
          <w:ilvl w:val="2"/>
          <w:numId w:val="1"/>
        </w:numPr>
        <w:rPr/>
      </w:pPr>
      <w:bookmarkStart w:id="307" w:name="__RefHeading___Toc3346444_3224264995"/>
      <w:bookmarkStart w:id="308" w:name="_Toc115"/>
      <w:bookmarkEnd w:id="306"/>
      <w:bookmarkEnd w:id="307"/>
      <w:r>
        <w:rPr>
          <w:rtl w:val="true"/>
        </w:rPr>
        <w:t>الفصل الرابع فی الخطابات الشفاهیة</w:t>
      </w:r>
      <w:bookmarkEnd w:id="308"/>
    </w:p>
    <w:p>
      <w:pPr>
        <w:pStyle w:val="Heading4"/>
        <w:numPr>
          <w:ilvl w:val="3"/>
          <w:numId w:val="1"/>
        </w:numPr>
        <w:rPr/>
      </w:pPr>
      <w:bookmarkStart w:id="309" w:name="__RefHeading___Toc3346446_3224264995"/>
      <w:bookmarkStart w:id="310" w:name="_Toc11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هل الخطابات الشفاهیة تعمّ غیر الحاضرین؛ من الغائبین و المعدومین أو لا؟</w:t>
      </w:r>
    </w:p>
    <w:p>
      <w:pPr>
        <w:pStyle w:val="BookText"/>
        <w:rPr/>
      </w:pPr>
      <w:r>
        <w:rPr>
          <w:rFonts w:ascii="IRNazanin" w:hAnsi="IRNazanin" w:eastAsia="IRNazanin"/>
          <w:color w:val="111111"/>
          <w:sz w:val="28"/>
          <w:sz w:val="28"/>
          <w:szCs w:val="28"/>
          <w:rtl w:val="true"/>
          <w:lang w:bidi="fa-IR"/>
        </w:rPr>
        <w:t>و لا بأس بذکر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یمکن أن یقع بحسب التصوّر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جواز خطاب المعدوم و الغائب، و مرجعه إلی إمکان هذه المسألة العقلیة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أنّه غیر مناسب لمبحث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إمکان مخاطبتهما و عدمه غیر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 لأنّه ضروری البطلان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یبعد عن مثل بعض الحنابلة؛ حیث جعل محطّ البحث ما حرّرناه؛ مستدلًّا بخطاب اللَّه علی المعدومین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 خطابه فی عالم الذرّ</w:t>
      </w:r>
      <w:r>
        <w:rPr>
          <w:rStyle w:val="FootnoteAnchor"/>
          <w:rtl w:val="true"/>
        </w:rPr>
        <w:footnoteReference w:id="270"/>
      </w:r>
      <w:r>
        <w:rPr>
          <w:rFonts w:ascii="IRNazanin" w:hAnsi="IRNazanin" w:eastAsia="IRNazanin"/>
          <w:color w:val="111111"/>
          <w:sz w:val="28"/>
          <w:sz w:val="28"/>
          <w:szCs w:val="28"/>
          <w:rtl w:val="true"/>
          <w:lang w:bidi="fa-IR"/>
        </w:rPr>
        <w:t>، إلی غیر ذلک من الاستدلالات الواهیة</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خطاب المعدوم مسلّم البطلان عندهم، و لکن البحث فی أنّ استفادة أحکام الغائبین و المعدومین من نفس الخطابات هل یستلزم خطابهما أو لا؟</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أنّ تعمیم ألفاظ العموم التی جیئت تلو أداة النداء و أشباهها ممّا تکون خطاباً بالنسبة إلیهما هل یستلزم مخاطبتهما حتّی یمتنع أو لا؟ فیکون النزاع فی الملازمة و عدمها، و هذا أنسب؛ إذ المناسب للبحث عنه فی هذا المقام هو شمول ألفاظ العموم لهم و عدمه إذا وقعت تلو الخطابات الشفاهیة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ملاک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موجود فی الخطابات الشفاهیة کذلک موجود فی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ممّا لم یصدر بألفاظ النداء و أداة الخطاب،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من شمول أمثال تلک العناوین و الأحکام لغیر الموجودین تعلّق التکلیف الفعلی بهم فی حال العدم و صدق العناوین علیهم فی هذا الحال، أو لا؟ فلو قلنا باستلزامه فلا محالة تختصّ تلک الأحکام بالموجودین، و إلّا فتعمّهم و الغائبین و المعدومین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الشیخ الأعظم ادّعاء الاتّفاق فی شمول ما لم یصدّر بأداة النداء، و أنّه لم یعهد من أحد إنکار شموله لهما</w:t>
      </w:r>
      <w:r>
        <w:rPr>
          <w:rStyle w:val="FootnoteAnchor"/>
          <w:rtl w:val="true"/>
        </w:rPr>
        <w:footnoteReference w:id="274"/>
      </w:r>
      <w:r>
        <w:rPr>
          <w:rFonts w:ascii="IRNazanin" w:hAnsi="IRNazanin" w:eastAsia="IRNazanin"/>
          <w:color w:val="111111"/>
          <w:sz w:val="28"/>
          <w:sz w:val="28"/>
          <w:szCs w:val="28"/>
          <w:rtl w:val="true"/>
          <w:lang w:bidi="fa-IR"/>
        </w:rPr>
        <w:t>، و تبعه بعض الأعاظم؛ قائلًا بأنّ أسماء الأجناس یشمل المعدومین بلا ریب</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بالاختصاص یمکن أن یدّعی أنّ المعدوم لا یطلق علیه الناس عقلًا، و لا یمکن عقد الاخوّة بین المعدومین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لا بمعنی أنّ الألفاظ موضوعة للموجودین؛ حتّی یدفع بأنّها موضوعة للماهیة اللابشرط، بل بمعنی أنّ الشی‌ء ما لم یوجد و لم یتشخّص لیس له ماهیة کما لیس لها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إنسان بالوجود، و لولاه لا إنسان و لا ماهیة 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فالقصور من ناحیة نفس العناوین لا من جانب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شمول أسماء الأجناس لهم هو شمولها حال عدمهم فهو ضروری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انطباقها علیهم فی ظرف الوجود بنحو القضیة الحقیقیة فهو جواب عن الإشکال، و لا یوجب خروج هذا القسم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الشبهة فی بعض الصور مبنی علی القضیة الحقیقیة، فلا بأس بتوضیح حالها و حال القضیة الخارجیة و الفرق بینهما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التقسیم للقضایا الکلّیة، و أمّا الشخصیة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تعتبر فی العلوم فخارجة عن المقسم، فقد یکون الحکم فی القضایا الکلّیة علی الأفراد الموجودة للعنوان؛ بحیث یختصّ الحکم علی ما وجد فقط، من غیر أن یشمل الموجودین فی الماضی و المستقبل؛ و ذلک بأن یتقیّد مدخول أداة العموم؛ بحیث لا ینطبق إلّا علیها،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موجود فی الحال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هذا العسکر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الحکم علی أفراد عنوان ذاتی أو عرضی أو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لاستغراق أفراد مدخوله، و العنوان المتلوّ له بعد التقیید</w:t>
      </w:r>
    </w:p>
    <w:p>
      <w:pPr>
        <w:pStyle w:val="BookText"/>
        <w:rPr/>
      </w:pPr>
      <w:r>
        <w:rPr>
          <w:rFonts w:ascii="IRNazanin" w:hAnsi="IRNazanin" w:eastAsia="IRNazanin"/>
          <w:color w:val="111111"/>
          <w:sz w:val="28"/>
          <w:sz w:val="28"/>
          <w:szCs w:val="28"/>
          <w:rtl w:val="true"/>
          <w:lang w:bidi="fa-IR"/>
        </w:rPr>
        <w:t>المذکور لا یصلح إلّا للانطباق علی الأفراد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القضیة الحقیقیة فهی ما یکون الحکم فیها علی أفراد الطبیعة القابلة للصدق علی الموجود فی الحال و غیره،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نفس الطبیعة؛ و هی قابلة للصدق علی کلّ فرد، لا بمعنی وضعها للأفراد، و لا بمعنی کونها حاکیة عنها، أو کون الطبیعة حاکیة عنها، بل بمعنی دلالتها علی الطبیعة القابلة للصدق علی الأفراد الموجودة، و ما سیوجد فی ظرف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استغراق أفراد مدخوله، من دون أن یدلّ علی الوجود و العدم؛ و لهذا یقع مقسماً للموجود و المعدوم، 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فرد من الطبیعة إمّا موجود أو معدوم بلا تجوّز و تأوّل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الکلّ إلی الطبیعة تدلّ علی تعلّق الاستغراق بما یتلوه، و لمّا لم تتقیّد بما یجعلها منحصرة الانطباق علی الأفراد المحقّقة فلا محالة تکون منطبقة علیها و علی غیرها، کلٌّ فی موطنه، لا فی حال العدم؛ لامتناع صدقها علی المعدوم؛ لأنّ الطبیعة لم تکن طبیعة فی حال العدم، و لا أفرادها أفراداً 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مصادیق النار؛ دلالة تصدیقیة، و المعدوم لیس مصداقاً للنار و لا لشی‌ء آخر، کما أنّ الموجود الذهنی لیس ناراً بالحمل الشائع، فینحصر الصدق علی الأفراد الموجودة فی ظرف وجودها، من غیر أن یکون الوجود قیداً، أو أن یفرض للمعدوم وجود أو ینزّل منزلة الوجود، و من غیر أن یکون القضیة متضمّنة للشرط، کما تمور بها الألسن موراً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تلک التکلّفات مع کونها خلاف الوجدان فی إخباراتنا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کلّ من أخبر بأنّ النار مثلًا حارّة لا یخطر بباله الأفراد المعدومة؛ فضلًا عن تنزیلها منزلة الموجود أو الاشتراط بأنّه إذا وجدت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 من</w:t>
      </w:r>
    </w:p>
    <w:p>
      <w:pPr>
        <w:pStyle w:val="BookText"/>
        <w:rPr/>
      </w:pPr>
      <w:r>
        <w:rPr>
          <w:rFonts w:ascii="IRNazanin" w:hAnsi="IRNazanin" w:eastAsia="IRNazanin"/>
          <w:color w:val="111111"/>
          <w:sz w:val="28"/>
          <w:sz w:val="28"/>
          <w:szCs w:val="28"/>
          <w:rtl w:val="true"/>
          <w:lang w:bidi="fa-IR"/>
        </w:rPr>
        <w:t>عدم تعقّل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للطبیعة أفراداً معدومة، و تکون الطبیعة صادقة علیها حقیقة حال عدمها، و لمّا لم یصدق علیها الحکم فی ظرفه لا بدّ من ارتکاب تأوّل 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فی غایة السقوط؛ لأنّ العدم لیس بشی‌ء کالمعدوم، فلا تکون القضیة الحقیقیة إخباراً عن الأفراد المعدومة، بل إخبار عن أفراد الطبیعة بلا قید، و هی لا تصدق إلّا علی الأفراد الموجودة فی ظرف وجودها، فیکون الإخبار کذلک بحکم العقل بلا قید و اشتراط و تأوّل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الحقیقیة علی الأفراد المتصوّرة بالوجه الإجمالی، و هو عنوان کلّ فرد أو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فعنوان الکلّ و الجمیع متعلّق للحکم، و لمّا کان هذا العنوان موضوعاً للکثرات بنحو الإجمال فبإضافته إلی الطبیعة یفید أفرادها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المحصورة علی أفراد الطبیعة بنحو الإجمال، لا علی نفس الطبیعة و لا علی الأفراد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من أنّ الحکم علی الطبیعة التی هی مرآة للأفراد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ضعف ما أفاده بعض الأعاظم فی الفرق بین الحقیقیة و الخارجیة من القضایا؛ حیث حکم فی عدّة مواضع من کلامه بأنّ الحکم فی الخارجیة علی الأفراد و الأشخاص بلا توسّط عنوان؛ حتّی لو فرض هنا عنوان فهو أمر اتّفاقی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أنّک قد عرفت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وارد علی القضایا المعتبرة فی العلوم،</w:t>
      </w:r>
    </w:p>
    <w:p>
      <w:pPr>
        <w:pStyle w:val="BookText"/>
        <w:rPr/>
      </w:pPr>
      <w:r>
        <w:rPr>
          <w:rFonts w:ascii="IRNazanin" w:hAnsi="IRNazanin" w:eastAsia="IRNazanin"/>
          <w:color w:val="111111"/>
          <w:sz w:val="28"/>
          <w:sz w:val="28"/>
          <w:szCs w:val="28"/>
          <w:rtl w:val="true"/>
          <w:lang w:bidi="fa-IR"/>
        </w:rPr>
        <w:t>و هی تحتاج إلی عنوان ذاتی أو عرضی، و کأنّه قدس سره خلط بین الجزئیة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الضعف فیما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فی الحقیقیة تؤخذ عنواناً و مرآة للأفراد، مع أنّک عرفت</w:t>
      </w:r>
      <w:r>
        <w:rPr>
          <w:rStyle w:val="FootnoteAnchor"/>
          <w:rtl w:val="true"/>
        </w:rPr>
        <w:footnoteReference w:id="279"/>
      </w:r>
      <w:r>
        <w:rPr>
          <w:rFonts w:ascii="IRNazanin" w:hAnsi="IRNazanin" w:eastAsia="IRNazanin"/>
          <w:color w:val="111111"/>
          <w:sz w:val="28"/>
          <w:sz w:val="28"/>
          <w:szCs w:val="28"/>
          <w:rtl w:val="true"/>
          <w:lang w:bidi="fa-IR"/>
        </w:rPr>
        <w:t xml:space="preserve">امتناع أخذها مرآة لها، و أنّ الدالّ علی الأفراد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 من ألفاظ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منه ما أفاد من التقدیر و تنزیل المعدوم منزلة الموجود</w:t>
      </w:r>
      <w:r>
        <w:rPr>
          <w:rStyle w:val="FootnoteAnchor"/>
          <w:rtl w:val="true"/>
        </w:rPr>
        <w:footnoteReference w:id="280"/>
      </w:r>
      <w:r>
        <w:rPr>
          <w:rFonts w:ascii="IRNazanin" w:hAnsi="IRNazanin" w:eastAsia="IRNazanin"/>
          <w:color w:val="111111"/>
          <w:sz w:val="28"/>
          <w:sz w:val="28"/>
          <w:szCs w:val="28"/>
          <w:rtl w:val="true"/>
          <w:lang w:bidi="fa-IR"/>
        </w:rPr>
        <w:t>حیث تقدّم أنّ ذلک کلّه خلاف الارتکاز و خلاف ما یقتضیه الذوق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فی کلامه مواقع للنظر ترکنا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الجعل علی نهج القانون الکلّی بلا لفظ خطاب أو نداء؛ سواء کان الجعل متعلّقاً علی نحو القضیة الحقیقیة علی مصادیق العناوین بنحو الإجمال، کما فی القضیة المحصورة، أم کان الجعل علی نفس العناوین، کما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المتوهّم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التکلیف الفعلی لا یمکن أن یتوجّه إلی المعدوم و تعمیم الأدلّة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بعد ما عرفت الحال فیما تقدّم؛ إذ المعدوم فی حال العدم لم یتوجّه إلیه التکلیف؛ حتّی یرد ما ذکرت، بل یتوجّه إلیه إذا صار موجوداً، و تحقّق مصداق المستطیع فی ظرفه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 المکلّف أنّ کتاب اللَّه تعالی ینادی بأنّه یجب الحجّ علی کلّ مستطیع، من دون أن یقیّد بما یخصّه بالموجودین، و رأی نفسه مستطیعاً علیه،</w:t>
      </w:r>
    </w:p>
    <w:p>
      <w:pPr>
        <w:pStyle w:val="BookText"/>
        <w:rPr/>
      </w:pPr>
      <w:r>
        <w:rPr>
          <w:rFonts w:ascii="IRNazanin" w:hAnsi="IRNazanin" w:eastAsia="IRNazanin"/>
          <w:color w:val="111111"/>
          <w:sz w:val="28"/>
          <w:sz w:val="28"/>
          <w:szCs w:val="28"/>
          <w:rtl w:val="true"/>
          <w:lang w:bidi="fa-IR"/>
        </w:rPr>
        <w:t>فلا محالة یری نفسه مأموراً بالحجّ لا لأجل جعل الحکم علی المعدوم، بل لأجل جعله علی العنوان بلا قید، و هو قبل وجوده و استطاعته لیس من الناس و لا من أفراد المستطیع بالضرورة، و بعد وجوده و استطاعته یصدق علیه هذان العنوانان، و لازم جعله کذلک شمول الحکم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لا یستلزم جعل الحکم علی المعدوم، بل علی العنوان الذی لا ینطبق إلّا علی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وجه شمول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 أشباهه الواردة فی الذکر الحکیم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من قبیل توجیه الکلام إلی المخاطب؛ سواء کان التوجیه بکلام 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أو أداة النداء أم لغیرهما ممّا یعدّ توجیهاً بالحمل الشائع و إن لم یکن فیه ما یدلّ وضعاً علی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التعمیم للغائب و المعدوم لزومَ مخاطبة المعدوم و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حلّه فربّما یتمسّک هنا أیضاً بالقضیة الحقیقیة، لکن ستعرف ضعفه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دفع الإشکال عن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القرآنیة لیست خطابات شفاهیة لفظیة؛ بحیث یقابل فیها الشخص الشخص، بل کخطابات کتبیة، و مثلها القوانین العرفیة الدائرة بین العقلاء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الثانی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فلأنّ المقنّن فی القوانین العرفیة و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شخصاً واحداً أم هیئة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أحکمها و أثبتها</w:t>
      </w:r>
    </w:p>
    <w:p>
      <w:pPr>
        <w:pStyle w:val="BookText"/>
        <w:rPr/>
      </w:pPr>
      <w:r>
        <w:rPr>
          <w:rFonts w:ascii="IRNazanin" w:hAnsi="IRNazanin" w:eastAsia="IRNazanin"/>
          <w:color w:val="111111"/>
          <w:sz w:val="28"/>
          <w:sz w:val="28"/>
          <w:szCs w:val="28"/>
          <w:rtl w:val="true"/>
          <w:lang w:bidi="fa-IR"/>
        </w:rPr>
        <w:t>یتشبّث فی إبلاغه و إعلانه بالنشر فی الکتب و الجرائد و سائر الآلات المستحدثة فی هذه الأزمنة؛ من المذیاع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فالفرد الحائز للشرائط من الشعب المأمور بالعمل بها إذا عطف نظره إلی کتاب القانون لأهل وطنه لا یشکّ أنّه مأمور بالعمل به؛ و إن تأخّر عن زمان الجعل بکثیر، بل لم یکن موجوداً فی ظرف الوضع، و لکن جعل الحکم بصورة الخطاب علی الناس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شموله له؛ و إن وجد بعد زمن الخطاب بمدّة متراخیة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ذلک إلّا لأجل کون الخطاب کتبیاً أو شبیهاً بذلک، و هو لیس بخطاب لفظی حقیقة، و لا یحتاج إلی مخاطب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خطابات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مشکلة الوحی و إن کانت عویصة عظیمة قلّما یتّفق لبشر أن یکشف مغزاه</w:t>
      </w:r>
      <w:r>
        <w:rPr>
          <w:rStyle w:val="FootnoteAnchor"/>
          <w:rtl w:val="true"/>
        </w:rPr>
        <w:footnoteReference w:id="283"/>
      </w:r>
      <w:r>
        <w:rPr>
          <w:rFonts w:ascii="Amiri" w:hAnsi="Amiri" w:eastAsia="Amiri" w:cs="Amiri"/>
          <w:color w:val="111111"/>
          <w:sz w:val="28"/>
          <w:sz w:val="28"/>
          <w:szCs w:val="28"/>
          <w:rtl w:val="true"/>
          <w:lang w:bidi="ar-SA"/>
        </w:rPr>
        <w:t>لکنّا مهما شککنا فی شی‌ء لا نشکّ فی أنّ خطابات اللَّه تعالی النازلة إلی رسوله لم تکن متوجّهة إلی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إلی الحاضرین فی مجلس الوحی و لا الغائبین عنه، و لا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کمخاطبة بعضنا بعضاً؛ ضرورة أنّ الوحی بنصّ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 علی شخص رسوله صلی الله علیه و آله و سلم و کلام اللَّه و خطاباته لم تکن مسموعة لأحد من الامّة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 بعدم وصول خطاب لفظی منه تعالی بلا واسطة إلی</w:t>
      </w:r>
    </w:p>
    <w:p>
      <w:pPr>
        <w:pStyle w:val="BookText"/>
        <w:rPr/>
      </w:pPr>
      <w:r>
        <w:rPr>
          <w:rFonts w:ascii="IRNazanin" w:hAnsi="IRNazanin" w:eastAsia="IRNazanin"/>
          <w:color w:val="111111"/>
          <w:sz w:val="28"/>
          <w:sz w:val="28"/>
          <w:szCs w:val="28"/>
          <w:rtl w:val="true"/>
          <w:lang w:bidi="fa-IR"/>
        </w:rPr>
        <w:t>رسوله صلی الله علیه و آله و سلم غالباً أیضاً؛ لأنّ الظاهر من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الوحی کان بتوسّط أمین الوحی جبریل، و هو کان حاکیاً لتلک الخطابات منه سبحانه إلی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 خطاب لفظی حقیقی؛ إذ النبی الأکرم صلی الله علیه و آله و سلم لم یکن طرف المخاطبة له تعالی، و لا المؤمنون المقتفون به، بل حال الحاضرین فی زمن النبی و مجلس الوحی کحال غیرهم؛ من حیث عدم توجّه خطاب لفظی من اللَّه سبحانه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تأمّلت فی أنّ خطابات اللَّه و کلامه لم تکن مسموعة لأحد من الامّة، و أنّ الوحی کان بتوسّط أمینه بنحو الحکایة لرسوله صلی الله علیه و آله و سلم تعرف عدم خطاب لفظی من اللَّه؛ لا إلی نبیّه و لا إلی عباده، بل تلک الخطابات القرآنیة کسائر الأحکام الذی لم یصدر بألفاظ الخطاب من غیر فرق بینهما، و تکون أشبه بالخطابات الکتابیة، مثل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بما أنّ تلک الخطابات المحکیة باقیة إلی زماننا، و نسبة الأوّلین و الآخرین إلیها سواء فلا محالة یکون اختصاصها إلیهم بلا وجه، بل اختصاصها إلیهم ثمّ تعمیمها إلی غیرهم لغو؛ إذ لا وجه لهذا الجعل الثانوی من 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حکمی علی الآخرین حکمی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 الشمول للجمیع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عدم الدلیل علی الاختصاص کافٍ فی بطلانه بعد کون العنوان عامّاً أو مطلقاً، و بعد کون الخطاب الکتبی إلی کلّ من یراه أمراً متعارفاً، کما هو المعمول من أصحاب التألیف من الخطابات الکثیرة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خطابات القرآن کغیرها فی أنّها لیست خطابات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التخلّص عن هذا الإشکال بالتمسّک بالقضیة الحقیقیة فضعیف جدّاً؛ لأنّ الحکم فی القضیة الحقیقیة علی عنوان للأفراد قابل للصدق علی کلّ مصداق موجود فعلًا أو ما یوجد فی القابل، و مثل ذلک لا یتصوّر فی الخطاب؛ إذ لا یمکن أن یتعلّق الخطاب بعنوان أو أفراد له؛ و لو لم تکن حاضرة فی مجلس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نحو توجّه تکوینی نحو المخاطب لغرض التفهیم، و مثل ذلک یتوقّف علی حاضر ملتفت، و المعدوم و الغائب لیسا حاضرین و لا ملتفتین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سلکناه من التمسّک بالقضیة الحقیقیة فی غیر الخطابات لا یجری فیها؛ إذ الخطاب الحقیقی یستلزم وجوداً للمخاطب و وجوداً واقعیاً للمخاطب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الخطاب متوجّه إلی العنوان کجعل الحکم علیه مغالطة محضة؛ لأنّ تصوّر الخطاب بالحمل الشائع یأبی عن التفوّه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اشتهی أحد إصلاح هذا القسم من هذا الطریق أیضاً فلا بدّ أن یتمسّک فی إثبات شمول الخطاب للمعدوم و الغائب بأنّ المعدوم نزّل منزلة الموجود، أو غیر الشاعر منزلة الشاعر الملتفت، کما هو المشهور فی مخاطبة الجمادات، کما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مالک مورقاًکأنّک لم تجزع علی ابن طریف</w:t>
      </w:r>
    </w:p>
    <w:p>
      <w:pPr>
        <w:pStyle w:val="BookText"/>
        <w:rPr/>
      </w:pPr>
      <w:r>
        <w:rPr>
          <w:rFonts w:ascii="IRNazanin" w:hAnsi="IRNazanin" w:eastAsia="IRNazanin"/>
          <w:color w:val="111111"/>
          <w:sz w:val="28"/>
          <w:sz w:val="28"/>
          <w:szCs w:val="28"/>
          <w:rtl w:val="true"/>
          <w:lang w:bidi="fa-IR"/>
        </w:rPr>
        <w:t>و فی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 لا انجلی‌بصبح، و ما الإصباح منک بأمثل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التنزیل لیس لازم القضیة الحقیقیة</w:t>
      </w:r>
      <w:r>
        <w:rPr>
          <w:rStyle w:val="FootnoteAnchor"/>
          <w:rtl w:val="true"/>
        </w:rPr>
        <w:footnoteReference w:id="285"/>
      </w:r>
      <w:r>
        <w:rPr>
          <w:rFonts w:ascii="IRNazanin" w:hAnsi="IRNazanin" w:eastAsia="IRNazanin"/>
          <w:color w:val="111111"/>
          <w:sz w:val="28"/>
          <w:sz w:val="28"/>
          <w:szCs w:val="28"/>
          <w:rtl w:val="true"/>
          <w:lang w:bidi="fa-IR"/>
        </w:rPr>
        <w:t>و إن زعمه بعض الأعاظم</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لارتکاب التکلّف و التعسّف بالتمسّک بالقضیة الحقیقیة،</w:t>
      </w:r>
      <w:bookmarkStart w:id="311" w:name="pg12907_206685"/>
    </w:p>
    <w:p>
      <w:pPr>
        <w:pStyle w:val="BookText"/>
        <w:rPr/>
      </w:pPr>
      <w:bookmarkEnd w:id="311"/>
      <w:r>
        <w:rPr>
          <w:rFonts w:ascii="IRNazanin" w:hAnsi="IRNazanin" w:eastAsia="IRNazanin"/>
          <w:color w:val="111111"/>
          <w:sz w:val="28"/>
          <w:sz w:val="28"/>
          <w:szCs w:val="28"/>
          <w:rtl w:val="true"/>
          <w:lang w:bidi="fa-IR"/>
        </w:rPr>
        <w:t>ثمّ الالتزام بتکلّف آخر من حدیث التنزیل، و هی بذاتها غیر 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الإنشائیات بنحو الخطاب لیست من القضایا الحقیقیة؛ لأنّ الخطاب العمومی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یتوجّه بنحو الخطاب الحقیقی إلی أفراد العنوان؛ حتّی یکون کلّ فرد مخاطباً بالخطاب اللفظی فی ظرف وجوده؛ لأنّ أدوات النداء وضعت لإیجاد النداء لا لمفهومه، و المخاطبة نحو توجّه إلی المخاطب؛ توجّهاً جزئیاً مشخّصاً، و هو یتوقّف علی وجود المخاطب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التزمنا علی خلاف المختار،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خطابات الذکر الحکیم متوجّهة نحو المخلوق، و إنّ مَثَل رسول اللَّه صلی الله علیه و آله و سلم مثل شجرة موسی علیه السلام، فلا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الخطابات إلی غیر الحاضرین؛ من الالتزام بتنزیل المعدوم و غیر الحاضر منزلة الموجود و الحاضر، و لکن لا یصار إلیه إلّا بدلیل خارج بعد عدم کونه لازم القضیة الحقیقیة، فتدبّر</w:t>
      </w:r>
      <w:r>
        <w:rPr>
          <w:rFonts w:eastAsia="IRNazanin" w:cs="IRNazanin"/>
          <w:color w:val="111111"/>
          <w:sz w:val="28"/>
          <w:szCs w:val="28"/>
          <w:rtl w:val="true"/>
          <w:lang w:bidi="fa-IR"/>
        </w:rPr>
        <w:t>.</w:t>
      </w:r>
    </w:p>
    <w:p>
      <w:pPr>
        <w:pStyle w:val="Heading4"/>
        <w:numPr>
          <w:ilvl w:val="3"/>
          <w:numId w:val="1"/>
        </w:numPr>
        <w:rPr/>
      </w:pPr>
      <w:bookmarkStart w:id="312" w:name="__RefHeading___Toc3346448_3224264995"/>
      <w:bookmarkStart w:id="313" w:name="_Toc117"/>
      <w:bookmarkEnd w:id="312"/>
      <w:r>
        <w:rPr>
          <w:rtl w:val="true"/>
        </w:rPr>
        <w:t>فی ثمرة البحث</w:t>
      </w:r>
      <w:bookmarkEnd w:id="313"/>
    </w:p>
    <w:p>
      <w:pPr>
        <w:pStyle w:val="BookText"/>
        <w:rPr/>
      </w:pPr>
      <w:r>
        <w:rPr>
          <w:rFonts w:ascii="IRNazanin" w:hAnsi="IRNazanin" w:eastAsia="IRNazanin"/>
          <w:color w:val="111111"/>
          <w:sz w:val="28"/>
          <w:sz w:val="28"/>
          <w:szCs w:val="28"/>
          <w:rtl w:val="true"/>
          <w:lang w:bidi="fa-IR"/>
        </w:rPr>
        <w:t>و أمّا ثمرة البحث فتظهر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ظواهر خطابات الکتاب؛ فعلی القول بالتعمیم یکون المشافه و غیره سواء فی الأخذ بظهور الخطاب، و یصیر حجّة للمشافه و غیره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الثمرة مبنیة علی اختصاص حجّیة الظواهر بالمقصودین بالإفهام و هو باطل، مع أنّ غیر المخاطبین أیضاً مقصودون بها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أجاب عنه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الثمرة لا تبتنی علی مقالة القمی رحمه الله؛ فإنّ الخطابات الشفاهیة لو کانت مقصورة علی المشافهین و لم تعمّ غیرهم فلا معنی للرجوع إلیها و حجّیتها فی حقّ الغیر؛ سواء قلنا بمقالة المحقّق القمی أو لم نقل، فلا ابتناء للثمرة علی ذلک أصلًا</w:t>
      </w:r>
      <w:r>
        <w:rPr>
          <w:rStyle w:val="FootnoteAnchor"/>
          <w:rtl w:val="true"/>
        </w:rPr>
        <w:footnoteReference w:id="2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تسریة ما تضمّنته تلک الخطابات إلی الغائبین و المعدومین لیست بنفس تلک الخطابات فقط، علی القول باختصاصها بالمشافهین الحاضرین، بل بقاعدة الاشتراک فی التکلیف الذی انعقد علیه الإجماع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لم نقل بمقالة المحقّق القمی قدس سره تکون الظواهر قابلة للرجوع إلیها لتعیین تکلیف المخاطبین، و إن کانت مخصوصة بالمشافهین لرفض مقالة القمی رحمه الله فیتمسّک فی إثباته فی حقّنا بدلیل الاشتراک، و هذا بخلاف ما لو قلنا بمقالته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فظهور الثمرة موقوف علی مقالة القمّی، و کأنّه قدس سره تخیّل أنّ اختصاص الخطاب لجماعة یوجب انحطاطه عن جمیع المزایا؛ حتّی لو لم نقل بمقالة القمّی، کما هو صریح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بإطلاق الکتاب، بناءً علی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المشافه مخالفاً فی الصنف مع تمام المشافهین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صحّته بناءً علی الاختصاص</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قلنا بعدم اختصاصها بهم یکون المشافه و غیره سواء، و یکون نفس الإطلاق یقتضی تکلیف الغائب و المعدوم بما تضمّنته تلک الإطلاقات من الأحکام؛ و لو مع اختلاف الصنف، و هذا بخلاف ما لو خصّصناها بهم لفقدان الضرورة و الإجماع الدالّین علی الاشتراک فی التکلیف فی مورد</w:t>
      </w:r>
    </w:p>
    <w:p>
      <w:pPr>
        <w:pStyle w:val="BookText"/>
        <w:rPr/>
      </w:pPr>
      <w:r>
        <w:rPr>
          <w:rFonts w:ascii="IRNazanin" w:hAnsi="IRNazanin" w:eastAsia="IRNazanin"/>
          <w:color w:val="111111"/>
          <w:sz w:val="28"/>
          <w:sz w:val="28"/>
          <w:szCs w:val="28"/>
          <w:rtl w:val="true"/>
          <w:lang w:bidi="fa-IR"/>
        </w:rPr>
        <w:t>الاختلاف، بل لا بدّ عند التمسّک بدلیل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إحراز کلّ ما له دخل فی التکلیف المتوجّه إلیهم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یجوز التمسّک بأصالة الإطلاق لرفع الشکّ فیما یمکن أن یتطرّق إلیه الفقدان؛ و إن کان لا یجوز ذلک بالنسبة إلی الأمر الموجود الذی لا یتطرّق الفقدان إلیه؛ لأنّه علی تقدیر شرطیته لا یحتاج إلی البیان؛ لأنّ عدم بیانه لا یوجب نقضاً للغرض</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وافقه شیخنا العلّامة فی إنکار أصل الثمرة، و لکن من طریق آخر،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الخارج أمر یشترک فیه جمیع المشافهین إلی آخر أعمارهم، و لا یوجد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لو احتملنا اشتراط شی‌ء یوجد فی بعضهم دون آخر أو فی بعض الحالات دون بعض یدفعه أصالة الإطلاق</w:t>
      </w:r>
      <w:r>
        <w:rPr>
          <w:rStyle w:val="FootnoteAnchor"/>
          <w:rtl w:val="true"/>
        </w:rPr>
        <w:footnoteReference w:id="2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بظهور الثمرة فی التمسّک بالآیة لإثبات وجوب صلاة الجمعة علینا، فلو احتملنا أنّ وجود الإمام و حضوره شرط لوجوبها أو جوازها یدفعه أصالة الإطلاق فی الآیة علی القول بالتعمیم، و لو کان شرطاً کان علیه البیان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باختصاصه بالمشافهین أو الحاضرین فی زمن الخطاب لما کان یضرّ الإطلاق بالمقصود و عدم ذکر شرطیة الإمام أصلًا؛ لتحقّق الشرط؛ و هو حضوره علیه السلام إلی آخر أعمار الحاضرین؛ ضرورة عدم بقائهم إلی غیبة ولیّ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bookmarkStart w:id="314" w:name="pg12907_206689"/>
    </w:p>
    <w:p>
      <w:pPr>
        <w:pStyle w:val="Heading3"/>
        <w:numPr>
          <w:ilvl w:val="2"/>
          <w:numId w:val="1"/>
        </w:numPr>
        <w:rPr/>
      </w:pPr>
      <w:bookmarkStart w:id="315" w:name="__RefHeading___Toc3346450_3224264995"/>
      <w:bookmarkStart w:id="316" w:name="_Toc118"/>
      <w:bookmarkEnd w:id="314"/>
      <w:bookmarkEnd w:id="315"/>
      <w:r>
        <w:rPr>
          <w:rtl w:val="true"/>
        </w:rPr>
        <w:t>الفصل الخامس فی تعقّب العامّ بضمیر یرجع إلی بعض أفراده</w:t>
      </w:r>
      <w:bookmarkEnd w:id="316"/>
    </w:p>
    <w:p>
      <w:pPr>
        <w:pStyle w:val="BookText"/>
        <w:rPr/>
      </w:pPr>
      <w:r>
        <w:rPr>
          <w:rFonts w:ascii="IRNazanin" w:hAnsi="IRNazanin" w:eastAsia="IRNazanin"/>
          <w:color w:val="111111"/>
          <w:sz w:val="28"/>
          <w:sz w:val="28"/>
          <w:szCs w:val="28"/>
          <w:rtl w:val="true"/>
          <w:lang w:bidi="fa-IR"/>
        </w:rPr>
        <w:t>إذا تعقّب العامّ بضمیر یرجع إلی بعض أفراده هل یوجب ذلک تخصیصه به أو لا؟</w:t>
      </w:r>
    </w:p>
    <w:p>
      <w:pPr>
        <w:pStyle w:val="BookText"/>
        <w:rPr/>
      </w:pPr>
      <w:r>
        <w:rPr>
          <w:rFonts w:ascii="IRNazanin" w:hAnsi="IRNazanin" w:eastAsia="IRNazanin"/>
          <w:color w:val="111111"/>
          <w:sz w:val="28"/>
          <w:sz w:val="28"/>
          <w:szCs w:val="28"/>
          <w:rtl w:val="true"/>
          <w:lang w:bidi="fa-IR"/>
        </w:rPr>
        <w:t>و هذا التعبیر لا یخلو من مسامحة؛ لأنّ عود الضمیر إلی بعضها لیس مفروغاً عنه، بل المسلّم کون الحکم فی مورد الضمیر یختصّ ببعض الأفراد جدّاً، لا أنّ الضمیر یرجع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 الضمیر بدلیل متّصل أو منفصل هل یوجب تخصیص المرجع العامّ أو لا؟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من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محطّ البحث ما إذا کان الحکم الثابت للضمیر مغایراً للثابت لنفس المرجع؛ سواء کانا فی کلام واحد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خدّامهم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الخارج أنّ المراد هو عدول الخدّام، و قد یکون فی کلامین کما فی الآیة الشریفة، و سواء کان الحکمان من سنخ واحد کالمثال الأوّل، أو لا کالآیة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الحکم واحداً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w:t>
      </w:r>
    </w:p>
    <w:p>
      <w:pPr>
        <w:pStyle w:val="BookText"/>
        <w:rPr/>
      </w:pPr>
      <w:r>
        <w:rPr>
          <w:rFonts w:ascii="Amiri" w:hAnsi="Amiri" w:eastAsia="Amiri" w:cs="Amiri"/>
          <w:color w:val="111111"/>
          <w:sz w:val="28"/>
          <w:sz w:val="28"/>
          <w:szCs w:val="28"/>
          <w:rtl w:val="true"/>
          <w:lang w:bidi="ar-SA"/>
        </w:rPr>
        <w:t>یَتَرَبَّصْنَ</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حیث إنّ حکم التربّص لیس لجمیعهنّ فلا نزاع</w:t>
      </w:r>
      <w:r>
        <w:rPr>
          <w:rStyle w:val="FootnoteAnchor"/>
          <w:rtl w:val="true"/>
        </w:rPr>
        <w:footnoteReference w:id="2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التفصیل بینما إذا دلّ دلیل منفصل علی أنّ الحکم غیر عامّ لجمیع أفراد المرجع؛ بحیث لو لا هذا الدلیل المنفصل لکنّا حاکمین علی التطابق بین العامّ و مفاد الضمیر بحسب الجدّ، کما فی الآیة؛ فإنّ السنّة دلّت علی أنّ حقّ الرجوع لیس إلّا للرجعیات دون غیرها</w:t>
      </w:r>
      <w:r>
        <w:rPr>
          <w:rStyle w:val="FootnoteAnchor"/>
          <w:rtl w:val="true"/>
        </w:rPr>
        <w:footnoteReference w:id="293"/>
      </w:r>
      <w:r>
        <w:rPr>
          <w:rFonts w:ascii="IRNazanin" w:hAnsi="IRNazanin" w:eastAsia="IRNazanin"/>
          <w:color w:val="111111"/>
          <w:sz w:val="28"/>
          <w:sz w:val="28"/>
          <w:szCs w:val="28"/>
          <w:rtl w:val="true"/>
          <w:lang w:bidi="fa-IR"/>
        </w:rPr>
        <w:t xml:space="preserve">، و بینما إذا علم ذلک بقرینة عقلیة أو لفظیة حافّة بالکلام،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علم المتکلّم بضرورة الشرع أنّ مطلق الفسّاق لا یجوز قتلهم، فکیف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مخصوص بالمرتدّ أو الحربی، فهی قرینة متّصلة أو تشبهها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أن یکون النزاع مخصوصاً بالأوّل، کما یشعر به التمثیل، و ظاهر کلام المحقّق الخراسانی فی ذیله یشهد علی التعمیم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التفصیل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یوجب الإجمال فی الثانی دون الأوّل،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الأوّل دائر بین تخصیص واحد و أزید، و لا ریب أنّ الأوّل هو المتعیّن؛ إذ الدلیل المنفصل دلّ علی أنّ الحکم فی ناحیة الضمیر مختصّ ببعض أفراد المرجع بحسب الجدّ، و هو لا یوجب تخصیص المرجع و اختصاص حکمه ببعض أفراده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الضمیر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و کذلک المرجع قد استعملا فی معانیهما؛ بمعنی أنّه اطلق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ارید منها جمیعها، و اطلق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منها تمام أفراد المرجع، ثمّ دلّ الدلیل علی أنّ الإرادة الاستعمالیة فی ناحیة الضمیر لا توافق الإرادة الجدّیة، فخصّص بالبائنات و بقیت الرجعیات بحسب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لرفع الید عن ظهور المرجع لکون المخصّص لا یزاحم سوی الضمیر دون مرجعه، فرفع الید عنه رفع عن الحجّة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یظهر فی بعض الکلمات من أنّ الأمر دائر بین تخصیص المرجع و الاستخدام فی الضمیر</w:t>
      </w:r>
      <w:r>
        <w:rPr>
          <w:rStyle w:val="FootnoteAnchor"/>
          <w:rtl w:val="true"/>
        </w:rPr>
        <w:footnoteReference w:id="296"/>
      </w:r>
      <w:r>
        <w:rPr>
          <w:rFonts w:ascii="IRNazanin" w:hAnsi="IRNazanin" w:eastAsia="IRNazanin"/>
          <w:color w:val="111111"/>
          <w:sz w:val="28"/>
          <w:sz w:val="28"/>
          <w:szCs w:val="28"/>
          <w:rtl w:val="true"/>
          <w:lang w:bidi="fa-IR"/>
        </w:rPr>
        <w:t>لأنّ ذلک یخالف ما علیه المحقّقون من المتأخّرین من أنّ التخصیص لا یوجب مجازیة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لم یستعمل إلّا فی الإشارة إلی تمام أفراد المرجع، و التخصیص وارد علی الإرادة الجدّیة، و أنّه لا یوجب التصرّف فی ظهور العامّ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الاستخدام و المجازیة فی الإسناد أو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فی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فی المقام؛ لأنّ الضمائر کما تقدّم وضعت لنفس الإشارة الخارجیة</w:t>
      </w:r>
      <w:r>
        <w:rPr>
          <w:rStyle w:val="FootnoteAnchor"/>
          <w:rtl w:val="true"/>
        </w:rPr>
        <w:footnoteReference w:id="298"/>
      </w:r>
      <w:r>
        <w:rPr>
          <w:rFonts w:ascii="IRNazanin" w:hAnsi="IRNazanin" w:eastAsia="IRNazanin"/>
          <w:color w:val="111111"/>
          <w:sz w:val="28"/>
          <w:sz w:val="28"/>
          <w:szCs w:val="28"/>
          <w:rtl w:val="true"/>
          <w:lang w:bidi="fa-IR"/>
        </w:rPr>
        <w:t>، فلا بدّ لها من مشار إلیه، و هو هنا مفقود؛ لأنّ المذکور</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لیست مشاراً إلیها، و ما هو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مذکورة، فکیف یشار بالضمیر إلیها؟ و القول بمعهودیتها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کما أنّ المجاز علی تفصیل قد عرفته متقوّم بالادّعاء</w:t>
      </w:r>
      <w:r>
        <w:rPr>
          <w:rStyle w:val="FootnoteAnchor"/>
          <w:rtl w:val="true"/>
        </w:rPr>
        <w:footnoteReference w:id="299"/>
      </w:r>
      <w:r>
        <w:rPr>
          <w:rFonts w:ascii="IRNazanin" w:hAnsi="IRNazanin" w:eastAsia="IRNazanin"/>
          <w:color w:val="111111"/>
          <w:sz w:val="28"/>
          <w:sz w:val="28"/>
          <w:szCs w:val="28"/>
          <w:rtl w:val="true"/>
          <w:lang w:bidi="fa-IR"/>
        </w:rPr>
        <w:t>، و هو لا یناسب هذه المقامات؛ إذ لیس المقام مقام مبالغة حتّی یدّعی أنّ الرجعیات تمام المطلّقات، فالبحث عن الاستخدام و المجاز و تخصیص المرجع و بیان الترجیح بینها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المحقّق الخراسانی فی وجه الترجیح من أنّ أصالة العموم حجّة إذا شکّ فی أصل المراد، لا فیما إذا شکّ فی أنّه کیف أراد</w:t>
      </w:r>
      <w:r>
        <w:rPr>
          <w:rStyle w:val="FootnoteAnchor"/>
          <w:rtl w:val="true"/>
        </w:rPr>
        <w:footnoteReference w:id="300"/>
      </w:r>
      <w:r>
        <w:rPr>
          <w:rFonts w:ascii="IRNazanin" w:hAnsi="IRNazanin" w:eastAsia="IRNazanin"/>
          <w:color w:val="111111"/>
          <w:sz w:val="28"/>
          <w:sz w:val="28"/>
          <w:szCs w:val="28"/>
          <w:rtl w:val="true"/>
          <w:lang w:bidi="fa-IR"/>
        </w:rPr>
        <w:t>، و إن کان متیناً فی نفسه إلّا أنّه أجنبی عن المقام؛ إذ الشکّ هنا فی أصل المراد؛ لأنّا نشکّ فی أنّ تخصیص الضمیر هل یوجب تخصیص المرجع أو لا؟ و قد اعترف قدس سره بجریانها فی هذه الموارد، علی أنّ الدوران علی فرضه قدس سره بین الظهور السیاقی و التخصیص، فراجع تمام کلامه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الإجمال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الإلقاء محفوف بما یصلح أن یکون قرینة علی تخصیصه، فلا یجری التمسّک بالأصل؛ لعدم إحراز بناء العقلاء بالعمل بهذه الاصول و إجراء التطابق بین الإرادتین فی مثل ما حفّ الکلام بما یصلح للاعتماد علیه، فصحّة الاحتجاج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إهانة الفسّاق من غیر الکفّار مشکلة</w:t>
      </w:r>
      <w:r>
        <w:rPr>
          <w:rFonts w:eastAsia="IRNazanin" w:cs="IRNazanin"/>
          <w:color w:val="111111"/>
          <w:sz w:val="28"/>
          <w:szCs w:val="28"/>
          <w:rtl w:val="true"/>
          <w:lang w:bidi="fa-IR"/>
        </w:rPr>
        <w:t>.</w:t>
      </w:r>
      <w:bookmarkStart w:id="317" w:name="pg12907_206693"/>
    </w:p>
    <w:p>
      <w:pPr>
        <w:pStyle w:val="Heading3"/>
        <w:numPr>
          <w:ilvl w:val="2"/>
          <w:numId w:val="1"/>
        </w:numPr>
        <w:rPr/>
      </w:pPr>
      <w:bookmarkStart w:id="318" w:name="__RefHeading___Toc3346452_3224264995"/>
      <w:bookmarkStart w:id="319" w:name="_Toc119"/>
      <w:bookmarkEnd w:id="317"/>
      <w:bookmarkEnd w:id="318"/>
      <w:r>
        <w:rPr>
          <w:rtl w:val="true"/>
        </w:rPr>
        <w:t>الفصل السادس فی تخصیص العامّ بالمفهوم</w:t>
      </w:r>
      <w:bookmarkEnd w:id="319"/>
    </w:p>
    <w:p>
      <w:pPr>
        <w:pStyle w:val="Heading4"/>
        <w:numPr>
          <w:ilvl w:val="3"/>
          <w:numId w:val="1"/>
        </w:numPr>
        <w:rPr/>
      </w:pPr>
      <w:bookmarkStart w:id="320" w:name="__RefHeading___Toc3346454_3224264995"/>
      <w:bookmarkStart w:id="321" w:name="_Toc120"/>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قد نقل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جواز تخصیص العامّ بالمفهوم الموافق، و اختلافهم فی جوازه بالمخالف</w:t>
      </w:r>
      <w:r>
        <w:rPr>
          <w:rStyle w:val="FootnoteAnchor"/>
          <w:rtl w:val="true"/>
        </w:rPr>
        <w:footnoteReference w:id="301"/>
      </w:r>
      <w:r>
        <w:rPr>
          <w:rFonts w:ascii="IRNazanin" w:hAnsi="IRNazanin" w:eastAsia="IRNazanin"/>
          <w:color w:val="111111"/>
          <w:sz w:val="28"/>
          <w:sz w:val="28"/>
          <w:szCs w:val="28"/>
          <w:rtl w:val="true"/>
          <w:lang w:bidi="fa-IR"/>
        </w:rPr>
        <w:t>، و لکن هذا الإجماع لا یسمن و لا یغنی من جوع، فلا بدّ فی تمحیص الحقّ من إفراد کلّ واحد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یقع الکلام فی مقامین</w:t>
      </w:r>
      <w:r>
        <w:rPr>
          <w:rFonts w:eastAsia="IRNazanin" w:cs="IRNazanin"/>
          <w:color w:val="111111"/>
          <w:sz w:val="28"/>
          <w:szCs w:val="28"/>
          <w:rtl w:val="true"/>
          <w:lang w:bidi="fa-IR"/>
        </w:rPr>
        <w:t>:</w:t>
      </w:r>
    </w:p>
    <w:p>
      <w:pPr>
        <w:pStyle w:val="Heading4"/>
        <w:numPr>
          <w:ilvl w:val="3"/>
          <w:numId w:val="1"/>
        </w:numPr>
        <w:rPr/>
      </w:pPr>
      <w:bookmarkStart w:id="322" w:name="__RefHeading___Toc3346456_3224264995"/>
      <w:bookmarkStart w:id="323" w:name="_Toc121"/>
      <w:bookmarkEnd w:id="322"/>
      <w:r>
        <w:rPr>
          <w:rtl w:val="true"/>
        </w:rPr>
        <w:t>المقام الأوّل</w:t>
      </w:r>
      <w:r>
        <w:rPr>
          <w:rtl w:val="true"/>
        </w:rPr>
        <w:t xml:space="preserve">: </w:t>
      </w:r>
      <w:r>
        <w:rPr>
          <w:rtl w:val="true"/>
        </w:rPr>
        <w:t>فی تفسیر الموافق من المفهوم و جواز التخصیص به</w:t>
      </w:r>
      <w:bookmarkEnd w:id="32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فیه تعبیراتهم، و نحن نذکر الأقوال و الاحتمالات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عنه فی لسان المتأخّرین بإلغاء الخصوصیة و إسراء الحکم لفاقدها، کقول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شکّ فی أنّ العرف یری أنّ الموضوع هو الدم و ذات الشکّ، و لا دخالة لثوب زرارة أو دم الرعاف، کما لا دخل للرجولیة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الکنائی الذی سیق الکلام لأجله، مع عدم ثبوت الحکم للمنطوق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منه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فهو کنایة عن حرمة الإیذاء من الشتم و الضرب، و لکن الافّ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و لکن المنطوق أیضاً محکوم بحکم المفهوم، کالآیة المتقدّمة علی وجهٍ، و هو فرض کون الافّ محرّماً أیضاً، فأتی المتکلّم بأخفّ المصادیق مثلًا للانتقال إلی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الأولویة القطعیة، و هو الحکم الذی لم یذکر لکن یقطع به العقل بالمناط القطعی من الحکم المذکور، کما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یقطع منه لوجوب إکرام العلماء، و هذا ما یعبّر عنه بالمناسبات العقلیة بین الموضوع و محموله، و هو رائج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المستفاد من العلّة الواردة فی الأخبار، کقوله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 بین هذه الاحتمالات هو أنّ المفهوم الموافق حکم غیر مذکور فی محلّ النطق موافق للحکم فی محلّ النطق علی فرضه فی الإیجاب و السلب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محطّ البحث فیما إذا کان المفهوم أخصّ مطلق من العامّ، لا ما إذا کان بینهما عموم من وجه؛ و إن کان الظاهر من بعضهم خلافه</w:t>
      </w:r>
      <w:r>
        <w:rPr>
          <w:rStyle w:val="FootnoteAnchor"/>
          <w:rtl w:val="true"/>
        </w:rPr>
        <w:footnoteReference w:id="303"/>
      </w:r>
      <w:r>
        <w:rPr>
          <w:rFonts w:ascii="IRNazanin" w:hAnsi="IRNazanin" w:eastAsia="IRNazanin"/>
          <w:color w:val="111111"/>
          <w:sz w:val="28"/>
          <w:sz w:val="28"/>
          <w:szCs w:val="28"/>
          <w:rtl w:val="true"/>
          <w:lang w:bidi="fa-IR"/>
        </w:rPr>
        <w:t>، و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التخصیص به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التخصیص به فیما عدا الرابع إذا کان المفهوم أخصّ منه مطلقاً؛ ضرورة أنّ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بلا إشکال، فیکون حکمه حکم المنطوق، و یکون حاله حال اللفظ الملقی إلی المخاطب؛ فیخصّص به العامّ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بینهما عموم من وجه فیعامل معهما حکمهما المقرّر فی محلّه</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وضوح الحکم فی تقدیم الخاصّ علی العامّ أوجب کون المسألة 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یکون فیه مدار الاستفادة هو المناط العقلی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بتقدّم المفهوم علی العامّ؛ و إن کانت النسبة بینهما عموماً من وجه إذا کان المعارض نفس المفهوم؛ مستدلًّا بأنّ الأمر دائر بین رفع الید عن العامّ و بین رفعها عن المفهوم فقط، أو عنه و عن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الثالث؛ لأنّ المنطوق لا یزاحم العامّ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ممتنع عقلًا؛ لأنّه کیف یمکن رفع الید عن الأقوی مع إثباتها علی الأضعف؟ علی أنّ رفع الید عن المفهوم مع عدم التصرّف فی المنطوق غیر ممکن؛ للزوم التفکیک بین اللازم و الملزوم؛ فإنّ المفروض لزومه له بنحو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یتعیّن التصرّف فی العموم و تخصیصه بغیر مورد المفهوم</w:t>
      </w:r>
      <w:r>
        <w:rPr>
          <w:rStyle w:val="FootnoteAnchor"/>
          <w:rtl w:val="true"/>
        </w:rPr>
        <w:footnoteReference w:id="3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مقتضی القواعد هو لزوم تقدیم العامّ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فی عمومه أظهر من اشتمال القضیة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رفع الید عن المفهوم و المنطوق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رفعها عن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 المفروض أنّه مقتضی القواعد؛ لکونه فی عمومه أظهر؛ و إن کانت النسبة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الید عن حکم المنطوق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تقدیم العامّ علی المفهوم یکشف عن عدم تعلّق الحکم بالمنطوق، و إلّا یلزم التفکیک بین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الید عن المفهوم لأجل أقوائیة العامّ یوجب رفع الید عن المنطوق بمقداره؛ لحدیث الملازمة و المعارضة؛ و إن کانت بین العامّ و المفهوم أوّلًا و بالذات، لکن تتحقّق أیضاً بینه و بین المنطوق ثانیاً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المحذور العقلی کما یمکن بتخصیص العامّ کذلک یمکن برفع الید عن حکم 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الأعاظم،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کون المفهوم معارضاً للعامّ دون منطوقه؛ لأنّا فرضنا أنّ المفهوم موافق للمنطوق، و أنّه سیق لأجل الدلالة علیه، و معه کیف یعقل أن یکون المنطوق غیر معارض للعامّ مع کون المفهوم معارضاً له؟</w:t>
      </w:r>
    </w:p>
    <w:p>
      <w:pPr>
        <w:pStyle w:val="BookText"/>
        <w:rPr/>
      </w:pPr>
      <w:r>
        <w:rPr>
          <w:rFonts w:ascii="IRNazanin" w:hAnsi="IRNazanin" w:eastAsia="IRNazanin"/>
          <w:color w:val="111111"/>
          <w:sz w:val="28"/>
          <w:sz w:val="28"/>
          <w:szCs w:val="28"/>
          <w:rtl w:val="true"/>
          <w:lang w:bidi="fa-IR"/>
        </w:rPr>
        <w:t>فالتعارض فی المفهوم الموافق یقع ابتداءً بین المنطوق و العامّ، و یتبعه وقوعه بین المفهوم و العامّ، و لا بدّ أوّلًا من علاج التعارض بین المنطوق و العامّ، و یلزمه العلاج بین المفهوم و العامّ</w:t>
      </w:r>
      <w:r>
        <w:rPr>
          <w:rStyle w:val="FootnoteAnchor"/>
          <w:rtl w:val="true"/>
        </w:rPr>
        <w:footnoteReference w:id="30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یکون بین المنطوق و العامّ تباین کلّی،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الجهّال من خدّام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المستفاد من الأوّل وجوب إکرام النحویین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المنطوق و هو وجوب إکرام الجهّال من</w:t>
      </w:r>
    </w:p>
    <w:p>
      <w:pPr>
        <w:pStyle w:val="BookText"/>
        <w:rPr/>
      </w:pPr>
      <w:r>
        <w:rPr>
          <w:rFonts w:ascii="IRNazanin" w:hAnsi="IRNazanin" w:eastAsia="IRNazanin"/>
          <w:color w:val="111111"/>
          <w:sz w:val="28"/>
          <w:sz w:val="28"/>
          <w:szCs w:val="28"/>
          <w:rtl w:val="true"/>
          <w:lang w:bidi="fa-IR"/>
        </w:rPr>
        <w:t>خدّام النحویین و العامّ أعنی حرمة إکرام علماء الصرف تباین، مع أنّ بین مفهومه الموافق و هو وجوب إکرام علماء النحو، و نفس العامّ أعنی لا تکرم الصرفیین عموم من وجه؛ إذ الصرفی و النحوی قد یجتمعان و قد یفترقان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المنطوق أجنبیاً عن العامّ، و کان التعارض ابتداءً بین العامّ و المفهوم، مع کون النسبة بینهما عموماً من وجه فلا محیص من علاج التعارض ابتداءً بین العامّ و المفهوم؛ لکون التعارض بینهما بالذات و یتبعه العلاج بین المنطوق و العامّ؛ لکون التعارض بینهما بالعرض؛ إذ لیس بین وجوب إکرام الجهّال من خدّام النحویین و بین حرمة إکرام الصرفیین تعارض 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تقدّم العامّ علی المفهوم حسب القواعد یتبعه رفع الید عن المنطوق لا محالة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هذا القسم من 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التعارض بین المنطوق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أخصّ منه مطلقاً فیقدّم علی العامّ بلا إشکال، و یتبعه تقدّم المفهوم علی العامّ مطلقاً؛ سواء کانت نسبة المفهوم إلی العامّ عموماً مطلقاً أو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یمتنع رفع الید عن المفهوم بعد القطع بالتلازم، فإذا فرضنا تقدّم المنطوق علی العامّ لکونه خاصّاً یستتبعه تقدّم المفهوم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نسبة اشتملت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بالتلازم بین التقدّمین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تقدیم المفهوم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فیما إذا کانت النسبة بینهما عموماً من وجه إذا کان المنطوق أخصّ مطلقاً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إمّا تفکیک أحد المتلازمین عن الآخر إذا خصّصنا بالمنطوق دون المفهوم، أو عدم تقدیم الخاصّ علی العامّ إذا لم نخصّصه بالمنطوق أیضاً، مع أنّه بالنسبة إلی العامّ خاصّ مطلق</w:t>
      </w:r>
      <w:r>
        <w:rPr>
          <w:rFonts w:eastAsia="IRNazanin" w:cs="IRNazanin"/>
          <w:color w:val="111111"/>
          <w:sz w:val="28"/>
          <w:szCs w:val="28"/>
          <w:rtl w:val="true"/>
          <w:lang w:bidi="fa-IR"/>
        </w:rPr>
        <w:t>.</w:t>
      </w:r>
      <w:bookmarkStart w:id="324" w:name="pg12907_206698"/>
    </w:p>
    <w:p>
      <w:pPr>
        <w:pStyle w:val="BookText"/>
        <w:rPr/>
      </w:pPr>
      <w:bookmarkEnd w:id="324"/>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تدبّرت تعرف الفرق الواضح بین هذا القسم و ما تقدّم بحثه آنفاً؛ لأنّ البحث هاهنا فیما إذا کان التعارض بین العامّ و المنطوق و کان الثانی أخصّ من الأوّل مطلقاً، فلا محالة یقدّم علیه؛ و لأجل تقدّمه یقدّم المفهوم لحدیث التلازم، و إلّا یلزم أحد المحذورین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البحث هناک فیما إذا کان التعارض بین العامّ و المفهوم ابتداءً و کانت النسبة بینهما عموماً من وجه لا عموماً مطلقاً؛ إذ هو خارج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لتقدیم المفهوم و الحال هذه، کما لا وجه للاستدلال علی هذا التقدیم بمجرّد کون المنطوق موافقاً له، بل ما لم یرفع التعارض بین العامّ و المفهوم لا یتعیّن حکم المنطوق، فلو ألزَمَنا القواعد تقدیم العامّ علی المفهوم لقدّمناه علی المفهوم و المنطوق بلا تصوّر مانع،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کان التعارض بین المنطوق و العامّ أیضاً و لکن کان النسبة عموماً من وجه فیعامل معاملتهما، و مع تقدیمه علی العامّ بحسب القواعد أو القرائن یقدّم المفهوم أیضاً؛ لما عرفت</w:t>
      </w:r>
      <w:r>
        <w:rPr>
          <w:rFonts w:eastAsia="IRNazanin" w:cs="IRNazanin"/>
          <w:color w:val="111111"/>
          <w:sz w:val="28"/>
          <w:szCs w:val="28"/>
          <w:rtl w:val="true"/>
          <w:lang w:bidi="fa-IR"/>
        </w:rPr>
        <w:t>.</w:t>
      </w:r>
    </w:p>
    <w:p>
      <w:pPr>
        <w:pStyle w:val="Heading4"/>
        <w:numPr>
          <w:ilvl w:val="3"/>
          <w:numId w:val="1"/>
        </w:numPr>
        <w:rPr/>
      </w:pPr>
      <w:bookmarkStart w:id="325" w:name="__RefHeading___Toc3346458_3224264995"/>
      <w:bookmarkStart w:id="326" w:name="_Toc122"/>
      <w:bookmarkEnd w:id="325"/>
      <w:r>
        <w:rPr>
          <w:rtl w:val="true"/>
        </w:rPr>
        <w:t>المقام الثانی</w:t>
      </w:r>
      <w:r>
        <w:rPr>
          <w:rtl w:val="true"/>
        </w:rPr>
        <w:t xml:space="preserve">: </w:t>
      </w:r>
      <w:r>
        <w:rPr>
          <w:rtl w:val="true"/>
        </w:rPr>
        <w:t>فی المفهوم المخالف</w:t>
      </w:r>
      <w:bookmarkEnd w:id="326"/>
    </w:p>
    <w:p>
      <w:pPr>
        <w:pStyle w:val="BookText"/>
        <w:rPr/>
      </w:pPr>
      <w:r>
        <w:rPr>
          <w:rFonts w:ascii="IRNazanin" w:hAnsi="IRNazanin" w:eastAsia="IRNazanin"/>
          <w:color w:val="111111"/>
          <w:sz w:val="28"/>
          <w:sz w:val="28"/>
          <w:szCs w:val="28"/>
          <w:rtl w:val="true"/>
          <w:lang w:bidi="fa-IR"/>
        </w:rPr>
        <w:t>و ظاهر عناوین القوم یعطی أنّ النزاع فیما إذا فرغنا عن اشتمال القضیة علی المفهوم، کما فرغنا عن وجود عامّ مخالف للمفهوم؛ سواء کان النسبة بینهما عموماً و خصوصاً مطلقاً،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إذا جاءک زید لا تهن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کانت عموماً من وجه، کما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إن جاءک زید أکرم الفسّاق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جعل محطّ البحث أعمّ لأجل أنّ أقوائیة عموم العامّ یضعّف ظهور</w:t>
      </w:r>
    </w:p>
    <w:p>
      <w:pPr>
        <w:pStyle w:val="BookText"/>
        <w:rPr/>
      </w:pPr>
      <w:r>
        <w:rPr>
          <w:rFonts w:ascii="IRNazanin" w:hAnsi="IRNazanin" w:eastAsia="IRNazanin"/>
          <w:color w:val="111111"/>
          <w:sz w:val="28"/>
          <w:sz w:val="28"/>
          <w:szCs w:val="28"/>
          <w:rtl w:val="true"/>
          <w:lang w:bidi="fa-IR"/>
        </w:rPr>
        <w:t>اشتمال القضیة علی المفهوم؛ و إن کان المفهوم أخصّ مطلق منه، و هذا لا ینافی اشتمال القضیة فی حدّ ذاتها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یظهر من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الأساطین</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هنا عند القدماء هو البحث فی باب الإطلاق و التقیید، و الکلام فی تخصیص العامّ بالمفهوم مرجعه عندهم إلی تقیید العامّ بالقید المذکور فی القضیة و مثّل له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فإنّ الأوّل یدلّ علی أنّ تمام الموضوع للاعتصام هو نفس الماء، و دلّ الثانی علی أنّ للکرّیة دخلًا فیه، فآل التعارض إلی تعارض الإطلاق و التقیید، فیحکّم القید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خروج عن عنوان البحث الدائر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عموماً مطلقاً، و اخری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یقعان فی کلام واحد متّصل، و قد یقعان فی کلامین منفصلین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النزاع فی تقدیم العامّ علی المفهوم المخالف أو فی عکسه إنّما هو إذا لم یعارض العامّ نفس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دلالة القضیة علی المفهوم بالدلالة الوضعیة مثل دلالة العامّ علی عمومه فلا محالة یقع التعارض بین الظاهرین، فمع عدم الترجیح یرجع إلی أخبار العلاج أو یحکم بالإجمال، من غیر فرق بین کونهما فی کلام واحد أو کلامین؛ و إن کانت استفادة المفهوم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کانا فی کلام واحد فلا محیص عن رفع الید عن المفهوم؛ لانثلام مقدّماتها؛ فإنّ جریانها معلّق علی عدم البیان، و الظهور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 أو صالح للبیانیة، و لو کانا منفصلین یصیران متعارضین، و لا ترجیح للظهور الوضعی علی الإطلاقی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المختار من کون دلالة اللفظ علی العموم وضعیة، و لا یستفاد العموم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بإمکان استفادة العموم من الإطلاق أیضاً، و فرضنا دلالة القضیة علی المفهوم أیضاً بالإطلاق فهل المرجع هو التساقط 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وقعا فی کلام واحد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یقدّم المفهوم علی العامّ؟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عند بعضهم هو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المفهوم أن یکون التقیید راجعاً إلی الحکم لا إلی الموضوع، و القضیة الشرطیة بعد ما کانت ظاهرة فی کون القید راجعاً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وضعت لتقیید جملة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حاکمة علی مقدّمات الحکمة، فظهورها فی المفهوم یوجب عدم جریان مقدّمات الحکمة فی العامّ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القضیة ذات مفهوم و إن کانت بمقدّمات الحکمة إلّا أنّ المقدّمات الجاریة فی طرف المفهوم تکون بمنزلة القرینة علی أنّ المراد من العامّ هو الخاصّ، و العامّ لا یصلح أن یکون قرینة علی أنّ الشرطیة سیقت لفرض وجود الموضوع،</w:t>
      </w:r>
    </w:p>
    <w:p>
      <w:pPr>
        <w:pStyle w:val="BookText"/>
        <w:rPr/>
      </w:pPr>
      <w:r>
        <w:rPr>
          <w:rFonts w:ascii="IRNazanin" w:hAnsi="IRNazanin" w:eastAsia="IRNazanin"/>
          <w:color w:val="111111"/>
          <w:sz w:val="28"/>
          <w:sz w:val="28"/>
          <w:szCs w:val="28"/>
          <w:rtl w:val="true"/>
          <w:lang w:bidi="fa-IR"/>
        </w:rPr>
        <w:t>فلا بدّ فیه من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المفهوم أخصّ مطلقاً</w:t>
      </w:r>
      <w:r>
        <w:rPr>
          <w:rStyle w:val="FootnoteAnchor"/>
          <w:rtl w:val="true"/>
        </w:rPr>
        <w:footnoteReference w:id="3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إناطة الجزاء بالشرط و إن کانت مستفادة من الوضع إلّا أنّها لیست مناط استفادة المفهوم، بل مناطه هو استفادة العلّة المنحصرة من الشرط، و المفروض أنّ الدالّ علیها هو الإطلاق، کما أنّ الدالّ علیه أیضاً هو الإطلاق، فلا وجه لجعل أحدهما بیاناً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مقدّمات الحکمة فی العامّ لا یوجب رجوع القید إلی الموضوع؛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یصلح لذلک، بل یمنع عن جریانها فی الشرطیة لإثبات الانحصار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جریانها فی المفهوم بمنزلة القرینة للعامّ لا یرجع إلی محصّل</w:t>
      </w:r>
      <w:r>
        <w:rPr>
          <w:rFonts w:eastAsia="IRNazanin" w:cs="IRNazanin"/>
          <w:color w:val="111111"/>
          <w:sz w:val="28"/>
          <w:szCs w:val="28"/>
          <w:rtl w:val="true"/>
          <w:lang w:bidi="fa-IR"/>
        </w:rPr>
        <w:t>.</w:t>
      </w:r>
      <w:bookmarkStart w:id="327" w:name="pg12907_206703"/>
    </w:p>
    <w:p>
      <w:pPr>
        <w:pStyle w:val="Heading3"/>
        <w:numPr>
          <w:ilvl w:val="2"/>
          <w:numId w:val="1"/>
        </w:numPr>
        <w:rPr/>
      </w:pPr>
      <w:bookmarkStart w:id="328" w:name="__RefHeading___Toc3346460_3224264995"/>
      <w:bookmarkStart w:id="329" w:name="_Toc123"/>
      <w:bookmarkEnd w:id="327"/>
      <w:bookmarkEnd w:id="328"/>
      <w:r>
        <w:rPr>
          <w:rtl w:val="true"/>
        </w:rPr>
        <w:t>الفصل السابع فی تخصیص الکتاب بالخبر الواحد</w:t>
      </w:r>
      <w:bookmarkEnd w:id="329"/>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تخصیص الکتاب بالخبر الواحد، بعد ما ثبت فی محلّه أنّ المدرک الوحید فی حجّیته هو بناء العقلاء علی ذلک، من دون أن یصدر عن الشارع تأسیس و لا إعمال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البناء لا یأبی عن القول بتقدیمه علی العموم الکتابی؛ و إن کان ظنّی السند و الآخر قطعی المدرک بعد إحراز التوفیق بینهما فی محیط القانون و مرکز جعل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اختلافهما فیما ذکر لا یوجب رفع الید عنه و المصیر إلی العموم؛ لعدم وقوع التعارض بین السندین حتّی یتخیّل الترجیح، بل بین الدلالتین، و هما سیّان؛ و لذلک یخصّص القائل المنع فی المقام بتخصیص الکتاب لا الأخبار المتواترة مع اشتراکها فی القطعیة مع الکتاب الکریم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غیر ذلک من التعابیر لا یمکن الاستشهاد به؛ إذ لازمه عدم جواز التخصیص بالخبر المتواتر؛ لکون لسان تلک الأخبار آبیة عن التخصیص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التعارض بالعموم و الخصوص و إن کان یعدّ من التعارض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الموجبة الکلّیة نقیضه السالبة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العارف باصول الجعل و التشریع و کیفیته؛ من تقدیم بعض و تأخیر آخر، و أنّ محیط التشریع یقتضی ذلک بالضرورة سوف یرجع و یعترف بالتوافق و الجمع فی هذه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أقرّ الامّة جمیعاً علی أنّ فی نفس الآیات مخصّصات و مقیّدات تقدّم بعضه بعضاً، من دون أن یختلف فیه اثنان، مع عدم عدّ ذلک تناقضاً و تهافتاً فی الکتاب و لا منافیاً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 لیس ذلک إلّا عدم عدّ التقیید و التخصیص اختلافاً و تناقضاً فی محیط التشریع و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إرجاع تلک الأخبار إلی المخالفات الکلّیة التی تباین القرآن و تعارضه؛ و کان باب الافتراء من خصماء الأئمّة علیهم السلام مفتوحاً علیهم بمصراعیه، و کانوا یدسّون فی کتب أصحاب أبی جعفر علیه السلام، و کانت الغایة للقالة و الجعل هو أن یثبتوا عند الناس انحطاط مقاماتهم بالأکاذیب الموضوعة؛ حتّی یرجع الناس عن بابهم، و غیر ذلک من الهوسات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الدسّ منهم لم یکن بنحو التباین الکلّی و التناقض</w:t>
      </w:r>
      <w:r>
        <w:rPr>
          <w:rStyle w:val="FootnoteAnchor"/>
          <w:rtl w:val="true"/>
        </w:rPr>
        <w:footnoteReference w:id="314"/>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bookmarkStart w:id="330" w:name="pg12907_206705"/>
    </w:p>
    <w:p>
      <w:pPr>
        <w:pStyle w:val="Heading3"/>
        <w:numPr>
          <w:ilvl w:val="2"/>
          <w:numId w:val="1"/>
        </w:numPr>
        <w:rPr/>
      </w:pPr>
      <w:bookmarkStart w:id="331" w:name="__RefHeading___Toc3346462_3224264995"/>
      <w:bookmarkStart w:id="332" w:name="_Toc124"/>
      <w:bookmarkEnd w:id="330"/>
      <w:bookmarkEnd w:id="331"/>
      <w:r>
        <w:rPr>
          <w:rtl w:val="true"/>
        </w:rPr>
        <w:t>الفصل الثامن فی الاستثناء المتعقّب لجمل متعدّدة</w:t>
      </w:r>
      <w:bookmarkEnd w:id="332"/>
    </w:p>
    <w:p>
      <w:pPr>
        <w:pStyle w:val="Heading4"/>
        <w:numPr>
          <w:ilvl w:val="3"/>
          <w:numId w:val="1"/>
        </w:numPr>
        <w:rPr/>
      </w:pPr>
      <w:bookmarkStart w:id="333" w:name="__RefHeading___Toc3346464_3224264995"/>
      <w:bookmarkStart w:id="334" w:name="_Toc12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الاستثناء المتعقّب لجمل متعدّدة هل یرجع إلی الجمیع أو إلی خصوص الأخیرة أو لا ظهور فیه؛ و إن کان الرجوع إلی الأخیرة متیقّناً؟</w:t>
      </w:r>
    </w:p>
    <w:p>
      <w:pPr>
        <w:pStyle w:val="BookText"/>
        <w:rPr/>
      </w:pPr>
      <w:r>
        <w:rPr>
          <w:rFonts w:ascii="IRNazanin" w:hAnsi="IRNazanin" w:eastAsia="IRNazanin"/>
          <w:color w:val="111111"/>
          <w:sz w:val="28"/>
          <w:sz w:val="28"/>
          <w:szCs w:val="28"/>
          <w:rtl w:val="true"/>
          <w:lang w:bidi="fa-IR"/>
        </w:rPr>
        <w:t>و تفصیل القول فیه یقع فی مقامین</w:t>
      </w:r>
      <w:r>
        <w:rPr>
          <w:rFonts w:eastAsia="IRNazanin" w:cs="IRNazanin"/>
          <w:color w:val="111111"/>
          <w:sz w:val="28"/>
          <w:szCs w:val="28"/>
          <w:rtl w:val="true"/>
          <w:lang w:bidi="fa-IR"/>
        </w:rPr>
        <w:t>:</w:t>
      </w:r>
    </w:p>
    <w:p>
      <w:pPr>
        <w:pStyle w:val="Heading4"/>
        <w:numPr>
          <w:ilvl w:val="3"/>
          <w:numId w:val="1"/>
        </w:numPr>
        <w:rPr/>
      </w:pPr>
      <w:bookmarkStart w:id="335" w:name="__RefHeading___Toc3346466_3224264995"/>
      <w:bookmarkStart w:id="336" w:name="_Toc126"/>
      <w:bookmarkEnd w:id="335"/>
      <w:r>
        <w:rPr>
          <w:rtl w:val="true"/>
        </w:rPr>
        <w:t>المقام الأوّل</w:t>
      </w:r>
      <w:r>
        <w:rPr>
          <w:rtl w:val="true"/>
        </w:rPr>
        <w:t xml:space="preserve">: </w:t>
      </w:r>
      <w:r>
        <w:rPr>
          <w:rtl w:val="true"/>
        </w:rPr>
        <w:t>فی إمکان الرجوع إلی الجمیع</w:t>
      </w:r>
      <w:bookmarkEnd w:id="336"/>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رجوعه إلی الجمیع، بلا فرق بین أن یکون آلة الاستثناء حرفاً أو اسماً، و بلا فرق بین أن یکون المستثنی علماً أو وصفاً مشتقّاً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آلة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إنّ الموضوع له فی الحروف کالأسماء عامّ فلا إشکال أصلًا، و إن کان خلاف التحقیق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المختار من أنّ الموضوع له فی الحروف خاصّ فربّما یقال من أنّها علی هذا الفرض موضوعة للإخراج بالحمل الشائع، فیلزم من استعمالها فی الإخراجات استعمال اللفظ فی أکثر من معنی واحد، و هو فی الحروف أشکل؛ لأنّها آلات لملاحظة الغیر، فیلزم أن یکون شی‌ء واحد فانیاً فی شیئین أو أکثر</w:t>
      </w:r>
      <w:r>
        <w:rPr>
          <w:rFonts w:eastAsia="IRNazanin" w:cs="IRNazanin"/>
          <w:color w:val="111111"/>
          <w:sz w:val="28"/>
          <w:szCs w:val="28"/>
          <w:rtl w:val="true"/>
          <w:lang w:bidi="fa-IR"/>
        </w:rPr>
        <w:t>.</w:t>
      </w:r>
      <w:bookmarkStart w:id="337" w:name="pg12907_206706"/>
    </w:p>
    <w:p>
      <w:pPr>
        <w:pStyle w:val="BookText"/>
        <w:rPr/>
      </w:pPr>
      <w:bookmarkEnd w:id="33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الحروف أسهل من الأسماء؛ بحیث لو ثبت الجواز فی الثانیة لثبت فی الاولی بلا ریب؛ لما تقدّم فی مقدّمة الکتاب من أنّ دلالة الحروف علی التکثّر و الوحدة تبعی، کأصل دلالته علی معناه، فلو فرضنا صدق المدخول علی أکثر من واحد لسری التکثّر إلی الحروف تبعاً،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الاستثناء بإخراج واحد یخرج الکثیرین، فلو قال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أضف التجّار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إخراج واحد للفسّاق القابل للانطباق علی فسّاق العلماء و التجّار، فلا یکون استعمال الأداة فی أکثر من معنی،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یستشکل فیما إذا کان المستثنی مثل زید مشترکاً بین أشخاص، و یکون فی کلّ جملة شخص مسمّی بزید، فإخراج کلّ منهم بلفظ واحد مستلزم للمحذور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جواز استعمال اللفظ فی أکثر من معنی واحد</w:t>
      </w:r>
      <w:r>
        <w:rPr>
          <w:rStyle w:val="FootnoteAnchor"/>
          <w:rtl w:val="true"/>
        </w:rPr>
        <w:footnoteReference w:id="315"/>
      </w:r>
      <w:r>
        <w:rPr>
          <w:rFonts w:ascii="IRNazanin" w:hAnsi="IRNazanin" w:eastAsia="IRNazanin"/>
          <w:color w:val="111111"/>
          <w:sz w:val="28"/>
          <w:sz w:val="28"/>
          <w:szCs w:val="28"/>
          <w:rtl w:val="true"/>
          <w:lang w:bidi="fa-IR"/>
        </w:rPr>
        <w:t>مع عدم لزومه هنا أیضاً؛ لإمکان استعماله فی مثل المسمّی الجامع بین الأفراد انتزاعاً، فلا یلزم الإشکال فی الإخراج، و لا فی المخرج</w:t>
      </w:r>
      <w:r>
        <w:rPr>
          <w:rFonts w:eastAsia="IRNazanin" w:cs="IRNazanin"/>
          <w:color w:val="111111"/>
          <w:sz w:val="28"/>
          <w:szCs w:val="28"/>
          <w:rtl w:val="true"/>
          <w:lang w:bidi="fa-IR"/>
        </w:rPr>
        <w:t>.</w:t>
      </w:r>
    </w:p>
    <w:p>
      <w:pPr>
        <w:pStyle w:val="Heading4"/>
        <w:numPr>
          <w:ilvl w:val="3"/>
          <w:numId w:val="1"/>
        </w:numPr>
        <w:rPr/>
      </w:pPr>
      <w:bookmarkStart w:id="338" w:name="__RefHeading___Toc3346468_3224264995"/>
      <w:bookmarkStart w:id="339" w:name="_Toc127"/>
      <w:bookmarkEnd w:id="338"/>
      <w:r>
        <w:rPr>
          <w:rtl w:val="true"/>
        </w:rPr>
        <w:t>المقام الثانی</w:t>
      </w:r>
      <w:r>
        <w:rPr>
          <w:rtl w:val="true"/>
        </w:rPr>
        <w:t xml:space="preserve">: </w:t>
      </w:r>
      <w:r>
        <w:rPr>
          <w:rtl w:val="true"/>
        </w:rPr>
        <w:t>فی حاله إثباتاً</w:t>
      </w:r>
      <w:bookmarkEnd w:id="339"/>
    </w:p>
    <w:p>
      <w:pPr>
        <w:pStyle w:val="BookText"/>
        <w:rPr/>
      </w:pPr>
      <w:r>
        <w:rPr>
          <w:rFonts w:ascii="IRNazanin" w:hAnsi="IRNazanin" w:eastAsia="IRNazanin"/>
          <w:color w:val="111111"/>
          <w:sz w:val="28"/>
          <w:sz w:val="28"/>
          <w:szCs w:val="28"/>
          <w:rtl w:val="true"/>
          <w:lang w:bidi="fa-IR"/>
        </w:rPr>
        <w:t>فهناک صور و أقسام یختلف الحکم باختلافها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ذکر الاسم الظاهر فی الجملة الاولی و عطف سائر الجمل علیها؛ مشتملًا علی الضمیر الراجع إلیه، و اشتمل المستثنی أیضاً علی الضمیر، مثل</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سلّم علیهم و البسهم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رجوع الاستثناء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الضمائر کأسماء الإشارة وضعت لنفس الإشارة إلی الغائب، فحینئذٍ إذا اشتمل المستثنی علی الضمیر یکون إشارة إلی شی‌ء؛ و لم یکن فی الجمل شی‌ء صالح للإشارة إلیه إلّا الاسم الظاهر المذکور فی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الجمل فلا تصلح لإرجاع الضمیر إلیها؛ لعدم إمکان عود الضمیر إلی الضمیر، فإذا رجع ضمیر المستثنی إلی الاسم الظاهر یخرجه عن تحت جمیع الأحکام المتعلّقة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فهم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المتواردة علی الضمائر متواردة علی الاسم الظاهر حقیقة؛ لکون عمل الضمائر هو نفس الإشارة إلی الغائب، و المثال المذکور یؤول حقیقة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و أکرم و سلّم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الاستثناء ورد علی هذا الظاهر، و الفسّاق من العلماء قد خرجوا عن موضوع الحکم، فلا محالة ینسلخ عنهم عامّة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إخراج الفسّاق عن العلماء کما یمکن أن یکون بما لهم من حکم التکریم یمکن أن یکون بما لهم حکم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تدقیق صناعی لا یتوجّه إلیه العرف الساذج، و هو لا یفرّق بین حکم و حکم، بعد التفاته إلی أنّ فسّاق العلماء خرجوا عن الموضوعیة للحکم، بل ما ذکرنا بیانُ مناسبة لإرجاعه الاستثناء إلی الجمیع لا برهان علیه، فتدبّر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أیضاً، و لکنّ المستثنی غیر شامل للضمیر العائد إلی الاسم الظاهر، کما إذا قال فی المثال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رجوع</w:t>
      </w:r>
    </w:p>
    <w:p>
      <w:pPr>
        <w:pStyle w:val="BookText"/>
        <w:rPr/>
      </w:pPr>
      <w:r>
        <w:rPr>
          <w:rFonts w:ascii="IRNazanin" w:hAnsi="IRNazanin" w:eastAsia="IRNazanin"/>
          <w:color w:val="111111"/>
          <w:sz w:val="28"/>
          <w:sz w:val="28"/>
          <w:szCs w:val="28"/>
          <w:rtl w:val="true"/>
          <w:lang w:bidi="fa-IR"/>
        </w:rPr>
        <w:t>الاستثناء إلی الجمیع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بأنّ الضمیر فی مثله منوی فواضح، و أمّا إذا لم نقل بتقدیره فیه فلأنّ الضمائر فی سائر الجمل غیر صالحة لتعلّق الاستثناء بها؛ فإنّها بنفسها غیر محکومة بشی‌ء، فلا محالة یرجع إلی ما هو صالح له، و هو الاسم الظاهر، و یأتی فیها ما تقدّم من البیان،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تکرّر الاسم الظاهر،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أضف التجّار و البس الفقراء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محتمل غیر ظاهر فی رجوعه إلی الجمیع أو الأخیر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رجوعه إلی الأخیرة؛ لأنّ تکرار عقد الوضع فی الجملة الأخیرة مستقلًّا یوجب أخذ الاستثناء محلّه من الکلام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لا یرجع إلی محصّل، بل التحقیق أنّ المستثنی إن اشتمل علی الضمیر یکون الاستثناء تابعاً له فی السعة و الضیق، و بما أنّ کلّ جملة مشتملة علی الاسم الظاهر یکون الضمیر قابلًا للعود إلی الأخیرة و الجمیع، من غیر تأوّل و لا تجوّز و یتبعه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یشتمل فیحتمل الأمرین؛ لانطباق عنوان المستثنی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لم نقل بأنّ رجوع الضمیر و انطباق العنوان علی الجمیع أظهر لدی العرف فلا أقلّ من المساواة احتمالًا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اشتمل بعض الجمل المتوسّطة علی الاسم الظاهر أیضاً و ما بعدها علی الضمیر الراجع إلیه،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سلّم علیهم، و أضف التجّار و أکرمهم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فیحتمل الرجوع إلی الجملة المتوسّطة المشتملة</w:t>
      </w:r>
    </w:p>
    <w:p>
      <w:pPr>
        <w:pStyle w:val="BookText"/>
        <w:rPr/>
      </w:pPr>
      <w:r>
        <w:rPr>
          <w:rFonts w:ascii="IRNazanin" w:hAnsi="IRNazanin" w:eastAsia="IRNazanin"/>
          <w:color w:val="111111"/>
          <w:sz w:val="28"/>
          <w:sz w:val="28"/>
          <w:szCs w:val="28"/>
          <w:rtl w:val="true"/>
          <w:lang w:bidi="fa-IR"/>
        </w:rPr>
        <w:t>علی الاسم الظاهر و ما بعده أو إلی الجمیع، و الظاهر عدم الترجیح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هنا صور اخری، یظهر حالها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لم یظهر رجوعه إلی الجمیع أو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الیقین بأنّ الأخیرة من الجمل مخصّصة قطعاً؛ لأنّ عودها إلی غیرها و صرفه عنها خلاف قانون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بجواز التمسّک بأصالة العموم فی سائر الجمل مطلقاً، و ربّما یفصّل بین احتیاج العموم إلی مقدّمات الحکمة و عدمه، فلا یتمسّک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بأصالة العموم مطلقاً؛ لعدم إحراز بناء العقلاء علی العمل بها فیما حفّ الکلام بما یصلح للقرینیة، و تقیید مدخول أداة العموم، فأصالة العموم بما هی حجّة و کاشفة عن تطابق الإرادتین لم تحرز فی المقام، فحینئذٍ یصیر الکلام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مخلّ بغرض المتکلّم</w:t>
      </w:r>
      <w:r>
        <w:rPr>
          <w:rStyle w:val="FootnoteAnchor"/>
          <w:rtl w:val="true"/>
        </w:rPr>
        <w:footnoteReference w:id="317"/>
      </w:r>
      <w:r>
        <w:rPr>
          <w:rFonts w:ascii="IRNazanin" w:hAnsi="IRNazanin" w:eastAsia="IRNazanin"/>
          <w:color w:val="111111"/>
          <w:sz w:val="28"/>
          <w:sz w:val="28"/>
          <w:szCs w:val="28"/>
          <w:rtl w:val="true"/>
          <w:lang w:bidi="fa-IR"/>
        </w:rPr>
        <w:t>مدفوع بإمکان تعلّق غرضه بإلقاء المجملات، و إلّا لوجب عدم صدور المتشابهات و المجملات منه،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قصور فی الأخذ بإطلاق الاستثناء و المستثنی لو لا کون ظهور العامّ وضعیاً و وارداً علی الإطلاق، و معه لا مجال لقرینیة الإطلاق؛ لأنّه دوری، نعم لو کان العامّ فی دلالته علی العموم بمئونة الإطلاق لم یکن وجه للتقدیم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ظاهر کلامه أنّ أرکان الإطلاق تامّ فی جانب المستثنی، لکن ظهور العامّ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علی الإطلاق و إلّا فالإطلاق تامّ الأرکان،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یستلزم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جانب، إنّ تمامیة الإطلاق فی جانب الاستثناء یتوقّف علی تعیّن مرجع الضمیر قبل انعقاد الإطلاق بإرجاعه إلی الجمیع، إذ لو رجع إلی الجملة الأخیرة لا یبقی موضوع للإطلاق فی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إنّ المفروض أنّ أرکان الإطلاق فی المستثنی تامّ و معناه أنّ الإطلاق مشخّص لمرجع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أنّ الإطلاق یتوقف علی تشخّص مرجع الضمیر قبله، و المفروض أنّه یتشخّص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و إن کان وضعیاً و لا یحتاج إلی مقدّمات الحکمة لکن لا یحتجّ به بمجرّده ما لم یحرز بالأصل العقلائی أنّ الجدّ مطابق للاستعمال، و قد عرفت عدم إحراز بناء العقلاء علی التمسّک به فی مثل الکلام المحفوف بما یصلح لتقیید ما دخله أداة العموم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کذا الکلام فیما لم یکن المستثنی مشتملًا علی الضمیر؛ سواء قلنا إنّ الضمیر منوی أم لا؛ لعدم کون أصالة الجدّ محرزة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بقیت هاهنا أبحاث طفیفة لا یهمّنا التعرّض لها</w:t>
      </w:r>
      <w:r>
        <w:rPr>
          <w:rFonts w:eastAsia="IRNazanin" w:cs="IRNazanin"/>
          <w:color w:val="111111"/>
          <w:sz w:val="28"/>
          <w:szCs w:val="28"/>
          <w:rtl w:val="true"/>
          <w:lang w:bidi="fa-IR"/>
        </w:rPr>
        <w:t>.</w:t>
      </w:r>
      <w:bookmarkStart w:id="340" w:name="pg12907_206711"/>
    </w:p>
    <w:p>
      <w:pPr>
        <w:pStyle w:val="Heading2"/>
        <w:numPr>
          <w:ilvl w:val="1"/>
          <w:numId w:val="1"/>
        </w:numPr>
        <w:rPr/>
      </w:pPr>
      <w:bookmarkStart w:id="341" w:name="__RefHeading___Toc3346470_3224264995"/>
      <w:bookmarkStart w:id="342" w:name="_Toc128"/>
      <w:bookmarkEnd w:id="340"/>
      <w:bookmarkEnd w:id="341"/>
      <w:r>
        <w:rPr>
          <w:rtl w:val="true"/>
        </w:rPr>
        <w:t>المقصد الخامس فی المطلق و المقیّد</w:t>
      </w:r>
      <w:bookmarkEnd w:id="342"/>
    </w:p>
    <w:p>
      <w:pPr>
        <w:pStyle w:val="Heading3"/>
        <w:numPr>
          <w:ilvl w:val="2"/>
          <w:numId w:val="1"/>
        </w:numPr>
        <w:rPr/>
      </w:pPr>
      <w:bookmarkStart w:id="343" w:name="__RefHeading___Toc3346472_3224264995"/>
      <w:bookmarkStart w:id="344" w:name="_Toc129"/>
      <w:bookmarkEnd w:id="343"/>
      <w:r>
        <w:rPr>
          <w:rtl w:val="true"/>
        </w:rPr>
        <w:t>اشارة</w:t>
      </w:r>
      <w:bookmarkEnd w:id="3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345" w:name="pg12907_206713"/>
    </w:p>
    <w:p>
      <w:pPr>
        <w:pStyle w:val="Heading3"/>
        <w:numPr>
          <w:ilvl w:val="2"/>
          <w:numId w:val="1"/>
        </w:numPr>
        <w:rPr/>
      </w:pPr>
      <w:bookmarkStart w:id="346" w:name="__RefHeading___Toc3346474_3224264995"/>
      <w:bookmarkStart w:id="347" w:name="_Toc130"/>
      <w:bookmarkEnd w:id="345"/>
      <w:bookmarkEnd w:id="346"/>
      <w:r>
        <w:rPr>
          <w:rtl w:val="true"/>
        </w:rPr>
        <w:t>الفصل الاوّل فی تعریف المطلق و المقیّد</w:t>
      </w:r>
      <w:bookmarkEnd w:id="347"/>
    </w:p>
    <w:p>
      <w:pPr>
        <w:pStyle w:val="BookText"/>
        <w:rPr/>
      </w:pPr>
      <w:r>
        <w:rPr>
          <w:rFonts w:ascii="IRNazanin" w:hAnsi="IRNazanin" w:eastAsia="IRNazanin"/>
          <w:color w:val="111111"/>
          <w:sz w:val="28"/>
          <w:sz w:val="28"/>
          <w:szCs w:val="28"/>
          <w:rtl w:val="true"/>
          <w:lang w:bidi="fa-IR"/>
        </w:rPr>
        <w:t>عرّف المطلق بأنّه ما دلّ علی معنی شائع فی جنسه و المقیّد بخلافه، و هذا التعریف و إن اشتهر بین الأعلام</w:t>
      </w:r>
      <w:r>
        <w:rPr>
          <w:rStyle w:val="FootnoteAnchor"/>
          <w:rtl w:val="true"/>
        </w:rPr>
        <w:footnoteReference w:id="320"/>
      </w:r>
      <w:r>
        <w:rPr>
          <w:rFonts w:ascii="Amiri" w:hAnsi="Amiri" w:eastAsia="Amiri" w:cs="Amiri"/>
          <w:color w:val="111111"/>
          <w:sz w:val="28"/>
          <w:sz w:val="28"/>
          <w:szCs w:val="28"/>
          <w:rtl w:val="true"/>
          <w:lang w:bidi="ar-SA"/>
        </w:rPr>
        <w:t>إلّا أنّه یرد علیه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هذا التعریف أنّ الإطلاق و التقیید من أوصاف اللفظ، مع أنّهما من صفات المعنی؛ ضرورة أنّ نفس الطبیعة التی جعلت موضوع الحکم قد تکون مطلقة و قد تکون متقیّدة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لتعلّق الأحکام بعناوینها هو اشتمالها علی مصالح و مفاسد ملزمة أو غیر ملزمة، و هی قد تترتّب علی نفس الطبیعة و قد تترتّب علی المقیّد بشی‌ء، فیصیر الموضوع مع قطع النظر عن اللفظ تارة مطلقاً و اخری مقیّداً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مع قطع النظر عن الملاک یمکن تصویر الإطلاق و التقیید؛ إذ الإنسان الأبیض مقیّد و الإنسان مطلق، مع قصر النظر علی المعنی بلا رعایة لفظ أو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الشیوع فی جنسه الذی جعل صفة المعنی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نفس الشیوع جزء مدلول اللفظ، کما أنّ الذات جزء آخر، فالمطلق یدلّ علی المعنی و الشیوع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بعید غایته، بل غیر صحیح؛ إذ لا یدلّ أسماء الأجناس علی ذات الطبیعة و مفهوم الشیوع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المطلق ما لا قید فیه بالإضافة إلی کلّ قید یمکن تقییده به، من غیر دلالة علی الخصوصیات و الحالات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الشیوع کونه لازماً لمعنیً بحسب الواقع، لا جزء مدلول منه؛ فالمطلق دالّ علی معنی لکن المعنی فی حدّ ذاته شائع فی جنسه؛ أی مجانسه و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المراد من الشیوع فی الجنس هو سریانه فی أفراده الذاتیة؛ حتّی یصدق بوجه أنّه شائع فی مجانسه، و إلّا فالجنس بالمعنی المصطلح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یوجب خروج بعض المطلقات عن التعریف المزبور، مثل إطلاق أفراد العموم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و کذا الإطلاق فی الأعلام الشخصیة،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و کذا الإطلاق فی المعانی الحرفیة، علی أنّه غیر مطّرد لدخول بعض المقیّدات فیه، کالرقبة المؤمنة؛ فإنّه أیضاً شائع فی جنسه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بعض أهل التحقیق فی إدراج الأعلام تحت التعریف المشهور من</w:t>
      </w:r>
    </w:p>
    <w:p>
      <w:pPr>
        <w:pStyle w:val="BookText"/>
        <w:rPr/>
      </w:pPr>
      <w:r>
        <w:rPr>
          <w:rFonts w:ascii="IRNazanin" w:hAnsi="IRNazanin" w:eastAsia="IRNazanin"/>
          <w:color w:val="111111"/>
          <w:sz w:val="28"/>
          <w:sz w:val="28"/>
          <w:szCs w:val="28"/>
          <w:rtl w:val="true"/>
          <w:lang w:bidi="fa-IR"/>
        </w:rPr>
        <w:t>أنّ المراد سنخ الشی‌ء المحفوظ فی ضمن قیود طارئة، سواء تحقّق بین وجودات متعدّدة أو فی وجود محفوظ فی ضمن الحالات المتبادلة</w:t>
      </w:r>
      <w:r>
        <w:rPr>
          <w:rStyle w:val="FootnoteAnchor"/>
          <w:rtl w:val="true"/>
        </w:rPr>
        <w:footnoteReference w:id="323"/>
      </w:r>
      <w:r>
        <w:rPr>
          <w:rFonts w:ascii="Amiri" w:hAnsi="Amiri" w:eastAsia="Amiri" w:cs="Amiri"/>
          <w:color w:val="111111"/>
          <w:sz w:val="28"/>
          <w:sz w:val="28"/>
          <w:szCs w:val="28"/>
          <w:rtl w:val="true"/>
          <w:lang w:bidi="ar-SA"/>
        </w:rPr>
        <w:t>، لا یخلو عن تعسّف 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من هذا البیان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الإطلاق أعمّ من الطبائع و الأعلام الشخصیة، و تجد الثانی فی أبواب الحجّ کثیراً فی الطواف علی البیت و استلام الحجر و الوقوف بمنی و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 هو اللابشرط المقسمی أو القسمی، لیس بشی‌ء، و هناک قسم ثالث؛ و هو الإطلاق الموجود فی ناحیة نفس الحکم، کما تقدّم فی باب الواجب المشروط، و تقدّم أنّ القیود بحسب نفس الأمر تختلف بالذات، بعضها یرجع إلی الحکم و لا یعقل إرجاعها إلی المتعلّق، و بعض آخر علی العکس</w:t>
      </w:r>
      <w:r>
        <w:rPr>
          <w:rStyle w:val="FootnoteAnchor"/>
          <w:rtl w:val="true"/>
        </w:rPr>
        <w:footnoteReference w:id="324"/>
      </w:r>
      <w:r>
        <w:rPr>
          <w:rFonts w:ascii="IRNazanin" w:hAnsi="IRNazanin" w:eastAsia="IRNazanin"/>
          <w:color w:val="111111"/>
          <w:sz w:val="28"/>
          <w:sz w:val="28"/>
          <w:szCs w:val="28"/>
          <w:rtl w:val="true"/>
          <w:lang w:bidi="fa-IR"/>
        </w:rPr>
        <w:t>، و عرفت أنّ معانی الحروف قابلة للإطلاق و التقیید</w:t>
      </w:r>
      <w:r>
        <w:rPr>
          <w:rStyle w:val="FootnoteAnchor"/>
          <w:rtl w:val="true"/>
        </w:rPr>
        <w:footnoteReference w:id="325"/>
      </w:r>
      <w:r>
        <w:rPr>
          <w:rFonts w:ascii="IRNazanin" w:hAnsi="IRNazanin" w:eastAsia="IRNazanin"/>
          <w:color w:val="111111"/>
          <w:sz w:val="28"/>
          <w:sz w:val="28"/>
          <w:szCs w:val="28"/>
          <w:rtl w:val="true"/>
          <w:lang w:bidi="fa-IR"/>
        </w:rPr>
        <w:t>فمصبّ الإطلاق قد یکون فی الطبائع و قد یکون فی الأعلام و قد یکون فی الأحکام و قد یکون فی الأشخاص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 التقیید من الامور الإضافیة، فیمکن أن یکون شی‌ء مطلقاً و مقیّداً باعتبارین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الإطلاق و التقیید شبه تقابل العدم و الملکة، فالمطلق ما</w:t>
      </w:r>
    </w:p>
    <w:p>
      <w:pPr>
        <w:pStyle w:val="BookText"/>
        <w:rPr/>
      </w:pPr>
      <w:r>
        <w:rPr>
          <w:rFonts w:ascii="IRNazanin" w:hAnsi="IRNazanin" w:eastAsia="IRNazanin"/>
          <w:color w:val="111111"/>
          <w:sz w:val="28"/>
          <w:sz w:val="28"/>
          <w:szCs w:val="28"/>
          <w:rtl w:val="true"/>
          <w:lang w:bidi="fa-IR"/>
        </w:rPr>
        <w:t>لا قید فیه ممّا شأنه أن یتقیّد بذلک، و ما لیس من شأنه التقیید لا یکون مطلقاً، کما لا یکون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بشبه العدم و الملکة لأجل أنّ التقابل الحقیقی منه ما إذا کان للشی‌ء قوّة و استعداد یمکن له الخروج عن القوّة إلی مرتبة الفعلیة بحصول ما یستعدّ له، و الأمر هنا لیس کذلک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الإطلاق غیر مفاد العموم، و أنّه لا یستفاد منه السریان و الشیوع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الإطلاق لیس إلّا الإرسال عن القید و عدم دخالته و هو غیر السریان و الشیوع</w:t>
      </w:r>
      <w:r>
        <w:rPr>
          <w:rFonts w:eastAsia="IRNazanin" w:cs="IRNazanin"/>
          <w:color w:val="111111"/>
          <w:sz w:val="28"/>
          <w:szCs w:val="28"/>
          <w:rtl w:val="true"/>
          <w:lang w:bidi="fa-IR"/>
        </w:rPr>
        <w:t>.</w:t>
      </w:r>
      <w:bookmarkStart w:id="348" w:name="pg12907_206717"/>
    </w:p>
    <w:p>
      <w:pPr>
        <w:pStyle w:val="Heading3"/>
        <w:numPr>
          <w:ilvl w:val="2"/>
          <w:numId w:val="1"/>
        </w:numPr>
        <w:rPr/>
      </w:pPr>
      <w:bookmarkStart w:id="349" w:name="__RefHeading___Toc3346476_3224264995"/>
      <w:bookmarkStart w:id="350" w:name="_Toc131"/>
      <w:bookmarkEnd w:id="348"/>
      <w:bookmarkEnd w:id="349"/>
      <w:r>
        <w:rPr>
          <w:rtl w:val="true"/>
        </w:rPr>
        <w:t>الفصل الثانی حول بعض الألفاظ التی یطلق علیها المطلق</w:t>
      </w:r>
      <w:bookmarkEnd w:id="350"/>
    </w:p>
    <w:p>
      <w:pPr>
        <w:pStyle w:val="Heading4"/>
        <w:numPr>
          <w:ilvl w:val="3"/>
          <w:numId w:val="1"/>
        </w:numPr>
        <w:rPr/>
      </w:pPr>
      <w:bookmarkStart w:id="351" w:name="__RefHeading___Toc3346478_3224264995"/>
      <w:bookmarkStart w:id="352" w:name="_Toc132"/>
      <w:bookmarkEnd w:id="351"/>
      <w:r>
        <w:rPr>
          <w:rtl w:val="true"/>
        </w:rPr>
        <w:t>اسم الجنس و علمه و غیرهما</w:t>
      </w:r>
      <w:bookmarkEnd w:id="352"/>
    </w:p>
    <w:p>
      <w:pPr>
        <w:pStyle w:val="BookText"/>
        <w:rPr/>
      </w:pPr>
      <w:r>
        <w:rPr>
          <w:rFonts w:ascii="IRNazanin" w:hAnsi="IRNazanin" w:eastAsia="IRNazanin"/>
          <w:color w:val="111111"/>
          <w:sz w:val="28"/>
          <w:sz w:val="28"/>
          <w:szCs w:val="28"/>
          <w:rtl w:val="true"/>
          <w:lang w:bidi="fa-IR"/>
        </w:rPr>
        <w:t>غیر خفی علی 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عنهما و عن توضیح الحال فی الماهیة اللابشرط و أقسامها و مقسمها و الفرق بین القسمی و المقسمی أجنبی عن مباحث الإطلاق و التقیید؛ خصوصاً علی ما عرفت من أنّ الإطلاق دائماً هو الإرسال عن القید، و لیس المطلق هو الماهیة اللابشرط القسمی أو المقسمی، غیر أنّا نقتفی أثر القوم فی هذه المباحث،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أسماء الأجناس کالإنسان و السواد و أمثالهما،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لنفس الماهیات العاریة عن قید الوجود و العدم و غیرهما؛ حتّی التقیید بکونها عاریة عن کلّ قید حقیقی أو اعتباری؛ لأنّ الذات فی حدّ ذاتها مجرّدة عن کافّة القیود و زوائد الحدود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الماهیة بما هی و إن کان لا یمکن تصوّرها و تعقّلها مجرّدة عن کافّة الموجودات لکن یمکن تصوّرها مع الغفلة عن کافّة الوجودات و اللواحق، و اللاحظ</w:t>
      </w:r>
    </w:p>
    <w:p>
      <w:pPr>
        <w:pStyle w:val="BookText"/>
        <w:rPr/>
      </w:pPr>
      <w:r>
        <w:rPr>
          <w:rFonts w:ascii="IRNazanin" w:hAnsi="IRNazanin" w:eastAsia="IRNazanin"/>
          <w:color w:val="111111"/>
          <w:sz w:val="28"/>
          <w:sz w:val="28"/>
          <w:szCs w:val="28"/>
          <w:rtl w:val="true"/>
          <w:lang w:bidi="fa-IR"/>
        </w:rPr>
        <w:t>فی بدو لحاظه غافل عن لحاظه، غیر متوجّه إلّا إلی مراده و معقوله؛ إذ لحاظ هذا اللحاظ البدوی یحتاج إلی لحاظ آخر، و لا یمکن أن یکون ملحوظاً بهذا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تصیر لحاظ الماهیة مغفولًا عنه، و بما أنّ غرض الواضع و هدفه إفادة نفس المعانی یکون الموضوع له نفس الماهیة، لا بما هی موجودة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اللفظ موضوع لنفس الماهیة بلا لحاظ السریان و الشمول؛ و إن کانت بنفسها ساریة فی المصادیق و متّحدة معها، لا بمعنی انطباق الماهیة الذهنیة علی الخارج، بل بمعنی کون نفس الماهیة متکثّرة الوجود، توجد فی الخارج بعین وجود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یقضی منه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الأعیان من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کون الماهیة فی مرحلة الوضع ملحوظة بنحو اللابشرط القسمی و کون الموضوع له هو ذات المعنی فقط، فالموضوع له نفس المعنی، لا المعنی المطلق بما هو مطلق؛ و إن وجب لحاظه مطلقاً تسریة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فإنّ الرقبة و إن لوحظت مرسلة لتسریة الحکم إلی جمیع أفراد موضوعه إلّا أنّ الذات المحکوم بالوجوب عتق طبیعة الرقبة، لا عتق أیّة رقبة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إذا کان نفس المعنی لا یعقل سرایة الوضع إلی الأفراد، و یکون لحاظ الواضع لغواً بلا أثر، إلّا أن یجعل اللفظ بإزاء الأفراد، و کذا إذا کان موضوع الحکم نفس الطبیعة لا یعقل سرایته إلی خصوصیات الأفراد؛ سواء لاحظ الحاکم أفرادها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فی کلا المقامین منظور فیه</w:t>
      </w:r>
      <w:r>
        <w:rPr>
          <w:rFonts w:eastAsia="IRNazanin" w:cs="IRNazanin"/>
          <w:color w:val="111111"/>
          <w:sz w:val="28"/>
          <w:szCs w:val="28"/>
          <w:rtl w:val="true"/>
          <w:lang w:bidi="fa-IR"/>
        </w:rPr>
        <w:t>.</w:t>
      </w:r>
      <w:bookmarkStart w:id="353" w:name="pg12907_206719"/>
    </w:p>
    <w:p>
      <w:pPr>
        <w:pStyle w:val="Heading4"/>
        <w:numPr>
          <w:ilvl w:val="3"/>
          <w:numId w:val="1"/>
        </w:numPr>
        <w:rPr/>
      </w:pPr>
      <w:bookmarkStart w:id="354" w:name="__RefHeading___Toc3346480_3224264995"/>
      <w:bookmarkStart w:id="355" w:name="_Toc133"/>
      <w:bookmarkEnd w:id="353"/>
      <w:bookmarkEnd w:id="354"/>
      <w:r>
        <w:rPr>
          <w:rtl w:val="true"/>
        </w:rPr>
        <w:t>تقسیم الماهیة إلی أقسام ثلاثة</w:t>
      </w:r>
      <w:bookmarkEnd w:id="355"/>
    </w:p>
    <w:p>
      <w:pPr>
        <w:pStyle w:val="BookText"/>
        <w:rPr/>
      </w:pPr>
      <w:r>
        <w:rPr>
          <w:rFonts w:ascii="IRNazanin" w:hAnsi="IRNazanin" w:eastAsia="IRNazanin"/>
          <w:color w:val="111111"/>
          <w:sz w:val="28"/>
          <w:sz w:val="28"/>
          <w:szCs w:val="28"/>
          <w:rtl w:val="true"/>
          <w:lang w:bidi="fa-IR"/>
        </w:rPr>
        <w:t>إنّ من التقسیم الدائر بینهم انقسام الماهیة إلی لا بشرط و بشرط شی‌ء 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 کلمات الأعاظم فی تعیین المقسم، و أنّ الفرق بین اللابشرط المقسمی و القسمی ما هو؟</w:t>
      </w:r>
    </w:p>
    <w:p>
      <w:pPr>
        <w:pStyle w:val="BookText"/>
        <w:rPr/>
      </w:pPr>
      <w:r>
        <w:rPr>
          <w:rFonts w:ascii="IRNazanin" w:hAnsi="IRNazanin" w:eastAsia="IRNazanin"/>
          <w:color w:val="111111"/>
          <w:sz w:val="28"/>
          <w:sz w:val="28"/>
          <w:szCs w:val="28"/>
          <w:rtl w:val="true"/>
          <w:lang w:bidi="fa-IR"/>
        </w:rPr>
        <w:t>و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المقسم هو نفس الماهیة، و هذه الاعتبارات واردة علیها، کما یفصح عنه قول الحکیم السبزواری قدس سره</w:t>
      </w:r>
      <w:r>
        <w:rPr>
          <w:rStyle w:val="FootnoteAnchor"/>
          <w:rtl w:val="true"/>
        </w:rPr>
        <w:footnoteReference w:id="327"/>
      </w:r>
      <w:r>
        <w:rPr>
          <w:rFonts w:ascii="IRNazanin" w:hAnsi="IRNazanin" w:eastAsia="IRNazanin"/>
          <w:color w:val="111111"/>
          <w:sz w:val="28"/>
          <w:sz w:val="28"/>
          <w:szCs w:val="28"/>
          <w:rtl w:val="true"/>
          <w:lang w:bidi="fa-IR"/>
        </w:rPr>
        <w:t>، و محصّل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انقسام النوع و الجنس و الفصل إلی الثلاثة بالاعتبار، و کذا افتراق الثلاثة باللحاظ أیضاً، و أنّ الماهیة إذا لوحظت مجرّدة عمّا یلحق بها تکون بشرط لا، و إذا لوحظت مقترنة بشی‌ء تکون بشرط شی‌ء، و إذا لوحظت بذاتها لا مقترنة و لا غیر مقترنة تکون لا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اللابشرط المقسمی و القسمی هو کون اللابشرطیة قیداً فی الثانی دون الأوّل، کما هو الفرق بین الجنس و المادّة و النوع، فإن لوحظ الحیوان لا بشرط یکون جنساً، و إن لوحظ بشرط لا تکون مادّة، و إن لوحظ بشرط شی‌ء یکون نوعاً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اغترّ بظاهر کلماتهم أعاظم فنّ الاصول، و وقعوا فی حیص و بیص فی أقسام الماهیة، و الفرق بین المقسمی و القسمی؛ حتّی ذهب بعضهم إلی أنّ</w:t>
      </w:r>
    </w:p>
    <w:p>
      <w:pPr>
        <w:pStyle w:val="BookText"/>
        <w:rPr/>
      </w:pPr>
      <w:r>
        <w:rPr>
          <w:rFonts w:ascii="IRNazanin" w:hAnsi="IRNazanin" w:eastAsia="IRNazanin"/>
          <w:color w:val="111111"/>
          <w:sz w:val="28"/>
          <w:sz w:val="28"/>
          <w:szCs w:val="28"/>
          <w:rtl w:val="true"/>
          <w:lang w:bidi="fa-IR"/>
        </w:rPr>
        <w:t>التقسیم للحاظ الماهیة لا لنفسها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لکن حسن ظنّی بأهل الفنّ فی هذه المباحث یمنعنی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هذه الکلمات مرادة لهم، و أنّهم اقترحوا هذا التقسیم و ما شابهه فی مباحث الجنس و الفصل، من غیر نظر إلی عالم الخارج و نظام الکون، و کأنّ غرضهم هو التلاعب بالمفاهیم و الاعتبارات الذهنیة، من دون أن یکون لهذه الأقسام محکیات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صحّة الحمل و عدم صحّتها عندهم هو کون الشی‌ء المحمول لا بشرط و بشرط لا، و لو کان هذا الملاک أمراً اعتباریاً لزم کون اعتبار شی‌ء لا بشرط مؤثّراً فی الواقع، و یجعل الشی‌ء أمراً قابلًا للاتّحاد و الحمل، و لزم من اعتباره دفعة اخری بشرط لا انقلاب الواقع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اعتبار شخص واحد شیئاً واحداً علی نحوین اختلاف نفس الواقع، کما یلزم من اعتبار أشخاص مختلفة صیرورة الواقع مختلفاً بحسب اختلاف اعتبارهم، فتکون ماهیة واحدة متّحدة مع شی‌ء و لا متّحدة معه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الغرض من هذه التقسیمات و کذا الحمل هو حکایة الواقع و نفس الأمر لا التلاعب بالمفاهیم و اختراع امور ذهنیة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ربّما یقال من أنّ المقسم لیس هو نفس الماهیة، بل لحاظ الماهیة أو الماهیة الملحوظة</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عنه ما أفاده بعض الأعیان فی تعلیقته الشریفة، فراجع</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ولیت شعری أیّ فائدة فی تقسیم لحاظ اللاحظ، ثمّ أیّ ربط بین تقسیمه و صیرورة الماهیة باعتباره قابلة للحمل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المباحث المعنونة فی أبواب الماهیة من المعقولات الثانیة إنّما هی بلحاظ نفس الأمر، و أنّ الماهیة بحسب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حدّ الذات أو مرتبة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حالات ثلاثة، لا تتخلّف عن واقعها و لا یرجع قسم منها إلی قسم آخر؛ و إن لوحظ علی خلاف واقعه ألف مرّات؛ حتّی أنّ الاختلاف الواقع بین المادّة و الجنس و النوع واقعی،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انقسام الماهیة بحسب نفس الأمر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إذا قیست إلی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ذلک الشی‌ء لازم الالتحاق بها بحسب وجودها أو ذاتها، کالتحیّز بالنسبة إلی الجسمیة و الزوجیة بالنسبة إلی الأربعة، و هذه هی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ممتنع الالتحاق بحسب وجودها أو ذاتها، کالتجرّد عن المکان و الزمان بالنسبة إلی الجسم، و الفردیة إلی الأربعة، و هذه هی 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ممکن الالتحاق، کالوجود بالنسبة إلی الماهیة، و البیاض إلی الجسم الخارجی، فهذه هی الماهیة اللابشرط</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فالماهیة بحسب نفس الأمر لا تخلو عن أحد هذه الأقسام، و لا یتخلّف عمّا هو علیه بورود الاعتبار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یخرج الأقسام عن التداخل؛ إذ لکلّ واحد حدّ معیّن لا ینقلب عنه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الفرق بین اللابشرط المقسمی</w:t>
      </w:r>
    </w:p>
    <w:p>
      <w:pPr>
        <w:pStyle w:val="BookText"/>
        <w:rPr/>
      </w:pPr>
      <w:r>
        <w:rPr>
          <w:rFonts w:ascii="IRNazanin" w:hAnsi="IRNazanin" w:eastAsia="IRNazanin"/>
          <w:color w:val="111111"/>
          <w:sz w:val="28"/>
          <w:sz w:val="28"/>
          <w:szCs w:val="28"/>
          <w:rtl w:val="true"/>
          <w:lang w:bidi="fa-IR"/>
        </w:rPr>
        <w:t>و القسمی؛ لأنّ المقسم نفس ذات الماهیة، و هی موجودة فی جمیع الأقسام، و اللابشرط القسمی مقابل للقسمین بحسب نفس الأمر و مضادّ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صحّة التقسیم هی الواقع لا اعتبار المعتبر؛ فالماهیة إن امتنع تخلّفها عن مقارنها فی واحد من مراتب الواقع فهی بالنسبة إلیه بشرط شی‌ء، و إن امتنع لها الاتّصاف به فهی بالنسبة إلیه بشرط لا، و إن کان له قابلیة الاتّصاف و استعداده من غیر لزوم و لا امتناع فهی بالنسبة إلیه لا بشرط، کالأمثلة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و إن لم أر التصریح به، بل مخالف لظواهر کلماتهم، إلّا أنّه تقسیم صحیح دائر فی العلوم، لا یرد علیه ما أوردناه علی ظواهر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التقسیم إنّما هو للماهیة بحسب نفسها، و لکن یمکن أن یجری فی الماهیة الموجودة، بل یمکن إجراؤه فی نفس وجودها، و قد أجراه بعض أهل الذوق فی بعض العلوم فی حقیقة الوجود</w:t>
      </w:r>
      <w:r>
        <w:rPr>
          <w:rStyle w:val="FootnoteAnchor"/>
          <w:rtl w:val="true"/>
        </w:rPr>
        <w:footnoteReference w:id="331"/>
      </w:r>
      <w:r>
        <w:rPr>
          <w:rFonts w:ascii="IRNazanin" w:hAnsi="IRNazanin" w:eastAsia="IRNazanin"/>
          <w:color w:val="111111"/>
          <w:sz w:val="28"/>
          <w:sz w:val="28"/>
          <w:szCs w:val="28"/>
          <w:rtl w:val="true"/>
          <w:lang w:bidi="fa-IR"/>
        </w:rPr>
        <w:t>، و لا یقف علی مغزاه إلّا من له قدم راسخ فی المعارف الإلهیة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الاختلاف بین المادّة و الجنس و النوع أمراً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فتفصیله و إن کان موکولًا إلی محلّه و أهله إلّا أنّ مجمله ما یلی؛ و هو أنّ تقسیم الماهیة إلی الأجناس و الفصول بلحاظ الواقع و نفس الأمر، و أنّ الاختلاف بین المادّة و الجنس و النوع واقعی، و المادّة متّحدة مع الصورة التی تبدّلت إلیها، و الترکیب بینهما اتّحادی، و تکون المادّة المتّحدة بالصورة، و الصورة المتّحدة معها نوعاً من الأنواع، و المادّة التی قابلة لصورة اخری تکون منضمّة إلی الصورة الموجودة، و الترکیب بینهما انضمامی لا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تلک المادّة بالنسبة إلی الصورة المتحقّقة بشرط لا؛ لعدم إمکان اتّحادها بها، و بالنسبة إلی الصورة التی تستعدّ لتبدّلها إلیها لا بشرط شی‌ء؛ لإمکان تبدّلها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التی تبدّلت بصورة النواة و صارت فعلیتها متّحدة معها ترکیبهما اتّحادی، بل إطلاق الاتّحاد أیضاً باعتبار ظرف التحلیل و التکثّر، و إلّا فبعد صیرورة القوّة النواتیة فعلیة لا تکون فی الخارج إلّا فعلیتها، و القوّة لیست بحدّها موجودة فیها، و إن کانت الفعلیة واجدة لها وجدان کلّ کمال للضعیف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المادّة المستعدّة فی النواة لقبول صورة الشجر تکون منضمّة إلی الصورة النواتیة و ترکیبهما انضمامی لا اتّحادی، و تکون لا بشرط بالنسبة إلی الصورة الشجریة؛ لإمکان اتّحادها بهما، و بشرط لا بالنسبة إلی تلک الصورة الشخصیة النواتیة المتحقّقة؛ لعدم إمکان اتّحادها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النواة مادّة متّحدة و مادّة منضمّة، و مأخذ الجنس و الفصل و النوع هو الواقع المختلف بحسب نفس الأمر، فلا یکون شی‌ء من اعتبارات الماهیة لا فی باب الأجناس و الفصول و الموادّ و الصور، و لا فی باب الأقسام الثلاثة لها؛ اعتباراً جزافاً و تلاعباً محضاً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تفصیل هذه المباحث یطلب من مقارّه و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ینفعک فی المقام فی بحث المشتقّ</w:t>
      </w:r>
      <w:r>
        <w:rPr>
          <w:rStyle w:val="FootnoteAnchor"/>
          <w:rtl w:val="true"/>
        </w:rPr>
        <w:footnoteReference w:id="332"/>
      </w:r>
      <w:bookmarkStart w:id="356" w:name="pg12907_206724"/>
    </w:p>
    <w:p>
      <w:pPr>
        <w:pStyle w:val="Heading4"/>
        <w:numPr>
          <w:ilvl w:val="3"/>
          <w:numId w:val="1"/>
        </w:numPr>
        <w:rPr/>
      </w:pPr>
      <w:bookmarkStart w:id="357" w:name="__RefHeading___Toc3346482_3224264995"/>
      <w:bookmarkStart w:id="358" w:name="_Toc134"/>
      <w:bookmarkEnd w:id="356"/>
      <w:bookmarkEnd w:id="357"/>
      <w:r>
        <w:rPr>
          <w:rtl w:val="true"/>
        </w:rPr>
        <w:t>البحث فی علم الجنس</w:t>
      </w:r>
      <w:bookmarkEnd w:id="358"/>
    </w:p>
    <w:p>
      <w:pPr>
        <w:pStyle w:val="BookText"/>
        <w:rPr/>
      </w:pPr>
      <w:r>
        <w:rPr>
          <w:rFonts w:ascii="IRNazanin" w:hAnsi="IRNazanin" w:eastAsia="IRNazanin"/>
          <w:color w:val="111111"/>
          <w:sz w:val="28"/>
          <w:sz w:val="28"/>
          <w:szCs w:val="28"/>
          <w:rtl w:val="true"/>
          <w:lang w:bidi="fa-IR"/>
        </w:rPr>
        <w:t xml:space="preserve">و هو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أنّه یعامل معه معاملة المعرفة، فیقع مبتدأ و ذا حال و یوصف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المنقول هنا فی إجراء أحکام المعرفة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تعریفه تعریف لفظی، کالتأنیث اللفظی، و مفاده عین مفاد اسم الجنس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للطبیعة لا بما هی هی، بل بما هی متصوّرة و متعیّنة بالتعیّن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یمتنع حینئذٍ أن ینطبق علی الخارج و یحتاج إلی التجرید عند الاستعمال و یصیر الوضع لغواً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اللحاظ حرفی لا اسمی، و هو لا یوجب امتناع انطباقه علی الخارج</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اللحاظ حرفیاً لا یخرجه عن کون موطنه هو الذهن، فلا محالة یتقیّد الطبیعة بأمر ذهنی و إن کان مرآة للخارج، و لکن ما ینطبق علی الخارج هو نفس الطبیعة لا المتقیّدة بأمر ذهنی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اللحاظ مرآتیاً لیس معناه عدم تقیّدها به أو کون وجوده کعدمه؛ إذ بأیّ معنی فسّر هذا اللحاظ فلا محالة یکون علم الجنس متقوّماً به حتّی یفترق عن</w:t>
      </w:r>
    </w:p>
    <w:p>
      <w:pPr>
        <w:pStyle w:val="BookText"/>
        <w:rPr/>
      </w:pPr>
      <w:r>
        <w:rPr>
          <w:rFonts w:ascii="IRNazanin" w:hAnsi="IRNazanin" w:eastAsia="IRNazanin"/>
          <w:color w:val="111111"/>
          <w:sz w:val="28"/>
          <w:sz w:val="28"/>
          <w:szCs w:val="28"/>
          <w:rtl w:val="true"/>
          <w:lang w:bidi="fa-IR"/>
        </w:rPr>
        <w:t>اسمه، و المتقوّم بأمر ذهنی لا ینطبق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فی حدّ ذاتها لا معرفة و لا نکرة، لا متمیّزة و لا غیر متمیّزة، بل تعدّ هذه من عوارضها کالوجود و العدم؛ لأنّ التعریف فی مقابل التنکیر عبارة عن التعیّن الواقعی المناسب لوعائه، و التنکیر عبارة عن اللاتعیّن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واحداً من التعریف و التنکیر لو کان عین الطبیعة أو جزئها یمتنع عروض الآخر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بأس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الجنس موضوعة لنفس الماهیة التی لیست معرفة و لا نکرة، و علم الجنس موضوع للماهیة المتعیّنة بالتعیّن العارض لها؛ متأخّراً عن ذاتها فی غیر حال عروض التنکیر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موضوع لنفس الماهیة، و علم الجنس موضوع للطبیعة بما هی متمیّزة من عند نفسها بین المفاهیم، و لیس هذا التمیّز و التعیّن متقوّماً باللحاظ، بل بعض المعانی بحسب الواقع معروف معیّن، و بعضها منکور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التعیّن هو التشخّص الذی یساوق الوجود؛ حتّی یصیر کالأعلام الشخصیة، بل المراد منه التعیّن المقابل للنکارة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طبیعة الرجل لا تکون نکرة و لا معرفة، فکما أنّ النکارة اللاتعیّن تعرضها، کذلک التعریف و التعیّن؛ فالتعریف المقابل للتنکیر غیر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بذاتها لا معروف و لا منکور، و بما أنّها معنی معیّن بین سائر المعانی و طبیعة معلومة فی مقابل غیر المعیّن معرفة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لهذه المرتبة، و اسم الجنس لمرتبة ذاتها، و تنوین التنکیر یفید نکارتها، اللاتعیّن ملحق بها کالتعیّن</w:t>
      </w:r>
      <w:r>
        <w:rPr>
          <w:rFonts w:eastAsia="IRNazanin" w:cs="IRNazanin"/>
          <w:color w:val="111111"/>
          <w:sz w:val="28"/>
          <w:szCs w:val="28"/>
          <w:rtl w:val="true"/>
          <w:lang w:bidi="fa-IR"/>
        </w:rPr>
        <w:t>.</w:t>
      </w:r>
      <w:bookmarkStart w:id="359" w:name="pg12907_206726"/>
    </w:p>
    <w:p>
      <w:pPr>
        <w:pStyle w:val="BookText"/>
        <w:rPr/>
      </w:pPr>
      <w:bookmarkEnd w:id="359"/>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وضعت مطلقاً للتعریف، و أنّ إفادة العهد و غیره بدالّ آخر، فإذا دخلت علی الجنس و علی الجمع تفید تعریفهما و أفادت الاستغراق؛ لأنّ غیر الاستغراق من سائر المراتب لم یکن معیّناً، و التعریف هو التعیین، و هو حاصل مع استغراق الأفراد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فی عَلم الجنس غیر بعید عن الصواب؛ و إن لم یقم دلیل علی کونه کذلک، لکن مع هذا الاحتمال لا داعی للذهاب إلی التعریف اللفظی البعید عن الأذهان</w:t>
      </w:r>
      <w:r>
        <w:rPr>
          <w:rFonts w:eastAsia="IRNazanin" w:cs="IRNazanin"/>
          <w:color w:val="111111"/>
          <w:sz w:val="28"/>
          <w:szCs w:val="28"/>
          <w:rtl w:val="true"/>
          <w:lang w:bidi="fa-IR"/>
        </w:rPr>
        <w:t>.</w:t>
      </w:r>
    </w:p>
    <w:p>
      <w:pPr>
        <w:pStyle w:val="Heading4"/>
        <w:numPr>
          <w:ilvl w:val="3"/>
          <w:numId w:val="1"/>
        </w:numPr>
        <w:rPr/>
      </w:pPr>
      <w:bookmarkStart w:id="360" w:name="__RefHeading___Toc3346484_3224264995"/>
      <w:bookmarkStart w:id="361" w:name="_Toc135"/>
      <w:bookmarkEnd w:id="360"/>
      <w:r>
        <w:rPr>
          <w:rtl w:val="true"/>
        </w:rPr>
        <w:t>الکلام فی النکرة</w:t>
      </w:r>
      <w:bookmarkEnd w:id="361"/>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دالّة بحکم التبادر علی الطبیعة اللامعیّنة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المتقیّدة بالوحدة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بتعدّد الدالّ؛ فالمدخول دالّ علی الطبیعة و التنوین علی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فهی کلّی قابل للصدق علی الکثیرین؛ سواء وقع فی مورد الإخبار،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فی مورد الإنشاء،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الأوّل جزئی؛ لأنّ نسبة المجی‌ء إلیه قرینة علی تعیّنه فی الواقع؛ ضرورة امتناع صدور المجی‌ء عن الرجل الکلّی</w:t>
      </w:r>
      <w:r>
        <w:rPr>
          <w:rStyle w:val="FootnoteAnchor"/>
          <w:rtl w:val="true"/>
        </w:rPr>
        <w:footnoteReference w:id="335"/>
      </w:r>
      <w:r>
        <w:rPr>
          <w:rFonts w:ascii="IRNazanin" w:hAnsi="IRNazanin" w:eastAsia="IRNazanin"/>
          <w:color w:val="111111"/>
          <w:sz w:val="28"/>
          <w:sz w:val="28"/>
          <w:szCs w:val="28"/>
          <w:rtl w:val="true"/>
          <w:lang w:bidi="fa-IR"/>
        </w:rPr>
        <w:t>، غیر تامّ؛ لأنّ المتعیّن الذی یستفاد عن القرینة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النکرة عن الکلّیة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النظر فی کلمات شیخنا العلّامة، أعلی اللَّه مقامه</w:t>
      </w:r>
      <w:r>
        <w:rPr>
          <w:rStyle w:val="FootnoteAnchor"/>
          <w:rtl w:val="true"/>
        </w:rPr>
        <w:footnoteReference w:id="336"/>
      </w:r>
      <w:bookmarkStart w:id="362" w:name="pg12907_206727"/>
    </w:p>
    <w:p>
      <w:pPr>
        <w:pStyle w:val="Heading3"/>
        <w:numPr>
          <w:ilvl w:val="2"/>
          <w:numId w:val="1"/>
        </w:numPr>
        <w:rPr/>
      </w:pPr>
      <w:bookmarkStart w:id="363" w:name="__RefHeading___Toc3346486_3224264995"/>
      <w:bookmarkStart w:id="364" w:name="_Toc136"/>
      <w:bookmarkEnd w:id="362"/>
      <w:bookmarkEnd w:id="363"/>
      <w:r>
        <w:rPr>
          <w:rtl w:val="true"/>
        </w:rPr>
        <w:t>الفصل الثالث فی مقدّمات الحکمة</w:t>
      </w:r>
      <w:bookmarkEnd w:id="364"/>
    </w:p>
    <w:p>
      <w:pPr>
        <w:pStyle w:val="Heading4"/>
        <w:numPr>
          <w:ilvl w:val="3"/>
          <w:numId w:val="1"/>
        </w:numPr>
        <w:rPr/>
      </w:pPr>
      <w:bookmarkStart w:id="365" w:name="__RefHeading___Toc3346488_3224264995"/>
      <w:bookmarkStart w:id="366" w:name="_Toc137"/>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مقام الإثبات عبارة عن کون الشی‌ء تمام الموضوع للحکم إذا کان مصبّ الإطلاق نفس المتعلّق أو الموضوع، أو کون الحکم مرسلًا عن القید إذا کان مصبّه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لحاظ السریان و الشیاع؛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أمر غیر مفید فی حکایة الطبیعة عن الأفراد کما مرّ</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لهذا اللحاظ، بل الإطلاق ینعقد بدونه، و یتمّ الحجّة؛ و إن لم یکن المقنّن لاحظاً سریانه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لما أفاده المحقّق الخراسانی من أنّ مقدّمات الحکمة تثبت الشیاع و السریان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لحاظ حالات الطبیعة بمعنی ثبوت الحکم عند کلّ حالة و حالة؛ لامتناع الإهمال الثبوتی، مدفوع بما حقّقناه فی مبحث الترتّب،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عنان البحث إلی مقدّمات الحکمة المعروفة؛ و هی ثلاثة نبحث عن کلّ واحدة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 المتکلّم فی مقام بیان تمام المراد، و الظاهر لزوم وجود هذه المقدّمة فی الإطلاق؛ ضرورة أنّ الدواعی لإلقاء الحکم مختلفة؛ فربّما یکون الداعی هو الإعلان بأصل وجوده مع إهمال و إجمال، فهو حینئذٍ بصدد بیان بعض المراد، و معه کیف یحتجّ به علی المراد؟ و ربّما یکون بصدد بیان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خصوصیات الکلام المحفوف بها و محطّ وروده و أنّه فی صدد بیان أیّ خصوصیة منها؛ فربّما یساق الکلام لبیان إحدی الخصوصیات دون الجهات الاخر، فلا بدّ من الاقتصار فی أخذ الإطلاق علی المورد الذی أحرزنا وروده مورد البیان، و لذلک یجب إعمال الدقّة فی تشخیص مورد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خالف فی لزوم هذه المقدّمة شیخنا العلّامة قدس سره؛ حیث ذهب إلی عدم لزوم إحراز کونه فی مقام بیان مراده؛ مستدلًّا بأنّه لو کان المراد هو المقیّد تکون الإرادة متعلّقة به بالأصالة، و إنّما ینسب إلی الطبیعة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الإرادة متعلّقة بالطبیعة أوّلًا و بالذات، و لیس المراد هو المقیّد</w:t>
      </w:r>
      <w:r>
        <w:rPr>
          <w:rStyle w:val="FootnoteAnchor"/>
          <w:rtl w:val="true"/>
        </w:rPr>
        <w:footnoteReference w:id="3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تامّ؛ لأنّ ما ذکره من ظهور الإرادة فی الأصلیة لا التبعیة مستفاد من هذه المقدّمة؛ إذ لولاها فما الدلیل علی أنّ المقیّد غیر مراد، و أنّ المراد بالأصالة الطبیعة؛ إذ یحتمل لو لا هذه المقدّمة أنّ هنا قیداً لم یذکره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فإحراز</w:t>
      </w:r>
    </w:p>
    <w:p>
      <w:pPr>
        <w:pStyle w:val="BookText"/>
        <w:rPr/>
      </w:pPr>
      <w:r>
        <w:rPr>
          <w:rFonts w:ascii="IRNazanin" w:hAnsi="IRNazanin" w:eastAsia="IRNazanin"/>
          <w:color w:val="111111"/>
          <w:sz w:val="28"/>
          <w:sz w:val="28"/>
          <w:szCs w:val="28"/>
          <w:rtl w:val="true"/>
          <w:lang w:bidi="fa-IR"/>
        </w:rPr>
        <w:t>کون الطبیعة وارداً مورد الإرادة بالأصالة فرع إحراز کونه فی مقام البیان دون الإهمال و الإجمال؛ لأنّ هذا لیس ظهوراً لفظیاً مستنداً إلی الوضع، بل هو حکم عقلائی بأنّ ما جعل موضوع الحکم هو تمام مراده لا بعضه، و لا یحکم العقلاء به و لا یتمّ الحجّة إلّا بعد تمامیة هذه المقدّمة؛ فیحتجّ العقلاء علیه بأنّ المتکلّم کان فی مقام البیان، فلو کان شی‌ء دخیلًا فی موضوعیته له کان علیه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هذا موضوعاً فقط یکشف عن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وجود قرینة معیّنة للمراد، و لا یخفی أنّها محقّقة لمحلّ البحث؛ لأنّ التمسّک بالإطلاق عند طریان الشکّ، و هو مع وجود ما یوجب التعیین مرتفع، فلو کان فی المقام انصراف أو قرینة لفظیة أو غیرها فالإطلاق معدوم فیه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محقّقة لموضوع الإطلاق، لا من شرائطه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قدر متیقّن فی البین حتّی یصحّ اتّکال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المقدّمة غیر محتاجة؛ سواء فسّرنا الإطلاق بما تقدّم ذکره أو بما علیه المشهور من جعل الطبیعة مرآة لجمیع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القدر المتیقّن إنّما یضرّ فی مورد یتردّد الأمر بین الأقلّ و الأکثر؛ بأن یتردّد بین تعلّق الحکم ببعض الأفراد أو جمیعها، مع أنّ الأمر فی باب الإطلاق لیس کذلک، بل هو دائر بین تعلّق الحکم بنفس الموضوع من غیر دخالة شی‌ء آخر فیه، أو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کون الطبیعة تمام الموضوع أو المقیّد تمامه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الطبیعة تمام الموضوع لم یکن القید دخیلًا، و مع دخالته یکون الموضوع هو المقیّد بما هو مقیّد، و لا یکون ذات الموضوع محکوماً و القید محکوماً</w:t>
      </w:r>
      <w:bookmarkStart w:id="367" w:name="pg12907_206730"/>
    </w:p>
    <w:p>
      <w:pPr>
        <w:pStyle w:val="BookText"/>
        <w:rPr/>
      </w:pPr>
      <w:bookmarkEnd w:id="367"/>
      <w:r>
        <w:rPr>
          <w:rFonts w:ascii="IRNazanin" w:hAnsi="IRNazanin" w:eastAsia="IRNazanin"/>
          <w:color w:val="111111"/>
          <w:sz w:val="28"/>
          <w:sz w:val="28"/>
          <w:szCs w:val="28"/>
          <w:rtl w:val="true"/>
          <w:lang w:bidi="fa-IR"/>
        </w:rPr>
        <w:t>آخر حتّی یکون من قبیل الأقلّ و الأکثر، و کذا لو جعل المتقیّد موضوعاً و شکّ فی دخالة قید آخر لا یکون من قبیلهما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یدور الأمر بین الأقلّ و الأکثر فی شی‌ء من الموارد حتّی یعتبر انتفاء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المختار فی باب الإطلاق؛ من عدم کون الطبیعة مرآة للأفراد، و لا وسیلة إلی لحاظ الخصوصیات و حالاتها و عوارضها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بمقالة المشهور؛ من جعلها مرسلة و مرآة لجمیع الأفراد، و المقیّد عبارة عن جعلها مرآة لبعضها فلاعتبار انتفائه من المقدّمات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لا یخلو من إشکال،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لحاظها مرآة للکثرات، فلا معنی لجعلها مرآة لبعض دون بعض مع کون جمیع الأفراد متساویة الأقدام فی الفردیة، و عدم قیام دلیل صالح لقصر المرآتیة علی المتیقّن غیر الانصراف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سبق السؤال عن المعاطاة قبل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اللَّه أحلّ البیع لما یضرّ هذا المتیقّن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مرآة لبعضها لا یصحّ إلّا مع القید، و إلّا فیحکم العقلاء بأنّ موضوع حکمه هو الطبیعة الساریة فی جمیع المصادیق لا المتقیّدة؛ و لهذا تری أنّ العرف و العقلاء لا یعتنون بالقدر المتیقّن فی مقام التخاطب و غیره ما لم یصل إلی حدّ الانصراف، فتدبّر</w:t>
      </w:r>
      <w:r>
        <w:rPr>
          <w:rFonts w:eastAsia="IRNazanin" w:cs="IRNazanin"/>
          <w:color w:val="111111"/>
          <w:sz w:val="28"/>
          <w:szCs w:val="28"/>
          <w:rtl w:val="true"/>
          <w:lang w:bidi="fa-IR"/>
        </w:rPr>
        <w:t>.</w:t>
      </w:r>
    </w:p>
    <w:p>
      <w:pPr>
        <w:pStyle w:val="Heading4"/>
        <w:numPr>
          <w:ilvl w:val="3"/>
          <w:numId w:val="1"/>
        </w:numPr>
        <w:rPr/>
      </w:pPr>
      <w:bookmarkStart w:id="368" w:name="__RefHeading___Toc3346490_3224264995"/>
      <w:bookmarkStart w:id="369" w:name="_Toc138"/>
      <w:bookmarkEnd w:id="368"/>
      <w:r>
        <w:rPr>
          <w:rtl w:val="true"/>
        </w:rPr>
        <w:t>إشکال و دفع</w:t>
      </w:r>
      <w:bookmarkEnd w:id="3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ورود القید علی المطلق بعد برهة من الزمن یکشف عن عدم کون المتکلّم فی مقام البیان، و انخرام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عرفت أنّها روح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جواز التمسّک به فی سائر القیود المشکوک فیهما</w:t>
      </w:r>
      <w:r>
        <w:rPr>
          <w:rFonts w:eastAsia="IRNazanin" w:cs="IRNazanin"/>
          <w:color w:val="111111"/>
          <w:sz w:val="28"/>
          <w:szCs w:val="28"/>
          <w:rtl w:val="true"/>
          <w:lang w:bidi="fa-IR"/>
        </w:rPr>
        <w:t>.</w:t>
      </w:r>
      <w:bookmarkStart w:id="370" w:name="pg12907_206731"/>
    </w:p>
    <w:p>
      <w:pPr>
        <w:pStyle w:val="BookText"/>
        <w:rPr/>
      </w:pPr>
      <w:bookmarkEnd w:id="37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کالعامّ مستعمل فی معناه الموضوع له لأجل ضرب القانون و إعطاء الحجّة، و الأصل هو التطابق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خروج فرد من حکم العامّ بحسب الجدّ لا یوجب بطلان حجّیة العامّ فی البواقی فهکذا باب المطلق بحسب القیود؛ لأنّ جعل الطبیعة فی مقام البیان موضوعاً لحکمه إعطاء حجّة علی العبد عند العقلاء علی عدم دخالة قید فیه، لأجل أصالة التطابق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عثرنا علی قید لا یوجب ذلک سقوطه عن الحجّیة، و کون الکلام وارداً مورد الإجمال و الإهمال بالنسبة إلی سائر القیود؛ و لذلک تری العقلاء یتمسّکون بالإطلاق؛ و إن ظفروا علی قید بعد برهة من الزمن، و إنّما العثور علی القید یوجب انتهاء أمد حجّیة الإطلاق بالنسبة إلی نفی القید المعثور علیه، لا جمیع القیود المشکوک فیها</w:t>
      </w:r>
      <w:r>
        <w:rPr>
          <w:rFonts w:eastAsia="IRNazanin" w:cs="IRNazanin"/>
          <w:color w:val="111111"/>
          <w:sz w:val="28"/>
          <w:szCs w:val="28"/>
          <w:rtl w:val="true"/>
          <w:lang w:bidi="fa-IR"/>
        </w:rPr>
        <w:t>.</w:t>
      </w:r>
    </w:p>
    <w:p>
      <w:pPr>
        <w:pStyle w:val="Heading4"/>
        <w:numPr>
          <w:ilvl w:val="3"/>
          <w:numId w:val="1"/>
        </w:numPr>
        <w:rPr/>
      </w:pPr>
      <w:bookmarkStart w:id="371" w:name="__RefHeading___Toc3346492_3224264995"/>
      <w:bookmarkStart w:id="372" w:name="_Toc139"/>
      <w:bookmarkEnd w:id="371"/>
      <w:r>
        <w:rPr>
          <w:rtl w:val="true"/>
        </w:rPr>
        <w:t>حلّ عقدة</w:t>
      </w:r>
      <w:bookmarkEnd w:id="372"/>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بالإطلاق فی نفی دخالة القیود إنّما یصحّ إذا وقع المطلق فی کلام من عادته إلحاق قیود الکلام باصوله، کما هو الحال فی الموالی العرفیة، و أمّا المطلقات الواردة فی محاورات من استقرّت عادته علی تفریق اللواحق عن الاصول و تفکیک المطلق عن مقیّده فساقطة عن مظانّ الاطمئنان؛ لأنّا علمنا أنّ دأب قائله جارٍ علی حذف ما له دخالة فی موضوع الحکم عن مقام البیان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یوجب إلّا عدم جواز التمسّک بالإطلاق قبل الفحص عن مقیّده، و أمّا التمسّک به بعد الفحص بمقدار لازم فلا یمنع عنه هذا الدلیل</w:t>
      </w:r>
      <w:r>
        <w:rPr>
          <w:rFonts w:eastAsia="IRNazanin" w:cs="IRNazanin"/>
          <w:color w:val="111111"/>
          <w:sz w:val="28"/>
          <w:szCs w:val="28"/>
          <w:rtl w:val="true"/>
          <w:lang w:bidi="fa-IR"/>
        </w:rPr>
        <w:t>.</w:t>
      </w:r>
      <w:bookmarkStart w:id="373" w:name="pg12907_206732"/>
    </w:p>
    <w:p>
      <w:pPr>
        <w:pStyle w:val="Heading4"/>
        <w:numPr>
          <w:ilvl w:val="3"/>
          <w:numId w:val="1"/>
        </w:numPr>
        <w:rPr/>
      </w:pPr>
      <w:bookmarkStart w:id="374" w:name="__RefHeading___Toc3346494_3224264995"/>
      <w:bookmarkStart w:id="375" w:name="_Toc140"/>
      <w:bookmarkEnd w:id="373"/>
      <w:bookmarkEnd w:id="374"/>
      <w:r>
        <w:rPr>
          <w:rtl w:val="true"/>
        </w:rPr>
        <w:t>تتمیم</w:t>
      </w:r>
      <w:r>
        <w:rPr>
          <w:rtl w:val="true"/>
        </w:rPr>
        <w:t xml:space="preserve">: </w:t>
      </w:r>
      <w:r>
        <w:rPr>
          <w:rtl w:val="true"/>
        </w:rPr>
        <w:t>فی الأصل عند الشکّ فی مقام البیان</w:t>
      </w:r>
      <w:bookmarkEnd w:id="375"/>
    </w:p>
    <w:p>
      <w:pPr>
        <w:pStyle w:val="BookText"/>
        <w:rPr/>
      </w:pP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الکلام کون المتکلّم فی مقام بیان کلّ ما له دخل فی حکمه بعد إحراز کونه فی مقام بیان الحکم، و علیه جرت سیرة العقلاء فی المحاجّات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أنّه فی مقام بیان هذا الحکم أو حکم آخر فلا أصل هنا لإحراز کونه فی مقام بیان هذا الحکم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بعد إحراز کونه بصدد بیان الحکم هو أنّه بصدد بیان کلّ ما له دخالة فی موضوع حکمه، فی مقابل الإجمال و الإهمال، و أمّا کونه بصدد بیان هذا الحکم أو غیره فلا أصل فیه، بل لا بدّ أن یحرز وجداناً أو بدلیل آخر، کشواهد الحال و کیفیة الجواب و السؤال</w:t>
      </w:r>
      <w:r>
        <w:rPr>
          <w:rFonts w:eastAsia="IRNazanin" w:cs="IRNazanin"/>
          <w:color w:val="111111"/>
          <w:sz w:val="28"/>
          <w:szCs w:val="28"/>
          <w:rtl w:val="true"/>
          <w:lang w:bidi="fa-IR"/>
        </w:rPr>
        <w:t>.</w:t>
      </w:r>
      <w:bookmarkStart w:id="376" w:name="pg12907_206733"/>
    </w:p>
    <w:p>
      <w:pPr>
        <w:pStyle w:val="Heading3"/>
        <w:numPr>
          <w:ilvl w:val="2"/>
          <w:numId w:val="1"/>
        </w:numPr>
        <w:rPr/>
      </w:pPr>
      <w:bookmarkStart w:id="377" w:name="__RefHeading___Toc3346496_3224264995"/>
      <w:bookmarkStart w:id="378" w:name="_Toc141"/>
      <w:bookmarkEnd w:id="376"/>
      <w:bookmarkEnd w:id="377"/>
      <w:r>
        <w:rPr>
          <w:rtl w:val="true"/>
        </w:rPr>
        <w:t>الفصل الرابع فی حمل المطلق علی المقیّد</w:t>
      </w:r>
      <w:bookmarkEnd w:id="378"/>
    </w:p>
    <w:p>
      <w:pPr>
        <w:pStyle w:val="Heading4"/>
        <w:numPr>
          <w:ilvl w:val="3"/>
          <w:numId w:val="1"/>
        </w:numPr>
        <w:rPr/>
      </w:pPr>
      <w:bookmarkStart w:id="379" w:name="__RefHeading___Toc3346498_3224264995"/>
      <w:bookmarkStart w:id="380" w:name="_Toc142"/>
      <w:bookmarkEnd w:id="379"/>
      <w:r>
        <w:rPr>
          <w:rtl w:val="true"/>
        </w:rPr>
        <w:t>الصور المتصوّرة فی ورود المطلق و المقیّد</w:t>
      </w:r>
      <w:bookmarkEnd w:id="380"/>
    </w:p>
    <w:p>
      <w:pPr>
        <w:pStyle w:val="BookText"/>
        <w:rPr/>
      </w:pPr>
      <w:r>
        <w:rPr>
          <w:rFonts w:ascii="IRNazanin" w:hAnsi="IRNazanin" w:eastAsia="IRNazanin"/>
          <w:color w:val="111111"/>
          <w:sz w:val="28"/>
          <w:sz w:val="28"/>
          <w:szCs w:val="28"/>
          <w:rtl w:val="true"/>
          <w:lang w:bidi="fa-IR"/>
        </w:rPr>
        <w:t>إذا ورد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یکونا متکفّلین للحکم التکلیفی أو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یکونا مثبتین أو نافیین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یعلم وحدة التکلیف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یعلم وحدته من الخارج أو من نفس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یذکر السبب فیهما أو فی واحد منهما أو لا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السبب واحداً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التکلیفی إمّا إلزامی فی الدلیلین أو غیر إلزامی فیهما أو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الإطلاق و التقیید فی الحکم و متعلّقه و موضوعه و قد یکونان فی اثنین منها و قد یکونان فی واحد منها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الصور المتصوّرة فی المقام</w:t>
      </w:r>
      <w:r>
        <w:rPr>
          <w:rFonts w:eastAsia="IRNazanin" w:cs="IRNazanin"/>
          <w:color w:val="111111"/>
          <w:sz w:val="28"/>
          <w:szCs w:val="28"/>
          <w:rtl w:val="true"/>
          <w:lang w:bidi="fa-IR"/>
        </w:rPr>
        <w:t>.</w:t>
      </w:r>
      <w:bookmarkStart w:id="381" w:name="pg12907_206734"/>
    </w:p>
    <w:p>
      <w:pPr>
        <w:pStyle w:val="Heading4"/>
        <w:numPr>
          <w:ilvl w:val="3"/>
          <w:numId w:val="1"/>
        </w:numPr>
        <w:rPr/>
      </w:pPr>
      <w:bookmarkStart w:id="382" w:name="__RefHeading___Toc3346500_3224264995"/>
      <w:bookmarkStart w:id="383" w:name="_Toc143"/>
      <w:bookmarkEnd w:id="381"/>
      <w:bookmarkEnd w:id="382"/>
      <w:r>
        <w:rPr>
          <w:rtl w:val="true"/>
        </w:rPr>
        <w:t>تحریر محطّ البحث</w:t>
      </w:r>
      <w:bookmarkEnd w:id="383"/>
    </w:p>
    <w:p>
      <w:pPr>
        <w:pStyle w:val="BookText"/>
        <w:rPr/>
      </w:pPr>
      <w:r>
        <w:rPr>
          <w:rFonts w:ascii="IRNazanin" w:hAnsi="IRNazanin" w:eastAsia="IRNazanin"/>
          <w:color w:val="111111"/>
          <w:sz w:val="28"/>
          <w:sz w:val="28"/>
          <w:szCs w:val="28"/>
          <w:rtl w:val="true"/>
          <w:lang w:bidi="fa-IR"/>
        </w:rPr>
        <w:t>و قبل الشروع فی أحکام الصور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محطّ البحث فی الإطلاق و التقیید و حمل أحدهما علی الآخر إنّما هو فیما إذا ورد المقیّد منفصلًا عن مطلقه، و أمّا المتّصلین فلا مجال للبحث فیهما؛ لأنّ القید المتّصل یمنع عن انعقاد الإطلاق حتّی یکون من باب تعارض المطلق و المقیّد؛ لما عرفت أنّ عدم القرینة من محقّقات موضوع الإطلاق</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الخلط فی کلام بعض الأعاظم؛ حیث عمّم البحث إلی الوصف و الحال،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ملحقات الکلام کلّها قرینة حاکمة علی أصالة الظهور فی المطلق، و قاس المتّصلین بالقرینة وذی القرینة فی أنّ ظهور القرینة حاکمة علی ذی القرینة، ثمّ قاس المقیّد المنفصل بالمتّصل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باب الإطلاق لیس باب الظهور اللفظی حتّی یقع التعارض بین الظهورین أو یقدّم ظهور المقیّد علی ظهور المطلق بالحکومة، بل الإطلاق دلالة عقلیة،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بإذنه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حالات لسان الدلیل بأن یتعرّض لحال دلالة الدلیل الآخر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حکومة ظهور القرینة علی ذی القرینة ممّا لا أساس لها؛ ضرورة أنّ الشکّ فی ذی القرینة لا یکون ناشئاً من الشکّ فی القرینة؛ إذ فی قوله</w:t>
      </w:r>
      <w:r>
        <w:rPr>
          <w:rFonts w:eastAsia="IRNazanin" w:cs="IRNazanin"/>
          <w:color w:val="111111"/>
          <w:sz w:val="28"/>
          <w:szCs w:val="28"/>
          <w:rtl w:val="true"/>
          <w:lang w:bidi="fa-IR"/>
        </w:rPr>
        <w:t>:</w:t>
      </w:r>
      <w:bookmarkStart w:id="384" w:name="pg12907_206735"/>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الشکّ فی المراد من الأسد ناشئاً من الشکّ فی المراد من یرمی، کما ادّعی القائل، بل الشکّان متلازمان، فلا حکومة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قیاس المقیّد المنفصل بالمتّصل ممّا لا وجه له؛ إذ القیاس مع الفارق؛ لأنّ الإطلاق ینعقد مع انفصال القید إذا احرز کونه فی مقام البیان، و أمّا القید المتّصل فهو رافع لموضوع الإطلاق، فلا یقاس متّصله بمنفصله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التقدیم فی المنفصلین فلیس لأجل الحکومة، بل المطلق إنّما یکون حجّة إن لم یرد من المتکلّم بیان، و بعد ورود البیان ینتهی أمد الحجّیة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القید فی الدخالة أقوی من المطلق فی الإطلاق، و هذه الأظهریة لیست لفظیة بل أمراً یرجع إلی فعل المتکلّم إذا جعل شیئاً موضوعاً ثمّ أتی بقید منفصل، کما أنّ تقدیم ظهور القرینة علی ذی القرینة للأظهریة أو مناسبات المقام لا للحکومة، و سیوافیک حقیقة القول فی هذه المباحث فی التعادل و الترجیح</w:t>
      </w:r>
      <w:r>
        <w:rPr>
          <w:rStyle w:val="FootnoteAnchor"/>
          <w:rtl w:val="true"/>
        </w:rPr>
        <w:footnoteReference w:id="343"/>
      </w:r>
      <w:r>
        <w:rPr>
          <w:rFonts w:ascii="Amiri" w:hAnsi="Amiri" w:eastAsia="Amiri" w:cs="Amiri"/>
          <w:color w:val="111111"/>
          <w:sz w:val="28"/>
          <w:sz w:val="28"/>
          <w:szCs w:val="28"/>
          <w:rtl w:val="true"/>
          <w:lang w:bidi="ar-SA"/>
        </w:rPr>
        <w:t>، فتربّص حتّی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فنشرع فی بیان مهمّات الصور و أحکامها حتّی یتّضح حال غیرها</w:t>
      </w:r>
      <w:r>
        <w:rPr>
          <w:rFonts w:eastAsia="IRNazanin" w:cs="IRNazanin"/>
          <w:color w:val="111111"/>
          <w:sz w:val="28"/>
          <w:szCs w:val="28"/>
          <w:rtl w:val="true"/>
          <w:lang w:bidi="fa-IR"/>
        </w:rPr>
        <w:t>:</w:t>
      </w:r>
    </w:p>
    <w:p>
      <w:pPr>
        <w:pStyle w:val="Heading4"/>
        <w:numPr>
          <w:ilvl w:val="3"/>
          <w:numId w:val="1"/>
        </w:numPr>
        <w:rPr/>
      </w:pPr>
      <w:bookmarkStart w:id="385" w:name="__RefHeading___Toc3346502_3224264995"/>
      <w:bookmarkStart w:id="386" w:name="_Toc144"/>
      <w:bookmarkEnd w:id="385"/>
      <w:r>
        <w:rPr>
          <w:rtl w:val="true"/>
        </w:rPr>
        <w:t>أحکام الصور المهمّة فی المسألة</w:t>
      </w:r>
      <w:bookmarkEnd w:id="386"/>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مختلفین بالنفی و الإثبات و کان الحکم تکلیفیاً، و هی علی قسمین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المطلق نافیاً و المقیّد مثبتاً،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و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المطلق لا العامّ،</w:t>
      </w:r>
    </w:p>
    <w:p>
      <w:pPr>
        <w:pStyle w:val="BookText"/>
        <w:rPr/>
      </w:pP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حمله علی المقیّد؛ لتحقّق التنافی بینهما عرفاً؛ و ذلک لما عرفت أنّ ترک الطبیعة إنّما یحصل عند العرف بترک جمیع أفرادها؛ و إن کان النظر الدقیق الفلسفی یقتضی خلافه، کما مرّ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فالتنافی بین حرمة مطلق الرقبة أو کراهتها، و بین وجوب المؤمنة منها أو استحبابها ظاهر جدّاً، و الجمع العقلائی إنّما هو حمل مطلقها علی مقیّدها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القسم الأوّل؛ أی یکون المطلق مثبتاً و متعلّقاً للأمر و المقیّد نافیاً و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نعلم أنّ النهی تحریمی أو نعلم أنّه تنزیهی، و اخری 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علمنا کون النهی تحریمیاً فلا ریب فی حمله علی المقیّد؛ لکونه طریقاً وحیداً إلی الجمع فی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علمنا أنّ النهی تنزیهی فهل یحمل علی المقیّد أو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عدمه؛ لأنّ الموجب للحمل هو تحقّق التنافی فی أنظار العرف حتّی نحتال فی علاجهما، و مع إحراز کون النهی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مرخّصاً فی إتیان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لتوهّم التنافی، بل غایة الأمر یکون النهی إرشاداً إلی أرجحیة الغیر أو مرجوحیة متعلّقه بالإضافة إلی فرد آخر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 أنّ النهی تنزیهی فلا شکّ أنّ مفاد الثانی هو ترخیص إتیانها فیه، و أنّه راجح ذاتاً و صحیح لمکان الترخیص، لکنّه مرجوح بالإضافة إلی سائر الأفراد، و لا یلزم من ذلک اجتماع الراجحیة و المرجوحیة فی مورد واحد؛ لما عرفت أنّ المرجوحیة لأجل قیاسها إلی سائر الأفراد و فی المکان الخاصّ، لا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أفاده شیخنا العلّامة، أعلی اللَّه مقامه، فراجع</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 کیفیة دلالته مجهولة و لم نعلم أنّه للتنزیه أو للتحریم فللتوقّف فیه مجال؛ فإنّ کلّ واحد یصلح أن یقع بیاناً للآخر؛ إذ النهی کما یمکن أن یکون بیاناً لإطلاق المطلق و یقیّد متعلّق الأمر بمقتضی النهی، کذلک یصلح أن یکون المطلق بیاناً للمراد من النهی، و أنّه 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بین حمل النهی علی الکراهة و حفظ الإطلاق، و بین رفع الید عن الإطلاق و حمله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الأظهر هو حمل المطلق علی المقیّد و إبقاء النهی علی ظهوره؛ لأنّ التنافی کما هو عرفی کذلک الجمع عرفی أیضاً، و لا شکّ أنّ لحاظ محیط التشریع یوجب الاستئناس و الانتقال إلی کونهما من باب المطلق و المقیّد؛ لشیوع ذلک الجمع و تعارفه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المطلق بیاناً للنهی و أنّ المراد منه هو الکراهة فهو جمع عقلی لا یختلج بباله؛ لعدم معهودیة 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الهیئات بما هی معانٍ حرفیة لا یلتفت إلیها الذهن حین التفاته إلی المطلق و المقیّد و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ینبغی الإشکال فی حمل المطلق علی المقیّد فی هذه الصورة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ربّما یقال فی ترجیح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ظهور النهی فی التحریم وضعی مقدّم علی الظهور الإطلاقی، غیر تامّ؛ لما عرفت</w:t>
      </w:r>
      <w:r>
        <w:rPr>
          <w:rStyle w:val="FootnoteAnchor"/>
          <w:rtl w:val="true"/>
        </w:rPr>
        <w:footnoteReference w:id="346"/>
      </w:r>
      <w:r>
        <w:rPr>
          <w:rFonts w:ascii="IRNazanin" w:hAnsi="IRNazanin" w:eastAsia="IRNazanin"/>
          <w:color w:val="111111"/>
          <w:sz w:val="28"/>
          <w:sz w:val="28"/>
          <w:szCs w:val="28"/>
          <w:rtl w:val="true"/>
          <w:lang w:bidi="fa-IR"/>
        </w:rPr>
        <w:t>أنّ الوجوب و التحریم</w:t>
      </w:r>
    </w:p>
    <w:p>
      <w:pPr>
        <w:pStyle w:val="BookText"/>
        <w:rPr/>
      </w:pPr>
      <w:r>
        <w:rPr>
          <w:rFonts w:ascii="IRNazanin" w:hAnsi="IRNazanin" w:eastAsia="IRNazanin"/>
          <w:color w:val="111111"/>
          <w:sz w:val="28"/>
          <w:sz w:val="28"/>
          <w:szCs w:val="28"/>
          <w:rtl w:val="true"/>
          <w:lang w:bidi="fa-IR"/>
        </w:rPr>
        <w:t>خارجان عن الموضوع له، و أنّ الهیئة لم توضع فیهما إلّا للبعث و الزجر، فأین الظهور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وجهاً آخر للجمع بینهما، و قد أشار إلیه بعض الأعاظم، و جعل المقام من باب اجتماع الأمر و النهی</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المطلق و المقیّد داخلین فی ذاک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بالجواز هناک یرفع التعارض بین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المقامین واضح؛ فإنّ التعارض هنا عرفی کجمعه، و التعارض هناک عقلی، و جمعه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اجتماع الأمر و النهی عقلیة غیر مربوطة بالجمع بین الأدلّة؛ لأنّ مناط الجمع بینها هو فهم العرف، و لا شبهة فی وقوع التعارض بین المطلق و المقیّد عرفاً، و طریق الجمع عرفی لا عقلی، فلا یکون أحد وجوه الجمع بین الأدلّة الجمع العقلی،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الدلیلان مثبتین إلزامیین،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و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احرزت وحدة الحکم فلا محیص عن الحمل؛ لإحراز التنافی بإحراز وحدة الحکم، و وجود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وحدة الحکم غیر 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یحرز کون الحکم فی المطلق علی نفس الطبیعة، و لا نحتمل دخالة قید آخر فی الموضوع، غیر القید الذی فی دلیل المقیّد،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نحتمل دخالة قید آخر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المطلق علی المقیّد، لا لما ربّما یتراءی فی بعض الکلمات من أنّ إحراز التنافی لأجل أنّ الحکم فی المقیّد إذا کان إلزامیاً متعلّقاً</w:t>
      </w:r>
    </w:p>
    <w:p>
      <w:pPr>
        <w:pStyle w:val="BookText"/>
        <w:rPr/>
      </w:pPr>
      <w:r>
        <w:rPr>
          <w:rFonts w:ascii="IRNazanin" w:hAnsi="IRNazanin" w:eastAsia="IRNazanin"/>
          <w:color w:val="111111"/>
          <w:sz w:val="28"/>
          <w:sz w:val="28"/>
          <w:szCs w:val="28"/>
          <w:rtl w:val="true"/>
          <w:lang w:bidi="fa-IR"/>
        </w:rPr>
        <w:t>بصرف الوجود فمفاده عدم الرضا بعتق المطلق، و مفاد دلیل المطلق هو الترخیص 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دلیل المقیّد دخالة القید فی الحکم و مفاد دلیل المطلق عدم دخالته، فیقع التنافی بینهما</w:t>
      </w:r>
      <w:r>
        <w:rPr>
          <w:rStyle w:val="FootnoteAnchor"/>
          <w:rtl w:val="true"/>
        </w:rPr>
        <w:footnoteReference w:id="3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التنافی بین الترخیص اللاترخیص و دخالة القید و لا دخالته فرع کون الحکم فی المقام واحداً، فلو توقّف إحراز وحدته علیه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وجه التقدیم هو أنّ ملاحظة محیط التشریع و ورود الدلیلین فی طریق التقنین توجب الاطمئنان بکونهما من هذا القبیل؛ خصوصاً مع تکرّر تقیید المطلقات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فی المستحبّات علی العکس؛ فإنّ الغالب فیها کون المطلوب متعدّداً و ذا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آخر؛ و هو أنّ إحراز عدم دخالة قید آخر غیر هذا القید عین إحراز الوحدة عقلًا؛ لامتناع تعلّق الإرادتین علی المطلق و المقیّد؛ لأنّ المقیّد هو نفس الطبیعة مع قید عینیة اللابشرط مع بشرط شی‌ء، فاجتماع الحکمین المتماثلین فیهما ممتنع، فیقع التنافی بینهما، فیحمل المطلق علی المقیّد، و لا ینافی ذلک ما مرّ من أنّ میزان الجمع بین الأدلّة هو العرف؛ لأنّ إحراز وحدة الحکم إنّما هو بالعقل لا الجمع بین الدلیلین، و الفرق بینهما ظاهر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لم نحرز عدم دخالة قید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حمل المطلق علی المقیّد و رفع الید عن ظهور الأمر فی استقلال البعث، و بین حفظ ظهور الأمر و کشف قید آخر فی المطلق؛ حتّی یجعله قابلًا لتعلّق حکم مستقلّ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الصحیح هو الأوّل لضعف ظهور الأمر فی الاستقلال، و لا یمکن الاعتماد علیه لکشف 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احرز تعدّد الحکم و استقلال البعثین لا محیص عن کشف قید آخر؛ لامتناع تعلّق الإرادتین بالمطلق و المقیّد، و قد تقدّم شرحه فی مبحث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الدلیلان نافیین،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و 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ریب فی عدم حمل مطلقه علی المقیّد؛ لعدم التنافی بینهما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لا یرفع الید عنها إلّا بحجّة مثلها، و لکن یمکن أن یقال بأنّه یأتی فیها ما ذکرناه فی الصورة السابقة،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 تشترک فی أنّ الوارد إلینا ذات المطلق و المقیّد بلا ذکر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السبب مذکوراً فلا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یذکر فی واحد منهما أو کلیهما،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یتّحد السببان ماهیة أو یختلفا کذلک، و علی جمیع التقادیر فالحکم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إیجابی أو غیر إیجابی أو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صور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السبب مذکوراً فی کلا الدلیلین، و کان سبب کلّ غیر سبب الآخر ماهیة،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شکّ أنّه لا یحمل؛ لعدم التنافی بینهما؛ لإمکان وجوب عتق مطلق الرقبة لأجل سبب و وجوب مقیّدها لأجل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أعتق رقبة مؤمنة ففی کفایتها عنهما أو عدم کفایتها کلام مرّ تحقیقه فی مباحث تداخل المسبّبات و الأسباب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ذکر السبب فی کلّ واحد أیضاً، و لکن سبب المطلق عین سبب</w:t>
      </w:r>
    </w:p>
    <w:p>
      <w:pPr>
        <w:pStyle w:val="BookText"/>
        <w:rPr/>
      </w:pPr>
      <w:r>
        <w:rPr>
          <w:rFonts w:ascii="IRNazanin" w:hAnsi="IRNazanin" w:eastAsia="IRNazanin"/>
          <w:color w:val="111111"/>
          <w:sz w:val="28"/>
          <w:sz w:val="28"/>
          <w:szCs w:val="28"/>
          <w:rtl w:val="true"/>
          <w:lang w:bidi="fa-IR"/>
        </w:rPr>
        <w:t>المقیّد ماهیة فیحمل؛ لاستکشاف العرف من وحدة السبب وحدة مسبّبه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السبب مذکوراً فی واحد منهما، فالتحقیق عدم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علّله بعض الأعاظم بأنّ الحمل یستلزم الدور؛ لأنّ حمل المطلق علی المقیّد یتوقّف علی وحدة الحکم، ففی المثال تقیید الوجوب یتوقّف علی وحدة المتعلّق؛ إذ مع تعدّدهما لا موجب للتقیید، و وحدة المتعلّق تتوقّف علی حمل أحد التکلیفین علی الآخر؛ إذ مع عدم وحدة التکلیف لم تتحقّق وحدة المتعلّق؛ لأنّ أحد المتعلّقین عتق الرقبة المطلقة، و الآخر عتق الرقبة المؤمنة</w:t>
      </w:r>
      <w:r>
        <w:rPr>
          <w:rStyle w:val="FootnoteAnchor"/>
          <w:rtl w:val="true"/>
        </w:rPr>
        <w:footnoteReference w:id="3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الحکم و إن کانت تتوقّف علی وحدة المتعلّق لکن وحدة المتعلّق لا تتوقّف علی وحدة الحکم؛ لا ثبوتاً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وحدة الشی‌ء و کثرته أمر واقعی فی حدّ نفسه؛ تعلّق به الحکم أو لا، و بما أنّ المقیّد فی المقام هو المطلق مع قید فلا محالة لا یمکن أن یقع متعلّقاً للإرادتین و موضوعاً للحکمین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تعلّق الحکم فی المطلق بنفس الطبیعة یکشف عن کونها تمام الموضوع للحکم، فإذا تعلّق حکم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أنّه نفس الطبیعة مع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ذلک عن کون النسبة بین الموضوعین بالإطلاق و التقیید، من غیر أن یتوقّف علی إحراز وحدة الحکم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الحمل إنّما هو لأجل أنّ المطلق حجّة فی موارد عدم تحقّق سبب المقیّد،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العبد علی إیجاد العتق مطلقاً، و لا یجوز رفع الید عنها بفعلیة حکم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تحقّق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یری أنّ هنا واجباً لأجل الظهار، و واجباً آخر من غیر سبب و لا شرط؛ حصل الظهار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راجع إلی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حاله من التدبّر فیه؛ فربّما یحمل مطلقه علی مقیّده،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وبر السباع ممّا لا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من البول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یحمل،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منفصلًا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المنافاة بین مانعیة مطلق أجزائه و مانعیة خصوص وبره بعد القول بعدم المفهوم فی القید المأخوذ فیه حتّی یجی‌ء التنافی من قِبَله، و علیک بالتأمّل فی الصور الاخری و استخراج حکمها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الإلزامیین، و أمّا غیرهما فیختلف بحسب الموارد، و لا یهمّنا تفصیله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نجز الکلام فی البحث عن مباحث الألفاظ، و نحمد اللَّه علی إتمامها، و قد لاح بدر تمامه فی لیلة الرابع عشر من شهر شعبان المعظّم من شهور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و کتبه بأنامله الداثرة مؤلّفه الفقیر المیرزا جعفر السبحانی التبریزی، ابن الفقیه الحاجّ میرزا محمّد حسین، عاملهما اللَّه بلطفه یوم المساق؛ یوم تلتفّ الساق بالساق، آمّین</w:t>
      </w:r>
      <w:r>
        <w:rPr>
          <w:rFonts w:eastAsia="IRNazanin" w:cs="IRNazanin"/>
          <w:color w:val="111111"/>
          <w:sz w:val="28"/>
          <w:szCs w:val="28"/>
          <w:rtl w:val="true"/>
          <w:lang w:bidi="fa-IR"/>
        </w:rPr>
        <w:t>.</w:t>
      </w:r>
      <w:bookmarkStart w:id="387" w:name="pg12907_206743"/>
    </w:p>
    <w:p>
      <w:pPr>
        <w:pStyle w:val="Heading2"/>
        <w:numPr>
          <w:ilvl w:val="1"/>
          <w:numId w:val="1"/>
        </w:numPr>
        <w:rPr/>
      </w:pPr>
      <w:bookmarkStart w:id="388" w:name="__RefHeading___Toc3346504_3224264995"/>
      <w:bookmarkStart w:id="389" w:name="_Toc145"/>
      <w:bookmarkEnd w:id="387"/>
      <w:bookmarkEnd w:id="388"/>
      <w:r>
        <w:rPr>
          <w:rtl w:val="true"/>
        </w:rPr>
        <w:t>المقصد السادس فی الأمارات المعتبرة عقلًا أو شرعاً</w:t>
      </w:r>
      <w:bookmarkEnd w:id="389"/>
    </w:p>
    <w:p>
      <w:pPr>
        <w:pStyle w:val="Heading3"/>
        <w:numPr>
          <w:ilvl w:val="2"/>
          <w:numId w:val="1"/>
        </w:numPr>
        <w:rPr/>
      </w:pPr>
      <w:bookmarkStart w:id="390" w:name="__RefHeading___Toc3346506_3224264995"/>
      <w:bookmarkStart w:id="391" w:name="_Toc146"/>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ینبغی تقدیم الکلام فی القطع إذ هو حجّة عقلیة و أمارة بتیة</w:t>
      </w:r>
      <w:r>
        <w:rPr>
          <w:rFonts w:eastAsia="IRNazanin" w:cs="IRNazanin"/>
          <w:color w:val="111111"/>
          <w:sz w:val="28"/>
          <w:szCs w:val="28"/>
          <w:rtl w:val="true"/>
          <w:lang w:bidi="fa-IR"/>
        </w:rPr>
        <w:t>.</w:t>
      </w:r>
    </w:p>
    <w:p>
      <w:pPr>
        <w:pStyle w:val="Heading3"/>
        <w:numPr>
          <w:ilvl w:val="2"/>
          <w:numId w:val="1"/>
        </w:numPr>
        <w:rPr/>
      </w:pPr>
      <w:bookmarkStart w:id="392" w:name="__RefHeading___Toc3346508_3224264995"/>
      <w:bookmarkStart w:id="393" w:name="_Toc147"/>
      <w:bookmarkEnd w:id="392"/>
      <w:r>
        <w:rPr>
          <w:rtl w:val="true"/>
        </w:rPr>
        <w:t>الکلام فی القطع و أحکامه</w:t>
      </w:r>
      <w:bookmarkEnd w:id="393"/>
    </w:p>
    <w:p>
      <w:pPr>
        <w:pStyle w:val="Heading4"/>
        <w:numPr>
          <w:ilvl w:val="3"/>
          <w:numId w:val="1"/>
        </w:numPr>
        <w:rPr/>
      </w:pPr>
      <w:bookmarkStart w:id="394" w:name="__RefHeading___Toc3346510_3224264995"/>
      <w:bookmarkStart w:id="395" w:name="_Toc148"/>
      <w:bookmarkEnd w:id="394"/>
      <w:r>
        <w:rPr>
          <w:rtl w:val="true"/>
        </w:rPr>
        <w:t>اشارة</w:t>
      </w:r>
      <w:bookmarkEnd w:id="3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مقدّمة و امورٌ</w:t>
      </w:r>
      <w:r>
        <w:rPr>
          <w:rFonts w:eastAsia="Amiri" w:cs="Amiri" w:ascii="Amiri" w:hAnsi="Amiri"/>
          <w:color w:val="111111"/>
          <w:sz w:val="28"/>
          <w:szCs w:val="28"/>
          <w:rtl w:val="true"/>
          <w:lang w:bidi="ar-SA"/>
        </w:rPr>
        <w:t>:</w:t>
      </w:r>
      <w:bookmarkStart w:id="396" w:name="pg12907_206745"/>
    </w:p>
    <w:p>
      <w:pPr>
        <w:pStyle w:val="Heading4"/>
        <w:numPr>
          <w:ilvl w:val="3"/>
          <w:numId w:val="1"/>
        </w:numPr>
        <w:rPr/>
      </w:pPr>
      <w:bookmarkStart w:id="397" w:name="__RefHeading___Toc3346512_3224264995"/>
      <w:bookmarkStart w:id="398" w:name="_Toc149"/>
      <w:bookmarkEnd w:id="396"/>
      <w:bookmarkEnd w:id="397"/>
      <w:r>
        <w:rPr>
          <w:rtl w:val="true"/>
        </w:rPr>
        <w:t>المقدّمة</w:t>
      </w:r>
      <w:bookmarkEnd w:id="398"/>
    </w:p>
    <w:p>
      <w:pPr>
        <w:pStyle w:val="Heading5"/>
        <w:numPr>
          <w:ilvl w:val="4"/>
          <w:numId w:val="1"/>
        </w:numPr>
        <w:rPr/>
      </w:pPr>
      <w:bookmarkStart w:id="399" w:name="__RefHeading___Toc3346514_3224264995"/>
      <w:bookmarkStart w:id="400" w:name="_Toc150"/>
      <w:bookmarkEnd w:id="399"/>
      <w:r>
        <w:rPr>
          <w:rtl w:val="true"/>
        </w:rPr>
        <w:t>فی اصولیة المسألة</w:t>
      </w:r>
      <w:bookmarkEnd w:id="400"/>
    </w:p>
    <w:p>
      <w:pPr>
        <w:pStyle w:val="BookText"/>
        <w:rPr/>
      </w:pPr>
      <w:r>
        <w:rPr>
          <w:rFonts w:ascii="IRNazanin" w:hAnsi="IRNazanin" w:eastAsia="IRNazanin"/>
          <w:color w:val="111111"/>
          <w:sz w:val="28"/>
          <w:sz w:val="28"/>
          <w:szCs w:val="28"/>
          <w:rtl w:val="true"/>
          <w:lang w:bidi="fa-IR"/>
        </w:rPr>
        <w:t>اعلم أنّ البحث عن أحکام القطع لیس کلامیاً، بل بحث اصولی؛ لأنّ الملاک فی کون الشی‌ء مسألة اصولیة هو کونها موجبة لإثبات الحکم الشرعی الفرعی؛ بحیث یصیر حجّة علیه، و لا یلزم أن یقع وسطاً للإثبات بعنوانه، بل یکفی کونه موجباً لاستنباط الحکم، کسائر الأمارات العقلائیة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فاستوضح المقام بالظنّ؛ فإنّه لا یقع وسطاً بعنوانه، بل هو واسطة لإثبات الحکم و حجّة علیه؛ إذ الأحکام تتعلّق بالعناوین الواقعیة لا المقیّدة بالظنّ، فما هو الحرام هو الخمر دون مظنونها، و القطع و الظنّ تشترکان فی کون کلّ واحد منهما أمارة علی الحکم و موجباً لتنجّزه و صحّة العقوبة علیه مع المخالفة إذا صادف الواقع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عدّه من مسائل الکلام لا یصحّ علی بعض تعاریفه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البحث عن الأعراض الذاتیة للموجود بما هو هو علی نهج قانون الإسلام</w:t>
      </w:r>
      <w:r>
        <w:rPr>
          <w:rFonts w:eastAsia="IRNazanin" w:cs="IRNazanin"/>
          <w:color w:val="111111"/>
          <w:sz w:val="28"/>
          <w:szCs w:val="28"/>
          <w:rtl w:val="true"/>
          <w:lang w:bidi="fa-IR"/>
        </w:rPr>
        <w:t>»</w:t>
      </w:r>
      <w:r>
        <w:rPr>
          <w:rStyle w:val="FootnoteAnchor"/>
          <w:rtl w:val="true"/>
        </w:rPr>
        <w:footnoteReference w:id="350"/>
      </w:r>
      <w:bookmarkStart w:id="401" w:name="pg12907_206746"/>
    </w:p>
    <w:p>
      <w:pPr>
        <w:pStyle w:val="Heading5"/>
        <w:numPr>
          <w:ilvl w:val="4"/>
          <w:numId w:val="1"/>
        </w:numPr>
        <w:rPr/>
      </w:pPr>
      <w:bookmarkStart w:id="402" w:name="__RefHeading___Toc3346516_3224264995"/>
      <w:bookmarkStart w:id="403" w:name="_Toc151"/>
      <w:bookmarkEnd w:id="401"/>
      <w:bookmarkEnd w:id="402"/>
      <w:r>
        <w:rPr>
          <w:rtl w:val="true"/>
        </w:rPr>
        <w:t>تقسیم المکلّف حسب حالاته</w:t>
      </w:r>
      <w:bookmarkEnd w:id="403"/>
    </w:p>
    <w:p>
      <w:pPr>
        <w:pStyle w:val="BookText"/>
        <w:rPr/>
      </w:pPr>
      <w:r>
        <w:rPr>
          <w:rFonts w:ascii="IRNazanin" w:hAnsi="IRNazanin" w:eastAsia="IRNazanin"/>
          <w:color w:val="111111"/>
          <w:sz w:val="28"/>
          <w:sz w:val="28"/>
          <w:szCs w:val="28"/>
          <w:rtl w:val="true"/>
          <w:lang w:bidi="fa-IR"/>
        </w:rPr>
        <w:t>قسّم الشیخ الأعظم المکلّف الملتفت إلی أقسام،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یحصل له القطع أو یحصل له الظنّ أو لا یحصل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الاصول المقرّرة للشاکّ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إن قام دلیل علی اعتباره فهو ملحق بالعلم، و إن لم یقم فهو ملحق بالشکّ، فلا یصحّ التثلیث</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عقد البحث فی الظنّ إنّما هو لأجل تمییز الظنّ المعتبر الملحق بالعلم عن غیر معتبره الملحق بالشکّ، فلا مناص عن التثلیث حتّی یبحث عن حکم الظنّ من حیث الاعتبار و عدمه</w:t>
      </w:r>
      <w:r>
        <w:rPr>
          <w:rStyle w:val="FootnoteAnchor"/>
          <w:rtl w:val="true"/>
        </w:rPr>
        <w:footnoteReference w:id="3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التثلیث توطئة لبیان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فرق بین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تثلیث حالات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أوضحه فی مجاری الاصول؟ فإنّهما من باب واحد، فلأیّ وجه کان هذا التقسیم توطئیاً لبیان الحقّ دون ذاک؟ مع أنّه 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الثانی حقیقی لا توطئة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 تحفّظ الشیخ الأعظم علی قیود الاصول؛ حیث قیّد الاستصحاب بکون الحالة السابقة ملحوظة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المجیب صنع ما صنعه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الاستصحاب</w:t>
      </w:r>
    </w:p>
    <w:p>
      <w:pPr>
        <w:pStyle w:val="BookText"/>
        <w:rPr/>
      </w:pPr>
      <w:r>
        <w:rPr>
          <w:rFonts w:ascii="IRNazanin" w:hAnsi="IRNazanin" w:eastAsia="IRNazanin"/>
          <w:color w:val="111111"/>
          <w:sz w:val="28"/>
          <w:sz w:val="28"/>
          <w:szCs w:val="28"/>
          <w:rtl w:val="true"/>
          <w:lang w:bidi="fa-IR"/>
        </w:rPr>
        <w:t>بلحاظ الحالة السابقة، و لم نکتف بوجودها بلا لحاظها؛ لأنّ مجرّد وجودها لا یکفی فی کونها مجری الاستصحاب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المحقّق الخراسانی عدل عمّا أفاده الشیخ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البالغ الذی وضع علیه القلم إذا التفت إلی حکم فعلی واقعی أو ظاهری متعلّق به أو بمقلّدیه فإمّا أن یحصل له القطع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إن کان هو القطع التفصیلی فالبحث عن الإجمالی منه فی المقام یصیر استطرادیاً و لا یرضی به القائل، و إن کان أعمّ یلزم دخول مسائل الظنّ و الشکّ فی المقام؛ حتّی الظنّ علی الحکومة؛ فإنّه من مسائل العلم الإجمالی، إلّا أنّ دائرته أوسع من العلم الإجمالی المذکور فی مبحث القطع، و کون دائرته أوسع غیر دخیل فی جهة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مسائل الشکّ فلوجود العلم بالحکم الظاهری فی الاصول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بناءً علیه یمکن إدراج عامّة المباحث فی مبحث القطع؛ حتّی الاصول العقلیة؛ بأن نجعل متعلّق القطع وظیفة المکلّف، فیصیر المباحث مبحثاً واحداً، و لا یرضی به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المکلّف إلی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یحصل له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مبحث القطع و یدخل فیه مبحث الانسداد، بناءً علی أنّ وجوب العمل بالظنّ فی حال الانسداد لأجل العلم الإجمالی بالحکم، و کون دائرة المعلوم بالإجمال فیه أوسع لا یضرّ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یدخل فیه أصل الاشتغال و التخییر فی غیر الدوران بین المحذورین؛ فإنّهما أیضاً من وادی العلم الإجمالی إذا تعلّق العلم</w:t>
      </w:r>
    </w:p>
    <w:p>
      <w:pPr>
        <w:pStyle w:val="BookText"/>
        <w:rPr/>
      </w:pPr>
      <w:r>
        <w:rPr>
          <w:rFonts w:ascii="IRNazanin" w:hAnsi="IRNazanin" w:eastAsia="IRNazanin"/>
          <w:color w:val="111111"/>
          <w:sz w:val="28"/>
          <w:sz w:val="28"/>
          <w:szCs w:val="28"/>
          <w:rtl w:val="true"/>
          <w:lang w:bidi="fa-IR"/>
        </w:rPr>
        <w:t>الإجمالی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الدوران بین المحذورین یکون التخییر للابدّیة العقلیة لا العلم الإجمالی، إلّا إذا قلنا بوجوب الموافقة الالتزامیة و حرمة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یقوم علیه أمارة معتبرة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مبحث الظنّ، و یدخل فیه سائر مباحث الاشتغال و التخییر؛ أی فیما تعلّق العلم الإجمالی بالحجّة لا بالحکم، کما إذا علم بقیام حجّة کخبر الثقة و نحوه إمّا بوجوب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یکون أصل الاشتغال و التخییر خارجان عن مبحث الشکّ و داخلان فی مبحث القطع 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حالة سابقة ملحوظة أو لا؛ فالأوّل مجری الاستصحاب، و الثانی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التقسیم یجب البحث عن الانسداد فی مبحث القطع إن کان من مقدّماته العلم الإجمالی بالأحکام الواقعیة، و فی مبحث الأمارات إن کان من مقدّماته العلم الإجمالی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هذا التقسیم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الأولی أن یکون التقسیم فی صدر الکتاب إجمال ما یبحث فیه فی الکتاب تفصیلًا، و علیه لا یناسب التقسیم حسب المختار فی مجاری الاصول و غیرها،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أحکام القطع الإجمالی المتعلّق بالحکم أو الحجّة مختلفة؛ لکونه علّة تامّة أو لا، و جواز الترخیص فی الأطراف أو بعضها أو لا، یأتی الکلام فیه إن شاء اللَّه، و قد استقصینا الکلام فی الفرق بین تعلّق العلم الإجمالی بالحکم و تعلّقه بالحجّة فی مبحث الاشتغال، و طوینا الکلام فیما أفاده سیّدنا الاستاذ فی المقام؛ روماً للاختصار، فراجع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ذکروا فی مقام بیان أحکام القطع و أقسامه اموراً</w:t>
      </w:r>
      <w:r>
        <w:rPr>
          <w:rFonts w:eastAsia="IRNazanin" w:cs="IRNazanin"/>
          <w:color w:val="111111"/>
          <w:sz w:val="28"/>
          <w:szCs w:val="28"/>
          <w:rtl w:val="true"/>
          <w:lang w:bidi="fa-IR"/>
        </w:rPr>
        <w:t>:</w:t>
      </w:r>
      <w:bookmarkStart w:id="404" w:name="pg12907_206749"/>
    </w:p>
    <w:p>
      <w:pPr>
        <w:pStyle w:val="Heading4"/>
        <w:numPr>
          <w:ilvl w:val="3"/>
          <w:numId w:val="1"/>
        </w:numPr>
        <w:rPr/>
      </w:pPr>
      <w:bookmarkStart w:id="405" w:name="__RefHeading___Toc3346518_3224264995"/>
      <w:bookmarkStart w:id="406" w:name="_Toc152"/>
      <w:bookmarkEnd w:id="404"/>
      <w:bookmarkEnd w:id="405"/>
      <w:r>
        <w:rPr>
          <w:rtl w:val="true"/>
        </w:rPr>
        <w:t>الأمر الأوّل فی وجوب متابعة القطع و حجّیته</w:t>
      </w:r>
      <w:bookmarkEnd w:id="406"/>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متابعة القطع و العمل علیه ما دام موجوداً</w:t>
      </w:r>
      <w:r>
        <w:rPr>
          <w:rStyle w:val="FootnoteAnchor"/>
          <w:rtl w:val="true"/>
        </w:rPr>
        <w:footnoteReference w:id="3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للمناقشة فیما ذکره مجال؛ لأنّ المکلّف إذا قطع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القطع به من المبادئ البرهانیة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فی نفسه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النفسانیة القائمة بها، و انکشاف الواقع؛ انکشافاً تامّاً، فإن کان المراد من لزوم العمل علی طبق القطع العمل علی طبق الحالة النفسانیة فلا یعقل له معنی محصّل، و إن کان المراد العمل علی طبق المقطوع و الواقع المنکشف فلیس هو من أحکام القطع، بل مآله إلی لزوم إطاعة المولی الذی یبحث عنه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الشرعی غیر متعلّق بالإطاعة؛ للزوم العقوبات غیر المتناهیة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یقع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یعدّ من آثار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القطع موجب لتنجّز الحکم و قطع العذر؛ لأنّه کاشف فی نظر القاطع بلا احتمال الخلاف، و هذا کافٍ فی حکم العقل و العقلاء بالتنجّز و صحّة الاحتجاج،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انقطاع العذر و صحّة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القطع نفسه، یترتّب علیه بلا 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الطریقیة و الکاشفیة من ذاتیات القطع لا بجعل جاعل؛ إذ لا یتوسّط الجعل التألیفی الحقیقی بین الشی‌ء و ذاتیاته، کما أنّه یمتنع المنع عن العمل به؛ لاستلزامه اجتماع الضدّین اعتقاداً مطلقاً، و حقیقةً فی صورة الإصابة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الذاتی فی باب البرهان أو الإیساغوجی ما لا ینفکّ عن ملزومه و لا یفترق عنه، و القطع قد یصیب و قد لا یصیب، و معه کیف یمکن عدّ الکاشفیة و الطریقیة من ذاتیاته؟ و القول بأنّه فی نظر القاطع کذلک لا یثبت کونها من لوازمه الذاتیة؛ لأنّ الذاتی لا یختلف فی نظر دون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احتجاج العقلاء فلیس لأجل کونه کاشفاً علی الإطلاق، بل لأجل أنّ القاطع لا یحتمل خلاف ما 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الحجّیة؛ فإنّ صحّة الاحتجاج من الأحکام العقلائیة لا من الواقعیات الثابتة للشی‌ء جزءًا أو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الطریقیة و الکاشفیة لیست عین القطع و لا من لوازمه، و أمّا الحجّیة فلا تقصر عنهما فی خروجها عن حریم الذاتیة، غیر أنّ الحجّیة تفترق عن الطریقیة بأنّها من الأحکام العقلیة الثابتة له عند العقلاء، و لأجل ذلک تستغنی عن الجعل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 من قیام البرهان علی امتناع الجعل التألیفی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فیحتاج إلی التفصیل؛ و هو أنّ الکشف من آثار وجود القطع لا من لوازم ماهیته، و آثار الوجود مطلقاً مجعولة؛ لأنّ مناط الافتقار إلی الجعل موجود فی الوجود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 امتناع الجعل هو الجعل التکوینی فلا نسلّم امتناعه، بل لا یصحّ بدونه، بناءً علی أصالة الوجود و مجعولیته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الجعل التشریعی فلو سلّمنا کون هذه العناوین الثلاثة من لوازم وجوده فهو صحیح؛ فإنّ الجعل التشریعی لا یتعلّق بما هو لازم وجود الشی‌ء، فلا معنی لجعل النار حارّة تشریعاً، لا لأنّ الحرارة من لوازم ذاتها، بل لأنّها من لوازم وجودها المحقّقة تکویناً بوجود الملزوم، 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تکوینی و کاشف بحسب وجوده، و لا یتعلّق الجعل التشریعی به؛ للزوم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الحجّیة و قاطعیة العذر لیستا من الآثار التکوینیة المتعلّقة للجعل، و لا من لوازم الماهیة، بل من الأحکام العقلیة الثابتة بوجوده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الردع عن العمل بالقطع کسلب الحجّیة غیر ممکن، لا للزوم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قرّرناه فی محلّه من عدم الضدّیة بین الأحکام؛ لأنّها امور اعتباریة لا حقائق خارجیة</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للزوم اجتماع الإرادتین المختلفتین علی مراد واحد؛ لأنّ الإرادة الحتمیة الإیجابیة بالنسبة إلی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مع الإرادة التحریمیة بالنسبة إلیها، و کذا لا تجتمع مع المنع عن العمل بالقطع اللازم منه المنع عن العمل بالمقطوع به، فیلزم اجتماع الإرادتین المتضادّتین علی شی‌ء واحد مع فرض حصول سائر الوحدات</w:t>
      </w:r>
      <w:r>
        <w:rPr>
          <w:rFonts w:eastAsia="IRNazanin" w:cs="IRNazanin"/>
          <w:color w:val="111111"/>
          <w:sz w:val="28"/>
          <w:szCs w:val="28"/>
          <w:rtl w:val="true"/>
          <w:lang w:bidi="fa-IR"/>
        </w:rPr>
        <w:t>.</w:t>
      </w:r>
      <w:bookmarkStart w:id="407" w:name="pg12907_206753"/>
    </w:p>
    <w:p>
      <w:pPr>
        <w:pStyle w:val="Heading4"/>
        <w:numPr>
          <w:ilvl w:val="3"/>
          <w:numId w:val="1"/>
        </w:numPr>
        <w:rPr/>
      </w:pPr>
      <w:bookmarkStart w:id="408" w:name="__RefHeading___Toc3346520_3224264995"/>
      <w:bookmarkStart w:id="409" w:name="_Toc153"/>
      <w:bookmarkEnd w:id="407"/>
      <w:bookmarkEnd w:id="408"/>
      <w:r>
        <w:rPr>
          <w:rtl w:val="true"/>
        </w:rPr>
        <w:t>الأمر الثانی فی التجرّی</w:t>
      </w:r>
      <w:bookmarkEnd w:id="409"/>
    </w:p>
    <w:p>
      <w:pPr>
        <w:pStyle w:val="Heading5"/>
        <w:numPr>
          <w:ilvl w:val="4"/>
          <w:numId w:val="1"/>
        </w:numPr>
        <w:rPr/>
      </w:pPr>
      <w:bookmarkStart w:id="410" w:name="__RefHeading___Toc3346522_3224264995"/>
      <w:bookmarkStart w:id="411" w:name="_Toc154"/>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و البحث فیه عن جهات</w:t>
      </w:r>
      <w:r>
        <w:rPr>
          <w:rFonts w:eastAsia="IRNazanin" w:cs="IRNazanin"/>
          <w:color w:val="111111"/>
          <w:sz w:val="28"/>
          <w:szCs w:val="28"/>
          <w:rtl w:val="true"/>
          <w:lang w:bidi="fa-IR"/>
        </w:rPr>
        <w:t>:</w:t>
      </w:r>
    </w:p>
    <w:p>
      <w:pPr>
        <w:pStyle w:val="Heading5"/>
        <w:numPr>
          <w:ilvl w:val="4"/>
          <w:numId w:val="1"/>
        </w:numPr>
        <w:rPr/>
      </w:pPr>
      <w:bookmarkStart w:id="412" w:name="__RefHeading___Toc3346524_3224264995"/>
      <w:bookmarkStart w:id="413" w:name="_Toc155"/>
      <w:bookmarkEnd w:id="412"/>
      <w:r>
        <w:rPr>
          <w:rtl w:val="true"/>
        </w:rPr>
        <w:t>الجهة الاولی</w:t>
      </w:r>
      <w:r>
        <w:rPr>
          <w:rtl w:val="true"/>
        </w:rPr>
        <w:t xml:space="preserve">: </w:t>
      </w:r>
      <w:r>
        <w:rPr>
          <w:rtl w:val="true"/>
        </w:rPr>
        <w:t>فی اصولیة المسألة</w:t>
      </w:r>
      <w:bookmarkEnd w:id="413"/>
    </w:p>
    <w:p>
      <w:pPr>
        <w:pStyle w:val="BookText"/>
        <w:rPr/>
      </w:pPr>
      <w:r>
        <w:rPr>
          <w:rFonts w:ascii="IRNazanin" w:hAnsi="IRNazanin" w:eastAsia="IRNazanin"/>
          <w:color w:val="111111"/>
          <w:sz w:val="28"/>
          <w:sz w:val="28"/>
          <w:szCs w:val="28"/>
          <w:rtl w:val="true"/>
          <w:lang w:bidi="fa-IR"/>
        </w:rPr>
        <w:t>ربّما یتوهّم أنّ المسألة اصولیة؛ بتقریب أنّ البحث إذا وقع فی أنّ ارتکاب الشی‌ء المقطوع حرمته هل هو قبیح أو لا، فإذا حکم بقبحه یحکم بالملازمة بحرمة عمله شرعاً، فیصیر نتیجة البحث کبری لمسألة فرعیة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تصحّ فی سلسلة علل الأحکام و 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سلسلة معالیلها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کالإطاعة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مخالفة القاطع لقطعه إنّما هی فی سلسلة المعالیل و النتائج دون العلل و المقدّمات، و اختصاص القاعدة لما ذکر واضح؛ إذ لو کان حکم العقل بوجوب الإطاعة و حرمة العصیان کاشفاً عن حکم مولوی شرعی لزم عدم انتهاء</w:t>
      </w:r>
    </w:p>
    <w:p>
      <w:pPr>
        <w:pStyle w:val="BookText"/>
        <w:rPr/>
      </w:pPr>
      <w:r>
        <w:rPr>
          <w:rFonts w:ascii="IRNazanin" w:hAnsi="IRNazanin" w:eastAsia="IRNazanin"/>
          <w:color w:val="111111"/>
          <w:sz w:val="28"/>
          <w:sz w:val="28"/>
          <w:szCs w:val="28"/>
          <w:rtl w:val="true"/>
          <w:lang w:bidi="fa-IR"/>
        </w:rPr>
        <w:t>الأحکام إلی حدّ، و لزم تسلسل العقوبات فی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شمول القاعدة لموارد المعالیل القول باشتمال معصیة واحدة علی معصیتین، و الإطاعة علی طاعتین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لأجل مخالفة نهی المولی و أمره أو موافقته، و ثانیهما لأجل موافقة الأمر المستکشف من حکم العقل بإطاعة المولی أو مخالفته، و بما أنّ العقل یحکم بوجوب إطاعة الأمر المستکشف و حرمة مخالفته کالأوّل فله إطاعة و عصیان، و هکذا، فلا یقف عند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المقام؛ فإنّ قبحه لا یستلزم حکماً شرعیاً؛ لأنّه لو کان فهو بملاک الجرأة علی المولی المحقّقة فی المعصیة أیضاً، فیلزم عدم تناهی الأحکام و العقوبات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المسألة الاصولیة هی الملازمة بین القبح العقلی و الحرمة الشرعیة، و أمّا البحث عن أنّ التجرّی هل هو قبیح أو لا، فهو بحث عن مبادئ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عدّها مسألة فقهیة؛ لعدم صحّة تعلّق حکم شرعی بحرمته؛ لکونه علی فرض صحّته بمناط الجرأة الحاصلة فی المعصیة فیلزم ما تقدّم من عدم التناهی؛ و ذلک لأنّ التجرّی إذا کان حراماً یکون مخالفة هذا الحرام تجرّیاً حراماً، و مخالفة ذلک کذلک، فلا ینتهی عدد التجرّی و الحرام إلی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الإطاعة لو وجبت یکون إطاعة هذا الواجب واجباً، و هکذا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أفاد وجهاً آخر لعقد المسألة اصولیة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إذا وقع فی أنّ الخطابات الشرعیة تعمّ صورتی مصادفة القطع للواقع</w:t>
      </w:r>
    </w:p>
    <w:p>
      <w:pPr>
        <w:pStyle w:val="BookText"/>
        <w:rPr/>
      </w:pPr>
      <w:r>
        <w:rPr>
          <w:rFonts w:ascii="IRNazanin" w:hAnsi="IRNazanin" w:eastAsia="IRNazanin"/>
          <w:color w:val="111111"/>
          <w:sz w:val="28"/>
          <w:sz w:val="28"/>
          <w:szCs w:val="28"/>
          <w:rtl w:val="true"/>
          <w:lang w:bidi="fa-IR"/>
        </w:rPr>
        <w:t>و مخالفته تصیر المسألة اصولیة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إدراج جلّ المسائل الفقهیة فی الاصولیة؛ إذ قلّما یتّفق فی مسألة من المسائل الفقهیة أن لا یرجع البحث عن الإطلاق و العموم إلی شمولهما لبعض الموضوعات المشکوکة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الاصولیة هو أنّ العموم أو الإطلاق حجّة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أمّا البحث عن وجودهما فلیس 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یظهر من المحقّق الخراسانی امتناع تعلّق الحرمة علی المقطوع به بما هو مقطوع، و خلاصة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المتجرّی به أو المنقاد به بما هو مقطوع الحرمة أو الوجوب لا یکون فعلًا اختیاریاً؛ فإنّ القاطع لا یقصده إلّا بما قطع أنّه علیه من العنوان الواقعی الاستقلالی، لا بعنوانه الطارئ الآلی، بل لا یکون غالباً بهذا العنوان ملتفتاً إلیه، فکیف یکون من جهات الحسن أو القبح عقلًا، و من مناطات الوجوب و الحرمة شرعاً</w:t>
      </w:r>
      <w:r>
        <w:rPr>
          <w:rStyle w:val="FootnoteAnchor"/>
          <w:rtl w:val="true"/>
        </w:rPr>
        <w:footnoteReference w:id="3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بما ذکره بصدد نفی الحرمة عن الفعل المتجرّی به بما هو مقطوع، و یستفاد منه بالملازمة حکم ما نحن بصدده؛ من عدم الملاک لجعل المسألة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مرامه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المتجرّی قد لا یصدر عنه فعل اختیاری أصلًا؛ لأنّ ما وقع لم یقصد و ما قصد لم یقع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صدور الفعل الاختیاری منه واضح الإیراد؛ إذ لیس الفعل الإرادی إلّا کون الفعل مسبوقاً بالعلم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عدم الالتفات إلی العلم و القطع لا یخلو عن إشکال، لا لما ذکره بعض أعاظم العصر من أنّ الالتفات إلی العلم من أتمّ الالتفاتات</w:t>
      </w:r>
      <w:r>
        <w:rPr>
          <w:rStyle w:val="FootnoteAnchor"/>
          <w:rtl w:val="true"/>
        </w:rPr>
        <w:footnoteReference w:id="364"/>
      </w:r>
      <w:r>
        <w:rPr>
          <w:rFonts w:ascii="IRNazanin" w:hAnsi="IRNazanin" w:eastAsia="IRNazanin"/>
          <w:color w:val="111111"/>
          <w:sz w:val="28"/>
          <w:sz w:val="28"/>
          <w:szCs w:val="28"/>
          <w:rtl w:val="true"/>
          <w:lang w:bidi="fa-IR"/>
        </w:rPr>
        <w:t>فإنّه أشبه بالخطابة؛ لأنّ الضرورة قاضیة بأنّ القاطع لا یتوجّه حین قطعه إلّا إلی المقطوع به، و لیس القطع مورداً للالتفات إلّا آلیاً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المغفول عنها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لا یمکن الالتفات إلیها؛ و لو بالنظرة الثانیة، کعنوان النسیان و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الالتفات إلیها کذلک، کعنوان القصد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لا یمکن اختصاص الخطاب به، فلا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الناسی الجزء الفلانی 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بنفس هذا الخطاب یخرج عن العنوان، و یندرج فی العنوان المضادّ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الخطاب بالعناوین الملازمة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قبیل الثانی فلا مانع من تعلّق الخطاب به؛ فإنّ العالم بالخمر بعد ما التفت إلی أنّ معلومه بما هو معلوم له حکم کذا یتوجّه بالنظرة الثانیة إلی علمه توجّهاً استقلالیاً و ناهیک وقوع القصد و أشباهه موضوعاً للأحکام؛ فإنّ قاصد الإقامة فی مکان معیّن له بحسب الشرع أحکام، مع أنّ نسبة القصد إلی المقصود کنسبة العلم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عن بعض أعاظم العصر وجهاً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عمومیة الخطاب صورة المصادفة و المخالفة؛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تعلّق خطاب بالخمر الواقعی أیضاً، و لکن المقرّر رحمه الله قد خلط بینهما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الحکم بالمقطوع به موجب لاجتماع المثلین</w:t>
      </w:r>
    </w:p>
    <w:p>
      <w:pPr>
        <w:pStyle w:val="BookText"/>
        <w:rPr/>
      </w:pPr>
      <w:r>
        <w:rPr>
          <w:rFonts w:ascii="IRNazanin" w:hAnsi="IRNazanin" w:eastAsia="IRNazanin"/>
          <w:color w:val="111111"/>
          <w:sz w:val="28"/>
          <w:sz w:val="28"/>
          <w:szCs w:val="28"/>
          <w:rtl w:val="true"/>
          <w:lang w:bidi="fa-IR"/>
        </w:rPr>
        <w:t>فی نظر العالم دائماً؛ و إن لم یلزم فی الواقع؛ لأنّ النسبة بین الخمر و مقطوعه هی العموم من وجه، فیتأکّد الوجهان فی صورة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لغویة الخطاب؛ لعدم صلاحیة ذلک الأمر للباعثیة بحیال ذاته؛ لعدم افتراق العنوانی؛ و ذلک لأنّ حکم الخمر إن کان محرّکاً فلا نحتاج لمحرّک آخر، و إلّا فلا ینبعث من ذلک الأمر أیضاً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کلامه مجالًا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مجال لجعل المقام من قبیل اجتماع المثلین فی نظر القاطع دائماً بعد ما اعترف أنّ النسبة بین العنوانین هی العموم من وجه؛ فإنّ القاطع قد یری اجتماع العنوانین عنده مع تصدیقه بأنّهما عامّان من وجه؛ لأنّ مقطوع الخمریة قد یکون خمراً و قد لا یکون؛ و لو بالنسبة إلی سائر القاطعین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احتمال تخلّف قطعه لا یوجب اعتقاد اجتماع المثلین علی العنوانین، بل یوجب اعتقاد تصادق العنوانین حال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لیس انبعاث کلّ فرد من المکلّفین من هذا الخطاب، بل المراد انبعاث عدّة منهم، و من المعلوم أنّ العبد ربّما لا ینبعث عن أمر واحد، و ینبعث عن أمرین أو أکثر؛ لما یری من شدّة تبعاته و صعوبة لوازمه؛ لما یری أنّ تخلّف الأمرین یورث عقابین، فیصیر ذلک داعیاً لإطاعته أو اجتنابه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عقلیة صرفة</w:t>
      </w:r>
      <w:r>
        <w:rPr>
          <w:rFonts w:eastAsia="IRNazanin" w:cs="IRNazanin"/>
          <w:color w:val="111111"/>
          <w:sz w:val="28"/>
          <w:szCs w:val="28"/>
          <w:rtl w:val="true"/>
          <w:lang w:bidi="fa-IR"/>
        </w:rPr>
        <w:t>.</w:t>
      </w:r>
      <w:bookmarkStart w:id="414" w:name="pg12907_206758"/>
    </w:p>
    <w:p>
      <w:pPr>
        <w:pStyle w:val="Heading5"/>
        <w:numPr>
          <w:ilvl w:val="4"/>
          <w:numId w:val="1"/>
        </w:numPr>
        <w:rPr/>
      </w:pPr>
      <w:bookmarkStart w:id="415" w:name="__RefHeading___Toc3346526_3224264995"/>
      <w:bookmarkStart w:id="416" w:name="_Toc156"/>
      <w:bookmarkEnd w:id="414"/>
      <w:bookmarkEnd w:id="415"/>
      <w:r>
        <w:rPr>
          <w:rtl w:val="true"/>
        </w:rPr>
        <w:t>الجهة الثانیة</w:t>
      </w:r>
      <w:r>
        <w:rPr>
          <w:rtl w:val="true"/>
        </w:rPr>
        <w:t xml:space="preserve">: </w:t>
      </w:r>
      <w:r>
        <w:rPr>
          <w:rtl w:val="true"/>
        </w:rPr>
        <w:t>فی استحقاق المتجرّی العقوبة و عدمه</w:t>
      </w:r>
      <w:bookmarkEnd w:id="416"/>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قبحه عقلًا لا یستتبع الحرمة؛ إذ لا ملازمة بین قبح شی‌ء و استلزامه العقوبة؛ فإنّ ترجیح المرجوح قبیح و لا یوجب العقاب، و کذا کثیر من القبائح العقلیة أو العقلائیة إذا لم یرد فیها نهی أو لم ینطبق علیها عناوین محرّمة أو لم یدرک العقل صحّة عقوبة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ادّعاء الملازمة بین القبح و العقاب فیما إذا ارتکب قبیحاً یرجع إلی دائرة المولویة و العبودیة، و لا شکّ فی أنّ ارتکاب ما لا یجوز ارتکابه العقل فی تلک الدائرة و یعدّ ترکه من شؤون العبودیة، یستلزم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کون ذلک موجباً للّوم و الکشف عن سوء السریرة، و أمّا العقاب فلا؛ و لهذا لم یحکم العقلاء بصحّة العقاب علی مقدّمات الحرام؛ زائداً علی نفس الحرام، و لا علی الحرام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للتجرّی، و اخری للمخالفة، کما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الالتزام بالتفکیک؛ بأن یقال مع الإصابة لا یستحقّ إلّا علی المخالفة و لا ینظر إلی تجرّیه، و مع التخلّف یستحقّ علی التجرّی؛ لصیرورته منظوراً فیه، غیر وجیه؛ لأنّ عدم کون الشی‌ء منظوراً فیه لا یوجب رفع القبح و الاستحقاق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لحاظ حکم العقل؛ من حیث استحقاقه للعقوبة لأجل ارتکاب ذلک الفعل مستقلًّا، من غیر قناعة علی حکمه بالقبح، کما لا بدّ من لحاظه مجرّداً عن کلّ العناوین الخارجة عن ذاته؛ حتّی لا یختلط الأمر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التجرّی و المعصیة جهة اشتراک وجهة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فیمتاز التجرّی عنها فی انطباق عنوان المخالفة علیها دونه، و لا إشکال فی حکم العقل بقبح مخالفة أمر المولی و نهیه مع الاختیار، و العقلاء مطبقون علی صحّة المؤاخذة علی مخالفة المولی بترک ما أمره و ارتکاب ما نهی عنه، و لا ریب أنّ تمام الموضوع فی التقبیح هو المخالفة فقط، من غیر نظر إلی عناوین اخر، کهتکه و ظلمه و خروجه عن رسم العبودیة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تمام الموضوع أیضاً عند العقلاء، الذین أطبقوا علی صحّة مؤاخذة المخالف، من غیر فرق فیما ذکرنا بین أن یکون نفس العمل ممّا یحکم العقل بقبحه مستقلًّا کالفواحش، أو لا کصوم یوم العید و الإحرام قبل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لاحظ نفس مخالفة المولی عن اختیار یحکم بقبحه مجرّدة عن کافّة العناوین؛ من الجرأة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الجهة المشترکة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الجرأة علی المولی و الخروج من رسم العبودیة و زیّ الرقّیة و العزم و البناء علی العصیان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الهتک فلیس من لوازم التجرّی و لا المعصیة؛ فإنّ مجرّد المخالفة أو التجرّی لیس عند العقلاء هتکاً للمولی و ظلماً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یقع البحث فی أنّ التجرّی هل هو قبیح عقلًا أو لا، و علی فرض قبحه هل هو مستلزم للعقاب أو لا؛ لما عرفت</w:t>
      </w:r>
      <w:r>
        <w:rPr>
          <w:rStyle w:val="FootnoteAnchor"/>
          <w:rtl w:val="true"/>
        </w:rPr>
        <w:footnoteReference w:id="366"/>
      </w:r>
      <w:r>
        <w:rPr>
          <w:rFonts w:ascii="IRNazanin" w:hAnsi="IRNazanin" w:eastAsia="IRNazanin"/>
          <w:color w:val="111111"/>
          <w:sz w:val="28"/>
          <w:sz w:val="28"/>
          <w:szCs w:val="28"/>
          <w:rtl w:val="true"/>
          <w:lang w:bidi="fa-IR"/>
        </w:rPr>
        <w:t>من عدم الملازمة بین کون الشی‌ء قبیحاً و کونه مستلزماً للعقوبة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یقوی فی النفس سالفاً و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استلزامه للعقوبة؛ سواء قلنا بقبحه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حکم العقل بقبح التجرّی و استحقاق العقوبة علیه فلیس هذا الحکم بملاک یختصّ بالتجرّی و لا یوجد فی المعصیة، بل لو فرض حکمه بالقبح و صحّة المؤاخذة فلا بدّ أن یکون بملاک مشترک بینه و بین المعصیة، کأحد العناوین المتقدّمة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الجهة المشترکة بینهما ملاکاً مستقلًّا للقبح و استحقاق العقوبة لزم القول بتعدّد الاستحقاق فی صورة المصادفة؛ لما عرفت أنّ مخالفة المولی علّة مستقلّة للقبح و الاستحقاق، فیصیر الجهة المشترکة ملاکاً مغایراً موجباً لاستحقاق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محقّقی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الالتزام بتعدّد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لحکم العقل فی العصیان لیس مخالفة المولی، بل الهتک و الجرأة علیه أو العزم علی العصیان أو الطغیان و غیرها ممّا هی جهات مشترکة، و عند وحدة الملاک یصیر العقاب واحداً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مفید؛ لما عرفت من أنّ العقل إذا جرّد النظر عن تمام القیود و الملاکات، و نظر إلی نفس ذاک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مخالفة المولی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بالقبح و صحّة العقوبة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هذا عنواناً مستقلًّا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أحد هذه العناوین المشترکة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مستقلًّا آخر لزم القول باستحقاق عقابین، مع أنّ العقل و العقلاء یحکمان علی خلافه؛ فإنّ العاصی لا یستحقّ إلّا عقاباً واحداً؛ لأنّه لم یرتکب إلّا قبیحاً واحداً؛ و هو ارتکاب المنهی عنه مع العمد و الاختیار</w:t>
      </w:r>
      <w:r>
        <w:rPr>
          <w:rFonts w:eastAsia="IRNazanin" w:cs="IRNazanin"/>
          <w:color w:val="111111"/>
          <w:sz w:val="28"/>
          <w:szCs w:val="28"/>
          <w:rtl w:val="true"/>
          <w:lang w:bidi="fa-IR"/>
        </w:rPr>
        <w:t>.</w:t>
      </w:r>
      <w:bookmarkStart w:id="417" w:name="pg12907_206761"/>
    </w:p>
    <w:p>
      <w:pPr>
        <w:pStyle w:val="BookText"/>
        <w:rPr/>
      </w:pPr>
      <w:bookmarkEnd w:id="417"/>
      <w:r>
        <w:rPr>
          <w:rFonts w:ascii="IRNazanin" w:hAnsi="IRNazanin" w:eastAsia="IRNazanin"/>
          <w:color w:val="111111"/>
          <w:sz w:val="28"/>
          <w:sz w:val="28"/>
          <w:szCs w:val="28"/>
          <w:rtl w:val="true"/>
          <w:lang w:bidi="fa-IR"/>
        </w:rPr>
        <w:t>و أمّا العزم علی العصیان و الجرأة علی المولی فهما و أشباههما من الأفعال الجنانیة التی لا تستلزم إلّا الذمّ و اللوم، و لو فرضنا قبح التجرّی فقد عرفت فی صدر البحث أنّ مجرّد کونه أمراً قبیحاً لا یستلزم الاستحقاق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التداخل</w:t>
      </w:r>
      <w:r>
        <w:rPr>
          <w:rStyle w:val="FootnoteAnchor"/>
          <w:rtl w:val="true"/>
        </w:rPr>
        <w:footnoteReference w:id="368"/>
      </w:r>
      <w:r>
        <w:rPr>
          <w:rFonts w:ascii="IRNazanin" w:hAnsi="IRNazanin" w:eastAsia="IRNazanin"/>
          <w:color w:val="111111"/>
          <w:sz w:val="28"/>
          <w:sz w:val="28"/>
          <w:szCs w:val="28"/>
          <w:rtl w:val="true"/>
          <w:lang w:bidi="fa-IR"/>
        </w:rPr>
        <w:t>فهو لا یرجع إلی محصّل</w:t>
      </w:r>
      <w:r>
        <w:rPr>
          <w:rFonts w:eastAsia="IRNazanin" w:cs="IRNazanin"/>
          <w:color w:val="111111"/>
          <w:sz w:val="28"/>
          <w:szCs w:val="28"/>
          <w:rtl w:val="true"/>
          <w:lang w:bidi="fa-IR"/>
        </w:rPr>
        <w:t>.</w:t>
      </w:r>
    </w:p>
    <w:p>
      <w:pPr>
        <w:pStyle w:val="Heading5"/>
        <w:numPr>
          <w:ilvl w:val="4"/>
          <w:numId w:val="1"/>
        </w:numPr>
        <w:rPr/>
      </w:pPr>
      <w:bookmarkStart w:id="418" w:name="__RefHeading___Toc3346528_3224264995"/>
      <w:bookmarkStart w:id="419" w:name="_Toc157"/>
      <w:bookmarkEnd w:id="418"/>
      <w:r>
        <w:rPr>
          <w:rtl w:val="true"/>
        </w:rPr>
        <w:t>الجهة الثالثة</w:t>
      </w:r>
      <w:r>
        <w:rPr>
          <w:rtl w:val="true"/>
        </w:rPr>
        <w:t xml:space="preserve">: </w:t>
      </w:r>
      <w:r>
        <w:rPr>
          <w:rtl w:val="true"/>
        </w:rPr>
        <w:t>فی عدم حرمة المتجرّی به</w:t>
      </w:r>
      <w:bookmarkEnd w:id="419"/>
    </w:p>
    <w:p>
      <w:pPr>
        <w:pStyle w:val="BookText"/>
        <w:rPr/>
      </w:pPr>
      <w:r>
        <w:rPr>
          <w:rFonts w:ascii="IRNazanin" w:hAnsi="IRNazanin" w:eastAsia="IRNazanin"/>
          <w:color w:val="111111"/>
          <w:sz w:val="28"/>
          <w:sz w:val="28"/>
          <w:szCs w:val="28"/>
          <w:rtl w:val="true"/>
          <w:lang w:bidi="fa-IR"/>
        </w:rPr>
        <w:t>الظاهر أنّ الفعل المتجرّی به لا یخرج عمّا هو علیه، و لا یصیر فعلًا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بقبح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توهّم قبحه لو کان بحسب عنوانه الواقعی فواضح الفساد؛ فإنّ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بقبیح؛ و إن کان لأجل انطباق عنوان قبیح علیه، فلیس هنا عنوان ینطبق علیه حتّی یصیر لأجل ذلک الانطباق متّصفاً بالقبح؛ فإنّ ما یتصوّر هنا من العناوین فإنّما هی التجرّی و الطغیان و العزم و أمثالها، و لکن التجرّی و أخویه من العناوین القائمة بالفاعل و المتّصف بالجرأة إنّما هو النفس و العمل یکشف عن کون الفاعل جریئاً، و لیس ارتکاب مقطوع الخمریة نفس الجرأة علی المولی، بل هو کاشف عن وجود المبدأ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الطغیان و العزم؛ فإنّهما من صفات الفاعل لا الفعل الخارجی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الهتک و الظلم فهما و إن کانا ینطبقان علی الخارج إلّا أنّک قد عرفت عدم الملازمة بینهما و بین التجرّی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المتجرّی به باقٍ علی عنوانه الواقعی، و لا یعرض له عنوان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بسرایة القبح إلی العمل الخارجی الکاشف عن وجود هذه المبادئ فی النفس فلا بأس بالقول باجتماع الحکمین لأجل اختلاف العناوین، و لا یصیر المقام من باب اجتماع الضدّین؛ فإنّ امتناع اجتماع الضدّین یرتفع باختلاف المورد، و قد وافاک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الأحکام و موضوعاتها إنّما هی العناوین و الحیثیات</w:t>
      </w:r>
      <w:r>
        <w:rPr>
          <w:rStyle w:val="FootnoteAnchor"/>
          <w:rtl w:val="true"/>
        </w:rPr>
        <w:footnoteReference w:id="370"/>
      </w:r>
      <w:r>
        <w:rPr>
          <w:rFonts w:ascii="IRNazanin" w:hAnsi="IRNazanin" w:eastAsia="IRNazanin"/>
          <w:color w:val="111111"/>
          <w:sz w:val="28"/>
          <w:sz w:val="28"/>
          <w:szCs w:val="28"/>
          <w:rtl w:val="true"/>
          <w:lang w:bidi="fa-IR"/>
        </w:rPr>
        <w:t>، فلا إشکال لو قلنا بإباحة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شرب و حرمته من أجل الهتک و التجرّی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فالعنوانان منطبقان علی مصداق خارجی، و الخارجی مصداق لکلا العنوانین، و هما مصبّان للأحکام علی ما أوضحناه فی مبحث الاجتماع</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ربّما یقال فی دفع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العناوین المنتزعة عن مرتبة الذات مقدّمة علی العناوین المنتزعة عن الشی‌ء بعد ما یقع معروضة للإرادة، فإنّ المقام من هذا القبیل، فإنّ شرب الماء ینتزع عن مرتبة الذات للفعل، و أمّا التجرّی فإنّما ینتزع عن الذات المعروضة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المقام الإطاعة؛ فإنّها متأخّرة عن ذات العمل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 مفید؛ لأنّ القیاس مع الفارق؛ فإنّ الإرادة لم تتعلّق إلّا بإتیان ما هو مقطوع الحرمة، و التجرّی منتزع عن إرادة إتیان ما هو مقطوع الحرمة أو منتزع من</w:t>
      </w:r>
    </w:p>
    <w:p>
      <w:pPr>
        <w:pStyle w:val="BookText"/>
        <w:rPr/>
      </w:pPr>
      <w:r>
        <w:rPr>
          <w:rFonts w:ascii="IRNazanin" w:hAnsi="IRNazanin" w:eastAsia="IRNazanin"/>
          <w:color w:val="111111"/>
          <w:sz w:val="28"/>
          <w:sz w:val="28"/>
          <w:szCs w:val="28"/>
          <w:rtl w:val="true"/>
          <w:lang w:bidi="fa-IR"/>
        </w:rPr>
        <w:t>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إتیانه أو نفس إتیانه الذی ینتزع منهما التجرّی لیسا متأخّرین عن عنوان شرب الماء بحسب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لم تتعلّق بشرب الماء حتّی تتأخّر عن الشرب، و یتأخّر عنوان التجرّی عن هذه الإرادة؛ تأخّر المنتزع عن منشأ انتزاعه، و هذا بخلاف الطاعة المتأخّرة عن الإرادة و الأمر، و هما متأخّران عن عنوان الذات؛ أعنی الصلاة و الصوم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القوم فتحوا هنا باباً واسعاً للبحث عن الإرادة و ملاک اختیاریتها و اختیار الأفعال الصادرة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أنّا قد استوفینا حقّ المقال فیهما عند البحث عن اتّحاد الطلب و الإرادة فالأولی ترک الکلام؛ روماً للاختصار</w:t>
      </w:r>
      <w:r>
        <w:rPr>
          <w:rStyle w:val="FootnoteAnchor"/>
          <w:rtl w:val="true"/>
        </w:rPr>
        <w:footnoteReference w:id="373"/>
      </w:r>
      <w:bookmarkStart w:id="420" w:name="pg12907_206765"/>
    </w:p>
    <w:p>
      <w:pPr>
        <w:pStyle w:val="Heading4"/>
        <w:numPr>
          <w:ilvl w:val="3"/>
          <w:numId w:val="1"/>
        </w:numPr>
        <w:rPr/>
      </w:pPr>
      <w:bookmarkStart w:id="421" w:name="__RefHeading___Toc3346530_3224264995"/>
      <w:bookmarkStart w:id="422" w:name="_Toc158"/>
      <w:bookmarkEnd w:id="420"/>
      <w:bookmarkEnd w:id="421"/>
      <w:r>
        <w:rPr>
          <w:rtl w:val="true"/>
        </w:rPr>
        <w:t>الأمر الثالث فی أقسام القطع و أحکامها</w:t>
      </w:r>
      <w:bookmarkEnd w:id="422"/>
    </w:p>
    <w:p>
      <w:pPr>
        <w:pStyle w:val="Heading5"/>
        <w:numPr>
          <w:ilvl w:val="4"/>
          <w:numId w:val="1"/>
        </w:numPr>
        <w:rPr/>
      </w:pPr>
      <w:bookmarkStart w:id="423" w:name="__RefHeading___Toc3346532_3224264995"/>
      <w:bookmarkStart w:id="424" w:name="_Toc159"/>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فهاهنا مطالب</w:t>
      </w:r>
      <w:r>
        <w:rPr>
          <w:rFonts w:eastAsia="IRNazanin" w:cs="IRNazanin"/>
          <w:color w:val="111111"/>
          <w:sz w:val="28"/>
          <w:szCs w:val="28"/>
          <w:rtl w:val="true"/>
          <w:lang w:bidi="fa-IR"/>
        </w:rPr>
        <w:t>:</w:t>
      </w:r>
    </w:p>
    <w:p>
      <w:pPr>
        <w:pStyle w:val="Heading5"/>
        <w:numPr>
          <w:ilvl w:val="4"/>
          <w:numId w:val="1"/>
        </w:numPr>
        <w:rPr/>
      </w:pPr>
      <w:bookmarkStart w:id="425" w:name="__RefHeading___Toc3346534_3224264995"/>
      <w:bookmarkStart w:id="426" w:name="_Toc160"/>
      <w:bookmarkEnd w:id="425"/>
      <w:r>
        <w:rPr>
          <w:rtl w:val="true"/>
        </w:rPr>
        <w:t>الأوّل</w:t>
      </w:r>
      <w:r>
        <w:rPr>
          <w:rtl w:val="true"/>
        </w:rPr>
        <w:t xml:space="preserve">: </w:t>
      </w:r>
      <w:r>
        <w:rPr>
          <w:rtl w:val="true"/>
        </w:rPr>
        <w:t>فی أقسام القطع</w:t>
      </w:r>
      <w:bookmarkEnd w:id="426"/>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قد یتعلّق بموضوع خارجی أو موضوع ذی حکم أو حکم شرعی متعلّق بموضوع مع قطع النظر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یشترک الکلّ فی أنّ القطع کاشف دائماً فی نظر القاطع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توضیح الأقسام فیحتاج إلی تقدیم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من الأوصاف الحقیقیة ذات الإضافة، فله قیام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صدور</w:t>
      </w:r>
      <w:r>
        <w:rPr>
          <w:rStyle w:val="FootnoteAnchor"/>
          <w:rtl w:val="true"/>
        </w:rPr>
        <w:footnoteReference w:id="374"/>
      </w:r>
      <w:r>
        <w:rPr>
          <w:rFonts w:ascii="IRNazanin" w:hAnsi="IRNazanin" w:eastAsia="IRNazanin"/>
          <w:color w:val="111111"/>
          <w:sz w:val="28"/>
          <w:sz w:val="28"/>
          <w:szCs w:val="28"/>
          <w:rtl w:val="true"/>
          <w:lang w:bidi="fa-IR"/>
        </w:rPr>
        <w:t>أو حلول</w:t>
      </w:r>
      <w:r>
        <w:rPr>
          <w:rStyle w:val="FootnoteAnchor"/>
          <w:rtl w:val="true"/>
        </w:rPr>
        <w:footnoteReference w:id="375"/>
      </w:r>
      <w:r>
        <w:rPr>
          <w:rFonts w:ascii="IRNazanin" w:hAnsi="IRNazanin" w:eastAsia="IRNazanin"/>
          <w:color w:val="111111"/>
          <w:sz w:val="28"/>
          <w:sz w:val="28"/>
          <w:szCs w:val="28"/>
          <w:rtl w:val="true"/>
          <w:lang w:bidi="fa-IR"/>
        </w:rPr>
        <w:t>علی المسلکین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إلی المعلوم بالذات الذی هو فی صقع النفس إضافة إیجاد، و إضافة إلی المعلوم بالعرض المحقّق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العلم بالنفس و أنّ الصورة المعلومة بالذات فیها أیضاً إنّما یصحّ علی عامّة الآراء المذکورة فی الوجود الذهنی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علی القول المنسوب إلی الإمام الرازی من أنّ حقیقة العلم هو إضافة النفس إلی الخارج بلا وساطة صورة اخری</w:t>
      </w:r>
      <w:r>
        <w:rPr>
          <w:rStyle w:val="FootnoteAnchor"/>
          <w:rtl w:val="true"/>
        </w:rPr>
        <w:footnoteReference w:id="377"/>
      </w:r>
      <w:r>
        <w:rPr>
          <w:rFonts w:ascii="IRNazanin" w:hAnsi="IRNazanin" w:eastAsia="IRNazanin"/>
          <w:color w:val="111111"/>
          <w:sz w:val="28"/>
          <w:sz w:val="28"/>
          <w:szCs w:val="28"/>
          <w:rtl w:val="true"/>
          <w:lang w:bidi="fa-IR"/>
        </w:rPr>
        <w:t>لا یصحّ القول بقیام الصورة المعلومة بالنفس؛ إذ لیس هنا شیئاً وراء الصورة المحقّقة فی الخارج حتّی نسمّیه علماً و معلوماً بالذات، بل حقیقة العلم علی هذا المسلک لیس إلّا نیل النفس الامور الخارجیة بالإضافة إلیها، لا بالحصول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بعض أعاظم العصر من قیام العلم بالنفس، من دون فرق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من مقولة الکیف أو مقولة الفعل أو الانفعال أو الإضافة</w:t>
      </w:r>
      <w:r>
        <w:rPr>
          <w:rStyle w:val="FootnoteAnchor"/>
          <w:rtl w:val="true"/>
        </w:rPr>
        <w:footnoteReference w:id="378"/>
      </w:r>
      <w:r>
        <w:rPr>
          <w:rFonts w:ascii="IRNazanin" w:hAnsi="IRNazanin" w:eastAsia="IRNazanin"/>
          <w:color w:val="111111"/>
          <w:sz w:val="28"/>
          <w:sz w:val="28"/>
          <w:szCs w:val="28"/>
          <w:rtl w:val="true"/>
          <w:lang w:bidi="fa-IR"/>
        </w:rPr>
        <w:t>لا یخلو عن مناقشة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للقطع جهات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جهة قیامه بالنفس و صدوره منها أو حلوله فیها، 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الأوصاف النفسانیة مثل القدرة و الإرادة و البخل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وجهة أصل الکشف المشترک بینه و بین سائر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وجهة کمال الکشف و تمامیة الإراءة المختصّة به الممیّزة إیّاه عن الأمارات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هذه الجهات لیست جهات حقیقیة حتّی یستلزم ترکّب العلم من هذه</w:t>
      </w:r>
    </w:p>
    <w:p>
      <w:pPr>
        <w:pStyle w:val="BookText"/>
        <w:rPr/>
      </w:pPr>
      <w:r>
        <w:rPr>
          <w:rFonts w:ascii="IRNazanin" w:hAnsi="IRNazanin" w:eastAsia="IRNazanin"/>
          <w:color w:val="111111"/>
          <w:sz w:val="28"/>
          <w:sz w:val="28"/>
          <w:szCs w:val="28"/>
          <w:rtl w:val="true"/>
          <w:lang w:bidi="fa-IR"/>
        </w:rPr>
        <w:t>الجهات، و إنّما هی تحلیلات عقلانیة و جهات یعتبرها العقل بالمقایسات، کتحلیل البسائط إلی جهات مشترکة و جهات ممیّزة، مع أنّه لیس فی الخارج إلّا شی‌ء واحد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 نظیر ذلک فی حقیقة التشکیک الموجود فی أصل الوجود؛ فإنّ الوجود مع کونه بسیطاً ینقسم إلی شدید و ضعیف، و لکن الشدید لیس مؤلّفاً من أصل الوجود و الشدّة، و لا الضعیف من الوجود و الضعف، بل حقیقة الوجود فی عامّة الموارد بسیطة لا جزء لها، إلّا أنّ المقایسة بین مراتبه موجبة لانتزاع مفاهیم مختلفة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القطع قد یکون طریقاً محضاً، و قد یؤخذ فی الموضوع، و المأخوذ فی الموضوع تربوا إلی 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تمام الموضوع أو جزئه بنحو الوصفیة؛ أی بما أنّه شی‌ء قائم بالنفس و من نعوتها و أوصافها، مع قطع النظر عن الکشف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فی الموضوع علی أن یکون تمام الموضوع أو جزئه بنحو الطریقیة التامّة و الکشف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تمام الموضوع أو جزئه علی نحو أصل الکشف الموجود فی الأمارات أیضاً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الأعاظم أنکر جواز أخذ القطع الطریقی تمام الموضوع؛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أخذه تمام الموضوع یستدعی عدم لحاظ الواقع وذی الصورة بوجه من الوجوه، و أخذه علی وجه الطریقیة یستدعی لحاظ ذی الصورة وذی الطریق، و یکون النظر فی الحقیقة إلی الواقع المنکشف بالعلم</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نظره فی کلامه هذا إلی امتناع اجتماع هذین اللحاظین؛ فإنّ الطریقیة یستدعی أن یکون القطع ملحوظاً آلیاً غیر استقلالی، بل الملحوظ استقلالًا هو الواقع المقطوع به، و أخذه تمام الموضوع یستدعی لحاظ القطع استقلالًا غیر آلی، و هذان اللحاظان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اختصاص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بما إذا کان القطع تمام الموضوع، بل یعمّ صورة أخذه بعض الموضوع؛ لامتناع الجمع بین اللحاظین المتغایرین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علی فرض تسلیمه إنّما یلزم لو جعل الجاعل قطعه الطریقی تمام الموضوع لحکمه، و أمّا لو جعل قطع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لحکمه فلا یلزم ما ادّعاه من المحال، و هل هذا إلّا خلط بین اللحاظین؟</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 الامتناع هو أنّ الجمع بین الطریقیة و تمام الموضوع یستلزم کون الواقع دخیلًا و عدم کونه دخیلًا؛ فإنّ لازم الطریقیة دخالة الواقع فی حدوث الحکم، و کون القطع تمام الموضوع یستلزم دوران الحکم مداره، من دون دخالة للواقع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القطع تمام الموضوع علی وجه الطریقیة ینافی دخالة الواقع حتّی یلزم ما ذکره، بل المراد لحاظ القطع بما أنّ له وصف الطریقیة و المرآتیة من بین عامّة أوصافه، و لا یستلزم هذا دخالة الواقع، کما هو واضح</w:t>
      </w:r>
      <w:r>
        <w:rPr>
          <w:rFonts w:eastAsia="IRNazanin" w:cs="IRNazanin"/>
          <w:color w:val="111111"/>
          <w:sz w:val="28"/>
          <w:szCs w:val="28"/>
          <w:rtl w:val="true"/>
          <w:lang w:bidi="fa-IR"/>
        </w:rPr>
        <w:t>.</w:t>
      </w:r>
      <w:bookmarkStart w:id="427" w:name="pg12907_206769"/>
    </w:p>
    <w:p>
      <w:pPr>
        <w:pStyle w:val="Heading5"/>
        <w:numPr>
          <w:ilvl w:val="4"/>
          <w:numId w:val="1"/>
        </w:numPr>
        <w:rPr/>
      </w:pPr>
      <w:bookmarkStart w:id="428" w:name="__RefHeading___Toc3346536_3224264995"/>
      <w:bookmarkStart w:id="429" w:name="_Toc161"/>
      <w:bookmarkEnd w:id="427"/>
      <w:bookmarkEnd w:id="428"/>
      <w:r>
        <w:rPr>
          <w:rtl w:val="true"/>
        </w:rPr>
        <w:t>الثانی</w:t>
      </w:r>
      <w:r>
        <w:rPr>
          <w:rtl w:val="true"/>
        </w:rPr>
        <w:t xml:space="preserve">: </w:t>
      </w:r>
      <w:r>
        <w:rPr>
          <w:rtl w:val="true"/>
        </w:rPr>
        <w:t>فی أخذ القطع موضوعاً لحکم یخالفه أو یماثله أو یضادّه</w:t>
      </w:r>
      <w:bookmarkEnd w:id="429"/>
    </w:p>
    <w:p>
      <w:pPr>
        <w:pStyle w:val="Heading6"/>
        <w:numPr>
          <w:ilvl w:val="5"/>
          <w:numId w:val="1"/>
        </w:numPr>
        <w:rPr/>
      </w:pPr>
      <w:bookmarkStart w:id="430" w:name="__RefHeading___Toc3346538_3224264995"/>
      <w:bookmarkStart w:id="431" w:name="_Toc162"/>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إنّک قد عرفت أنّ القطع قد یتعلّق بموضوع خارجی، فیأتی فیه الأقسام المذکورة، و قد یتعلّق بحکم شرعی، فیقع الکلام تارة فی أخذه موضوعاً لحکم غیر ما تعلّق به العلم ممّا یخالفه أو یماثله أو یضادّه، و اخری فی أخذه موضوعاً لنفس الحکم الذی 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إمکان أخذه تمام الموضوع و جزئه فی حکم یخالفه، کما إذا رتّب علی العلم بوجوب صلاة الجمعة وجوب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أخذه کذلک لما یماثله أو یضادّه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یکون مانعاً امور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مستلزماً لاجتماع الضدّین أو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بما لا مزید علیه فی مبحث النواهی أنّ الأحکام لیست من الامور الوجودیة الواقعیة، بل من الاعتباریات</w:t>
      </w:r>
      <w:r>
        <w:rPr>
          <w:rStyle w:val="FootnoteAnchor"/>
          <w:rtl w:val="true"/>
        </w:rPr>
        <w:footnoteReference w:id="380"/>
      </w:r>
      <w:r>
        <w:rPr>
          <w:rFonts w:ascii="IRNazanin" w:hAnsi="IRNazanin" w:eastAsia="IRNazanin"/>
          <w:color w:val="111111"/>
          <w:sz w:val="28"/>
          <w:sz w:val="28"/>
          <w:szCs w:val="28"/>
          <w:rtl w:val="true"/>
          <w:lang w:bidi="fa-IR"/>
        </w:rPr>
        <w:t>، و قد عرّف الضدّان بأنّهما الأمران الوجودیان غیر المتضائفین المتعاقبان علی موضوع واحد، لا یتصوّر اجتماعهما فیه، بینهما غایة الخلاف، فما لا وجود لها إلّا فی وعاء الاعتبار لا ضدّیة بینها، کما لا ضدّیة بین أشیاء لا حلول لها فی موضوع و لا قیام لها به قیام حلول و عروض</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الباب عدم تضادّ الأحکام لأجل أنّ تعلّق الأحکام بموضوعاتها و متعلّقاتها لیس حلولیاً عروضیاً نحو قیام الأعراض بالموضوعات، بل قیامها بها</w:t>
      </w:r>
    </w:p>
    <w:p>
      <w:pPr>
        <w:pStyle w:val="BookText"/>
        <w:rPr/>
      </w:pPr>
      <w:r>
        <w:rPr>
          <w:rFonts w:ascii="IRNazanin" w:hAnsi="IRNazanin" w:eastAsia="IRNazanin"/>
          <w:color w:val="111111"/>
          <w:sz w:val="28"/>
          <w:sz w:val="28"/>
          <w:szCs w:val="28"/>
          <w:rtl w:val="true"/>
          <w:lang w:bidi="fa-IR"/>
        </w:rPr>
        <w:t>قیام اعتباری لا تحقّق لها أصلًا، فلا یمتنع اجتماعها فی محلّ واحد، و لذا یجوز الأمر و النهی بشی‌ء واحد من جهة واحدة من شخصین أو شخص واحد مع الغفلة، و لو کان بینها تضادّ لما صار ممکناً مع حال الغفلة، و ممّا ذکرنا یظهر حال المثلیة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المصلحة و المفسدة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کون موضوع ذا مصلحة من جهة و ذا مفسدة من جهة اخری، و الجهتان متحقّقتان فی المقام، فیمکن أن یکون ذا مصلحة حسب عنوانه الذاتی، و ذا مفسدة عند کونه مقطوعاً أو مظنوناً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اجتماع الکراهة و الإرادة، و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یرد لو کان الموضوع للحکمین المتضادّین صورة وحدانیة له صورة واحدة فی النفس، و أمّا مع اختلاف العناوین تکون صورها مختلفة، و لأجل اختلافها تتعلّق الإرادة بواحدة منها و الکراهة بصورة اخری، و لیست الصور الذهنیة مثل الموضوعات الخارجیة؛ حیث إنّ ذات الموضوع الخارجی محفوظة مع اختلاف العناوین، بخلاف الصور الذهنیة؛ فإنّ الموضوع مع کلّ عنوان له صورة علی حدة، فتأمّل لما سیجی‌ء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اللغویة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إذا احرز أنّ المکلّف ینبعث عند حصول القطع بحکم من أحکام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حکم آخر مثله لغو لا یترتّب علیه الانبعاث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احرز أنّ المکلّف لا ینبعث إلّا إذا تعلّق أمر آخر علی المحرز المقطوع فلا یلزم اللغویة، بل یکون لازماً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صحیح فی الأحکام الجزئیة و الخطابات الشخصیة دون الأحکام الکلّیة، فتعلّقها مطلقاً لا یکون لغواً؛ لعدم إحراز الإتیان أو عدمه، بل المحقّق اختلاف المکلّفین فی ذلک المقام؛ فربّ مکلّف لا ینبعث إلّا عن أمرین أو</w:t>
      </w:r>
    </w:p>
    <w:p>
      <w:pPr>
        <w:pStyle w:val="BookText"/>
        <w:rPr/>
      </w:pPr>
      <w:r>
        <w:rPr>
          <w:rFonts w:ascii="IRNazanin" w:hAnsi="IRNazanin" w:eastAsia="IRNazanin"/>
          <w:color w:val="111111"/>
          <w:sz w:val="28"/>
          <w:sz w:val="28"/>
          <w:szCs w:val="28"/>
          <w:rtl w:val="true"/>
          <w:lang w:bidi="fa-IR"/>
        </w:rPr>
        <w:t>أزید، و علیه لا بأس لجعل آخر مماثل لما تعلّق به لأجل حصول الانبعاث فی بعض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الأمر بالمحال؛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یستلزم لغویة جعل الحرمة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الخمر حرام فإذا قطع بحرمة الخمر یصیر مقطوع الحرمة مرخّصاً فیه، یستلزم ذلک الأمر بالمحال؛ فإنّ الامتثال فی هذه الصورة غیر ممکن، و سیجی‌ء دفعه فی آخر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کونه تمام الموضوع للحکم المضادّ و المماثل و بین کونه بعض الموضوع، بالجواز فی الأوّل و الامتناع فی الثانی؛ لأنّ مصبّ الحکم المضادّ الثانوی إنّما هو عنوان المقطوع بلا دخالة الواقع فیه، و هو مع عنوان الواقع عامان من وجه، و یتصادق علی الموضوع الخارجی أحیاناً، و قد أوضحنا فی مبحث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الحکمین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عنوانین مختلفین متصادقین علی مورد واحد ممّا لا إشکال فیه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جعل الشارع القطع تمام الموضوع لحکم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ماثل حکم المتعلّق أو 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المقطوع الحرمة حرام شربها أو واجب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اجتماع المثلین؛ لأنّ النسبة بین مقطوع الخمریة أو مقطوع الحرمة و الخمر الواقعی أو الحرمة الواقعیة عموم من وجه، و إذا انطبق کلّ واحد من العنوانین علی المائع الخارجی فقد انطبق کلّ عنوان علی مصداقه؛ أعنی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عنوان یترتّب علیه حکمه بلا تجاوز الحکم عن عنوانه إلی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انطبق العنوانان علی رجل عالم هاشمی فالحکمان ثابتان علی عنوانهما، و علی ما هو مصبّ الأحکام، من غیر أن یتجاوز عن موضوعه و عنوانه المأخوذ فی لسان الدلیل إلی عنوان آخر حتّی یصیر الموضوع واحداً، و تحصل غائلة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یسری الأحکام من عناوینها إلی مصادیقها الخارجیة؛ لما حقّقناه من أنّ الخارج ظرف السقوط دون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القول بثبوت الحکم علی عنوانه و عدم سرایته إلی عنوان آخر، و لا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القطع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فینقلب النسبة و تصیر النسبة بین الموضوعین الحاملین لحکمین متماثلین أو متضادّین عموماً و خصوصاً مطلقاً، و قد قرّر فی محلّه خروجه عن مصبّ البحث فی مبحث الاجتماع و الامتناع، و أنّ الحقّ فیه الامتناع،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العنوانین مختلفان فی هذا القسم أیضاً، فلو کان التغایر المفهومی کافیاً فی رفع الغائلة فلیکن مجدیاً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فرق بین التغایرین؟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التغایر فی العموم من وجه حقیقی و التقارن مصداقی، و أمّا الآخر فالمطلق عین المقیّد متّحد معه؛ اتّحاد اللابشرط مع بشرط شی‌ء، کما أنّ المقیّد عین المطلق زید علیه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هاشمیاً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یحمل مطلقه علی مقیّده لزم کون الشی‌ء الواحد مورداً للطلبین و الإرادتین؛ إذ الهاشمی عین الهاشمی العالم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ذکرنا وجهاً لصحّة جعله مورد النزاع، و لکن قد زیّفناه فی محلّه</w:t>
      </w:r>
      <w:r>
        <w:rPr>
          <w:rStyle w:val="FootnoteAnchor"/>
          <w:rtl w:val="true"/>
        </w:rPr>
        <w:footnoteReference w:id="382"/>
      </w:r>
      <w:bookmarkStart w:id="432" w:name="pg12907_206773"/>
    </w:p>
    <w:p>
      <w:pPr>
        <w:pStyle w:val="BookText"/>
        <w:rPr/>
      </w:pPr>
      <w:bookmarkEnd w:id="432"/>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عامّة المحذورات فیما جوّزناه، و قد عرفت دفع بعض منها، و بقی لزوم اللغویة فی الحکم المماثل، و الأمر بالمحال فی الحکم المضادّ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الطرق إلی إثبات الحکم أو موضوعه کثیرة، فجعل الحرمة علی الخمر و الترخیص علی معلوم الخمریة أو معلوم الحرمة لا توجب اللغویة؛ لإمکان العمل بالحکم الأوّل لأجل قیام طرق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الأمر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أمر الآمر و نهیه لا یتعلّق إلّا بالممکن، و عروض الامتثال فی مرتبة الامتثال کباب التزاحم لا یوجب الأمر بالمحال،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حال الظنّ؛ جوازاً و امتناعاً</w:t>
      </w:r>
      <w:r>
        <w:rPr>
          <w:rFonts w:eastAsia="IRNazanin" w:cs="IRNazanin"/>
          <w:color w:val="111111"/>
          <w:sz w:val="28"/>
          <w:szCs w:val="28"/>
          <w:rtl w:val="true"/>
          <w:lang w:bidi="fa-IR"/>
        </w:rPr>
        <w:t>.</w:t>
      </w:r>
    </w:p>
    <w:p>
      <w:pPr>
        <w:pStyle w:val="Heading6"/>
        <w:numPr>
          <w:ilvl w:val="5"/>
          <w:numId w:val="1"/>
        </w:numPr>
        <w:rPr/>
      </w:pPr>
      <w:bookmarkStart w:id="433" w:name="__RefHeading___Toc3346540_3224264995"/>
      <w:bookmarkStart w:id="434" w:name="_Toc163"/>
      <w:bookmarkEnd w:id="433"/>
      <w:r>
        <w:rPr>
          <w:rtl w:val="true"/>
        </w:rPr>
        <w:t>حکم الظنّ فی المقام</w:t>
      </w:r>
      <w:bookmarkEnd w:id="434"/>
    </w:p>
    <w:p>
      <w:pPr>
        <w:pStyle w:val="BookText"/>
        <w:rPr/>
      </w:pPr>
      <w:r>
        <w:rPr>
          <w:rFonts w:ascii="IRNazanin" w:hAnsi="IRNazanin" w:eastAsia="IRNazanin"/>
          <w:color w:val="111111"/>
          <w:sz w:val="28"/>
          <w:sz w:val="28"/>
          <w:szCs w:val="28"/>
          <w:rtl w:val="true"/>
          <w:lang w:bidi="fa-IR"/>
        </w:rPr>
        <w:t>بقی الکلام فی التفصیل المستفاد من کلام بعض أعاظم العصر؛ فإنّه بعد بیان الأقسام المذکورة للظنّ و إمکان أخذه موضوعاً لحکم آخر مطلقاً إلّا فیما اخذ تمام الموضوع 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منه فی القطع إشکالًا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هذا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أخذه موضوعاً لمضادّ حکم متعلّقه فلا یمکن مطلقاً، من غیر فرق بین الظنّ المعتبر و غیره؛ للزوم اجتماع الضدّین؛ و لو فی بعض الموارد، و لا یندرج فی مسألة اجتماع الأمر و النهی، بل یلزم منه الاجتماع فی محلّ واحد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أخذه موضوعاً لحکم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الظنّ حجّة فلا مانع منه؛ فإنّ فی صورة المصادفة یتأکّد الحکمان؛ فإنّ اجتماع المثلین إنّما یلزم لو تعلّق الحکمان بموضوع واحد و عنوان فارد، و أمّا مع تعلّقهما بالعنوانین فلا یلزم إلّا التأکّد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أخذه موضوعاً للمماثل؛ فإنّ الواقع فی طریق إحراز الشی‌ء لا یکون من طواریه؛ بحیث یکون من العناوین الثانویة الموجبة لحدوث ملاکٍ غیر ما هو علیه من الملاک؛ لأنّ الحکم الثانی لا یصلح لأن یکون محرّکاً و باعثاً لإرادة العبد؛ فإنّ الانبعاث إنّما یتحقّق بنفس إحراز الحکم الواقعی المجعول علی الخمر، فلا معنی لجعل حکم آخر إلی ذلک المحرز، کما لا یعقل ذلک فی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فی فذلکة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الغیر المعتبر لا یصحّ أخذه موضوعاً 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للمماثل و لا 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 علی وجه الطریقیة هو معنی اعتباره؛ إذ لا معنی له إلّا لحاظه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أخذه موضوعاً لنفس متعلّقه إذا کان حکماً فلا مانع منه بنتیجة التقیید مطلقاً، بل فی الظنّ المعتبر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الظنّ حجّة محرزاً لمتعلّقه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دخل له فی المتعلّق؛ إذ لو کان له دخل لما اخذ طریقاً فأخذه محرزاً مع أخذه موضوعاً یوجب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واضح</w:t>
      </w:r>
      <w:r>
        <w:rPr>
          <w:rStyle w:val="FootnoteAnchor"/>
          <w:rtl w:val="true"/>
        </w:rPr>
        <w:footnoteReference w:id="383"/>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 نذکر منها ما یلی، فنقول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العنوانین إن کان رافعاً لاجتماع المثلین فهو رافع لاجتماع الضدّین؛ فإنّ محطّ الأمر و النهی إذا کانا عنوانین مختلفین و فرضنا اتّفاقهما فی موضوع واحد فتعدّد العنوان کما یرفع اجتماع المثلین فکذلک یرفع اجتماع الضدّین، و أمّا إذا کان أحد العنوانین محفوظاً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 فإنّ الخمر</w:t>
      </w:r>
    </w:p>
    <w:p>
      <w:pPr>
        <w:pStyle w:val="BookText"/>
        <w:rPr/>
      </w:pPr>
      <w:r>
        <w:rPr>
          <w:rFonts w:ascii="IRNazanin" w:hAnsi="IRNazanin" w:eastAsia="IRNazanin"/>
          <w:color w:val="111111"/>
          <w:sz w:val="28"/>
          <w:sz w:val="28"/>
          <w:szCs w:val="28"/>
          <w:rtl w:val="true"/>
          <w:lang w:bidi="fa-IR"/>
        </w:rPr>
        <w:t>محفوظ بعنوانه مع مظنون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یرفع معه التضادّ فکذلک لا یرفع به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میزان اجتماع المثلین و میزان التأکّد ممّا لا أساس له أصلًا؛ فإنّ التأکّد إنّما هو مورده فیما إذا کان العنوان واحداً، لا ما إذا کان العنوان متعدّداً، کما ذکره قدس سره، و کان تعلّق الأوامر به لأجل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التأکید قد یحصل بأداته و قد یحصل بتکرّر الأمر و النهی، کالأوامر الکثیرة المتعلّقة بعناوین الصلاة و الزکاة و الحجّ، و عناوین الخمر و المیسر و الربا، کما تجده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کلّها من قبیل التأکید لا اجتماع المثلین، و یحکی هذه الأوامر المتظافرة عن اهتمام الآمر و الناهی، و عن إرادة واحدة مؤکّدة لا عن إرادات؛ فإنّ تعلّق إرادتین بشی‌ء واحد ممّا لا یمکن؛ لأنّ تشخّص الإرادة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العنوان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اختلاف العنوانین فلا یکون من التأکید أصلًا؛ و إن اتّفق اجتماعهما فی موضوع واحد، فإنّ لکلّ واحد من العنوانین حکمه، و یکون الموضوع مجمعاً لعنوانین و لحکمین، و یکون لهما إطاعتان و عصیانان، 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و أکرم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التأکید إذا اجتمعا فی مصداق واحد ممّا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الظنّ المعتبر لا یمکن أخذه موضوعاً للحکم المماثل؛ معلّلًا تارة بأنّ المحرز للشی‌ء لیس من العناوین الثانویة الموجبة لحدوث الملاک، و اخری بأنّ الحکم الثانی لا یصلح للانبعاث؛ و إن خلط المقرّر بینهما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کون الظنّ المحرز من العناوین الثانویة التی توجب</w:t>
      </w:r>
    </w:p>
    <w:p>
      <w:pPr>
        <w:pStyle w:val="BookText"/>
        <w:rPr/>
      </w:pPr>
      <w:r>
        <w:rPr>
          <w:rFonts w:ascii="IRNazanin" w:hAnsi="IRNazanin" w:eastAsia="IRNazanin"/>
          <w:color w:val="111111"/>
          <w:sz w:val="28"/>
          <w:sz w:val="28"/>
          <w:szCs w:val="28"/>
          <w:rtl w:val="true"/>
          <w:lang w:bidi="fa-IR"/>
        </w:rPr>
        <w:t>الملاک هل هو من جهة کون الظنّ مختلفاً مع الواقع المظنون فی الرتبة، أو من جهة الاعتبار الشرعی؟</w:t>
      </w:r>
    </w:p>
    <w:p>
      <w:pPr>
        <w:pStyle w:val="BookText"/>
        <w:rPr/>
      </w:pPr>
      <w:r>
        <w:rPr>
          <w:rFonts w:ascii="IRNazanin" w:hAnsi="IRNazanin" w:eastAsia="IRNazanin"/>
          <w:color w:val="111111"/>
          <w:sz w:val="28"/>
          <w:sz w:val="28"/>
          <w:szCs w:val="28"/>
          <w:rtl w:val="true"/>
          <w:lang w:bidi="fa-IR"/>
        </w:rPr>
        <w:t>فعلی الأوّل یلزم أن یکون الظنّ غیر المعتبر أیضاً کذلک، فعلی الثانی فنحن لا نقبله حتّی یقوم الدلیل علی أنّ الاعتبار الشرعی ممّا ینافی الملاکات الواقعیة و یرفعها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الظنّ المعتبر و غیره إلّا فی الجعل الشرعی، و هو ممّا لا یضادّ الملاکات النفس الأمریة، مع أنّ الظنّ و القطع کسائر العناوین یمکن أن یکونا موجبین لملاک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التعلیل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لا ینبعث العبد بأمر واحد و ینبعث بأمرین أو أوامر، و إمکان الانبعاث یکفی فی الأمر، و لولا ذلک لزم لغویة التأکیدات، مع أنّ المظنون بما أنّه مظنون یمکن أن یکون له ملاک مستقلّ فی مقابل الواقع، کما هو المفروض فیما نحن فیه، فلا بأس بتعلّق أمر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فذلکته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أخذ الظنّ علی وجه الطریقیة هو معنی اعتباره،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ممنوع؛ فإنّ الظنّ لمّا کان له طریقیة ناقصة و کاشفیة ضعیفة ذاتاً یمکن أن یؤخذ علی هذا الوجه موضوعاً فی مقابل الوصفیة التی معناها أن یؤخذ مقطوع النظر عن کاشفیته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اعتباره فهو أن یجعله الشارع معتبراً و واجب العمل بالجعل التشریعی، فمجرّد لحاظ الشارع طریقیته لا یلازم اعتباره شرعاً؛ فضلًا عن أن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لحاظ الطریقیة من مقولة التصوّر و جعل الاعتبار من الإنشاء و الحکم، و لا ربط بینهما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الطریقیة لو کان ملازماً للاعتبار لزم أن یلتزم</w:t>
      </w:r>
      <w:bookmarkStart w:id="435" w:name="pg12907_206777"/>
    </w:p>
    <w:p>
      <w:pPr>
        <w:pStyle w:val="BookText"/>
        <w:rPr/>
      </w:pPr>
      <w:bookmarkEnd w:id="435"/>
      <w:r>
        <w:rPr>
          <w:rFonts w:ascii="IRNazanin" w:hAnsi="IRNazanin" w:eastAsia="IRNazanin"/>
          <w:color w:val="111111"/>
          <w:sz w:val="28"/>
          <w:sz w:val="28"/>
          <w:szCs w:val="28"/>
          <w:rtl w:val="true"/>
          <w:lang w:bidi="fa-IR"/>
        </w:rPr>
        <w:t>بامتناعه فی القطع؛ لأنّ جعل الطریقیة و الاعتبار فیه ممتنع، فلحاظ القطع الطریقی موضوعاً مطلقاً یصیر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اللحاظ عین معنی الاعتبار أعمّ من الذاتی أو الجعلی،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أخذ الظنّ بالحکم موضوعاً لنفسه لا مانع منه بنتیجة التقیید فقد یظهر ما فیه عند البحث عن أخذ العلم کذلک من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أخذ الظنّ المعتبر موضوعاً لحکم متعلّقه؛ معلّلًا بأنّ أخذ الظنّ محرزاً لمتعلّقه معناه أنّه لا دخل له فیه، و هو ینافی الموضوعیة،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ممنوع جدّاً؛ فإنّ الملاک یمکن أن یکون فی الواقع المحرز بهذا الظنّ بعنوان المحرزیة، فلا بدّ من جعل المحرزیة للتوصّل بالغرض، لکن أخذ الظنّ کذلک محال من رأس؛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الأقسام متصوّرات محضة لا واقع لها</w:t>
      </w:r>
      <w:r>
        <w:rPr>
          <w:rFonts w:eastAsia="IRNazanin" w:cs="IRNazanin"/>
          <w:color w:val="111111"/>
          <w:sz w:val="28"/>
          <w:szCs w:val="28"/>
          <w:rtl w:val="true"/>
          <w:lang w:bidi="fa-IR"/>
        </w:rPr>
        <w:t>.</w:t>
      </w:r>
    </w:p>
    <w:p>
      <w:pPr>
        <w:pStyle w:val="Heading5"/>
        <w:numPr>
          <w:ilvl w:val="4"/>
          <w:numId w:val="1"/>
        </w:numPr>
        <w:rPr/>
      </w:pPr>
      <w:bookmarkStart w:id="436" w:name="__RefHeading___Toc3346542_3224264995"/>
      <w:bookmarkStart w:id="437" w:name="_Toc164"/>
      <w:bookmarkEnd w:id="436"/>
      <w:r>
        <w:rPr>
          <w:rtl w:val="true"/>
        </w:rPr>
        <w:t>الثالث</w:t>
      </w:r>
      <w:r>
        <w:rPr>
          <w:rtl w:val="true"/>
        </w:rPr>
        <w:t xml:space="preserve">: </w:t>
      </w:r>
      <w:r>
        <w:rPr>
          <w:rtl w:val="true"/>
        </w:rPr>
        <w:t>فی أخذ القطع تمام الموضوع لحکمه</w:t>
      </w:r>
      <w:bookmarkEnd w:id="437"/>
    </w:p>
    <w:p>
      <w:pPr>
        <w:pStyle w:val="Heading6"/>
        <w:numPr>
          <w:ilvl w:val="5"/>
          <w:numId w:val="1"/>
        </w:numPr>
        <w:rPr/>
      </w:pPr>
      <w:bookmarkStart w:id="438" w:name="__RefHeading___Toc3346544_3224264995"/>
      <w:bookmarkStart w:id="439" w:name="_Toc165"/>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قد یقال بعدم إمکانه؛ للزوم الدور منه، و یمکن أن یدفع بعدم لزومه فیما إذا کان القطع المأخوذ فی الموضوع تمام الموضوع؛ لأنّ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عنوان المقطوع بما أنّه کذلک، من غیر دخالة التطابق و عدمه و لا الواقع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یتوقّف تحقّق القطع بالحکم علی وجود الحکم؛ لأنّه قد یکون جهلًا مرکّباً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معنی الإطلاق لحاظ القیدین حتّی یکون الأخذ بلحاظ قیدیه ممتنعاً، بل معناه عدم القیدیة و کون الطبیعة تمام الموضوع، و هو لا یتوقّف علی الحکم،</w:t>
      </w:r>
    </w:p>
    <w:p>
      <w:pPr>
        <w:pStyle w:val="BookText"/>
        <w:rPr/>
      </w:pPr>
      <w:r>
        <w:rPr>
          <w:rFonts w:ascii="IRNazanin" w:hAnsi="IRNazanin" w:eastAsia="IRNazanin"/>
          <w:color w:val="111111"/>
          <w:sz w:val="28"/>
          <w:sz w:val="28"/>
          <w:szCs w:val="28"/>
          <w:rtl w:val="true"/>
          <w:lang w:bidi="fa-IR"/>
        </w:rPr>
        <w:t>و إنّما یتوقّف الحکم علیه،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الدور المذکور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توقّف القطع بالحکم علی وجود الحکم، و توقّف الحکم علی الموضوع الذی هو القطع؛ سواء کان تمام الموضوع أو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لو کان القطع مأخوذاً علی نحو الجزئیة، و معنی ذلک عدم کون القطع موضوعاً برأسه، بل هو مع نفس الواقع؛ أعنی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فالقطع یتوقّف علی وجود الحکم، و لو توقّف الحکم علی القطع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القطع تمام الموضوع لحکم نفسه فلا یلزم الدور؛ لأنّ ما هو الموضوع هو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وافق الواقع أم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الإصابة و عدمها خارجتان من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حصول القطع علی الواقع المقطوع به؛ و إن توقّف علی المقطوع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الصورة الذهنیة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المقطوع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المقطوع به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القطع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المأخوذ جزء موضوع فلا یمکن دفع الدور بالبیان المتقدّم؛ لأنّ معنی جزئیته للموضوع أنّ الجزء الآخر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إمکان جعل الجزء هو المعلوم بالذات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أجاب بعض الأعاظم عن الدور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بالحکم لمّا کان من الانقسامات اللاحقة للحکم فلا یمکن فیه الإطلاق و لا التقیید اللحاظی، کما هو الشأن فی الانقسامات اللاحقة للمتعلّق باعتبار تعلّق الحکم به، کقصد التعبّد و التقرّب بالعبادات، فإذا امتنع التقیید امتنع الإطلاق؛ لأنّ التقابل بینهما تقابل العدم و الملکة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الإهمال الثبوتی لا یعقل؛ فإنّ ملاک تشریع الحکم إمّا محفوظ فی حالتی الجهل و العلم فلا بدّ من نتیجة الإطلاق، و إمّا فی حالة العلم فلا بد من 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یمکن بالجعل الأوّلی فلا بدّ من دلیل آخر یستفاد منه النتیجتان؛</w:t>
      </w:r>
    </w:p>
    <w:p>
      <w:pPr>
        <w:pStyle w:val="BookText"/>
        <w:rPr/>
      </w:pPr>
      <w:r>
        <w:rPr>
          <w:rFonts w:ascii="IRNazanin" w:hAnsi="IRNazanin" w:eastAsia="IRNazanin"/>
          <w:color w:val="111111"/>
          <w:sz w:val="28"/>
          <w:sz w:val="28"/>
          <w:szCs w:val="28"/>
          <w:rtl w:val="true"/>
          <w:lang w:bidi="fa-IR"/>
        </w:rPr>
        <w:t>و هو 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الأدلّة علی اشتراک العالم و الجاهل فی الأحکام؛ و إن لم نعثر إلّا علی بعض أخبار الآحاد، لکن الظاهر قیام الإجماع و الضرورة، فیستفاد من ذلک نتیجة الإطلاق و أنّ الحکم مشترک بین العالم و الجاهل، لکن تلک الأدلّة قابلة للتخصیص، کما خصّصت بالجهر و الإخفات و القصر و الإتمام</w:t>
      </w:r>
      <w:r>
        <w:rPr>
          <w:rStyle w:val="FootnoteAnchor"/>
          <w:rtl w:val="true"/>
        </w:rPr>
        <w:footnoteReference w:id="384"/>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الانقسامات اللاحقة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تقیید الأدلّة به، بل و لا یمکن فیه نتیجة التقیید، مثل أخذ القطع موضوعاً بالنسبة إلی نفس الحکم؛ فإنّه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بالتقیید اللحاظی و لا بنتیجة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حاصل التقیید و نتیجته أنّ الحکم مختصّ بالعالم بالحکم، و هذا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الحکم علی العلم به، و هو متوقّف علی وجود الحکم، و هذا الامتناع لا یرتفع؛ لا بالتقیید اللحاظی و لا بنتیجة التقیید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ما ربّما یورد علی الأشاعرة القائلین بأنّ أحکام اللَّه تابعة لآراء المجتهدین</w:t>
      </w:r>
      <w:r>
        <w:rPr>
          <w:rStyle w:val="FootnoteAnchor"/>
          <w:rtl w:val="true"/>
        </w:rPr>
        <w:footnoteReference w:id="385"/>
      </w:r>
      <w:r>
        <w:rPr>
          <w:rFonts w:ascii="IRNazanin" w:hAnsi="IRNazanin" w:eastAsia="IRNazanin"/>
          <w:color w:val="111111"/>
          <w:sz w:val="28"/>
          <w:sz w:val="28"/>
          <w:szCs w:val="28"/>
          <w:rtl w:val="true"/>
          <w:lang w:bidi="fa-IR"/>
        </w:rPr>
        <w:t>فإنّه یورد علیهم باستلزامه الدور</w:t>
      </w:r>
      <w:r>
        <w:rPr>
          <w:rStyle w:val="FootnoteAnchor"/>
          <w:rtl w:val="true"/>
        </w:rPr>
        <w:footnoteReference w:id="386"/>
      </w:r>
      <w:r>
        <w:rPr>
          <w:rFonts w:ascii="IRNazanin" w:hAnsi="IRNazanin" w:eastAsia="IRNazanin"/>
          <w:color w:val="111111"/>
          <w:sz w:val="28"/>
          <w:sz w:val="28"/>
          <w:szCs w:val="28"/>
          <w:rtl w:val="true"/>
          <w:lang w:bidi="fa-IR"/>
        </w:rPr>
        <w:t>إذ یمکن الذبّ عنه بأنّ الشارع أظهر أحکاماً صوریة بلا جعل أصلًا لمصلحة فی نفس الإظهار حتّی یجتهد المجتهدون، و یصلوا إلی هذه الأحکام الغیر الحقیقیة، فإذا أدّی اجتهادهم إلی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وافق الحکم الصوری أم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الشارع حکماً مطابقاً لرأیه تابعاً له، و لکنّه مجرّد تصویر ربّما لا یرضی به المصوّبة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الإعادة فیما لو خافت فی موضع الجهر أو جهر فی موضع المخافات، أو أتمّ فی موضع القصر أو قصّر فی موضع التمام فلا یتوقّف الذبّ عنه بالالتزام بما ذکره من الاختصاص، بل یحتمل أن یکون عدم الإعادة من باب التقبّل و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یحتمل ذلک فی قاعدة لا تعاد لو قلنا بعمومیته للسهو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لأجل عدم قابلیة المحلّ للقضاء و الإعادة بعد الإتیان بما کان خلاف الوظیفة، و له نظائر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من الانقسامات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التقیید به بدلیل آخر، کقصد القربة و التعبّد و الأمر؛ فإنّ فی هذا القسم یمکن تقیید المتعلّق بالتقیید اللحاظی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بنتیجة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الآمر یمکن أن یلاحظ متعلّق أمره و ما له من قیود و حدود، و یلاحظ حالة تعلّق أمره به فی المستقبل، و یلاحظ قصد المأمور للتقرّب و التعبّد بما أنّها من قیود المتعلّق، و یأمر به مقیّداً بهذه القیود کسائر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وافاک خلاصة القول فی ذلک فی مباحث الألفاظ</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نفس تعلّق الأمر ممّا یمکّن المکلّف من إتیان المتعلّق؛ فإنّ قبل تعلّقه لا یمکن له الإتیان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تلک القیود، و بالتعلّق یصیر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لم یکن الموضوع المجرّد من قصد الأمر مأموراً به، فکیف یمکن الأمر به بقصد أمره؟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آخر غیر الدور، و یمکن دفعه بأنّ الموضوع متعلّق للأمر الضمنی، و قصده کافٍ فی الصحّة، و قد أوضحنا حاله فی الجزء الأوّل</w:t>
      </w:r>
      <w:r>
        <w:rPr>
          <w:rStyle w:val="FootnoteAnchor"/>
          <w:rtl w:val="true"/>
        </w:rPr>
        <w:footnoteReference w:id="38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الإشکالات علی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الإطلاق و التقیید باللحاظی مع القول بأنّ تقابلهما تقابل العدم و الملکة جمع بین أمرین متنافیین؛ لأنّ الإطلاق علی هذا متقوّم باللحاظ کالتقیید، و اللحاظان أمران وجودیان لا یجتمعان فی مورد واحد، فیصیر التقابل تقابل التضادّ، لا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بما أوضحناه فی محلّه</w:t>
      </w:r>
      <w:r>
        <w:rPr>
          <w:rStyle w:val="FootnoteAnchor"/>
          <w:rtl w:val="true"/>
        </w:rPr>
        <w:footnoteReference w:id="389"/>
      </w:r>
      <w:r>
        <w:rPr>
          <w:rFonts w:ascii="IRNazanin" w:hAnsi="IRNazanin" w:eastAsia="IRNazanin"/>
          <w:color w:val="111111"/>
          <w:sz w:val="28"/>
          <w:sz w:val="28"/>
          <w:szCs w:val="28"/>
          <w:rtl w:val="true"/>
          <w:lang w:bidi="fa-IR"/>
        </w:rPr>
        <w:t>من عدم تقوّم الإطلاق باللحاظ، و أنّه لا یحتاج إلی لحاظ السریان، بل هو متقوّم بعدم لحاظ شی‌ء فی موضوع الحکم، مع کون المتکلّم فی مقام البیان، یرد علیه إشکال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الإطلاق حینئذٍ ممنوع، فیصیر ما ادّعاه من أنّه کلّما امتنع التقیید امتنع الإطلاق قولًا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العدم و الملکة أو شبه ذلک التقابل، لکن لا یرتّب علیه ما رتّبه قدس سره من إنکار مطلق الإطلاق فی الأدلّة الشرعیة حتّی احتاج إلی دعوی الإجماع و الضرورة لاشتراک التکلیف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التقیید قد یکون لأجل عدم قابلیة المتعلّق له و قصوره عن ذلک، ففی مثله لا یمکن الإطلاق، و لا یطلق علی مثل ذلک التجرّد من القید أنّه مطلق، کما لا یطلق علی الجدار أنّه أعمی؛ فإنّ الأعمی هو اللابصیر الذی من شأنه أن یکون بصیراً، و لیس الجدار کذلک، و نظیره الأعلام الشخصیة، فلا یطلق لزید أنّه مطلق أفرادی، کما لا یطلق أنّه مقیّد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لا لأجل قصوره و عدم قابلیته، بل لأجل أمر خارجی، کلزوم الدور فی التقیید اللحاظی؛ فإنّ امتناع التقیید فی هذا المورد و نظائره لا یلازم امتناع</w:t>
      </w:r>
    </w:p>
    <w:p>
      <w:pPr>
        <w:pStyle w:val="BookText"/>
        <w:rPr/>
      </w:pPr>
      <w:r>
        <w:rPr>
          <w:rFonts w:ascii="IRNazanin" w:hAnsi="IRNazanin" w:eastAsia="IRNazanin"/>
          <w:color w:val="111111"/>
          <w:sz w:val="28"/>
          <w:sz w:val="28"/>
          <w:szCs w:val="28"/>
          <w:rtl w:val="true"/>
          <w:lang w:bidi="fa-IR"/>
        </w:rPr>
        <w:t>الإطلاق؛ إذ المحذور مختصّ به و لا یجری فی الإطلاق؛ فإنّ المفروض أنّ وجه الامتناع لزوم الدور عند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تخصیص الأحکام بالعالمین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الإطلاق فلیس فیه أیّ محذور من الدور و غیره،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الإطلاق؛ و إن کان التقیید ممتنعاً لأجل محذور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صحّة الإطلاق 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تصریح المولی بأنّ الخمر حرام شربه علی العالم و الجاهل، و صلاة الجمعة واجبة علیهما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المقام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تتمّ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الاختصاص بالعالمین بالحکم مستلزم للمحال، و الاختصاص بالجهّال و خروج العالمین به خلاف الضرورة، فلا محیص عن الاشتراک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غیر الإطلاق الذی یحتاج إلی المقدّمات و یکون بعد تمامها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ذکرناه من الوجه سند دعوی الإجماع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محقّقی العصر قدس سره أراد التفصّی بوجه آخر، فقال ما هذا تلخیصه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التفصّی عن الدور علی نحو نتیجة التقیید الراجع إلی جعل الحکم لحصّة من الذات فی المرتبة السابقة التوأمة مع العلم بحکمه فی المرتبة المتأخّرة، لا مقیّداً به علی نحو یکون عنوان التوأمیة مع العلم المزبور معرّفاً محضاً لما هو الموضوع، و کان الموضوع هو الحصّة الخاصّة بلا تعنونه بعنوان التوأمیة أیضاً؛ فضلًا عن العلم بحکمه و نحوه من العناوین المتأخّرة، کما هو الشأن فی کلّ معروض بالنسبة إلی عارضه المتحفّظ فی الرتبة المتأخّرة، و کما فی کلّ علّة لمعلولها، من دون اقتضاء التلازم و التوأمیة اتّحاد الرتبة بینهما أصلًا</w:t>
      </w:r>
      <w:r>
        <w:rPr>
          <w:rStyle w:val="FootnoteAnchor"/>
          <w:rtl w:val="true"/>
        </w:rPr>
        <w:footnoteReference w:id="3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الطبائع لا تتحصّص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الذهن و 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تتقوّم الحصّة بأمر خارج عنها لاحق بها لحاظاً فی الذهن لا فی الخارج، کالکلّیات المقیّدة،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الخارج فإطلاق الحصّة علی الفرد الخارجی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فالطبیعة لا تتحصّص بحصص إلّا بإضافة قیود لها عند جعلها موضوعاً لحکم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یتعلّق علی الطبیعة مع قطع النظر عن العلم بحکمها، فلا تکون الحصّة موضوعاً؛ لأنّها مع قطع النظر عن القیود لیست إلّا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یتعلّق علی الحصّة الملازمة للعلم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الرتبة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الحصّة حصّة إلّا بعروض القید للطبیعة فی الذهن، فلا محیص إلّا عن لحاظ الموضوع توأماً مع العلم بحکمه، و هذا الموضوع بهذا الوصف یتوقّف علی الحکم، و الحکم علی العلم به، فعاد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المعروض بالنسبة إلی عارضه فلیس کما أفاد؛ لأنّ العارض لا یعرض الحصّة، بل یعرض نفس الطبیعة، و یصیر الطبیعة بنفس العروض متخصّصاً، فلا یکون قبل العروض و فی الرتبة المتقدّمة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التوأمیة بین العلّة و المعلول مع حفظ التقدّم الرتبی بینهما فهو حقّ لو أراد ما ذکرنا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أخذه تمام الموضوع فی نفس حکمه، و هکذا إذا جعل بعض الموضوع لحکم نفسه، فمحال للدور المتقدّم</w:t>
      </w:r>
      <w:r>
        <w:rPr>
          <w:rStyle w:val="FootnoteAnchor"/>
          <w:rtl w:val="true"/>
        </w:rPr>
        <w:footnoteReference w:id="39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bookmarkStart w:id="440" w:name="pg12907_206784"/>
    </w:p>
    <w:p>
      <w:pPr>
        <w:pStyle w:val="Heading6"/>
        <w:numPr>
          <w:ilvl w:val="5"/>
          <w:numId w:val="1"/>
        </w:numPr>
        <w:rPr/>
      </w:pPr>
      <w:bookmarkStart w:id="441" w:name="__RefHeading___Toc3346546_3224264995"/>
      <w:bookmarkStart w:id="442" w:name="_Toc166"/>
      <w:bookmarkEnd w:id="440"/>
      <w:bookmarkEnd w:id="441"/>
      <w:r>
        <w:rPr>
          <w:rtl w:val="true"/>
        </w:rPr>
        <w:t>قیام الأمارات و الاصول مقام القطع</w:t>
      </w:r>
      <w:bookmarkEnd w:id="442"/>
    </w:p>
    <w:p>
      <w:pPr>
        <w:pStyle w:val="BookText"/>
        <w:rPr/>
      </w:pPr>
      <w:r>
        <w:rPr>
          <w:rFonts w:ascii="IRNazanin" w:hAnsi="IRNazanin" w:eastAsia="IRNazanin"/>
          <w:color w:val="111111"/>
          <w:sz w:val="28"/>
          <w:sz w:val="28"/>
          <w:szCs w:val="28"/>
          <w:rtl w:val="true"/>
          <w:lang w:bidi="fa-IR"/>
        </w:rPr>
        <w:t>و إشباع الکلام فی قیام الأمارات و الاصول بنفس أدلّتها مقام القطع یتوقّف علی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قیامها مقامه ثبوتاً بجمیع أقسامه؛ سواء کان طریقیاً أو موضوعیاً و کان تمام الموضوع أو بعض الموضوع، کان التنزیل بجعل واحد أو بجعلین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وقوعه إثباتاً و بحسب الدلالة</w:t>
      </w:r>
      <w:r>
        <w:rPr>
          <w:rFonts w:eastAsia="IRNazanin" w:cs="IRNazanin"/>
          <w:color w:val="111111"/>
          <w:sz w:val="28"/>
          <w:szCs w:val="28"/>
          <w:rtl w:val="true"/>
          <w:lang w:bidi="fa-IR"/>
        </w:rPr>
        <w:t>.</w:t>
      </w:r>
    </w:p>
    <w:p>
      <w:pPr>
        <w:pStyle w:val="Heading6"/>
        <w:numPr>
          <w:ilvl w:val="5"/>
          <w:numId w:val="1"/>
        </w:numPr>
        <w:rPr/>
      </w:pPr>
      <w:bookmarkStart w:id="443" w:name="__RefHeading___Toc3346548_3224264995"/>
      <w:bookmarkStart w:id="444" w:name="_Toc167"/>
      <w:bookmarkEnd w:id="443"/>
      <w:r>
        <w:rPr>
          <w:rtl w:val="true"/>
        </w:rPr>
        <w:t>قیام الأمارات و الاصول مقام القطع ثبوتاً</w:t>
      </w:r>
      <w:bookmarkEnd w:id="444"/>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إمکانه، و یستفاد من المحقّق الخراسانی الامتناع فیما إذا کان التنزیل بجعل واحد؛ لوجهین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الجعل الواحد لا یمکن أن یتکفّل تنزیل الظنّ منزلة القطع و تنزیل المظنون منزلة المقطوع فیما اخذ فی الموضوع علی نحو الکشف؛ للزوم الجمع بین اللحاظین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اللحاظ الآلی و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بدّ فی کلّ تنزیل من لحاظ المنزل و المنزل علیه، مع أنّ النظر فی حجّیته و تنزیله منزلة القطع آلی طریقی، و فی کونه بمنزلته فی دخله فی الموضوع استقلالی موضوعی، و الجمع بینهما محال ذاتاً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أنت خبیر بما فیه؛ یظهر من التأمّل فیما ذکرناه جواباً</w:t>
      </w:r>
      <w:r>
        <w:rPr>
          <w:rStyle w:val="FootnoteAnchor"/>
          <w:rtl w:val="true"/>
        </w:rPr>
        <w:footnoteReference w:id="393"/>
      </w:r>
      <w:r>
        <w:rPr>
          <w:rFonts w:ascii="IRNazanin" w:hAnsi="IRNazanin" w:eastAsia="IRNazanin"/>
          <w:color w:val="111111"/>
          <w:sz w:val="28"/>
          <w:sz w:val="28"/>
          <w:szCs w:val="28"/>
          <w:rtl w:val="true"/>
          <w:lang w:bidi="fa-IR"/>
        </w:rPr>
        <w:t>لما استشکله بعض أعاظم العصر فی تصویر القطع الطریقی علی نحو تمام الموضوع،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 القاطع و الظانّ إلی المقطوع به و إن کان استقلالیاً و إلی قطعه و ظنّه آلیاً إلّا أنّ الجاعل و المنزّل لیس نفس القاطع حتّی یجتمع ما ادّعاه من الامتناع، بل المنزّل غیر القاطع؛ فإنّ الشارع ینظر إلی قطع القاطع و ظنّه، و یلاحظ کلّ واحد استقلالًا و اسمیاً، و ینزّل کلّ واحد منزلة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من القطع و الظنّ و إن کان ملحوظاً فی نظر القاطع و الظانّ علی نحو آلیة إلّا أنّه فی نظر الشارع و الحاکم ملحوظ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یلاحظ ما هو ملحوظ آلی للغیر عند التنزیل علی نحو الاسمیة و الاستقلال، و یکون نظره إلی الواقع المقطوع به و المظنون بهذا القطع و الظنّ، و إلی نفس القطع و الظنّ فی عرض واحد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الامتناع من باب اشتباه اللحاظین؛ فإنّ الحاکم المنزّل للظنّ منزلة القطع لم یکن نظره إلی القطع و الظنّ آلیاً، بل نظره استقلالی؛ قضاءً لحقّ التنزیل، کما أنّ نظره إلی المقطوع به و المظنون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بقصور الأدلّة فهو خارج عن المقام، و سوف نستوفی الکلام فیه فی المقام الثانی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هو الکاشفیة و الوسطیة فی الإثبات، و بنفس هذا الجعل یتمّ الأمرین</w:t>
      </w:r>
      <w:r>
        <w:rPr>
          <w:rStyle w:val="FootnoteAnchor"/>
          <w:rtl w:val="true"/>
        </w:rPr>
        <w:footnoteReference w:id="394"/>
      </w:r>
      <w:r>
        <w:rPr>
          <w:rFonts w:ascii="IRNazanin" w:hAnsi="IRNazanin" w:eastAsia="IRNazanin"/>
          <w:color w:val="111111"/>
          <w:sz w:val="28"/>
          <w:sz w:val="28"/>
          <w:szCs w:val="28"/>
          <w:rtl w:val="true"/>
          <w:lang w:bidi="fa-IR"/>
        </w:rPr>
        <w:t>، و سوف یوافیک فی</w:t>
      </w:r>
    </w:p>
    <w:p>
      <w:pPr>
        <w:pStyle w:val="BookText"/>
        <w:rPr/>
      </w:pPr>
      <w:r>
        <w:rPr>
          <w:rFonts w:ascii="IRNazanin" w:hAnsi="IRNazanin" w:eastAsia="IRNazanin"/>
          <w:color w:val="111111"/>
          <w:sz w:val="28"/>
          <w:sz w:val="28"/>
          <w:szCs w:val="28"/>
          <w:rtl w:val="true"/>
          <w:lang w:bidi="fa-IR"/>
        </w:rPr>
        <w:t>محلّه عدم صحّة تلک المقالة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فی الأمارات هو المؤدّی، و أنّ مفاد أدلّة الأمارات جعل المؤدّی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بالملازمة العرفیة بین تنزیل المؤدّی منزلة الواقع و بین تنزیل الظنّ منزلة العلم یتمّ المطلب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بما أوضحه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یستلزم الدور؛ فإنّ تنزیل المؤدّی منزلة الواقع فیما کان للعلم دخل لا یمکن إلّا بعد تحقّق العلم فی عرض ذلک التنزیل، فإنّه لیس للواقع أثر یصحّ بلحاظه التنزیل، بل الأثر مترتّب علی الواقع و العلم به، و المفروض أنّ العلم بالمؤدّی یتحقّق بعد تنزیل المؤدّی منزلة الواقع، فیکون التنزیل موقوفاً علی العلم، و العلم موقوفاً علی التنزیل، و هذا دور محال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الوجه الثانی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ترتّب الأثر علی التنزیل إنّما هو لأجل صون فعل الحکیم عن اللغویة، و اللغویة کما تندفع بترتّب الأثر الفعلی کذلک تندفع بالأثر التعلیقی؛ أی لو انضمّ إلیه جزئه الآخر یکون ذا أثر فعلی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اللازم فی خروج الجعل عن اللغویة هو کون التنزیل</w:t>
      </w:r>
    </w:p>
    <w:p>
      <w:pPr>
        <w:pStyle w:val="BookText"/>
        <w:rPr/>
      </w:pPr>
      <w:r>
        <w:rPr>
          <w:rFonts w:ascii="IRNazanin" w:hAnsi="IRNazanin" w:eastAsia="IRNazanin"/>
          <w:color w:val="111111"/>
          <w:sz w:val="28"/>
          <w:sz w:val="28"/>
          <w:szCs w:val="28"/>
          <w:rtl w:val="true"/>
          <w:lang w:bidi="fa-IR"/>
        </w:rPr>
        <w:t>ذا أثر؛ بحیث لا یکون التنزیل بلا أثر أصلًا، و المفروض أنّ المؤدّی لمّا نزّل منزلة الواقع فقد احرز جزء من الموضوع، و أنّ هذا التنزیل یستلزم عرفاً فی الرتبة المتأخّرة تنزیل الظنّ منزلة العلم بالملازمة العرفیة، و به یتمّ ما هو تمام الموضوع للأثر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أثراً فعلیاً لکن بنفس الجعل، و لا یلزم أن یکون الأثر سابقاً علی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 لمّا کان نفس الجعل متمّماً للموضوع یکون الجعل بلحاظ الأثر الفعلی المتحقّق فی ظرفه، فلا یکون الجعل متوقّفاً علی الأثر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فاللغویة 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الأثر التعلیقی، أو بلحاظ الأثر المتحقّق بنفس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یقرّر الدور بوجه آخر، و هو أقرب ممّا قرّره بعض الأعاظم،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المؤدّی منزل الواقع یتوقّف علی تنزیل الظنّ منزلة العلم فی عرضه؛ لأنّ الأثر مترتّب علی الجزءین، و تنزیل الظنّ متوقّف علی تنزیل المؤدّی حسب الفرض؛ أی دعوی الملازمة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تنزیل جزء من المرکّب یتوقّف علی کون الجزء الآخر غیر المنزّل ذا أثر وجداناً أو تنزیلًا، و الأوّل مفقود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المؤدّی یتوقّف علی ثبوت الأثر لجزئه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الظنّ لا یصیر ذا أثر إلّا بالملازمة العرفیة، و هی لا تتحقّق إلّا بعد تنزیل المؤدّی منزلة الواقع، فیلزم الدور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جواب هذا التقریر من الدور مما ذکرناه جواباً عن التقریر الأوّل</w:t>
      </w:r>
      <w:r>
        <w:rPr>
          <w:rFonts w:eastAsia="IRNazanin" w:cs="IRNazanin"/>
          <w:color w:val="111111"/>
          <w:sz w:val="28"/>
          <w:szCs w:val="28"/>
          <w:rtl w:val="true"/>
          <w:lang w:bidi="fa-IR"/>
        </w:rPr>
        <w:t>.</w:t>
      </w:r>
      <w:bookmarkStart w:id="445" w:name="pg12907_206788"/>
    </w:p>
    <w:p>
      <w:pPr>
        <w:pStyle w:val="Heading6"/>
        <w:numPr>
          <w:ilvl w:val="5"/>
          <w:numId w:val="1"/>
        </w:numPr>
        <w:rPr/>
      </w:pPr>
      <w:bookmarkStart w:id="446" w:name="__RefHeading___Toc3346550_3224264995"/>
      <w:bookmarkStart w:id="447" w:name="_Toc168"/>
      <w:bookmarkEnd w:id="445"/>
      <w:bookmarkEnd w:id="446"/>
      <w:r>
        <w:rPr>
          <w:rtl w:val="true"/>
        </w:rPr>
        <w:t>قیام الأمارات و الاصول مقام القطع إثباتاً</w:t>
      </w:r>
      <w:bookmarkEnd w:id="447"/>
    </w:p>
    <w:p>
      <w:pPr>
        <w:pStyle w:val="Heading6"/>
        <w:numPr>
          <w:ilvl w:val="5"/>
          <w:numId w:val="1"/>
        </w:numPr>
        <w:rPr/>
      </w:pPr>
      <w:bookmarkStart w:id="448" w:name="__RefHeading___Toc3346552_3224264995"/>
      <w:bookmarkStart w:id="449" w:name="_Toc169"/>
      <w:bookmarkEnd w:id="448"/>
      <w:r>
        <w:rPr>
          <w:rtl w:val="true"/>
        </w:rPr>
        <w:t>قیام الأمارات مقام القطع بأقسامه</w:t>
      </w:r>
      <w:bookmarkEnd w:id="449"/>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مقام الإثبات و الدلالة، فلا بدّ فی توضیح الحال من التنبیه علی ما سیجی‌ء منّا تفصیله عند البحث عن حجّیة الخبر الواحد</w:t>
      </w:r>
      <w:r>
        <w:rPr>
          <w:rStyle w:val="FootnoteAnchor"/>
          <w:rtl w:val="true"/>
        </w:rPr>
        <w:footnoteReference w:id="399"/>
      </w:r>
      <w:r>
        <w:rPr>
          <w:rFonts w:ascii="IRNazanin" w:hAnsi="IRNazanin" w:eastAsia="IRNazanin"/>
          <w:color w:val="111111"/>
          <w:sz w:val="28"/>
          <w:sz w:val="28"/>
          <w:szCs w:val="28"/>
          <w:rtl w:val="true"/>
          <w:lang w:bidi="fa-IR"/>
        </w:rPr>
        <w:t>،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المتداولة فی أیدینا ممّا استقرّ علیها العمل عند العقلاء، بلا غمض أحد منهم فی واحد منها؛ ضرورة توقّف حیاة المجتمع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المدنی یری أنّ البناء علی تحصیل العلم فی الحوادث و الوقائع الیومیة یوجب اختلال نظام المدنیة، و رکود رحاها، فلم یر بدّاً منذ عرف یمینه عن شماله، و وقف علی مصالح الامور و مفاسدها عن العمل بقول الثقة و بظواهر الکلام الملقی للتفهیم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نبی الإسلام صلی الله علیه و آله و سلم و أظهر أحکاماً و أوضح اموراً، و لکن مع ذلک کلّه عمل بالأمارات من باب أنّه أحد العقلاء الذین یدیرون حیاة المجتمع، من دون أن یأسّس أصلًا و یقیم عماداً أو یحدث أمارة أو یزید شرطاً أو یتمّم کشف أمارة أو یجعل طریقیة لواحد من الأمارات، إلی غیر ذلک من العبارات التی تراها متظافرة فی کلمات القوم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عمل النبی و الخلفاء من بعده علی الأمارات إلّا جریاً علی المسلک المستقرّ عند العقلاء، بلا تأسیس أمارة أو تتمیم کشف لها أو جعل حجّیة</w:t>
      </w:r>
    </w:p>
    <w:p>
      <w:pPr>
        <w:pStyle w:val="BookText"/>
        <w:rPr/>
      </w:pPr>
      <w:r>
        <w:rPr>
          <w:rFonts w:ascii="IRNazanin" w:hAnsi="IRNazanin" w:eastAsia="IRNazanin"/>
          <w:color w:val="111111"/>
          <w:sz w:val="28"/>
          <w:sz w:val="28"/>
          <w:szCs w:val="28"/>
          <w:rtl w:val="true"/>
          <w:lang w:bidi="fa-IR"/>
        </w:rPr>
        <w:t>و طریقیة لواحدة منها، بل فی نفس روایات خبر الثقة شواهد واضحة علی تسلّم العمل بخبر الثقة، و لم یکن الغرض من السؤال إلّا العلم بالصغری، و أنّ فلاناً هل هو ثقة أو لا؟ فراجع مظانّها تجد شواهد علی ما ادّعیناه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الأمارات مقام القطع بأقسامه ممّا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 العقلاء بالطرق المتداولة حال عدم العلم لیس من باب قیامها مقام العلم، بل من باب أنّها إحدی الطرق الموصلة غالباً إلی الواقع، من دون التفات إلی التنزیل و القیام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القطع طریق عقلی مقدّم علی الطرق العقلائیة، و العقلاء إنّما یعملون بها عند فقد القطع، و ذلک لا یستلزم کون عملهم من باب قیامها مقامه حتّی یکون الطریق منحصراً بالقطع عندهم، و یکون العمل بغیره بعنایة التنزیل و القیام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العقلاء بالطرق لیس من باب أنّها منزّلة مقام العلم، بل لو فرضنا عدم وجود العلم فی العالم کانوا عاملین بها، من غیر التفات إلی جعل و تنزیل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کلمات المشایخ من القول بأنّ الشارع جعل المؤدّی منزلة الواقع تارة أو تمّم کشفه أو جعل الظنّ علماً فی مقام الشارعیة أو أعطاه مقام الطریقیة و غیرها، لا تخلو عن مسامحة؛ فإنّها أشبه شی‌ء بالخطابة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بالأمارات عند فقد القطع الطریقی لیس إلّا لکونها إحدی الأفراد التی یتوصّل بها إلی إحراز الواقع، من دون أن یکون نائباً أو فرعاً لشی‌ء أو قائماً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الکلام أنّ القطع تارة یؤخذ بما أنّه أحد الکواشف، و اخری بما أنّه کاشف تامّ، و ثالثة بما أنّه من الأوصاف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مأخوذاً فی الموضوع تماماً أو جزءًا علی النحو الأوّل فلا شکّ فی أنّه یعمل بها عند فقد القطع، لا لأجل قیامها مقامه بل لأجل أنّ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مصادیق الموضوع مصداقاً حقیقیاً، و إذا اخذ بما أنّه کاشف تامّ أو صفة مخصوصة فلا شکّ فی عدم جواز ترتیب الأثر لفقدان ما هو الموضوع عند الشارع؛ لأنّ الظنّ لیس کشفاً تامّاً، و أنّ عمل العقلاء علی الأمارات لیس إلّا لأجل کونها کواشف عن الواقع، من دون أن یلاحظ صفة اخری، بلا فرق بین تمام الموضوع و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أفاده بعض أعاظم العصر؛ فإنّه قدس سره مع أنّه قد اعترف بأنّه لیس للشارع فی تلک الطرق العقلائیة تأسیس أصلًا</w:t>
      </w:r>
      <w:r>
        <w:rPr>
          <w:rStyle w:val="FootnoteAnchor"/>
          <w:rtl w:val="true"/>
        </w:rPr>
        <w:footnoteReference w:id="401"/>
      </w:r>
      <w:r>
        <w:rPr>
          <w:rFonts w:ascii="IRNazanin" w:hAnsi="IRNazanin" w:eastAsia="IRNazanin"/>
          <w:color w:val="111111"/>
          <w:sz w:val="28"/>
          <w:sz w:val="28"/>
          <w:szCs w:val="28"/>
          <w:rtl w:val="true"/>
          <w:lang w:bidi="fa-IR"/>
        </w:rPr>
        <w:t>قد أتی بما لا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القطع یجتمع جهات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کونه قائمة بنفس العالم؛ من حیث إنشاء النفس فی صقعها الداخلی صورة علی طبق ذی الصورة، وجهة کشفه عن المعلوم، و إراءته للواقع، وجهة البناء و الجری العملی علی وفق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المجعول فی باب الطرق هی الجهة الثانیة؛ فإنّ المجعول فیها نفس الطریقیة و المحرزیة و الکاشفیة، و فی الاصول هی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الطرق علی الأحکام الواقعیة لیست الحکومة الواقعیة،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الحکومة ظاهریة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الواقعیة توجب التوسعة و التضییق فی الموضوع الواقعی؛ بحیث یتحقّق</w:t>
      </w:r>
    </w:p>
    <w:p>
      <w:pPr>
        <w:pStyle w:val="BookText"/>
        <w:rPr/>
      </w:pPr>
      <w:r>
        <w:rPr>
          <w:rFonts w:ascii="IRNazanin" w:hAnsi="IRNazanin" w:eastAsia="IRNazanin"/>
          <w:color w:val="111111"/>
          <w:sz w:val="28"/>
          <w:sz w:val="28"/>
          <w:szCs w:val="28"/>
          <w:rtl w:val="true"/>
          <w:lang w:bidi="fa-IR"/>
        </w:rPr>
        <w:t>هناک موضوع آخر واقعی فی عرض الموضوع الأوّلی، و هذا بخلاف الظاهریة؛ إذ لیس فیها توسعة و تضییق إلّا بناءً علی جعل المؤدّی الذی یرجع إلی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المختار من جعل الطریقیة فلیس هناک توسعة و تضییق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حکومتها إنّما یکون باعتبار وقوعها فی طریق إحراز الواقع فی رتبة الجهل به، فیکون المجعول فی طول الواقع لا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ذکرنا یظهر قیام الأمارات مقام القطع الطریقی مطلقاً؛ و لو کان مأخوذاً فی الموضوع و عدم قیامها مقام القطع الوصفی</w:t>
      </w:r>
      <w:r>
        <w:rPr>
          <w:rStyle w:val="FootnoteAnchor"/>
          <w:rtl w:val="true"/>
        </w:rPr>
        <w:footnoteReference w:id="402"/>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و سیمرّ تفصیله عند البحث عن حجّیة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عن جعل الحجّیة و الطریقیة و تتمیم الکشف فی الأخبار و الآیات خبر و لا أثر، و أنّ العمل بالأخبار کان أمراً مسلّماً منذ قرون قبل الإسلام، منذ قام للإنسانیة عمود التمدّن، و أنّ الشارع الصادع بالحقّ ترک أتباعه علی ما کانوا علیه، قبل أن ینسلکوا فی سلک الإسلام، بلا جعل و لا تأسیس و لا إمضاء لفظی، و أنّ کلّما ورد من الروایات من التصریحات إنّما هو لتشخیص الصغری و ما هو موضوع لهذه 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قد اعترف کراراً علی أنّه لیس للشارع فی تلک الطرق العقلائیة تأسیس أصلًا، و لکنّه قد أسّس فی تقریراته هذا البنیان الرفیع الذی لا یخرج عن حیطة التصوّر إلی مقام آخر إلّا بأدلّة محکمة، و لیست منها فی الأخبار عین و لا أثر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الحکومة إلی ظاهریة و واقعیة تقسیم لها باعتبار متعلّقها،</w:t>
      </w:r>
      <w:bookmarkStart w:id="450" w:name="pg12907_206792"/>
    </w:p>
    <w:p>
      <w:pPr>
        <w:pStyle w:val="BookText"/>
        <w:rPr/>
      </w:pPr>
      <w:bookmarkEnd w:id="450"/>
      <w:r>
        <w:rPr>
          <w:rFonts w:ascii="IRNazanin" w:hAnsi="IRNazanin" w:eastAsia="IRNazanin"/>
          <w:color w:val="111111"/>
          <w:sz w:val="28"/>
          <w:sz w:val="28"/>
          <w:szCs w:val="28"/>
          <w:rtl w:val="true"/>
          <w:lang w:bidi="fa-IR"/>
        </w:rPr>
        <w:t>و هو لیس من التقسیمات المعتبرة، و إلّا لکثرت الأقسام حسب کثرة التعلّق، فإنّ المتّصف بالظاهریة و الواقعیة إنّما هی الأحکام دون الحکومة؛ فإنّ الحکومة قد تکون متعلّقها الأدلّة الواقعیة، مثل</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متعلّقها غیر الأحکام الواقعیة، کما فی الأمثلة التی ذکره قدس سره</w:t>
      </w:r>
      <w:r>
        <w:rPr>
          <w:rFonts w:eastAsia="IRNazanin" w:cs="IRNazanin"/>
          <w:color w:val="111111"/>
          <w:sz w:val="28"/>
          <w:szCs w:val="28"/>
          <w:rtl w:val="true"/>
          <w:lang w:bidi="fa-IR"/>
        </w:rPr>
        <w:t>.</w:t>
      </w:r>
    </w:p>
    <w:p>
      <w:pPr>
        <w:pStyle w:val="Heading6"/>
        <w:numPr>
          <w:ilvl w:val="5"/>
          <w:numId w:val="1"/>
        </w:numPr>
        <w:rPr/>
      </w:pPr>
      <w:bookmarkStart w:id="451" w:name="__RefHeading___Toc3346554_3224264995"/>
      <w:bookmarkStart w:id="452" w:name="_Toc170"/>
      <w:bookmarkEnd w:id="451"/>
      <w:r>
        <w:rPr>
          <w:rtl w:val="true"/>
        </w:rPr>
        <w:t>قیام الاصول مقام القطع بأقسامه</w:t>
      </w:r>
      <w:bookmarkEnd w:id="452"/>
    </w:p>
    <w:p>
      <w:pPr>
        <w:pStyle w:val="BookText"/>
        <w:rPr/>
      </w:pPr>
      <w:r>
        <w:rPr>
          <w:rFonts w:ascii="IRNazanin" w:hAnsi="IRNazanin" w:eastAsia="IRNazanin"/>
          <w:color w:val="111111"/>
          <w:sz w:val="28"/>
          <w:sz w:val="28"/>
          <w:szCs w:val="28"/>
          <w:rtl w:val="true"/>
          <w:lang w:bidi="fa-IR"/>
        </w:rPr>
        <w:t>أمّا غیر المحرزة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یظهر من أدلّتها أنّها وظائف مقرّرة للجاهل عند تحیّره و جهله بالواقع، کأصالتی الطهارة و الحلّیة و أشباههما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لقیامها مقام القطع مطلقاً؛ لعدم وجه التنزیل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المحرزة و الاصول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الاستصحاب و قاعدة التجاوز و الید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لنا أن نتعرّض حالها حسب اقتضاء المقام</w:t>
      </w:r>
      <w:r>
        <w:rPr>
          <w:rFonts w:eastAsia="IRNazanin" w:cs="IRNazanin"/>
          <w:color w:val="111111"/>
          <w:sz w:val="28"/>
          <w:szCs w:val="28"/>
          <w:rtl w:val="true"/>
          <w:lang w:bidi="fa-IR"/>
        </w:rPr>
        <w:t>:</w:t>
      </w:r>
    </w:p>
    <w:p>
      <w:pPr>
        <w:pStyle w:val="Heading6"/>
        <w:numPr>
          <w:ilvl w:val="5"/>
          <w:numId w:val="1"/>
        </w:numPr>
        <w:rPr/>
      </w:pPr>
      <w:bookmarkStart w:id="453" w:name="__RefHeading___Toc3346556_3224264995"/>
      <w:bookmarkStart w:id="454" w:name="_Toc171"/>
      <w:bookmarkEnd w:id="453"/>
      <w:r>
        <w:rPr>
          <w:rtl w:val="true"/>
        </w:rPr>
        <w:t>مفاد الاستصحاب و قاعدة التجاوز</w:t>
      </w:r>
      <w:bookmarkEnd w:id="454"/>
    </w:p>
    <w:p>
      <w:pPr>
        <w:pStyle w:val="BookText"/>
        <w:rPr/>
      </w:pP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کونه أمارة شرعیة علی إثبات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جهة کشف و طریقیة، فإنّ ما لا یکون له جهة کشف أصلًا لا یصلح للأماریة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بنفسه أمارة عقلیة أو عقلائیة، فإنّ الواجد للأماریة لا معنی لجعله أمارة؛ فإنّه من قبیل تحصیل الحاصل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العنایة فی جعله إلی الکاشفیة و الطریقیة</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لا شکّ أنّ الاستصحاب فیه جهة کشف عن الواقع، فإنّ الیقین بالحالة السابقة له جهة کشف عن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یرجع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یدوم، و هو فی الآن اللاحق لیس کالشکّ المحض غیر القابل للأماریة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الجهة الثانیة أیضاً موجودة، فإنّ بناء العقلاء لیس علی کون الاستصحاب کاشفاً عن متعلّقه؛ و إن ادّعی أنّه لأجل کون شی‌ء له حالة مقطوعة فی السابق</w:t>
      </w:r>
      <w:r>
        <w:rPr>
          <w:rStyle w:val="FootnoteAnchor"/>
          <w:rtl w:val="true"/>
        </w:rPr>
        <w:footnoteReference w:id="404"/>
      </w:r>
      <w:r>
        <w:rPr>
          <w:rFonts w:ascii="IRNazanin" w:hAnsi="IRNazanin" w:eastAsia="IRNazanin"/>
          <w:color w:val="111111"/>
          <w:sz w:val="28"/>
          <w:sz w:val="28"/>
          <w:szCs w:val="28"/>
          <w:rtl w:val="true"/>
          <w:lang w:bidi="fa-IR"/>
        </w:rPr>
        <w:t>إلّا أنّه مجرّد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القریب جدّاً أن یکون ذلک بواسطة احتفافه بأُمور اخر ممّا توجب الاطمئنان و الوثوق، لا لمجرّد القطع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عمل العقلاء بالاستصحاب فی معاملاتهم و سیاساتهم لأجل کونه ذات کشف عن الواقع؛ کشفاً ضعیفاً بلا ملاحظة قرائن محفوفة توجب الوثوق حتّی یکون أمارة عقلائیة کخبر الثقة، و یکون ذاک مانعاً عن تعلّق 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ثبت تلک الجهة لانسلک الاستصحاب فی عداد الأمارات الشرعیة مقابل الأمارات العقلائیة، و یمکن استظهاره من الکبریات الموجودة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 العنایة فیها بإبقاء الیقین و أنّه فی عالم التشریع و التعبّد موجود، و أنّه لا ینبغی أن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تعطی بظاهرها أنّ الغرض إطالة عمر الیقین السابق، و إعطاء صفة الیقین علی کلّ من کان علی یقین، کما ینادی به قوله علیه السلام فی مضمرة زرارة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من وضوئه، و لا ینقض الیقین بالشکّ أبداً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لا إعطاء صفة الیقین علی الشاکّ بعنوان أنّه شاکّ، و لا جعل الشکّ یقیناً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معنی لإعطاء صفة الکاشفیة و الطریقیة علی الشکّ، و لا إعطاء الیقین علی الشاکّ؛ لأنّ الشکّ لیس له جهة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إطالة عمر الیقین تعبّداً فی عالم التشریع، و قد عرفت أماریة الیقین السابق بالنسبة إلی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قد أطلنا الکلام سابقاً فی النقض و الإبرام بذکر إشکالات و تفصّیات فی المقام</w:t>
      </w:r>
      <w:r>
        <w:rPr>
          <w:rStyle w:val="FootnoteAnchor"/>
          <w:rtl w:val="true"/>
        </w:rPr>
        <w:footnoteReference w:id="406"/>
      </w:r>
      <w:r>
        <w:rPr>
          <w:rFonts w:ascii="IRNazanin" w:hAnsi="IRNazanin" w:eastAsia="IRNazanin"/>
          <w:color w:val="111111"/>
          <w:sz w:val="28"/>
          <w:sz w:val="28"/>
          <w:szCs w:val="28"/>
          <w:rtl w:val="true"/>
          <w:lang w:bidi="fa-IR"/>
        </w:rPr>
        <w:t>، لکن التحقیق أنّه لیس أمارة شرعیة، بل هو أصل تعبّدی کما علیه المشایخ</w:t>
      </w:r>
      <w:r>
        <w:rPr>
          <w:rStyle w:val="FootnoteAnchor"/>
          <w:rtl w:val="true"/>
        </w:rPr>
        <w:footnoteReference w:id="407"/>
      </w:r>
      <w:r>
        <w:rPr>
          <w:rFonts w:ascii="IRNazanin" w:hAnsi="IRNazanin" w:eastAsia="IRNazanin"/>
          <w:color w:val="111111"/>
          <w:sz w:val="28"/>
          <w:sz w:val="28"/>
          <w:szCs w:val="28"/>
          <w:rtl w:val="true"/>
          <w:lang w:bidi="fa-IR"/>
        </w:rPr>
        <w:t>لأنّ الجهة الاولی من الجهات اللازمة فی أماریة الشی‌ء مفقودة فی الاستصحاب؛ لأنّ کون الیقین السابق کاشفاً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شی‌ء؛ لأنّ الیقین لا یعقل أن یکون کاشفاً عن شی‌ء فی زمان زواله، و المفروض کون المکلّف حین الاستصحاب شاکّاً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وجود المستصحب فیما له اقتضاء بقاء کاشفاً ناقصاً عن بقائه؛ بمعنی حصول الظنّ منه بالنسبة إلی بقائه، لکنّه أجنبی عن أماریة الیقین السابق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الثالثة أیضاً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العنایة فی الروایات لیست إلی جهة الکشف و الطریقیة؛ أی إلی أنّ الکون السابق کاشف عن البقاء حتّی یصحّ جعله أمارة؛ لما عرفت أنّ الکون السابق یحصل منه مرتبة من الظنّ، بل العنایة إلی أنّ الیقین لکونه</w:t>
      </w:r>
    </w:p>
    <w:p>
      <w:pPr>
        <w:pStyle w:val="BookText"/>
        <w:rPr/>
      </w:pPr>
      <w:r>
        <w:rPr>
          <w:rFonts w:ascii="IRNazanin" w:hAnsi="IRNazanin" w:eastAsia="IRNazanin"/>
          <w:color w:val="111111"/>
          <w:sz w:val="28"/>
          <w:sz w:val="28"/>
          <w:szCs w:val="28"/>
          <w:rtl w:val="true"/>
          <w:lang w:bidi="fa-IR"/>
        </w:rPr>
        <w:t>أمراً مبرماً لا ینبغی أن ینقض بالشکّ الذی لیس له إبرام، و قد عرفت أنّ الیقین السابق لیس له أدنی أماریة بالنسبة إلی حالة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تعرّض له الأخبار و کان مورد العنایة فیها لیس له جهة کشف مطلقاً، و ما له جهة کشف موجب للظنّ یکون أجنبیاً عن مفادها، فلا محیص عن الذهاب إلی ما علیه الأساتذة من أنّه أصل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العقلائی الذی ینظر إلیه کلام الأقدمین</w:t>
      </w:r>
      <w:r>
        <w:rPr>
          <w:rStyle w:val="FootnoteAnchor"/>
          <w:rtl w:val="true"/>
        </w:rPr>
        <w:footnoteReference w:id="408"/>
      </w:r>
      <w:r>
        <w:rPr>
          <w:rFonts w:ascii="IRNazanin" w:hAnsi="IRNazanin" w:eastAsia="IRNazanin"/>
          <w:color w:val="111111"/>
          <w:sz w:val="28"/>
          <w:sz w:val="28"/>
          <w:szCs w:val="28"/>
          <w:rtl w:val="true"/>
          <w:lang w:bidi="fa-IR"/>
        </w:rPr>
        <w:t>فهو غیر مفاد الروایات، بل هو عبارة عن الکون السابق الکاشف عن البقاء فی زمن اللاحق، و قد عرفت أنّ بناء العقلاء لیس علی ترتیب الآثار بمجرّد الکون السابق ما لم یحصل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علی العمل لیس لأجل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عدم الاعتناء بالاحتمال الضعیف المقابل للوثوق، کما فی سائر الطرق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فالکبری المجعولة فیها بعد إرجاع الأخبار بعضها إلی بعض وجوب المضیّ العملی و عدم الاعتناء بالشکّ و البناء علی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بعض الأخبار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یوهم أنّها بصدد إسقاط الشکّ اللازم منه إعطاء الکاشفیة لکنّه إشعار ضعیف لا ینبغی الاعتداد به، و الظاهر من مجموع الأخبار لیس إلّا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یکشف عنه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أشکّ و أنا ساجد، فلا أدری رکعت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bookmarkStart w:id="455" w:name="pg12907_206796"/>
    </w:p>
    <w:p>
      <w:pPr>
        <w:pStyle w:val="BookText"/>
        <w:rPr/>
      </w:pPr>
      <w:bookmarkEnd w:id="455"/>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العنایة فی الجعل فی القاعدة هی عدم الاعتناء عملًا و المضی العملی و البناء علی الإتیان، و هو المراد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مفاد الاستصحاب و قاعدة التجاوز</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346558_3224264995"/>
      <w:bookmarkStart w:id="457" w:name="_Toc172"/>
      <w:bookmarkEnd w:id="456"/>
      <w:r>
        <w:rPr>
          <w:rtl w:val="true"/>
        </w:rPr>
        <w:t>قیام الاستصحاب و قاعدة التجاوز مقام القطع بأقسامه</w:t>
      </w:r>
      <w:bookmarkEnd w:id="457"/>
    </w:p>
    <w:p>
      <w:pPr>
        <w:pStyle w:val="BookText"/>
        <w:rPr/>
      </w:pPr>
      <w:r>
        <w:rPr>
          <w:rFonts w:ascii="IRNazanin" w:hAnsi="IRNazanin" w:eastAsia="IRNazanin"/>
          <w:color w:val="111111"/>
          <w:sz w:val="28"/>
          <w:sz w:val="28"/>
          <w:szCs w:val="28"/>
          <w:rtl w:val="true"/>
          <w:lang w:bidi="fa-IR"/>
        </w:rPr>
        <w:t>و أمّا قیام القاعدتین مقام القطع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وافاک أنّ القطع قد یؤخذ علی نحو الطریقیة التامّة، و قد یؤخذ علی نحو الوصفیة، و قد یؤخذ علی الطریقیة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 قد یکون المأخوذ تمام الموضوع، و قد یکون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فی عدم قیام الطرق العقلائیة مقام القطع المأخوذ علی نحو الکاشفیة التامّة و لا علی نحو الوصفیة، و أمّا المأخوذ علی نحو الکاشف المطلق فالأمارات تقوم مقامه، لا من جهة النیابة، بل لأنّها مصداق واقعی للموضوع فی عرض القطع، کما تقدّم بیانه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بأماریته فلا وجه لقیامه مقام القطع الوصفی؛ إذ لا جامع بین الوسطیة فی الإثبات و القطع المأخوذ علی وجه الوصفیة، و أدلّة حجّیة الاستصحاب قاصرة عن هذا التنزیل، بل یمکن دعوی استحالة قیامه مقام القطع الوصفی؛ لاستلزامه الجمع بین اللحاظین المتباینین علی ما مرّ بیانه، علی إشکال منّا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القطع الطریقی المأخوذ بنحو کمال الطریقیة أو المشترکة فیقوم الاستصحاب بنفس أدلّته مقام القطع فیما إذا کان القطع تمام الموضوع فیما إذا کان</w:t>
      </w:r>
    </w:p>
    <w:p>
      <w:pPr>
        <w:pStyle w:val="BookText"/>
        <w:rPr/>
      </w:pPr>
      <w:r>
        <w:rPr>
          <w:rFonts w:ascii="IRNazanin" w:hAnsi="IRNazanin" w:eastAsia="IRNazanin"/>
          <w:color w:val="111111"/>
          <w:sz w:val="28"/>
          <w:sz w:val="28"/>
          <w:szCs w:val="28"/>
          <w:rtl w:val="true"/>
          <w:lang w:bidi="fa-IR"/>
        </w:rPr>
        <w:t>للمقطوع أثر آخر یکون التعبّد بلحاظه؛ فإنّ مفاد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صفة الیقین و إطالة عمره، فالمستصحب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الاستصحاب ذو یقین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إذا کان مأخوذاً بنحو الجزئیة؛ فإنّ نفس الأدلّة یکفی لإثبات الجزءین، من غیر احتیاج إلی دلیل آخر؛ فإنّ إطالة عمر الیقین هو الکشف عن الواقع و إحرازه، فالواقع محرز بنفس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بالذات هو إطالة عمر الیقین، و لازمه العرفی إحراز الواقع، لکن إطلاق القیام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تسامح، بل یکون الاستصحاب مصداقاً حقیقیاً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فقیامه مقام القطع الطریقی مطلقاً غیر بعید؛ لأنّ الکبری المجعولة فیه إمّا یکون مفادها التعبّد ببقاء الیقین عملًا و أثراً، و إمّا التعبّد بلزوم ترتیب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تکون حاکمة علی ما اخذ فیه القطع الطریقی موضوعاً، لا لما ذکره بعض أعاظم العصر</w:t>
      </w:r>
      <w:r>
        <w:rPr>
          <w:rStyle w:val="FootnoteAnchor"/>
          <w:rtl w:val="true"/>
        </w:rPr>
        <w:footnoteReference w:id="411"/>
      </w:r>
      <w:r>
        <w:rPr>
          <w:rFonts w:ascii="IRNazanin" w:hAnsi="IRNazanin" w:eastAsia="IRNazanin"/>
          <w:color w:val="111111"/>
          <w:sz w:val="28"/>
          <w:sz w:val="28"/>
          <w:szCs w:val="28"/>
          <w:rtl w:val="true"/>
          <w:lang w:bidi="fa-IR"/>
        </w:rPr>
        <w:t>، بل لأنّ مفاده لو کان هو التعبّد ببقاء الیقین یصیر حاکماً علیه، کحکومة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یقوم مقامه بنتیجة التحکیم،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قیامها مقام القطع الوصفی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قصور أدلّتها عن إثبات قیامه مقامه؛ لأنّ الظاهر منها الیقین الطریقی، فلا إطلاق فیها بالنسبة إلی الوصفی؛ و إن کان لا یمتنع الجمع بینهما،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دلیل تلک القاعدة قاصر عن إقامتها مقام القطع الموضوعی بأقسامه؛ لأنّ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المضیّ تعبّداً، و البناء علی الوجود کذلک، و هذا أجنبی عن القیام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 القطع طریقاً محضاً و یکون نفس الواقع بما هو هو موضوع الحکم لا یبعد إحرازه بالقاعدة، لا بقیامها مقام القطع الطریقی، بل بنتیجة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للقطع جهات، و الجهة الثالثة منها جهة البناء و الجری العملی علی وفق العلم؛ حیث إنّ العلم بوجود الأسد یقتضی الفرار عنه، و المجعول فی الاصول المحرزة هی هذه الجهة، فهی قائمة مقام القطع الطریقی بأقسامه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البناء علی الوجود لا یقتضی القیام مقام القطع، و لیس فی الأدلّة ما یستشمّ منها أنّ الجعل بعنایة التنزیل مقام القطع فی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القاعدة و القطع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التنزیل و القیام مقامه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قیام القاعدة مقام القطع کونها محرزة للواقع کالقطع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أنّها محرزة تعبّداً و هو محرز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لکنّه لا یوجب قیامها مقام القطع الموضوعی بأقسامه، بل إطلاق القیام مقامه فی الطریقی المحض أیضاً خلاف الواقع، و إن کان المراد هو القیام بمعناه المنظور ففیها منع، منشؤه قصور الأدلّة، فراجعها</w:t>
      </w:r>
      <w:r>
        <w:rPr>
          <w:rFonts w:eastAsia="IRNazanin" w:cs="IRNazanin"/>
          <w:color w:val="111111"/>
          <w:sz w:val="28"/>
          <w:szCs w:val="28"/>
          <w:rtl w:val="true"/>
          <w:lang w:bidi="fa-IR"/>
        </w:rPr>
        <w:t>.</w:t>
      </w:r>
      <w:bookmarkStart w:id="458" w:name="pg12907_206799"/>
    </w:p>
    <w:p>
      <w:pPr>
        <w:pStyle w:val="Heading4"/>
        <w:numPr>
          <w:ilvl w:val="3"/>
          <w:numId w:val="1"/>
        </w:numPr>
        <w:rPr/>
      </w:pPr>
      <w:bookmarkStart w:id="459" w:name="__RefHeading___Toc3346560_3224264995"/>
      <w:bookmarkStart w:id="460" w:name="_Toc173"/>
      <w:bookmarkEnd w:id="458"/>
      <w:bookmarkEnd w:id="459"/>
      <w:r>
        <w:rPr>
          <w:rtl w:val="true"/>
        </w:rPr>
        <w:t>الأمر الرابع فی الموافقة الالتزامیة</w:t>
      </w:r>
      <w:bookmarkEnd w:id="460"/>
    </w:p>
    <w:p>
      <w:pPr>
        <w:pStyle w:val="Heading5"/>
        <w:numPr>
          <w:ilvl w:val="4"/>
          <w:numId w:val="1"/>
        </w:numPr>
        <w:rPr/>
      </w:pPr>
      <w:bookmarkStart w:id="461" w:name="__RefHeading___Toc3346562_3224264995"/>
      <w:bookmarkStart w:id="462" w:name="_Toc174"/>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و توضیحها یتوقّف علی بیان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الاعتقادیة علی أقسام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ثبتت بالبرهان العقلی القطعی، و یستقلّ العقل فی إثباتها و نفی غیرها، من دون أن یستمدّ من الکتاب و السنّة، کوجود المبدأ و توحیده و صفاته الکمالیة و تنزیهه من النقائص و الحشر و النشر و کونه جسمانیاً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مبرهن فی محلّه و عند أهله</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النبوّة العامّة و ما ضاهاها من العقلیات المستقلّة التی لا یستأهل لنقضه و إبرامه و إثباته و نفیه غیر العقل؛ حتّی لو وجدنا فی الکتاب و السنّة ما یخالفه ظاهراً فلا محیص عن تأویله أو ردّ علمه إلی أهله، کما امرنا بذلک</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بضرورة الأدیان أو دین الإسلام، کالمباحث الراجعة إلی بعض خصوصیات المعاد و الجنّة و النار و الخلود فیهما و ما ضاهاها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بالقرآن و الروایات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نجد فیها إلّا روایات آحاد قد توجب العلم و الاطمئنان أحیاناً، و اخری لا 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الاصول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الفرعیة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ثابتة بضرورة الدین أو المذهب، و اخری بظواهر الکتاب و السنّة؛ آحادها أو متواترها، و ربّما تثبت بالعقل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کالحبّ و البغض و الخضوع و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اموراً اختیاریة حاصلة فی النفس بإرادة منها و اختیار، بل وجودها فی النفس إنّما تتبع لوجود مبادئها؛ فإنّ لکلّ من هذه العوارض مبادٍ و عللٍ تستدعی وجود تلک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العلم بوجود البارئ و عظمته و قهّاریته یوجب الخضوع و الخشوع لدی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کبریاؤه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الخوف من مقامه و العلم برحمته الواسعة وجوده الشامل، و قدرته النافذة یوجب الرجاء و الوثوق و التطلّب و التذلّل، و کلّما کملت المبادئ کملت النتائج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العوارض نتائج قهریة لا تستتبعه إرادة و لا اختیار، و إنّما یدور مدار وجود مبادئها المقرّرة فی محلّه و عند أهله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أهمّ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التسلیم القلبی و الانقیاد الجنانی و الاعتقاد الجزمی لأمر من الامور لا تحصل بالإرادة و الاختیار، من دون حصول مقدّماتها</w:t>
      </w:r>
    </w:p>
    <w:p>
      <w:pPr>
        <w:pStyle w:val="BookText"/>
        <w:rPr/>
      </w:pPr>
      <w:r>
        <w:rPr>
          <w:rFonts w:ascii="IRNazanin" w:hAnsi="IRNazanin" w:eastAsia="IRNazanin"/>
          <w:color w:val="111111"/>
          <w:sz w:val="28"/>
          <w:sz w:val="28"/>
          <w:szCs w:val="28"/>
          <w:rtl w:val="true"/>
          <w:lang w:bidi="fa-IR"/>
        </w:rPr>
        <w:t>و 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حصول عللها و أسبابها یمتنع تخلّف الالتزام و الانقیاد القلبی عند حصول مبادئها، و یمتنع الاعتقاد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فتخلّفها عن المبادئ ممتنع، کما أنّ حصولها بدونها أیضاً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المطلب و ما تقدّمه أوضح من أن یخفی؛ إذ البحث فی المتقدّم عن الکبری الکلّیة من أنّ العوارض القلبیة لا تحصل بالإرادة و الاختیار، و هنا عن الصغری الجزئیة لهذه القاعدة؛ و هی أنّ التسلیم و الانقیاد من العوارض القلبیة، یمتنع حصولها بلا مبادئها، کما یمتنع حصول أضدادها عند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قام عنده البرهان الواضح بوجود المبدأ المتعال و وحدته لا یمکن له عقد القلب عن صمیمه؛ بعدم وجوده و عدم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قام عنده البرهان الریاضی علی أنّ زوایا المثلّث مساویة لقائمتیه یمتنع مع وجود هذه المبادئ عقد القلب علی عدم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یمکن الالتزام علی ضدّ أمر تکوینی مقطوع به فکذلک لا یمکن عقد القلب علی ضدّ أمر تشریعی ثبت بالدلیل القطعی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مانع من إنکاره ظاهراً و جحده لساناً لا جناناً و اعتقاداً، و إلیه یشیر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الکفر الجحودی یرجع إلی الالتزام القلبی علی خلاف الیقین الحاصل فی نفسه</w:t>
      </w:r>
      <w:r>
        <w:rPr>
          <w:rStyle w:val="FootnoteAnchor"/>
          <w:rtl w:val="true"/>
        </w:rPr>
        <w:footnoteReference w:id="418"/>
      </w:r>
      <w:r>
        <w:rPr>
          <w:rFonts w:ascii="Amiri" w:hAnsi="Amiri" w:eastAsia="Amiri" w:cs="Amiri"/>
          <w:color w:val="111111"/>
          <w:sz w:val="28"/>
          <w:sz w:val="28"/>
          <w:szCs w:val="28"/>
          <w:rtl w:val="true"/>
          <w:lang w:bidi="ar-SA"/>
        </w:rPr>
        <w:t>، فاسد جدّاً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الحقّ القراح فی هذا المطلب، من غیر فرق بین الاصول الاعتقادیة</w:t>
      </w:r>
    </w:p>
    <w:p>
      <w:pPr>
        <w:pStyle w:val="BookText"/>
        <w:rPr/>
      </w:pPr>
      <w:r>
        <w:rPr>
          <w:rFonts w:ascii="IRNazanin" w:hAnsi="IRNazanin" w:eastAsia="IRNazanin"/>
          <w:color w:val="111111"/>
          <w:sz w:val="28"/>
          <w:sz w:val="28"/>
          <w:szCs w:val="28"/>
          <w:rtl w:val="true"/>
          <w:lang w:bidi="fa-IR"/>
        </w:rPr>
        <w:t>و الفروع العلمیة، من غیر فرق أیضاً بین أن یقوم علیها برهان عقلی أو ثبت بضرورة الکتاب و السنّة أو قام علیه الأدلّة الثابتة حجّیتها بأدلّة قطعیة؛ من الأدلّة الاجتهادیة و الفقاهیة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قام الحجّة عند المکلّف علی نجاسة الغسالة و حرمة استعمالها یمتنع علیه أن یعقّد القلب علی خلافها أو یلتزم جدّاً علی طهارته، إلّا أن یرجع إلی تخطئة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الموافقة الالتزامیة و حرمة التشریع لا یرجع إلی محصّل إن کان المراد من التشریع هو البناء و الالتزام القلبی علی کون حکم من الشارع، مع العلم بأنّه لم یکن من الشرع، أو لم یعلم کونه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وجوب الموافقة؛ و هو عقد القلب اختیاراً علی الاصول و العقائد و الفروع الثابتة بأدلّتها القطعیة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التشریع بهذا المعنی أمر غیر معقول، بل لا یتحقّق من القاطع حتّی یتعلّق به النهی، کما أنّ الاعتقاد بکلّ ما ثبت بالأدلّة أمر قهری تتبع مبادئها، و یوجد غِبّ عللها بلا إرادة و اختیار، و لا یمکن التخلّف عنها و لا للحاصل له مخالفتها، فلا یصحّ تعلّق التکلیف لأمر یستحیل وجوده، أو یجب وجوده بلا إرادة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التظاهر و التدیّن ظاهراً و عملًا بشی‌ء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علیه و کذباً علی اللَّه و رسوله و 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ممکن محرّم لا کلام فیه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الموافقة الالتزامیة عین وجوب العقد و التصمیم اختیاراً علی الأحکام، و الفروع الثابتة من الشرع بعد قیام الحجّة أمر غیر معقول لا تقع</w:t>
      </w:r>
    </w:p>
    <w:p>
      <w:pPr>
        <w:pStyle w:val="BookText"/>
        <w:rPr/>
      </w:pPr>
      <w:r>
        <w:rPr>
          <w:rFonts w:ascii="IRNazanin" w:hAnsi="IRNazanin" w:eastAsia="IRNazanin"/>
          <w:color w:val="111111"/>
          <w:sz w:val="28"/>
          <w:sz w:val="28"/>
          <w:szCs w:val="28"/>
          <w:rtl w:val="true"/>
          <w:lang w:bidi="fa-IR"/>
        </w:rPr>
        <w:t>مصبّ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کلامهم علی وجوب تحصیل مقدّمات الموافقة الالتزامیة و حرمة تحصیل مقدّمات خلافها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منه هو البناء القلبی علی الالتزام العملی و إطاعة أمر مولاه، و یقابله البناء علی المخالفة العملیة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معقولان یعدّان من شعب الانقیاد و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 إلیه سیّد الأساتذة، المحقّق الفشارکی رحمه الله من وجود التجزّم فی القضایا الکاذبة علی طبقها؛ حتّی جعله قدس سره مناطاً لصیرورة القضایا ممّا یصحّ السکوت علیها، و أنّ العقد القلبی علیها یکون جعلیاً اختیاریاً</w:t>
      </w:r>
      <w:r>
        <w:rPr>
          <w:rStyle w:val="FootnoteAnchor"/>
          <w:rtl w:val="true"/>
        </w:rPr>
        <w:footnoteReference w:id="419"/>
      </w:r>
      <w:r>
        <w:rPr>
          <w:rFonts w:ascii="IRNazanin" w:hAnsi="IRNazanin" w:eastAsia="IRNazanin"/>
          <w:color w:val="111111"/>
          <w:sz w:val="28"/>
          <w:sz w:val="28"/>
          <w:szCs w:val="28"/>
          <w:rtl w:val="true"/>
          <w:lang w:bidi="fa-IR"/>
        </w:rPr>
        <w:t>لا یخلو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أوضحه شیخنا العلّامة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حاصل کلامه أنّه کما أنّ العلم قد یتحقّق فی النفس بوجود أسبابه کذلک قد یخلق النفس حالة و صفة علی نحو العلم حاکیة عن الخارج، فإذا تحقّق هذا المعنی فی الکلام یصیر جملة یصحّ السکوت علیها؛ لأنّ تلک الصفة الموجودة یحکی جزماً عن تحقّق فی الخارج</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و الجزم من الامور التکوینیة التی لا توجد فی النفس إلّا بعللها و أسبابها التکوینیة، و لیس من الامور الجعلیة الاعتباریة، و إلّا لزم جواز الجزم فی النفس بأنّ الاثنین نصف الثلاثة، أو أنّ الکلّ أصغر من الجزء، و ما أشبهه من القضایا البدیهیة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الجزم و العلم من الأفعال الاختیاریة؛ حتّی نوجده بالإرادة و الاختیار</w:t>
      </w:r>
      <w:r>
        <w:rPr>
          <w:rFonts w:eastAsia="IRNazanin" w:cs="IRNazanin"/>
          <w:color w:val="111111"/>
          <w:sz w:val="28"/>
          <w:szCs w:val="28"/>
          <w:rtl w:val="true"/>
          <w:lang w:bidi="fa-IR"/>
        </w:rPr>
        <w:t>.</w:t>
      </w:r>
      <w:bookmarkStart w:id="463" w:name="pg12907_206804"/>
    </w:p>
    <w:p>
      <w:pPr>
        <w:pStyle w:val="BookText"/>
        <w:rPr/>
      </w:pPr>
      <w:bookmarkEnd w:id="463"/>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الجزم هو المناط فی القضایا الصادقة و الکاذبة فهو و إن کان حقّاً إلّا أنّ الجزم فی القضایا الصادقة حقیقی واقعی، و فی الکاذبة لیست إلّا صورة الجزم و 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المناط فی الصدق و الکذب هو الإخبار الجزمی و الإخبار عن شی‌ء بصورة الجزم و البتّ، و أمّا التجزّم القلبی فلا ربط له لصحّة السکوت و عدمها، و لا للصدق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أظهر المتکلّم ما هو مقطوع بصورة التردّد فلا یتّصف بالصدق و الکذب و لا یصحّ السکوت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المتکلّم ینشأ حقیقة التردّد فی الذهن، و یصیر مردّداً بلا جعل و اختراع کما تری</w:t>
      </w:r>
      <w:r>
        <w:rPr>
          <w:rFonts w:eastAsia="IRNazanin" w:cs="IRNazanin"/>
          <w:color w:val="111111"/>
          <w:sz w:val="28"/>
          <w:szCs w:val="28"/>
          <w:rtl w:val="true"/>
          <w:lang w:bidi="fa-IR"/>
        </w:rPr>
        <w:t>.</w:t>
      </w:r>
    </w:p>
    <w:p>
      <w:pPr>
        <w:pStyle w:val="Heading5"/>
        <w:numPr>
          <w:ilvl w:val="4"/>
          <w:numId w:val="1"/>
        </w:numPr>
        <w:rPr/>
      </w:pPr>
      <w:bookmarkStart w:id="464" w:name="__RefHeading___Toc3346564_3224264995"/>
      <w:bookmarkStart w:id="465" w:name="_Toc175"/>
      <w:bookmarkEnd w:id="464"/>
      <w:r>
        <w:rPr>
          <w:rtl w:val="true"/>
        </w:rPr>
        <w:t>نقل مقال و توضیح حال</w:t>
      </w:r>
      <w:bookmarkEnd w:id="465"/>
    </w:p>
    <w:p>
      <w:pPr>
        <w:pStyle w:val="BookText"/>
        <w:rPr/>
      </w:pPr>
      <w:r>
        <w:rPr>
          <w:rFonts w:ascii="IRNazanin" w:hAnsi="IRNazanin" w:eastAsia="IRNazanin"/>
          <w:color w:val="111111"/>
          <w:sz w:val="28"/>
          <w:sz w:val="28"/>
          <w:szCs w:val="28"/>
          <w:rtl w:val="true"/>
          <w:lang w:bidi="fa-IR"/>
        </w:rPr>
        <w:t>إنّ بعض الأعیان من المحقّقین رحمه الله ذکر وجهاً لصحّة تعلّق الأمر و النهی بالالتزام و التسلیم،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القلبی ضرب من الوجود النوری، و الوجود فی قبال المقولات؛ و هو من العلوم الفعلیة دون الانفعالیة، و الأفعال القلبیة امور یساعدها الوجدان؛ فإنّ الإنسان کثیراً ما یعلم بأهلیة المنصوب من قِبَل من له النصب، لکنّه لا ینقاد له قلباً، و لا یقرّ به باطناً؛ لخباثة نفسه أو لجهة اخری؛ و إن کان فی مقام العمل یتحرّک بحرکته خوفاً من سوطه و سطوته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کان حال کثیر من الکفّار بالنسبة إلی نبیّنا صلی الله علیه و آله و سلم؛ حیث إنّهم کانوا عالمین بحقیته، کما نطق به القرآن، و مع ذلک لم یکونوا منقادین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ملاک الإیمان الحقیقی نفس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یکونوا مؤمنین به، أو جعل الإیمان الذی هو</w:t>
      </w:r>
    </w:p>
    <w:p>
      <w:pPr>
        <w:pStyle w:val="BookText"/>
        <w:rPr/>
      </w:pPr>
      <w:r>
        <w:rPr>
          <w:rFonts w:ascii="IRNazanin" w:hAnsi="IRNazanin" w:eastAsia="IRNazanin"/>
          <w:color w:val="111111"/>
          <w:sz w:val="28"/>
          <w:sz w:val="28"/>
          <w:szCs w:val="28"/>
          <w:rtl w:val="true"/>
          <w:lang w:bidi="fa-IR"/>
        </w:rPr>
        <w:t>أشرف الکمالات مجرّد الإقرار باللسان؛ حتّی یلزم کفرهم لأجل عدم الإقرار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قدس سره لم یبرهن علی أنّ الالتزام من العلوم الفعلیة دون الانفعالیة، بل من القریب کونه من انفعالات النفس و من الکیفیات الحاصلة لها من المبادئ الموجودة فیها أو حاصلة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الکیفیات النفسانیة</w:t>
      </w:r>
      <w:r>
        <w:rPr>
          <w:rStyle w:val="FootnoteAnchor"/>
          <w:rtl w:val="true"/>
        </w:rPr>
        <w:footnoteReference w:id="422"/>
      </w:r>
      <w:r>
        <w:rPr>
          <w:rFonts w:ascii="IRNazanin" w:hAnsi="IRNazanin" w:eastAsia="IRNazanin"/>
          <w:color w:val="111111"/>
          <w:sz w:val="28"/>
          <w:sz w:val="28"/>
          <w:szCs w:val="28"/>
          <w:rtl w:val="true"/>
          <w:lang w:bidi="fa-IR"/>
        </w:rPr>
        <w:t>محصورة غیر وجیه؛ لعدم قیام برهان علی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فالأشبه أن تکون نحو تلک الحالات من مقولة الکیف، و من الکیفیات النفسانیة التی تنفعل بها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ادّعاه من أنّه ضرب من الوجود، و هو لا یدخل تحت مقولة غیر صحیح؛ لأنّ الموجود فی صقع الإمکان لا یمکن أن یکون موجوداً مطلقاً، فیلزم وجوب وجوده، و هو خلف، بل یکون موجوداً مقروناً بالحدّ و الحدود، فیتألّف من وجود و ماهیة، و یدخل علی وجه التسامح تحت إحدی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لا ینفکّ عن العلم بالشی‌ء، و أنّه یستتبع الالتزام فی کمّه و کیفه فی تفصیله و إجماله علی مقدار علمه، و یوجد ذلک الالتزام فی لوح النفس غبّ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جحد الکفّار لم یکن إلّا جحداً فی الظاهر؛ لعنادهم و عداوتهم و حبّ الرئاسة و العصبیة الجاهلیة، و إلّا فکیف یمکن الإنکار الباطنی مع العلم الوجدانی بالخلاف؟ فهل یمکن إنکار وجود الیوم مع العلم بوجوده؟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ممّا ذکر أن یکون الإیمان هو العلم فقط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w:t>
      </w:r>
      <w:bookmarkStart w:id="466" w:name="pg12907_206806"/>
    </w:p>
    <w:p>
      <w:pPr>
        <w:pStyle w:val="BookText"/>
        <w:rPr/>
      </w:pPr>
      <w:bookmarkEnd w:id="466"/>
      <w:r>
        <w:rPr>
          <w:rFonts w:ascii="IRNazanin" w:hAnsi="IRNazanin" w:eastAsia="IRNazanin"/>
          <w:color w:val="111111"/>
          <w:sz w:val="28"/>
          <w:sz w:val="28"/>
          <w:szCs w:val="28"/>
          <w:rtl w:val="true"/>
          <w:lang w:bidi="fa-IR"/>
        </w:rPr>
        <w:t>کان عالماً بجمیع المعارف، مع أنّه عدّ من الکفّار، کما لا یلزم من ذلک أیضاً کون الانقیاد و التسلیم القلبی حاصلین فی النفس بالاختیار، بل الإیمان عبارة عن مرتبة من العلم الملازم لخضوع القلب للنبوّة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حقیقة العلم و الإیمان فی بعض مسفوراتنا، و أوضحنا فیه أنّ الإیمان لیس مطلق العلم الذی یناله العقل، و یعدّ حظّاً فریداً له، و بما أنّ المقام لا یسع طرح تلک الأبحاث فلیرجع من أراد التفصیل إلی محالّه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عدم کون العلم عین الإیمان کون الالتزام و الانقیاد اختیاریاً متحقّقاً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إمکان تعلّق الوجوب علی الالتزام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فرضنا إمکان التعلّق فالظاهر عدم وجوبه؛ لعدم الدلیل علیه فی الفرعیات نقلًا و لا عقلًا، و عدم اقتضاء التکلیف إلّا الموافقة العملیة، و حکم الوجدان بعدم استحقاق العبد لعقوبتین علی فرض مخالفة التکلیف عملًا و التزاماً، و عدم استحقاقه للعقوبة مع العمل بلا التزام، و استحقاقه لمثوبة واحدة مع العمل و الالتزام</w:t>
      </w:r>
      <w:r>
        <w:rPr>
          <w:rFonts w:eastAsia="IRNazanin" w:cs="IRNazanin"/>
          <w:color w:val="111111"/>
          <w:sz w:val="28"/>
          <w:szCs w:val="28"/>
          <w:rtl w:val="true"/>
          <w:lang w:bidi="fa-IR"/>
        </w:rPr>
        <w:t>.</w:t>
      </w:r>
    </w:p>
    <w:p>
      <w:pPr>
        <w:pStyle w:val="Heading5"/>
        <w:numPr>
          <w:ilvl w:val="4"/>
          <w:numId w:val="1"/>
        </w:numPr>
        <w:rPr/>
      </w:pPr>
      <w:bookmarkStart w:id="467" w:name="__RefHeading___Toc3346566_3224264995"/>
      <w:bookmarkStart w:id="468" w:name="_Toc176"/>
      <w:bookmarkEnd w:id="467"/>
      <w:r>
        <w:rPr>
          <w:rtl w:val="true"/>
        </w:rPr>
        <w:t>کیفیة الالتزام بالأحکام</w:t>
      </w:r>
      <w:bookmarkEnd w:id="46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إنّک قد عرفت</w:t>
      </w:r>
      <w:r>
        <w:rPr>
          <w:rStyle w:val="FootnoteAnchor"/>
          <w:rtl w:val="true"/>
        </w:rPr>
        <w:footnoteReference w:id="424"/>
      </w:r>
      <w:r>
        <w:rPr>
          <w:rFonts w:ascii="IRNazanin" w:hAnsi="IRNazanin" w:eastAsia="IRNazanin"/>
          <w:color w:val="111111"/>
          <w:sz w:val="28"/>
          <w:sz w:val="28"/>
          <w:szCs w:val="28"/>
          <w:rtl w:val="true"/>
          <w:lang w:bidi="fa-IR"/>
        </w:rPr>
        <w:t>أنّ الموافقة الالتزامیة من الامور القهریة التابعة للعلم بالشی‌ء، و لیس من الامور الجعلیة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الموافقة الالتزامیة فی</w:t>
      </w:r>
    </w:p>
    <w:p>
      <w:pPr>
        <w:pStyle w:val="BookText"/>
        <w:rPr/>
      </w:pPr>
      <w:r>
        <w:rPr>
          <w:rFonts w:ascii="IRNazanin" w:hAnsi="IRNazanin" w:eastAsia="IRNazanin"/>
          <w:color w:val="111111"/>
          <w:sz w:val="28"/>
          <w:sz w:val="28"/>
          <w:szCs w:val="28"/>
          <w:rtl w:val="true"/>
          <w:lang w:bidi="fa-IR"/>
        </w:rPr>
        <w:t>الخصوصیات للعلم بالأحکام؛ فإن تعلّق العلم بالحکم تفصیلًا یتعلّق الالتزام تفصیلًا، و إن تعلّق به إجمالًا یصیر الالتزام کذلک، و لو تعلّق العلم بما یتردّد بین المحذورین یکون الالتزام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بنینا علی جواز جعل حکم ظاهری فی مورد الدوران بین المحذورین یکون الالتزام علی طبق الحکم الظاهری غیر منافٍ للالتزام بالحکم الواقعی، کما لا تنافی بین الحکم الواقعی المجعول علی الذات و الحکم الظاهری المجعول بعنوان المشکوک فیه، فکما یمکن جعل الحکمین و العلم بهما یمکن الالتزام بهما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فجریان الاصول لا مانع منه فی الأطراف من ناحیة لزوم الالتزام بالحکم الواقعی، کما أنّ جریانها لا یدفع الالتزام بالحکم الواقعی؛ لمکان الطولیة</w:t>
      </w:r>
      <w:r>
        <w:rPr>
          <w:rStyle w:val="FootnoteAnchor"/>
          <w:rtl w:val="true"/>
        </w:rPr>
        <w:footnoteReference w:id="425"/>
      </w:r>
      <w:bookmarkStart w:id="469" w:name="pg12907_206809"/>
    </w:p>
    <w:p>
      <w:pPr>
        <w:pStyle w:val="Heading4"/>
        <w:numPr>
          <w:ilvl w:val="3"/>
          <w:numId w:val="1"/>
        </w:numPr>
        <w:rPr/>
      </w:pPr>
      <w:bookmarkStart w:id="470" w:name="__RefHeading___Toc3346568_3224264995"/>
      <w:bookmarkStart w:id="471" w:name="_Toc177"/>
      <w:bookmarkEnd w:id="469"/>
      <w:bookmarkEnd w:id="470"/>
      <w:r>
        <w:rPr>
          <w:rtl w:val="true"/>
        </w:rPr>
        <w:t>الأمر الخامس فی العلم الإجمالی</w:t>
      </w:r>
      <w:bookmarkEnd w:id="471"/>
    </w:p>
    <w:p>
      <w:pPr>
        <w:pStyle w:val="Heading5"/>
        <w:numPr>
          <w:ilvl w:val="4"/>
          <w:numId w:val="1"/>
        </w:numPr>
        <w:rPr/>
      </w:pPr>
      <w:bookmarkStart w:id="472" w:name="__RefHeading___Toc3346570_3224264995"/>
      <w:bookmarkStart w:id="473" w:name="_Toc178"/>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التکلیف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إسقاطه بالعمل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هذا البحث طویل الذیل مترامی الأطراف نحیل بعض المباحث إلی مبحث البراءة و الاشتغال، فنقول</w:t>
      </w:r>
      <w:r>
        <w:rPr>
          <w:rFonts w:eastAsia="IRNazanin" w:cs="IRNazanin"/>
          <w:color w:val="111111"/>
          <w:sz w:val="28"/>
          <w:szCs w:val="28"/>
          <w:rtl w:val="true"/>
          <w:lang w:bidi="fa-IR"/>
        </w:rPr>
        <w:t>:</w:t>
      </w:r>
    </w:p>
    <w:p>
      <w:pPr>
        <w:pStyle w:val="Heading5"/>
        <w:numPr>
          <w:ilvl w:val="4"/>
          <w:numId w:val="1"/>
        </w:numPr>
        <w:rPr/>
      </w:pPr>
      <w:bookmarkStart w:id="474" w:name="__RefHeading___Toc3346572_3224264995"/>
      <w:bookmarkStart w:id="475" w:name="_Toc179"/>
      <w:bookmarkEnd w:id="474"/>
      <w:r>
        <w:rPr>
          <w:rtl w:val="true"/>
        </w:rPr>
        <w:t>المقام الأوّل</w:t>
      </w:r>
      <w:r>
        <w:rPr>
          <w:rtl w:val="true"/>
        </w:rPr>
        <w:t xml:space="preserve">: </w:t>
      </w:r>
      <w:r>
        <w:rPr>
          <w:rtl w:val="true"/>
        </w:rPr>
        <w:t>فی ثبوت التکلیف بالعلم الإجمالی</w:t>
      </w:r>
      <w:bookmarkEnd w:id="475"/>
    </w:p>
    <w:p>
      <w:pPr>
        <w:pStyle w:val="Heading6"/>
        <w:numPr>
          <w:ilvl w:val="5"/>
          <w:numId w:val="1"/>
        </w:numPr>
        <w:rPr/>
      </w:pPr>
      <w:bookmarkStart w:id="476" w:name="__RefHeading___Toc3346574_3224264995"/>
      <w:bookmarkStart w:id="477" w:name="_Toc180"/>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فاعلم أنّه قد یطلق العلم الإجمالی و یراد منه القطع الوجدانی بالتکلیف الذی لا یحتمل فیه الخلاف، و لا یحتمل رضا المولی بترکه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علی الحجّة الإجمالیة، کما إذا قامت الدلیل الشرعی علی حرمة الخمر علی نحو الإطلاق، ثمّ علمنا أنّ هذا أو ذاک خمر، فلیس فی هذه الصورة علم قطعی بالحرمة الشرعیة التی لا یرضی الشارع بترکه، بل العلم تعلّق بإطلاق</w:t>
      </w:r>
    </w:p>
    <w:p>
      <w:pPr>
        <w:pStyle w:val="BookText"/>
        <w:rPr/>
      </w:pPr>
      <w:r>
        <w:rPr>
          <w:rFonts w:ascii="IRNazanin" w:hAnsi="IRNazanin" w:eastAsia="IRNazanin"/>
          <w:color w:val="111111"/>
          <w:sz w:val="28"/>
          <w:sz w:val="28"/>
          <w:szCs w:val="28"/>
          <w:rtl w:val="true"/>
          <w:lang w:bidi="fa-IR"/>
        </w:rPr>
        <w:t>الدلیل و الحجّة الشرعیة، و الإجمال فی مصداق ما هو موضوع للحجّة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فالعلم بالحرمة غیر العلم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المناسب للبحث عنه فی المقام هو الأوّل، کما أنّ المناسب لمباحث الاشتغال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المتداول کون العلم علّة تامّة لوجوب الموافقة و حرمة المخالفة القطعیتین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بکونه علّة تامّة بالنسبة إلی الثانیة دون الاولی، و نسب إلی بعضهم جواز المخالفة القطعیة؛ فضلًا عن احتمالها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یهمّنا سرد الأقوال بعد کون المسألة عقلیة محضة، غیر أنّ هذه الأقوال یظهر حالها صحّةً و فساداً بعد ملاحظة ما هو مصبّ النزاع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المقام إنّما هو عن القطع الوجدانی بالتکلیف الفعلی الذی لا یحتمل الخلاف، و یعلم بعدم رضا المولی بترکه، لکن اشتبه متعلّق التکلیف بحسب المصداق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البحث فی باب الاشتغال إنّما هو عن العلم بالحجّة المحتمل صدقها و کذبها، کإطلاق دلیل حرمة الخمر الشامل لصورتی العلم بالتفصیل 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العلم و القطع الوجدانی بالتکلیف علّة تامّة لحرمة المخالفة و وجوب الموافقة القطعیین، و لا یجوز الترخیص فی بعض أطرافه؛ فضلًا عن جمیعه؛ إذ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بالضرورة مع ذاک العلم الوجدانی، فإنّ الترخیص فی تمام الأطراف یوجب التناقض بین الإرادتین فی نفس المولی، کما أنّ الترخیص فی بعضها یناقض ذاک العلم فی صورة المصادفة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فحاسب فی نفسک، فهل یمکن تعلّق الإرادة القطعیة علی ترک</w:t>
      </w:r>
    </w:p>
    <w:p>
      <w:pPr>
        <w:pStyle w:val="BookText"/>
        <w:rPr/>
      </w:pPr>
      <w:r>
        <w:rPr>
          <w:rFonts w:ascii="IRNazanin" w:hAnsi="IRNazanin" w:eastAsia="IRNazanin"/>
          <w:color w:val="111111"/>
          <w:sz w:val="28"/>
          <w:sz w:val="28"/>
          <w:szCs w:val="28"/>
          <w:rtl w:val="true"/>
          <w:lang w:bidi="fa-IR"/>
        </w:rPr>
        <w:t>شرب الخمر الذی یتردّد بین الأطراف مع الترخیص فی تمامها أو بعضها مع احتمال انطباق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مناص عن الاحتیاط المحرز للواقع فی تمام الأقسام من الشبهات؛ محصورة کانت أو غیر محصورة، بدویة کانت أو غیرها؛ فإنّ العلم القطعی بالتکلیف لا یجتمع أبداً مع الترخیص فی الشبهات فی أیّ قسم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 فی مقام البحث عن 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الشبهات لا ینفکّ عن رفع الید عن التکالیف و التصرّف فی المعلوم و التکلیف و صیرورته شأنیاً</w:t>
      </w:r>
      <w:r>
        <w:rPr>
          <w:rStyle w:val="FootnoteAnchor"/>
          <w:rtl w:val="true"/>
        </w:rPr>
        <w:footnoteReference w:id="426"/>
      </w:r>
      <w:r>
        <w:rPr>
          <w:rFonts w:ascii="IRNazanin" w:hAnsi="IRNazanin" w:eastAsia="IRNazanin"/>
          <w:color w:val="111111"/>
          <w:sz w:val="28"/>
          <w:sz w:val="28"/>
          <w:szCs w:val="28"/>
          <w:rtl w:val="true"/>
          <w:lang w:bidi="fa-IR"/>
        </w:rPr>
        <w:t>، و إلّا فمع الفعلیة بالمعنی الذی عرفته لا یجوز احتمال الترخیص؛ فضلًا عن الترخیص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العلم القطعی بالتکلیف لا یمکن العلم بالترخیص؛ لاستلزامه العلم بالمتناقضین، کما لا یجوز العلم به مع احتمال التکلیف القطعی؛ لأنّ الترخیص الفعلی مع احتمال التکلیف من باب احتمال اجتماع النقیضین، و یعدّ من اجتماعهما علی فرض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الامتناع هو لزوم اجتماع النقیضین مع التصادف و احتماله مع الجهل بالواقع، و أنّه لا فرق فی عدم جواز الترخیص بین العلم القطعی بالتکلیف أو احتمال ذلک التکلیف، و أنّه لیس ذلک لأجل کون العلم علّة تامّة للتنجیز أو مقتضیاً له؛ فإنّ وجه الامتناع مقدّم رتبةً علی منجّزیة العلم، فالامتناع حاصل؛ سواء کان العلم منجّزاً أم لا، کان علّة تامّة أم 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 الامتناع هو لزوم التناقض أو احتماله، و قد عرفت أنّه مشترک بین</w:t>
      </w:r>
      <w:bookmarkStart w:id="478" w:name="pg12907_206812"/>
    </w:p>
    <w:p>
      <w:pPr>
        <w:pStyle w:val="BookText"/>
        <w:rPr/>
      </w:pPr>
      <w:bookmarkEnd w:id="478"/>
      <w:r>
        <w:rPr>
          <w:rFonts w:ascii="IRNazanin" w:hAnsi="IRNazanin" w:eastAsia="IRNazanin"/>
          <w:color w:val="111111"/>
          <w:sz w:val="28"/>
          <w:sz w:val="28"/>
          <w:szCs w:val="28"/>
          <w:rtl w:val="true"/>
          <w:lang w:bidi="fa-IR"/>
        </w:rPr>
        <w:t>العلم الإجمالی و الشبهة البدویة، مع أنّ فیها لا یکون التکلیف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الترخیص مع احتمال التکلیف الفعلی مستلزم لاحتمال اجتماع النقیضین؛ فضلًا عن احتماله مع العلم بالتکلیف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حال الأقوال المذکورة فی الباب؛ فإنّ کلّ ذلک ناشٍ عن خلط ما هو مصبّ البحث مع ما هو مصبّه فی باب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للشارع الاکتفاء بالإطاعة الاحتمالیة عند العلم بالتکلیف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مجاری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مع العلم الإجمالی؟ صحیح لو أراد بها ما هو مصبّ البحث فی باب الاشتغال؛ فإنّ الاکتفاء یکشف عن التصرّف فی المعلوم و تقبّل الناقص مقام الکامل أو ما أشبهه من التوسعة فی مصداق الطبیعة، و أمّا لو تعلّق العلم الوجدانی بأنّ الطهور شرط للصلاة فمع هذا العلم لا یعقل الترخیص و المضی</w:t>
      </w:r>
      <w:r>
        <w:rPr>
          <w:rFonts w:eastAsia="IRNazanin" w:cs="IRNazanin"/>
          <w:color w:val="111111"/>
          <w:sz w:val="28"/>
          <w:szCs w:val="28"/>
          <w:rtl w:val="true"/>
          <w:lang w:bidi="fa-IR"/>
        </w:rPr>
        <w:t>.</w:t>
      </w:r>
    </w:p>
    <w:p>
      <w:pPr>
        <w:pStyle w:val="Heading6"/>
        <w:numPr>
          <w:ilvl w:val="5"/>
          <w:numId w:val="1"/>
        </w:numPr>
        <w:rPr/>
      </w:pPr>
      <w:bookmarkStart w:id="479" w:name="__RefHeading___Toc3346576_3224264995"/>
      <w:bookmarkStart w:id="480" w:name="_Toc181"/>
      <w:bookmarkEnd w:id="479"/>
      <w:r>
        <w:rPr>
          <w:rtl w:val="true"/>
        </w:rPr>
        <w:t>إشکال و جواب</w:t>
      </w:r>
      <w:bookmarkEnd w:id="480"/>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إنّ بین عنوانی المحرّم الواقعی و المشتبه عموم من وجه، فهل یمکن أن یتعلّق بهما حکمان فعلیان، کما فی باب الاجتماع؟ و التصادق فی الخارج لا یوجب التضادّ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w:t>
      </w:r>
      <w:r>
        <w:rPr>
          <w:rStyle w:val="FootnoteAnchor"/>
          <w:rtl w:val="true"/>
        </w:rPr>
        <w:footnoteReference w:id="427"/>
      </w:r>
      <w:r>
        <w:rPr>
          <w:rFonts w:ascii="IRNazanin" w:hAnsi="IRNazanin" w:eastAsia="IRNazanin"/>
          <w:color w:val="111111"/>
          <w:sz w:val="28"/>
          <w:sz w:val="28"/>
          <w:szCs w:val="28"/>
          <w:rtl w:val="true"/>
          <w:lang w:bidi="fa-IR"/>
        </w:rPr>
        <w:t>الکلام فی أنّ مصبّ الأحکام هو العناوین الطبیعیة، و أنّ المصادیق الخارجیة لا یعقل تعلّق الإرادة بها؛ فإنّ الخارج ظرف</w:t>
      </w:r>
    </w:p>
    <w:p>
      <w:pPr>
        <w:pStyle w:val="BookText"/>
        <w:rPr/>
      </w:pPr>
      <w:r>
        <w:rPr>
          <w:rFonts w:ascii="IRNazanin" w:hAnsi="IRNazanin" w:eastAsia="IRNazanin"/>
          <w:color w:val="111111"/>
          <w:sz w:val="28"/>
          <w:sz w:val="28"/>
          <w:szCs w:val="28"/>
          <w:rtl w:val="true"/>
          <w:lang w:bidi="fa-IR"/>
        </w:rPr>
        <w:t>السقوط لا الثبوت، و علی ذلک بنینا جواز تعلّق الوجوب بالصلاة و الحرمة بالغصب؛ لانفکاکهما فی لحاظ تعلّق الأحکام، و أنّ اجتماعهما فی الخارج أحیاناً لا یستلزم الأمر و النهی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الحرمة القطعیة قد تعلّقت بالخمر الواقعی، و الترخیص بالمشتبه بما هو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التصادف فی الخارج لا یستلزم جعل الترخیص فی محلّ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فی المقام إنّما هو فی مقدار تنجیز القطع ثبوتاً، و أنّه إذا تعلّق بشی‌ء إجمالًا فهل یجوز الترخیص فی بعض الأطراف أو تمامها، أو لا؟</w:t>
      </w:r>
    </w:p>
    <w:p>
      <w:pPr>
        <w:pStyle w:val="BookText"/>
        <w:rPr/>
      </w:pPr>
      <w:r>
        <w:rPr>
          <w:rFonts w:ascii="IRNazanin" w:hAnsi="IRNazanin" w:eastAsia="IRNazanin"/>
          <w:color w:val="111111"/>
          <w:sz w:val="28"/>
          <w:sz w:val="28"/>
          <w:szCs w:val="28"/>
          <w:rtl w:val="true"/>
          <w:lang w:bidi="fa-IR"/>
        </w:rPr>
        <w:t>فتعلّق الترخیص بعنوان آخر خارج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ینافی ما مرّ من أنّ وجه الامتناع مقدّم رتبةً علی منجّزیة العلم، فالامتناع حاصل؛ کان العلم منجّزاً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ذلک ما مرّ؛ لأنّ ما مرّ فی وجه امتناع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إنّ علّة الامتناع مقدّم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هاهنا فی مقدار تنجیز العلم، لا وجه الامتناع،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الترخیص بعنوان مشتبه الحرام ناظر إلی ترخیص الحرام الواقعی علی فرض التصادف، و هو لا یجتمع مع الحرمة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الحکمین فی باب الاجتماع متعلّقان بعنوانین غیر ناظرین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 یکون الترخیص ناظراً إلی ترخیص الواقع بعنوان التوسعة، و هو محال مع الحکم الفعلی، فلا یرتبط بباب الاجتماع</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ناظراً إلی قوله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اجتماعهما صدفة فی مورد لا یرتبط بمقام الجعل، و أمّا المقام</w:t>
      </w:r>
      <w:bookmarkStart w:id="481" w:name="pg12907_206814"/>
    </w:p>
    <w:p>
      <w:pPr>
        <w:pStyle w:val="BookText"/>
        <w:rPr/>
      </w:pPr>
      <w:bookmarkEnd w:id="481"/>
      <w:r>
        <w:rPr>
          <w:rFonts w:ascii="IRNazanin" w:hAnsi="IRNazanin" w:eastAsia="IRNazanin"/>
          <w:color w:val="111111"/>
          <w:sz w:val="28"/>
          <w:sz w:val="28"/>
          <w:szCs w:val="28"/>
          <w:rtl w:val="true"/>
          <w:lang w:bidi="fa-IR"/>
        </w:rPr>
        <w:t>فالمولی إذا علم بأنّ بعض تکالیفه القطعیة ربّما یخفی علی المکلّف؛ من حیث الإجمال، فلو رخّص فی مقام الامتثال، 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ناظراً إلی ما أوجبه علی المکلّف، فمع الإرادة القطعیة علی الامتثال مطلقاً لا یصحّ الترخیص منه قطعاً، فتدبّر</w:t>
      </w:r>
      <w:r>
        <w:rPr>
          <w:rFonts w:eastAsia="IRNazanin" w:cs="IRNazanin"/>
          <w:color w:val="111111"/>
          <w:sz w:val="28"/>
          <w:szCs w:val="28"/>
          <w:rtl w:val="true"/>
          <w:lang w:bidi="fa-IR"/>
        </w:rPr>
        <w:t>.</w:t>
      </w:r>
    </w:p>
    <w:p>
      <w:pPr>
        <w:pStyle w:val="Heading5"/>
        <w:numPr>
          <w:ilvl w:val="4"/>
          <w:numId w:val="1"/>
        </w:numPr>
        <w:rPr/>
      </w:pPr>
      <w:bookmarkStart w:id="482" w:name="__RefHeading___Toc3346578_3224264995"/>
      <w:bookmarkStart w:id="483" w:name="_Toc182"/>
      <w:bookmarkEnd w:id="482"/>
      <w:r>
        <w:rPr>
          <w:rtl w:val="true"/>
        </w:rPr>
        <w:t>المقام الثانی</w:t>
      </w:r>
      <w:r>
        <w:rPr>
          <w:rtl w:val="true"/>
        </w:rPr>
        <w:t xml:space="preserve">: </w:t>
      </w:r>
      <w:r>
        <w:rPr>
          <w:rtl w:val="true"/>
        </w:rPr>
        <w:t>فی سقوط التکلیف بالامتثال الإجمالی</w:t>
      </w:r>
      <w:bookmarkEnd w:id="483"/>
    </w:p>
    <w:p>
      <w:pPr>
        <w:pStyle w:val="BookText"/>
        <w:rPr/>
      </w:pPr>
      <w:r>
        <w:rPr>
          <w:rFonts w:ascii="IRNazanin" w:hAnsi="IRNazanin" w:eastAsia="IRNazanin"/>
          <w:color w:val="111111"/>
          <w:sz w:val="28"/>
          <w:sz w:val="28"/>
          <w:szCs w:val="28"/>
          <w:rtl w:val="true"/>
          <w:lang w:bidi="fa-IR"/>
        </w:rPr>
        <w:t>و هذا المقام راجع إلی سقوط التکلیف بالامتثال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الامتثال الإجمالی إذا أتی المأمور به بجمیع شرائطه و قیوده مع التمکّن من الامتثال التفصیلی أو لا؟</w:t>
      </w:r>
    </w:p>
    <w:p>
      <w:pPr>
        <w:pStyle w:val="BookText"/>
        <w:rPr/>
      </w:pPr>
      <w:r>
        <w:rPr>
          <w:rFonts w:ascii="IRNazanin" w:hAnsi="IRNazanin" w:eastAsia="IRNazanin"/>
          <w:color w:val="111111"/>
          <w:sz w:val="28"/>
          <w:sz w:val="28"/>
          <w:szCs w:val="28"/>
          <w:rtl w:val="true"/>
          <w:lang w:bidi="fa-IR"/>
        </w:rPr>
        <w:t>و محلّ النزاع إنّما إذا کان الاختلاف بین الامتثالین من جهة الإجمال و التفصیل لا غیر؛ فالمسألة عقلیة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 ما عن بعض محقّقی العصر قدس سره؛ حیث إنّه بنی جواز الاکتفاء و عدمه علی اعتبار قصد الوجه و التمییز فی المأمور به شرعاً، و عدم حصولهما إلّا بالعلم التفصیلی أو عدم اعتبارهما، و أنّ أصالة الإطلاق أو أصالة البراءة هل یرجع إلیهما عند الشکّ فی اعتبار هذه الامور أو لا</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خروج عن محطّ البحث و مصبّ النزاع؛ فإنّه ممحّض فی المسألة العقلیة البحتة؛ و هی أنّ الامتثال الإجمالی هل هو کالامتثال التفصیلی مع اشتراکهما فی الإتیان بالمأمور به علی ما هو علیه بشراشر شرائطه و أجزائه، أو لا؟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الامتثال الإجمالی مستلزم لعدم الإتیان بالمأمور به علی</w:t>
      </w:r>
    </w:p>
    <w:p>
      <w:pPr>
        <w:pStyle w:val="BookText"/>
        <w:rPr/>
      </w:pPr>
      <w:r>
        <w:rPr>
          <w:rFonts w:ascii="IRNazanin" w:hAnsi="IRNazanin" w:eastAsia="IRNazanin"/>
          <w:color w:val="111111"/>
          <w:sz w:val="28"/>
          <w:sz w:val="28"/>
          <w:szCs w:val="28"/>
          <w:rtl w:val="true"/>
          <w:lang w:bidi="fa-IR"/>
        </w:rPr>
        <w:t>ما هو علیه فخروج عن البحث، کما أنّ البحث عن لزوم قصد الوجه و التمییز و عدمهما و ابتناء المقام علیه کلّها بحث فقهی لا یرتبط بالمقام؛ لأنّه لو احتمل دخالة ما ذکرنا لا یکون الموافقة علمیة إجمالیة، بل احتمالیة خارجة عن مصبّ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أنّ العقل فی مقام الامتثال هل یحکم بلزوم العلم التفصیلی عند الإتیان بالمأمور به حال الإتیان به، و أنّ الموافقة الإجمالیة القطعیة لا تفید مع الإتیان بالمأمور به بجمیع قیوده أو لا؟ فالقول باحتمال دخالة قید شرعاً فی المأمور به، و أنّه لا یحصل إلّا بالعلم التفصیلی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بعدم الاکتفاء یرجع محصّل مقالهم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لعب بأمر المولی، و أنّ العقل یحکم بأنّ اللاعب بأمره لا یمکن أن یتقرّب به؛ و لو أتی بجمیع ما امر به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التفصیلی مقدّم علی الامتثال الإجمالی، و مع التمکّن منه لا تصل النوبة إلیه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أمّا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یترتّب الغرض العقلائی علی التکرار، فلا نسلّم أنّ الاحتیاط لعب بأمر المولی و تلاعب به، بل یمکن القول بالصحّة إذا کان مطیعاً فی أصل الإتیان؛ و إن کان لاعباً فی کیفیة الامتثال، فالصلاة علی سطح المنارة أو علی أمکنة غیر معروفة تجزی عن الواجب؛ و إن کان لاعباً فی ضمائمه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قرّره بعض أعاظم العصر، 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الإطاعة عند العقل هو الانبعاث عن بعث المولی؛ بحیث یکون المحرّک له نحو العمل هو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لا یتحقّق فی الامتثال الإجمالی؛ فإنّ الداعی فی کلّ واحد من الطرفین هو احتمال الأمر، فالانبعاث إنّما یکون عن احتمال البعث، و هذا و إن کان قسماً من الإطاعة إلّا أنّه متأخّر رتبة عن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مدّعی القطع بتقدّم رتبة الامتثال التفصیلی علی الإجمالی مع التمکّن عن التفصیلی فی الشبهات الموضوعیة و الحکمیة لا یکون مجازفاً، و مع الشکّ یکون مقتضی القاعدة هو الاشتغال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الفاضل المقرّر رحمه الله وجهاً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الامتثال التفصیلی من القیود الشرعیة؛ و لو بنتیجة التقیید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انحصار الإطاعة فی الانبعاث عن البعث، بل یشمل للانبعاث عن احتمال الأمر أیضاً، بل الآتی بالمأمور به بداعی احتمال الأمر أطوع ممّن أتی به لأجل البعث القطعی؛ فإنّ البعث عن احتمال الأمر کاشف عن قوّة المبادئ الباعثة إلی الإطاعة فی نفس المطیع؛ من الإقرار بعظمته و الخضوع لدیه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الباعث لیس هو الأمر الواقعی، و إلّا لزم الإلجاء و عدم صدور العصیان من أحد، بل الباعث هو تصوّر أمر الآمر و ما یترتّب علیه من العواقب و الآثار، فینبعث عن تلک المقدّمات رجاءً للثواب أو خوفاً من العقاب، و هذا المعنی موجود عند الانبعاث عن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الباعث هو المبادئ الموجودة فی نفس المطیع؛ من الخوف و الخضوع، و هو موجود فی کلا الامتثالین؛ أعنی عند القطع بالأمر أو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الباعث للإتیان بالأطراف إنّما هو العلم بالبعث المردّد بین الأطراف، فالانبعاث إنّما هو عن البعث فی الموافقة الإجمالیة أیضاً، و الإجمال إنّما هو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کون الامتثال التفصیلی من القیود الشرعیة علی فرض إمکان اعتباره شرعاً بنتیجة التقیید</w:t>
      </w:r>
      <w:r>
        <w:rPr>
          <w:rStyle w:val="FootnoteAnchor"/>
          <w:rtl w:val="true"/>
        </w:rPr>
        <w:footnoteReference w:id="433"/>
      </w:r>
      <w:r>
        <w:rPr>
          <w:rFonts w:ascii="IRNazanin" w:hAnsi="IRNazanin" w:eastAsia="IRNazanin"/>
          <w:color w:val="111111"/>
          <w:sz w:val="28"/>
          <w:sz w:val="28"/>
          <w:szCs w:val="28"/>
          <w:rtl w:val="true"/>
          <w:lang w:bidi="fa-IR"/>
        </w:rPr>
        <w:t>فهو ممّا لا دلیل علیه، و الإجماع فی المقام ممّا لا اعتبار لمحصّله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المسألة عقلیة یمکن أن یکون المستند هو الحکم العقلی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تقدّم الامتثال التفصیلی علی الإجمالی ممنوع بعد کون الحاکم فی باب الإطاعات هو العقل، و هو لا یشکّ فی أنّ الآتی بالمأمور به علی ما هو علیه بقصد إطاعة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عمله بالصحّة؛ و لو لم یعلم حین الإتیان أنّ ما أتی به هو المأمور به؛ لأنّ العلم طریق إلی حصول المطلوب، لا أنّه دخیل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دخالة العلم التفصیلی فی حصول المطلوب دعوی بلا شاهد، فلا تصل النوبة إلی الشکّ حتّی نتمسّک بالقواعد المقرّرة للشاکّ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مستلزماً للتکرار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رحمه الله بعدم وجوب إزالة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قصد الامتثال التفصیلی بالنسبة إلی جملة العمل؛ للعلم بتعلّق الأمر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یعلم بوجوب الجزء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قلنا باعتبار قصد الوجه فی الأجزاء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بلزوم کون الانبعاث عن البعث فی صدق الإطاعة لا بدّ من القول بعدم کفایة الامتثال الإجمالی فی الأجزاء أیضاً؛ فإنّ الأجزاء و إن لم یکن متعلّقة للأمر مستقلّة لکن الانبعاث نحوها یکون بواسطة بعث المولی إلی الطبیعة، فما لم یعلم أنّ السورة جزء من الواجب لا یمکن أن یصیر الأمر المتعلّق بالطبیعة باعثاً إلی الجزء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فالإتیان بالجزء المشکوک فیه لیس انبعاثاً عن البعث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ما ذکرناه فی مقدّمة الواجب؛ من أنّ البعث إلی الأجزاء لا بدّ و أن یکون بعین البعث نحو الطبیعة، و لکن هذا البعث لا یتحقّق إلّا مع العلم بالجزئیة</w:t>
      </w:r>
      <w:r>
        <w:rPr>
          <w:rStyle w:val="FootnoteAnchor"/>
          <w:rtl w:val="true"/>
        </w:rPr>
        <w:footnoteReference w:id="434"/>
      </w:r>
      <w:bookmarkStart w:id="484" w:name="pg12907_206819"/>
    </w:p>
    <w:p>
      <w:pPr>
        <w:pStyle w:val="Heading3"/>
        <w:numPr>
          <w:ilvl w:val="2"/>
          <w:numId w:val="1"/>
        </w:numPr>
        <w:rPr/>
      </w:pPr>
      <w:bookmarkStart w:id="485" w:name="__RefHeading___Toc3346580_3224264995"/>
      <w:bookmarkStart w:id="486" w:name="_Toc183"/>
      <w:bookmarkEnd w:id="484"/>
      <w:bookmarkEnd w:id="485"/>
      <w:r>
        <w:rPr>
          <w:rtl w:val="true"/>
        </w:rPr>
        <w:t>الکلام فی الظنّ و لا بدّ من الکلام فی مقامین</w:t>
      </w:r>
      <w:r>
        <w:rPr>
          <w:rtl w:val="true"/>
        </w:rPr>
        <w:t>:</w:t>
      </w:r>
      <w:bookmarkEnd w:id="486"/>
    </w:p>
    <w:p>
      <w:pPr>
        <w:pStyle w:val="Heading4"/>
        <w:numPr>
          <w:ilvl w:val="3"/>
          <w:numId w:val="1"/>
        </w:numPr>
        <w:rPr/>
      </w:pPr>
      <w:bookmarkStart w:id="487" w:name="__RefHeading___Toc3346582_3224264995"/>
      <w:bookmarkStart w:id="488" w:name="_Toc184"/>
      <w:bookmarkEnd w:id="487"/>
      <w:r>
        <w:rPr>
          <w:rtl w:val="true"/>
        </w:rPr>
        <w:t>اشارة</w:t>
      </w:r>
      <w:bookmarkEnd w:id="48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التعبّد بالظنّ،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التعبّد به</w:t>
      </w:r>
      <w:r>
        <w:rPr>
          <w:rFonts w:eastAsia="IRNazanin" w:cs="IRNazanin"/>
          <w:color w:val="111111"/>
          <w:sz w:val="28"/>
          <w:szCs w:val="28"/>
          <w:rtl w:val="true"/>
          <w:lang w:bidi="fa-IR"/>
        </w:rPr>
        <w:t>.</w:t>
      </w:r>
      <w:bookmarkStart w:id="489" w:name="pg12907_206821"/>
    </w:p>
    <w:p>
      <w:pPr>
        <w:pStyle w:val="Heading4"/>
        <w:numPr>
          <w:ilvl w:val="3"/>
          <w:numId w:val="1"/>
        </w:numPr>
        <w:rPr/>
      </w:pPr>
      <w:bookmarkStart w:id="490" w:name="__RefHeading___Toc3346584_3224264995"/>
      <w:bookmarkStart w:id="491" w:name="_Toc185"/>
      <w:bookmarkEnd w:id="489"/>
      <w:bookmarkEnd w:id="490"/>
      <w:r>
        <w:rPr>
          <w:rtl w:val="true"/>
        </w:rPr>
        <w:t>المقام الأوّل فی إمکان التعبّد بالظنّ</w:t>
      </w:r>
      <w:bookmarkEnd w:id="491"/>
    </w:p>
    <w:p>
      <w:pPr>
        <w:pStyle w:val="Heading5"/>
        <w:numPr>
          <w:ilvl w:val="4"/>
          <w:numId w:val="1"/>
        </w:numPr>
        <w:rPr/>
      </w:pPr>
      <w:bookmarkStart w:id="492" w:name="__RefHeading___Toc3346586_3224264995"/>
      <w:bookmarkStart w:id="493" w:name="_Toc186"/>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و قد حکی عن ابن قبة امتناع التعبّد و إنکار إمکانه</w:t>
      </w:r>
      <w:r>
        <w:rPr>
          <w:rStyle w:val="FootnoteAnchor"/>
          <w:rtl w:val="true"/>
        </w:rPr>
        <w:footnoteReference w:id="435"/>
      </w:r>
      <w:r>
        <w:rPr>
          <w:rFonts w:ascii="IRNazanin" w:hAnsi="IRNazanin" w:eastAsia="IRNazanin"/>
          <w:color w:val="111111"/>
          <w:sz w:val="28"/>
          <w:sz w:val="28"/>
          <w:szCs w:val="28"/>
          <w:rtl w:val="true"/>
          <w:lang w:bidi="fa-IR"/>
        </w:rPr>
        <w:t>، إلّا أنّ ما استدلّ به لیس علی نسق واحد؛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بالخبر الواحد یستلزم اجتماع الحلال و الحرام و المفسدة و المصلحة و إن کان ظاهراً فی نفی الإمکان إلّا أنّ 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الإخبار عن النبی لجاز الإخبار عن اللَّه یلوح منه نفی الوقوع مع قبول إمکانه، و علیه لا یکفی فی ردّه إثبات الإمکان حتّی یثبت وقوعه</w:t>
      </w:r>
      <w:r>
        <w:rPr>
          <w:rFonts w:eastAsia="IRNazanin" w:cs="IRNazanin"/>
          <w:color w:val="111111"/>
          <w:sz w:val="28"/>
          <w:szCs w:val="28"/>
          <w:rtl w:val="true"/>
          <w:lang w:bidi="fa-IR"/>
        </w:rPr>
        <w:t>.</w:t>
      </w:r>
    </w:p>
    <w:p>
      <w:pPr>
        <w:pStyle w:val="Heading5"/>
        <w:numPr>
          <w:ilvl w:val="4"/>
          <w:numId w:val="1"/>
        </w:numPr>
        <w:rPr/>
      </w:pPr>
      <w:bookmarkStart w:id="494" w:name="__RefHeading___Toc3346588_3224264995"/>
      <w:bookmarkStart w:id="495" w:name="_Toc187"/>
      <w:bookmarkEnd w:id="494"/>
      <w:r>
        <w:rPr>
          <w:rtl w:val="true"/>
        </w:rPr>
        <w:t xml:space="preserve">المراد من </w:t>
      </w:r>
      <w:r>
        <w:rPr>
          <w:rtl w:val="true"/>
        </w:rPr>
        <w:t>«</w:t>
      </w:r>
      <w:r>
        <w:rPr>
          <w:rtl w:val="true"/>
        </w:rPr>
        <w:t>الإمکان</w:t>
      </w:r>
      <w:r>
        <w:rPr>
          <w:rtl w:val="true"/>
        </w:rPr>
        <w:t xml:space="preserve">» </w:t>
      </w:r>
      <w:r>
        <w:rPr>
          <w:rtl w:val="true"/>
        </w:rPr>
        <w:t>فی عنوان البحث</w:t>
      </w:r>
      <w:bookmarkEnd w:id="495"/>
    </w:p>
    <w:p>
      <w:pPr>
        <w:pStyle w:val="BookText"/>
        <w:rPr/>
      </w:pPr>
      <w:r>
        <w:rPr>
          <w:rFonts w:ascii="IRNazanin" w:hAnsi="IRNazanin" w:eastAsia="IRNazanin"/>
          <w:color w:val="111111"/>
          <w:sz w:val="28"/>
          <w:sz w:val="28"/>
          <w:szCs w:val="28"/>
          <w:rtl w:val="true"/>
          <w:lang w:bidi="fa-IR"/>
        </w:rPr>
        <w:t>ثمّ إنّ الاستحالة التی ادّعیت إنّما هی الذاتی أو الوقوعی، و أمّا الإمکان فلیس المراد منه الإمکان الذاتی قطعاً؛ فإنّه یحتاج إلی إقامة البرهان علیه، و لا برهان علیه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الإمکان الاحتمالی الواقع فی کلام الشیخ رئیس الصناعة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کلّما قرع سمعک من الغرائب فذره فی بقعة الإمکان ما لم یذدک عنه قائم البرهان</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الإمکان الاحتمالی معناه تجویز وقوعه فی مقابل ردعه و طرحه بلا برهان،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الأخذ بأحد طرفی القضیة، و الجزم بإمکانه أو امتناعه، کما هو دیدن غیر أصحاب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الأحکام العقلیة، یحکم به العقل السلیم، و لو جری علیه العقلاء فی اجتماعهم فلأجل حکم عقولهم الصحیحة، و لیس بناء منهم علی الإمکان لمصلحة من المصالح الاجتماعیة، کما هو الحال فی سائر اصولهم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هو المحتاج إلیه فی هذا المقام هو الإمکان الاحتمالی؛ فلو دلّ دلیل علی حجّیة الظنون و جواز العمل بآحاد الأخبار لا یجوز رفع الید عن ظواهر تلک الأدلّة ما لم یدلّ دلیل قطعی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قطعی علی امتناعه یأوّل ما دلّ علی حجّیتها بظواهره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ردّ ما استدلّ به القائل علی الامتناع؛ حتّی ینتج الإمکان الاحتمالی، فیؤخذ بظواهر 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الإمکان بالذاتی و الوقوعی فی غیر محلّه؛ إذ مع أنّه لا طریق إلیه غیر محتاج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الاستحالة المدّعاة هی الذاتی و الوقوعی علی بعض تقادیرها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 فی عنوان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عدم وجدان الدلیل علی امتناع التعبّد بالأمارات</w:t>
      </w:r>
      <w:r>
        <w:rPr>
          <w:rFonts w:eastAsia="IRNazanin" w:cs="IRNazanin"/>
          <w:color w:val="111111"/>
          <w:sz w:val="28"/>
          <w:szCs w:val="28"/>
          <w:rtl w:val="true"/>
          <w:lang w:bidi="fa-IR"/>
        </w:rPr>
        <w:t>».</w:t>
      </w:r>
      <w:bookmarkStart w:id="496" w:name="pg12907_206823"/>
    </w:p>
    <w:p>
      <w:pPr>
        <w:pStyle w:val="BookText"/>
        <w:rPr/>
      </w:pPr>
      <w:bookmarkEnd w:id="496"/>
      <w:r>
        <w:rPr>
          <w:rFonts w:ascii="IRNazanin" w:hAnsi="IRNazanin" w:eastAsia="IRNazanin"/>
          <w:color w:val="111111"/>
          <w:sz w:val="28"/>
          <w:sz w:val="28"/>
          <w:szCs w:val="28"/>
          <w:rtl w:val="true"/>
          <w:lang w:bidi="fa-IR"/>
        </w:rPr>
        <w:t>و أمّا ما أفاد بعض أعاظم العصر من أنّ الإمکان هو الإمکان التشریعی لا التکوینی؛ فإنّ التوالی المتوهّمة هی المفاسد التشریعیة لا التکوینیة</w:t>
      </w:r>
      <w:r>
        <w:rPr>
          <w:rStyle w:val="FootnoteAnchor"/>
          <w:rtl w:val="true"/>
        </w:rPr>
        <w:footnoteReference w:id="437"/>
      </w:r>
      <w:r>
        <w:rPr>
          <w:rFonts w:ascii="IRNazanin" w:hAnsi="IRNazanin" w:eastAsia="IRNazanin"/>
          <w:color w:val="111111"/>
          <w:sz w:val="28"/>
          <w:sz w:val="28"/>
          <w:szCs w:val="28"/>
          <w:rtl w:val="true"/>
          <w:lang w:bidi="fa-IR"/>
        </w:rPr>
        <w:t>فلا یخلو عن إشکال؛ فإنّ الإمکان التشریعی قسم من الوقوعی، و لیس قسیماً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تقسیمه حسب المورد لصحّ تقسیمه إلی أنّه قد یکون فلکیاً و عنصریاً، ملکیاً و ملکوتیاً،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المحذورات المتوهّمة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اجتماع الحبّ و البغض، و المصلحة و المفسدة، و الکراهة و الإرادة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تکوینیة لا غیر</w:t>
      </w:r>
      <w:r>
        <w:rPr>
          <w:rFonts w:eastAsia="IRNazanin" w:cs="IRNazanin"/>
          <w:color w:val="111111"/>
          <w:sz w:val="28"/>
          <w:szCs w:val="28"/>
          <w:rtl w:val="true"/>
          <w:lang w:bidi="fa-IR"/>
        </w:rPr>
        <w:t>.</w:t>
      </w:r>
    </w:p>
    <w:p>
      <w:pPr>
        <w:pStyle w:val="Heading5"/>
        <w:numPr>
          <w:ilvl w:val="4"/>
          <w:numId w:val="1"/>
        </w:numPr>
        <w:rPr/>
      </w:pPr>
      <w:bookmarkStart w:id="497" w:name="__RefHeading___Toc3346590_3224264995"/>
      <w:bookmarkStart w:id="498" w:name="_Toc188"/>
      <w:bookmarkEnd w:id="497"/>
      <w:r>
        <w:rPr>
          <w:rtl w:val="true"/>
        </w:rPr>
        <w:t>المحذورات المتوهّمة فی التعبّد بالظنّ</w:t>
      </w:r>
      <w:bookmarkEnd w:id="498"/>
    </w:p>
    <w:p>
      <w:pPr>
        <w:pStyle w:val="Heading6"/>
        <w:numPr>
          <w:ilvl w:val="5"/>
          <w:numId w:val="1"/>
        </w:numPr>
        <w:rPr/>
      </w:pPr>
      <w:bookmarkStart w:id="499" w:name="__RefHeading___Toc3346592_3224264995"/>
      <w:bookmarkStart w:id="500" w:name="_Toc189"/>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لمّا کان المنقول عن ابن قبة ممّا بحث عنه الأصحاب کثیراً، فنری المقام غنیاً عن ذکر عبارته و جوابه، فنبحث فی المقام مثل ما بحث عنه الأعاظم من المتأخّرین، و یتّضح فی ضمنه خلل ما استدلّ به ابن قبة؛ و إن کان کلامه أساساً لبعض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المحذورات المتوهّمة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راجعة إلی ملاکات الأحکام، کاجتماع المصلحة و المفسدة الملزمتین بلا کسر و 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مبادئ الخطابات، کاجتماع الکراهة و الإرادة، و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نفس الخطابات، کاجتماع الضدّین و النقیضین و المثلین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إلی لازم الخطابات، کالإلقاء فی المفسدة و تفویت المصلحة</w:t>
      </w:r>
      <w:r>
        <w:rPr>
          <w:rFonts w:eastAsia="IRNazanin" w:cs="IRNazanin"/>
          <w:color w:val="111111"/>
          <w:sz w:val="28"/>
          <w:szCs w:val="28"/>
          <w:rtl w:val="true"/>
          <w:lang w:bidi="fa-IR"/>
        </w:rPr>
        <w:t>.</w:t>
      </w:r>
      <w:bookmarkStart w:id="501" w:name="pg12907_206824"/>
    </w:p>
    <w:p>
      <w:pPr>
        <w:pStyle w:val="BookText"/>
        <w:rPr/>
      </w:pPr>
      <w:bookmarkEnd w:id="501"/>
      <w:r>
        <w:rPr>
          <w:rFonts w:ascii="IRNazanin" w:hAnsi="IRNazanin" w:eastAsia="IRNazanin"/>
          <w:color w:val="111111"/>
          <w:sz w:val="28"/>
          <w:sz w:val="28"/>
          <w:szCs w:val="28"/>
          <w:rtl w:val="true"/>
          <w:lang w:bidi="fa-IR"/>
        </w:rPr>
        <w:t>فهذه أقسام أربعة من المحذورات، و علی ذلک فحصر ملاک الامتناع فی الملاکی و الخطابی</w:t>
      </w:r>
      <w:r>
        <w:rPr>
          <w:rStyle w:val="FootnoteAnchor"/>
          <w:rtl w:val="true"/>
        </w:rPr>
        <w:footnoteReference w:id="438"/>
      </w:r>
      <w:r>
        <w:rPr>
          <w:rFonts w:ascii="IRNazanin" w:hAnsi="IRNazanin" w:eastAsia="IRNazanin"/>
          <w:color w:val="111111"/>
          <w:sz w:val="28"/>
          <w:sz w:val="28"/>
          <w:szCs w:val="28"/>
          <w:rtl w:val="true"/>
          <w:lang w:bidi="fa-IR"/>
        </w:rPr>
        <w:t>لا وجه له، کما أنّ عدّ الأخیر من المحذورات الملاکیة</w:t>
      </w:r>
      <w:r>
        <w:rPr>
          <w:rStyle w:val="FootnoteAnchor"/>
          <w:rtl w:val="true"/>
        </w:rPr>
        <w:footnoteReference w:id="439"/>
      </w:r>
      <w:r>
        <w:rPr>
          <w:rFonts w:ascii="IRNazanin" w:hAnsi="IRNazanin" w:eastAsia="IRNazanin"/>
          <w:color w:val="111111"/>
          <w:sz w:val="28"/>
          <w:sz w:val="28"/>
          <w:szCs w:val="28"/>
          <w:rtl w:val="true"/>
          <w:lang w:bidi="fa-IR"/>
        </w:rPr>
        <w:t>لا یخلو عن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502" w:name="__RefHeading___Toc3346594_3224264995"/>
      <w:bookmarkStart w:id="503" w:name="_Toc190"/>
      <w:bookmarkEnd w:id="502"/>
      <w:r>
        <w:rPr>
          <w:rtl w:val="true"/>
        </w:rPr>
        <w:t>المحذور الأوّل</w:t>
      </w:r>
      <w:r>
        <w:rPr>
          <w:rtl w:val="true"/>
        </w:rPr>
        <w:t xml:space="preserve">: </w:t>
      </w:r>
      <w:r>
        <w:rPr>
          <w:rtl w:val="true"/>
        </w:rPr>
        <w:t>تفویت المصلحة و الإلقاء فی المفسدة</w:t>
      </w:r>
      <w:bookmarkEnd w:id="503"/>
    </w:p>
    <w:p>
      <w:pPr>
        <w:pStyle w:val="BookText"/>
        <w:rPr/>
      </w:pPr>
      <w:r>
        <w:rPr>
          <w:rFonts w:ascii="IRNazanin" w:hAnsi="IRNazanin" w:eastAsia="IRNazanin"/>
          <w:color w:val="111111"/>
          <w:sz w:val="28"/>
          <w:sz w:val="28"/>
          <w:szCs w:val="28"/>
          <w:rtl w:val="true"/>
          <w:lang w:bidi="fa-IR"/>
        </w:rPr>
        <w:t>أمّا هذا المحذور الذی هو رابع المحاذیر؛ فلأنّ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لیس دائم المطابقة، فالأمر بالعمل علی طبقه تفویت للمصالح من الشارع علی المکلّف و إلقاء للمفاسد؛ إذ لو لا أمره لکان علیه السؤال و تحصیل العلم عند الانفتاح، و العمل بالاحتیاط عند انسداده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المحذور لا یختصّ بصورة الانفتاح، کما ادّعاه بعض أعاظم العصر قدس سره؛ قائلًا بأنّ العمل علی طبق الأمارة لو صادف خیر جاء من قبلها</w:t>
      </w:r>
      <w:r>
        <w:rPr>
          <w:rStyle w:val="FootnoteAnchor"/>
          <w:rtl w:val="true"/>
        </w:rPr>
        <w:footnoteReference w:id="440"/>
      </w:r>
      <w:r>
        <w:rPr>
          <w:rFonts w:ascii="IRNazanin" w:hAnsi="IRNazanin" w:eastAsia="IRNazanin"/>
          <w:color w:val="111111"/>
          <w:sz w:val="28"/>
          <w:sz w:val="28"/>
          <w:szCs w:val="28"/>
          <w:rtl w:val="true"/>
          <w:lang w:bidi="fa-IR"/>
        </w:rPr>
        <w:t>، بل یجری فی صورة الانسداد أیضاً؛ إذ لو لا أمره و ترخیصه ترکَ الاحتیاط کان علیه العمل بما هو مبرئ للذمّة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مسلّم لو کان الأمر دائراً بین العمل به و بین ترک العمل به و بغیره مطلقاً، لکنّه دائر بین العمل به و بین العمل بالاحتیاط أو التجزّی فیه، فلا یختصّ الإشکال بصورة الانفتاح، بل یعمّ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یذبّ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الأمارات غیر العلمیة ربّما یمکن أن تکون أکثر</w:t>
      </w:r>
    </w:p>
    <w:p>
      <w:pPr>
        <w:pStyle w:val="BookText"/>
        <w:rPr/>
      </w:pPr>
      <w:r>
        <w:rPr>
          <w:rFonts w:ascii="IRNazanin" w:hAnsi="IRNazanin" w:eastAsia="IRNazanin"/>
          <w:color w:val="111111"/>
          <w:sz w:val="28"/>
          <w:sz w:val="28"/>
          <w:szCs w:val="28"/>
          <w:rtl w:val="true"/>
          <w:lang w:bidi="fa-IR"/>
        </w:rPr>
        <w:t>إصابة عن العلم و الاعتقاد الجازم أو مساویة لها، فالشارع الواقف علی السرائر لأجل وقوفه علی هذه الجهة أمر بالعمل علی طبق الأمارات، و ترک تحصیل العلوم المساویة للأمارات من حیث الصدق أو أدون، فلا یکون إلقاء فی المفسدة أو تفویتاً للمصلحة کان باب العلم مفتوحاً أو منسدّاً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الجواب؛ فإنّه إن أراد من الانفتاح حال حضور الإمام مع إمکان نیل حضوره و السؤال عنه فلا إشکال أنّ المسموع عنه علیه السلام أقلّ خطاءً من هذه الروایات المنقولة بوسائط؛ فإنّ احتمال مخالفة الواقع فیما سمعه عن الإمام لیس إلّا لأجل التقیة أو أمر أندر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الروایات المعنعنة المنقولة عن رجال یختلفون فی الحفظ و الوثاقة و حسن التعبیر و جودة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 حضوره علیه السلام مع تعسّر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بلد المکلّف أو کونه محبوساً أو محصوراً من ناحیة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 العلم التفصیلی غیر ممکن عادة؛ حتّی یقال بأنّ الأمارات أکثر مطابقة منه، و ما هو الممکن هو العلم بالموافقة الإجمالیة، و لکنّه دائم المطابقة للواقع؛ إذ لو أتی المکلّف بمؤدّی الأمارة و سائر المحتملات فلا یعقل أصوبیة مؤدّی الأمارة عن العلم، و لو صدق ذلک لکان الاحتیاط فی موارد تحقّق الأمارة خلاف الاحتیاط، مع الضرورة بخلافه، و یظهر منه حال الانسداد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الشارع بالتعبّد بأخبار الآحاد علّة لانتشار الأحادیث فی الأقطار و الأمصار، فلو لم یقع من الشارع إیجاب التعبّد بها لم یتحقّق الدواعی إلی نقلها أصلًا، و لو ترک نقلها صارت الأحکام منسیة غیر معلومة؛</w:t>
      </w:r>
    </w:p>
    <w:p>
      <w:pPr>
        <w:pStyle w:val="BookText"/>
        <w:rPr/>
      </w:pPr>
      <w:r>
        <w:rPr>
          <w:rFonts w:ascii="IRNazanin" w:hAnsi="IRNazanin" w:eastAsia="IRNazanin"/>
          <w:color w:val="111111"/>
          <w:sz w:val="28"/>
          <w:sz w:val="28"/>
          <w:szCs w:val="28"/>
          <w:rtl w:val="true"/>
          <w:lang w:bidi="fa-IR"/>
        </w:rPr>
        <w:t>لا إجمالًا و لا تفصیلًا، و معه لا یتمکّن الإنسان من الإطاعة الإجمالیة و الاحتیاط فی العمل؛ لأنّ طریقه صار مغفولًا عنه؛ لعدم انقداح الاحتمال فی الأذهان إلّا ببرکة ما وصل إلینا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الدواعی إلی نقل الأخبار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یمکن أن یتوصّل إلی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عند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بإیجاب نشر الروایات و نقلها و بثّها حتّی یحصل بذلک موضوع للعمل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یذبّ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إیجاب تحصیل العلم التفصیلی فی زمان الحضور و فی إیجاب الاحتیاط فی زمن الغیبة أو الحضور مع عدم إمکان الوصول إلیه علیه السلام مفسدة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زمان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السؤال عن الأئمّة علیهم السلام و إن کان أمراً ممکناً غیر معسور إلّا أنّ إلزام الناس فی ذلک الزمان علی العمل بالعلم کان یوجب ازدحام الشیعة علی بابهم و تجمّعهم حول دارهم، و کان التجمّع حول الإمام أبغض شی‌ء عند الخلفاء، و کان موجباً للقتل و الهدم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وجوب العلم التفصیلی فی زمن الصادقین علیهما السلام کان ذلک موجباً لتجمّع الناس حول دارهما و دیارهما، بین سائل و کاتب و قارئ و مستفسر، و کان نتیجة ذلک تسلّط الخلفاء علی الشیعة و ردعهم و قطع اصولهم عن أدیم الأرض، و عدم وصول شی‌ء من الأحکام الشرعیة موجودة بأیدینا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فدار الأمر بین العمل بالأخبار الواردة عنهم علیهم السلام بطریق الثقات الموصلة إلی الواقع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خالفت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إیجاب العلم حتّی یصل بعض الشیعة إلی الواقع، و یحرم آلاف من الناس عن الأحکام و الفروع العملیة؛ لما عرفت أنّ الإلزام علی تحصیل العلم کان مستلزماً للتجمّع علی باب الأئمّة، و کان</w:t>
      </w:r>
    </w:p>
    <w:p>
      <w:pPr>
        <w:pStyle w:val="BookText"/>
        <w:rPr/>
      </w:pPr>
      <w:r>
        <w:rPr>
          <w:rFonts w:ascii="IRNazanin" w:hAnsi="IRNazanin" w:eastAsia="IRNazanin"/>
          <w:color w:val="111111"/>
          <w:sz w:val="28"/>
          <w:sz w:val="28"/>
          <w:szCs w:val="28"/>
          <w:rtl w:val="true"/>
          <w:lang w:bidi="fa-IR"/>
        </w:rPr>
        <w:t>نتیجة ذلک صدور الحکم من الخلفاء بأخذهم و شدّهم و ضربهم و قتلهم و اضطهادهم تحت کلّ حجر و مدر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الاحتیاط فی هذه الأزمان أو زمن الحضور لمن لم یمکن له الوصول إلیهم علیهم السلام ففساده أظهر من أن یخفی؛ فإنّه مستلزم للحرج الشدید و اختلال النظام و رغبة الناس عن الدین الحنیف، بل موجب للخروج من الدین؛ فإنّ الحکیم الشارع لا بدّ له ملاحظة طاقة الناس و استعدادهم فی تحمّل الأحکام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التبعیض فی الاحتیاط؛ فإنّه لو لم یوجب حرجاً شدیداً لکنّه موجب رغبة جمهرة الناس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الاحتیاط المطلق أو بمقدار میسور فی جمیع التکالیف؛ من العبادات و المعاملات و المناکحات و غیرها یستلزم الحرج الشدید فی بعض الأحوال، و رغبة الناس عن الدین و قلّة العاملین من العباد للأحکام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هذا کلّه أمضی عمل العقلاء و بنائهم فی العمل بالظنون و أخبار الآحاد بمقدار یؤسّس لهم نظاماً صحیحاً، و هذا و إن استلزم فساداً و تفویتاً غیر أنّه فی مقابل إعراض الناس عنه و خروجهم منه و قلّة المتدیّنین به لا یعدّ إلّا شیئاً طفیفاً یستهان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قدس سره التزم بقبح التعبّد بالظنون فی حال الانفتاح، و أمّا حال الانسداد فقد ذهب إلی أنّ التفویت متدارک بالمصلحة السلوکیة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أوضحه بعض أعاظم العصر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الأمارة یمکن أن یکون سبباً لحدوث مصلحة فی السلوک مع بقاء الواقع و المؤدّی علی ما هما علیه من</w:t>
      </w:r>
    </w:p>
    <w:p>
      <w:pPr>
        <w:pStyle w:val="BookText"/>
        <w:rPr/>
      </w:pPr>
      <w:r>
        <w:rPr>
          <w:rFonts w:ascii="IRNazanin" w:hAnsi="IRNazanin" w:eastAsia="IRNazanin"/>
          <w:color w:val="111111"/>
          <w:sz w:val="28"/>
          <w:sz w:val="28"/>
          <w:szCs w:val="28"/>
          <w:rtl w:val="true"/>
          <w:lang w:bidi="fa-IR"/>
        </w:rPr>
        <w:t>المصلحة و المفسدة، من دون أن یحدث فی المؤدّی مصلحة بسبب قیام الأمارة غیر ما کان علیه من المصلحة، بل المصلحة فی تطرّق الطریق و سلوک الأمارة و تطبیق العمل علی مؤدّاها و البناء علی أنّه هو الواقع، بترتیب الآثار المترتّبة علی الواقع علی المؤدّی، و بهذه المصلحة السلوکیة یتدارک ما فات من المکلّف</w:t>
      </w:r>
      <w:r>
        <w:rPr>
          <w:rStyle w:val="FootnoteAnchor"/>
          <w:rtl w:val="true"/>
        </w:rPr>
        <w:footnoteReference w:id="4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الأمارة فی الشرع لیس إلّا إمضاء ما کان فی ید العقلاء فی معاشهم و معادهم، من غیر أن یزید علیه شیئاً أو ینقص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اعتبار الأمارات لأجل کونها طریقاً للواقع فقط، من دون أن یترتّب علی العمل بها مصلحة وراء إیصالها إلی الواقع، فلیس قیام الأمارة عند العقلاء محدثاً للمصلحة؛ لا فی المؤدّی و لا فی العمل بها و 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فالمصلحة السلوکیة لا أساس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یتصوّر لسلوک الأمارة و تطرّق الطریق معنی وراء العمل علی طبق مؤدّاها، فإذا أخبر العادل بوجوب صلاة الجمعة فلیس سلوکها إلّا العمل علی مؤدّاها و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للسلوک و تطرّق الطریق مصلحة وراء المصلحة الموجودة فی الإتیان بالمؤدّی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بالمؤدّی مع المؤدّی المحقّق فی الخارج غیر متغایرین إلّا فی عالم الاعتبار، کتغایر الإیجاد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المفاهیم المصدریة النسبیة لا یعقل أن تصیر متّصفة بالمصلحة و المفسدة، بل المفسدة و المصلحة قائمة بنفس الخمر و الصلاة</w:t>
      </w:r>
      <w:r>
        <w:rPr>
          <w:rFonts w:eastAsia="IRNazanin" w:cs="IRNazanin"/>
          <w:color w:val="111111"/>
          <w:sz w:val="28"/>
          <w:szCs w:val="28"/>
          <w:rtl w:val="true"/>
          <w:lang w:bidi="fa-IR"/>
        </w:rPr>
        <w:t>.</w:t>
      </w:r>
      <w:bookmarkStart w:id="504" w:name="pg12907_206829"/>
    </w:p>
    <w:p>
      <w:pPr>
        <w:pStyle w:val="BookText"/>
        <w:rPr/>
      </w:pPr>
      <w:bookmarkEnd w:id="504"/>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شرب الخمر و إتیان الصلاة متعلّقاً للحرمة و الوجوب و موصوفاً بالمصلحة و المفسدة لا ینافی کون تطرّق الطریق محلًّا للحکم و موضوعاً له؛ فإنّ تطرّق الطریق عین ترک شرب الخمر و عین الإتیان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عبارة الشیخ و شارح مراده أنّ المصلحة قائمة بالتطرّق و السلوک، بلا دخالة للواقع فی حدوث 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أخبر العادل عن الامور العادیة لزم العمل علی قوله فی هذه الموارد أیضاً؛ لأنّه ذا مصلحة سلوکیة،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تدارک المصلحة الواقعیة بالمصلحة السلوکیة هو الإجزاء و عدم لزوم الإعادة و القضاء؛ إذ لو لم یتدارک مصلحة الواقع لزم قبح الأمر بالتطرّق، و لو تدارک سقط الأمر، و المفروض أنّ المصلحة القائمة بتطرّق الطریق لیست مقیّدة بعدم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التفصیل من الشیخ الأعظم و بعض أعاظم العصر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الإجزاء قد فرغنا عنه فی الأوامر فراجع، و سیوافیک لُباب القول فیه فی مبحث الاجتهاد و التقلید</w:t>
      </w:r>
      <w:r>
        <w:rPr>
          <w:rFonts w:eastAsia="IRNazanin" w:cs="IRNazanin"/>
          <w:color w:val="111111"/>
          <w:sz w:val="28"/>
          <w:szCs w:val="28"/>
          <w:rtl w:val="true"/>
          <w:lang w:bidi="fa-IR"/>
        </w:rPr>
        <w:t>.</w:t>
      </w:r>
    </w:p>
    <w:p>
      <w:pPr>
        <w:pStyle w:val="Heading6"/>
        <w:numPr>
          <w:ilvl w:val="5"/>
          <w:numId w:val="1"/>
        </w:numPr>
        <w:rPr/>
      </w:pPr>
      <w:bookmarkStart w:id="505" w:name="__RefHeading___Toc3346596_3224264995"/>
      <w:bookmarkStart w:id="506" w:name="_Toc191"/>
      <w:bookmarkEnd w:id="505"/>
      <w:r>
        <w:rPr>
          <w:rtl w:val="true"/>
        </w:rPr>
        <w:t>المحذور الثانی</w:t>
      </w:r>
      <w:r>
        <w:rPr>
          <w:rtl w:val="true"/>
        </w:rPr>
        <w:t xml:space="preserve">: </w:t>
      </w:r>
      <w:r>
        <w:rPr>
          <w:rtl w:val="true"/>
        </w:rPr>
        <w:t>محذور اجتماع الضدّین و النقیضین و المثلین</w:t>
      </w:r>
      <w:bookmarkEnd w:id="50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هذا المحذور الذی کان ثالث المحاذیر فهو مبنی علی ما هو المسلّم عندهم؛ من أنّ الأحکام الخمسة متضادّة بأسرها، یمتنع اجتماعها فی موضوع واحد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المراد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صرّحوا به فی بحث اجتماع الأمر و النهی و فی باب الجمع بین الحکم 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الأحکام البعثیة و الزجریة و غیرهما، فلو فرضنا کون صلاة الجمعة محرّمة فی نفس الأمر، و قامت الأمارة علی وجوبها تصیر صلاة الجمعة مهبطاً لحکمین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بینهم من أنّ الأحکام متضادّة بأسرها لیس له أساس صحیح، و قد استوفینا بعض الکلام فی ذلک عند البحث عن جواز اجتماع الأمر و النهی، و لکن نعیده هنا؛ حذراً عن الإحالة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عرّفوا الضدّین بأنّهما الأمران الوجودیان غیر المتضائفین، المتعاقبان علی موضوع واحد، لا یتصوّر اجتماعهما فیه، بینهما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وجود له لا ضدّیة بینه و بین شی‌ء آخر، کما لا ضدّیة بین أشیاء لا وجود لها، کالاعتباریات التی لیس لها وجود إلّا فی وعاء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التعریف لا ضدّیة أیضاً بین أشیاء لا حلول لها فی موضوع و لا قیام لها به؛ قیام حلول و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الإنشائیات کلّها من الامور الاعتباریة لا تحقّق لها إلّا فی وعاء الاعتبار؛ فإنّ دلالة الألفاظ المنشأ بها علی معانیها إنّما هی بالمواضعة و الوضع الاعتباریین، فلا یعقل أن یوجد بها معنی حقیقی تکوینی أصیل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فهیئة الأمر و النهی وضعت للبعث و الزجر الاعتباریین فی مقابل البعث و الزجر التکوینیین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إیجاد البعث و الحثّ و التحریک الاعتباری، فالعلّة اعتباری و المعلول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الإنشاء قولٌ قُصد به ثبوت المعنی فی نفس الأمر</w:t>
      </w:r>
      <w:r>
        <w:rPr>
          <w:rStyle w:val="FootnoteAnchor"/>
          <w:rtl w:val="true"/>
        </w:rPr>
        <w:footnoteReference w:id="445"/>
      </w:r>
      <w:r>
        <w:rPr>
          <w:rFonts w:ascii="IRNazanin" w:hAnsi="IRNazanin" w:eastAsia="IRNazanin"/>
          <w:color w:val="111111"/>
          <w:sz w:val="28"/>
          <w:sz w:val="28"/>
          <w:szCs w:val="28"/>
          <w:rtl w:val="true"/>
          <w:lang w:bidi="fa-IR"/>
        </w:rPr>
        <w:t>، یراد به أنّ نفس الإنشاء یکون منشأ للمعنی فی وعاء الاعتبار؛ بحیث یکون الألفاظ التی بها یقع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کهیئتی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ذاتیة للّفظ و عرضیة للمعنی المنشأ، لا أنّهما علل المعانی المنشأة؛ فإنّ العلّیة و المعلولیة الحقیقیتین لا یعقل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التکلّم بصیغة الأمر بما هو تکلّم و صوت معتمد علی مقطع الفم أمر تکوینی من مراتب التکوین، و أمّا جعل هذا التکلّم دلیلًا علی إرادة البعث و التحریک بلا آلة تکوینیة فإنّما هو بالجعل و المواضعة التی هی الموجب الوحید لانفهام الأمر المنشأ البعث، فإذا کان المبدأ أمراً اعتباریاً فالآخر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فالأحکام التکلیفیة کلّها من الامور الاعتباریة لا وجود حقیقی لها إلّا فی وعاء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الإضافات المتصوّرة عند الأمر بالشی‌ء لیست إلّا إضافات اعتباریة، فإنّ للأمر إضافة إلی الآمر إضافة صدور، و إضافة إلی المأمور إضافة انبعاث، و إضافة إلی المتعلّق إضافة تعلیقیة أوّلیة، و إلی الموضوع إضافة تعلیقیة ثانویة،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الإضافات لیست من مراتب التکوین، و إنّما هی امور اعتباریة یستتبع بعضها بعضاً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التکلیفیة لیست أعراضاً بالنسبة إلی متعلّقاتها، فلیس قیام المعانی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بمتعلّقاتها أو موضوعاتها قیام حلول و عروض فیهما، بل کلّ ذلک تشبیهات و تنزیلات للمعقولات علی المحسوسات؛</w:t>
      </w:r>
      <w:bookmarkStart w:id="507" w:name="pg12907_206832"/>
    </w:p>
    <w:p>
      <w:pPr>
        <w:pStyle w:val="BookText"/>
        <w:rPr/>
      </w:pPr>
      <w:bookmarkEnd w:id="507"/>
      <w:r>
        <w:rPr>
          <w:rFonts w:ascii="IRNazanin" w:hAnsi="IRNazanin" w:eastAsia="IRNazanin"/>
          <w:color w:val="111111"/>
          <w:sz w:val="28"/>
          <w:sz w:val="28"/>
          <w:szCs w:val="28"/>
          <w:rtl w:val="true"/>
          <w:lang w:bidi="fa-IR"/>
        </w:rPr>
        <w:t>فإنّ الامور الاعتباریة أنزل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بطلان القول بأنّ الأحکام الخمسة امور متضادّة، کما اشتهر عنهم فی باب الترتّب و اجتماع الأمر و النهی و الجمع بین الأحکام الواقعیة و الظاهریة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أنّک بعد الوقوف علی ما ذکرنا تقف علی أنّ بطلان الضدّیة فیها لیس لأجل انتفاء شرط الضدّیة أو قیدها فیها، بل البطلان لأجل أنّ التضادّ و التماثل و التخالف من مراتب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الماهیة الموجودة فی المادّة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لا حظّ لها من الوجود الخارجی حتّی یتحمّل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سائر القیود؛ فإنّها أیضاً منتفیة،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امتناع الأمر و النهی بشی‌ء واحد بجهة واحدة من شخص واحد فلیس لأجل تضادّ الأحکام، بل لأجل مبادئهما، کالمصالح و المفاسد و الإرادة و الکراهة، و هما لا تجتمعان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الأمر بالشی‌ء جدّاً و النهی عنه کذلک من آمر عالم ممتنع؛ لأنّه یرجع إلی التکلیف بالمحال، و مرجعه إلی التکلیف المحال، کما مرّ وجهه فی مبحث الاجتماع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لیعذرنی إخوانی من الإطالة، و هو أولی من الإحالة</w:t>
      </w:r>
      <w:r>
        <w:rPr>
          <w:rFonts w:eastAsia="IRNazanin" w:cs="IRNazanin"/>
          <w:color w:val="111111"/>
          <w:sz w:val="28"/>
          <w:szCs w:val="28"/>
          <w:rtl w:val="true"/>
          <w:lang w:bidi="fa-IR"/>
        </w:rPr>
        <w:t>.</w:t>
      </w:r>
    </w:p>
    <w:p>
      <w:pPr>
        <w:pStyle w:val="Heading6"/>
        <w:numPr>
          <w:ilvl w:val="5"/>
          <w:numId w:val="1"/>
        </w:numPr>
        <w:rPr/>
      </w:pPr>
      <w:bookmarkStart w:id="508" w:name="__RefHeading___Toc3346598_3224264995"/>
      <w:bookmarkStart w:id="509" w:name="_Toc192"/>
      <w:bookmarkEnd w:id="508"/>
      <w:r>
        <w:rPr>
          <w:rtl w:val="true"/>
        </w:rPr>
        <w:t>المحذور الثالث</w:t>
      </w:r>
      <w:r>
        <w:rPr>
          <w:rtl w:val="true"/>
        </w:rPr>
        <w:t xml:space="preserve">: </w:t>
      </w:r>
      <w:r>
        <w:rPr>
          <w:rtl w:val="true"/>
        </w:rPr>
        <w:t>محذور اجتماع الإرادة الوجوبیة و التحریمیة</w:t>
      </w:r>
      <w:bookmarkEnd w:id="50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القطعیة قد تعلّقت بالعمل علی الأحکام الواقعیة، و المفروض أنّ الأمارات قد تؤدّی إلی خلاف الواقع، فإیجاب التعبّد بها و الترخیص بالعمل بها مع فعلیة الإرادة المتعلّقة بالأحکام الواقعیة ممّا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سیّال فی الأحکام الظاهریة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کانت أو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إرادة العمل علی طبق الأمارة و الاستصحاب أو قاعدة الفراغ و أصالة الإباحة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یجتمع مع الإرادة الحتمیة بالنسبة إلی الأحکام الواقعیة، بعد ما علم أنّ الاصول و الأمارات قد تؤدّیان إلی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للحکم الشرعی مرتبتین، لیس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 جعل الحکم علی موضوعه، کالأحکام الکلّیة القانونیة قبل ملاحظة مخصّصاتها و مقیّداتها،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و کالأحکام الشرعیة التی نزّل به الروح الأمین علی قلب نبیّه، و لکن لم یأن وقت إجرائها؛ لمصالح اقتضته السیاسة الإسلامیة، و ترک إجرائها إلی ظهور الدولة الحقّة،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 هی تقابل الاولی من کلتا الجهتین، فالأحکام الفعلیة عبارة عن الأحکام الباقیة تحت العموم و المطلق بعد ورود التخصیصات و التقییدات حسب الإرادة الجدّیة، أو ما آن وقت إجرائها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قام الإجماع علی أنّه بین العالم و الجاهل سواسیة إنّما هو الأحکام الإنشائیة المجعولة علی موضوعاتها؛ سواء قامت علیه الأمارة أم لا، وقف به المکلّف أم لا، و هکذا؛ و هی لا یتغیّر عمّا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الفعلیة فیختلف فیها الأحوال، کما سیوضح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توضیح الجواب و حسم الإشکال فهو ما مرّ منّا</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مفاسد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تبعیضاً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موجبة لرفع الید فی مقام الفعلیة عن الأحکام الواقعیة فی حقّ من قامت الأمارة أو الاصول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أمراً غریباً منه، بل هذا نظام کلّ مقنّن؛ إذ فی التحفّظ التامّ علی الواقعیات من الأحکام مفسدة عظیمة لا تجبر بشی‌ء، أیسرها خروج الناس من الدین و رغبتهم عنه و تبدّد نظام معاشهم و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هذا کلّه رفع الید عن إجراء الأحکام فی الموارد التی قام الأمارة أو الأصل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قبیل قصور مقتضیات الأحکام و ملاکاتها فی موارد قیام الأمارات و الاصول علی خلافها حتّی یتقیّد الأحکام الواقعیة بعدم القیام، بل من قبیل رفع الید لجهة اللابدّیة و مزاحمة الفاسد و الأفسد فی مقام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الواقعیة تنشأ علی موضوعاتها من غیر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لغویة تلک الأحکام الإنشائیة إذا فرض قیام الأمارة أو الأصل علی خلافها من أوّل زمن تشریعها مندفعة بأنّه لا محالة ینکشف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عند ظهور الدولة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عاطلة غیر منشأة من رأس صارت مهملة إلی الأبد؛ حتّی بعد قیام القائم علیه السلام؛ لانسداد الوحی و تشریع الأحکام بعد ما رفع النبی الأکرم صلی الله علیه و آله و سلم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الإشکال کلّه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الواقع أحکام إنشائیة، بل الموجود فی نفس الأمر هو إنشاء الأحکام؛ أی تشریعها علی موضوعاتها المقدّر وجودها بجمیع ما</w:t>
      </w:r>
    </w:p>
    <w:p>
      <w:pPr>
        <w:pStyle w:val="BookText"/>
        <w:rPr/>
      </w:pPr>
      <w:r>
        <w:rPr>
          <w:rFonts w:ascii="IRNazanin" w:hAnsi="IRNazanin" w:eastAsia="IRNazanin"/>
          <w:color w:val="111111"/>
          <w:sz w:val="28"/>
          <w:sz w:val="28"/>
          <w:szCs w:val="28"/>
          <w:rtl w:val="true"/>
          <w:lang w:bidi="fa-IR"/>
        </w:rPr>
        <w:t>اعتبر فیها؛ من القیود و الشرائط و عدم الموانع علی نهج القضایا الحقیقیة، و فعلیة الحکم عبارة عن تحقّق موضوعه بجمیع ما اعتبر فیه، و لا یعقل لفعلیة الحکم معنی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مقیّدة بعدم قیام الأمارة علی الخلاف أو لا، فعلی الأوّل یلزم التصویب، و علی الثانی یلزم اجتماع الضدّین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ما ذکرنا ملاحظة القوانین العالمیة أو المختصّة بجیل دون جیل و طائفة دون اخری؛ فإنّ الأحکام ینشأ علی وجه الإنشاء علی موضوعاتها العاریة من کلّ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آن وقت إجرائه یذکر فی لوح آخر قیوده و مخصّصاته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فالمنشأ علی الموضوعات قبل ورود التخصیص و التقیید هو الحکم الإنشائی، و الحکم الفعلی اللازم الإجراء ما یبقی تحت العموم و المطلق، بعد ورودهما علیه،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ما ذکر؛ من أنّ الأحکام مجعولة علی موضوعاتها من أوّل الأمر بجمیع قیوده لما جاز التمسّک بالإطلاق و العموم؛ فإنّ مبنی التمسّک هو أنّ الحکم مجعولة علی الماهیة المجرّدة، و أنّ الإرادة الاستعمالیة مطابقة للإرادة الجدّیة، إلّا ما قام الدلیل علی خلافه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اللازم إنشاء الحکم علی موضوعه بعامّة قیوده لما صار للتمسّک بأصالة الإطلاق معنی؛ فإنّ الإطلاق متقوّم بأنّ الواقع تحت دائرة الحکم هو تمام الموضوع للحکم، و مثله أصالة العموم؛ فإنّها متقوّمة بظهور الکلام فی کون</w:t>
      </w:r>
      <w:bookmarkStart w:id="510" w:name="pg12907_206836"/>
    </w:p>
    <w:p>
      <w:pPr>
        <w:pStyle w:val="BookText"/>
        <w:rPr/>
      </w:pPr>
      <w:bookmarkEnd w:id="510"/>
      <w:r>
        <w:rPr>
          <w:rFonts w:ascii="IRNazanin" w:hAnsi="IRNazanin" w:eastAsia="IRNazanin"/>
          <w:color w:val="111111"/>
          <w:sz w:val="28"/>
          <w:sz w:val="28"/>
          <w:szCs w:val="28"/>
          <w:rtl w:val="true"/>
          <w:lang w:bidi="fa-IR"/>
        </w:rPr>
        <w:t>الحکم علی العموم، و أنّ التخصیص کالتقیید أمر خارجی لا یتصرّف فی اللفظ، بل یکشف عن ضیق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تقنین القوانین العرفیة کافیة فی إثبات ما قلناه؛ فإنّ الدائر بینهم هو وضع الأحکام أوّلًا بنحو العموم و الإطلاق، ثمّ بیان مخصّصاتها و مقیّداتها منفصلًا عنها، من دون أخذ ما هو الملاک بحسب الإرادة الجدّیة فی موضوع الأحکام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تدبّرت تعرف أنّ هذا الجواب سیّال فی موارد الأمارات و الاصول إذا کانت مخالفة للواقع</w:t>
      </w:r>
      <w:r>
        <w:rPr>
          <w:rFonts w:eastAsia="IRNazanin" w:cs="IRNazanin"/>
          <w:color w:val="111111"/>
          <w:sz w:val="28"/>
          <w:szCs w:val="28"/>
          <w:rtl w:val="true"/>
          <w:lang w:bidi="fa-IR"/>
        </w:rPr>
        <w:t>.</w:t>
      </w:r>
    </w:p>
    <w:p>
      <w:pPr>
        <w:pStyle w:val="Heading6"/>
        <w:numPr>
          <w:ilvl w:val="5"/>
          <w:numId w:val="1"/>
        </w:numPr>
        <w:rPr/>
      </w:pPr>
      <w:bookmarkStart w:id="511" w:name="__RefHeading___Toc3346600_3224264995"/>
      <w:bookmarkStart w:id="512" w:name="_Toc193"/>
      <w:bookmarkEnd w:id="511"/>
      <w:r>
        <w:rPr>
          <w:rtl w:val="true"/>
        </w:rPr>
        <w:t>المحذور الرابع</w:t>
      </w:r>
      <w:r>
        <w:rPr>
          <w:rtl w:val="true"/>
        </w:rPr>
        <w:t xml:space="preserve">: </w:t>
      </w:r>
      <w:r>
        <w:rPr>
          <w:rtl w:val="true"/>
        </w:rPr>
        <w:t>محذور التدافع بین ملاکات الأحکام</w:t>
      </w:r>
      <w:bookmarkEnd w:id="512"/>
    </w:p>
    <w:p>
      <w:pPr>
        <w:pStyle w:val="BookText"/>
        <w:rPr/>
      </w:pPr>
      <w:r>
        <w:rPr>
          <w:rFonts w:ascii="IRNazanin" w:hAnsi="IRNazanin" w:eastAsia="IRNazanin"/>
          <w:color w:val="111111"/>
          <w:sz w:val="28"/>
          <w:sz w:val="28"/>
          <w:szCs w:val="28"/>
          <w:rtl w:val="true"/>
          <w:lang w:bidi="fa-IR"/>
        </w:rPr>
        <w:t>و هذا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یرجع إلی التدافع بین ملاکات الأحکام، کاجتماع المصلحة و المفسدة الملزمتین بلا کسر و 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المحاذیر، فقد ظهر الجواب عنه ممّا تقدّم</w:t>
      </w:r>
      <w:r>
        <w:rPr>
          <w:rStyle w:val="FootnoteAnchor"/>
          <w:rtl w:val="true"/>
        </w:rPr>
        <w:footnoteReference w:id="450"/>
      </w:r>
      <w:r>
        <w:rPr>
          <w:rFonts w:ascii="IRNazanin" w:hAnsi="IRNazanin" w:eastAsia="IRNazanin"/>
          <w:color w:val="111111"/>
          <w:sz w:val="28"/>
          <w:sz w:val="28"/>
          <w:szCs w:val="28"/>
          <w:rtl w:val="true"/>
          <w:lang w:bidi="fa-IR"/>
        </w:rPr>
        <w:t>،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أرجحیة ملاکات تجویز العمل علی طبق الأمارات و الاصول من العمل بالاحتیاط للتحفّظ علی الواقع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تقدّم</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اجتماع الملاکین فی موضوع واحد علی ما سبق؛ من لزوم المفاسد الخارجیة أو السیاسیة لو ألزم العمل بالاحتیاط</w:t>
      </w:r>
      <w:r>
        <w:rPr>
          <w:rFonts w:eastAsia="IRNazanin" w:cs="IRNazanin"/>
          <w:color w:val="111111"/>
          <w:sz w:val="28"/>
          <w:szCs w:val="28"/>
          <w:rtl w:val="true"/>
          <w:lang w:bidi="fa-IR"/>
        </w:rPr>
        <w:t>.</w:t>
      </w:r>
      <w:bookmarkStart w:id="513" w:name="pg12907_206837"/>
    </w:p>
    <w:p>
      <w:pPr>
        <w:pStyle w:val="Heading5"/>
        <w:numPr>
          <w:ilvl w:val="4"/>
          <w:numId w:val="1"/>
        </w:numPr>
        <w:rPr/>
      </w:pPr>
      <w:bookmarkStart w:id="514" w:name="__RefHeading___Toc3346602_3224264995"/>
      <w:bookmarkStart w:id="515" w:name="_Toc194"/>
      <w:bookmarkEnd w:id="513"/>
      <w:bookmarkEnd w:id="514"/>
      <w:r>
        <w:rPr>
          <w:rtl w:val="true"/>
        </w:rPr>
        <w:t>جولة فیما ذکر من الجمع بین الحکم الواقعی و الظاهری</w:t>
      </w:r>
      <w:bookmarkEnd w:id="515"/>
    </w:p>
    <w:p>
      <w:pPr>
        <w:pStyle w:val="BookText"/>
        <w:rPr/>
      </w:pPr>
      <w:r>
        <w:rPr>
          <w:rFonts w:ascii="IRNazanin" w:hAnsi="IRNazanin" w:eastAsia="IRNazanin"/>
          <w:color w:val="111111"/>
          <w:sz w:val="28"/>
          <w:sz w:val="28"/>
          <w:szCs w:val="28"/>
          <w:rtl w:val="true"/>
          <w:lang w:bidi="fa-IR"/>
        </w:rPr>
        <w:t>ثمّ إنّ الأعلام قد مالوا یمیناً و یساراً فی هذا الباب؛ فکلٌّ اختار مهرباً للجمع بین الأحکام الظاهریة و الواقعیة، فلا بأس بالإشارة إلی بعضها، فنقول</w:t>
      </w:r>
      <w:r>
        <w:rPr>
          <w:rFonts w:eastAsia="IRNazanin" w:cs="IRNazanin"/>
          <w:color w:val="111111"/>
          <w:sz w:val="28"/>
          <w:szCs w:val="28"/>
          <w:rtl w:val="true"/>
          <w:lang w:bidi="fa-IR"/>
        </w:rPr>
        <w:t>:</w:t>
      </w:r>
    </w:p>
    <w:p>
      <w:pPr>
        <w:pStyle w:val="Heading5"/>
        <w:numPr>
          <w:ilvl w:val="4"/>
          <w:numId w:val="1"/>
        </w:numPr>
        <w:rPr/>
      </w:pPr>
      <w:bookmarkStart w:id="516" w:name="__RefHeading___Toc3346604_3224264995"/>
      <w:bookmarkStart w:id="517" w:name="_Toc195"/>
      <w:bookmarkEnd w:id="516"/>
      <w:r>
        <w:rPr>
          <w:rtl w:val="true"/>
        </w:rPr>
        <w:t>تقریب المحقّق النائینی للجمع</w:t>
      </w:r>
      <w:bookmarkEnd w:id="517"/>
    </w:p>
    <w:p>
      <w:pPr>
        <w:pStyle w:val="BookText"/>
        <w:rPr/>
      </w:pPr>
      <w:r>
        <w:rPr>
          <w:rFonts w:ascii="IRNazanin" w:hAnsi="IRNazanin" w:eastAsia="IRNazanin"/>
          <w:color w:val="111111"/>
          <w:sz w:val="28"/>
          <w:sz w:val="28"/>
          <w:szCs w:val="28"/>
          <w:rtl w:val="true"/>
          <w:lang w:bidi="fa-IR"/>
        </w:rPr>
        <w:t>قد ذکر بعض أعاظم العصر جواباً لتخلّف الطرق و الأمارات، و جواباً آخر للُاصول المحرزة، و ثالثاً لغیر المحرزة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قدس سره فی الجمع عند تخلّف الطرق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فیها لیس حکماً تکلیفیاً حتّی یتوهّم التضادّ بینها و بین الواقعیات، بل الحقّ أنّ المجعول فیها هو الحجّیة و الطریقیة، و هما من الأحکام الوضعیة المتأصّلة فی الجعل؛ خلافاً للشیخ قدس سره؛ حیث ذهب إلی أنّ الأحکام الوضعیة کلّها منتزعة من الأحکام التکلیفیة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انتزاع بعض الأحکام الوضعیة من الأحکام التکلیفیة، مثل الزوجیة فإنّها وضعیة و یتبعها جملة من الأحکام، کوجوب الإنفاق علی الزوجة و حرمة تزویج الغیر لها، و حرمة ترک وطیها أکثر من أربعة أشهر إلی غیر ذلک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یتخلّف بعضها مع بقاء الزوجیة، فأیّ حکم تکلیفی یمکن انتزاع</w:t>
      </w:r>
    </w:p>
    <w:p>
      <w:pPr>
        <w:pStyle w:val="BookText"/>
        <w:rPr/>
      </w:pPr>
      <w:r>
        <w:rPr>
          <w:rFonts w:ascii="IRNazanin" w:hAnsi="IRNazanin" w:eastAsia="IRNazanin"/>
          <w:color w:val="111111"/>
          <w:sz w:val="28"/>
          <w:sz w:val="28"/>
          <w:szCs w:val="28"/>
          <w:rtl w:val="true"/>
          <w:lang w:bidi="fa-IR"/>
        </w:rPr>
        <w:t>الزوجیة منه؟ و أیّ جامع بین هذه الأحکام التکلیفیة لیکون منشأً لانتزاع الزوجیة؟</w:t>
      </w:r>
    </w:p>
    <w:p>
      <w:pPr>
        <w:pStyle w:val="BookText"/>
        <w:rPr/>
      </w:pPr>
      <w:r>
        <w:rPr>
          <w:rFonts w:ascii="IRNazanin" w:hAnsi="IRNazanin" w:eastAsia="IRNazanin"/>
          <w:color w:val="111111"/>
          <w:sz w:val="28"/>
          <w:sz w:val="28"/>
          <w:szCs w:val="28"/>
          <w:rtl w:val="true"/>
          <w:lang w:bidi="fa-IR"/>
        </w:rPr>
        <w:t>فلا محیص فی أمثالها عن القول بتأصّل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الطریقیة و الوسطیة فی الإثبات؛ فإنّها متأصّلة 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إمضاءً لما تقدّمت الإشارة إلیه من کون الطرق التی بأیدینا یعتمدون علیها العقلاء فی مقاصدهم، بل هی عندهم کالعلم لا یعتنون باحتمال مخالفتها للواقع، فنفس الحجّیة و الوسطیة فی الإثبات أمر عقلائی قابل بنفسه للاعتبار، من دون أن یکون هناک حکم تکلیفی 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حقیقة المجعول فیها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فیها حکم حتّی ینافی الواقع، فلا تضادّ و لا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حال الأمارات المخالفة إلّا کحال العلم المخالف، فلا یکون فی البین إلّا الحکم الواقعی فقط مطلقاً، فعند الإصابة یکون المؤدّی هو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یوجب تنجیزه، و عند الخطأ یوجب المعذوریة و عدم صحّة المؤاخذة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هناک حکم آخر مجعول</w:t>
      </w:r>
      <w:r>
        <w:rPr>
          <w:rStyle w:val="FootnoteAnchor"/>
          <w:rtl w:val="true"/>
        </w:rPr>
        <w:footnoteReference w:id="4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مواقع للنظر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أشرنا إلیه</w:t>
      </w:r>
      <w:r>
        <w:rPr>
          <w:rStyle w:val="FootnoteAnchor"/>
          <w:rtl w:val="true"/>
        </w:rPr>
        <w:footnoteReference w:id="454"/>
      </w:r>
      <w:r>
        <w:rPr>
          <w:rFonts w:ascii="IRNazanin" w:hAnsi="IRNazanin" w:eastAsia="IRNazanin"/>
          <w:color w:val="111111"/>
          <w:sz w:val="28"/>
          <w:sz w:val="28"/>
          <w:szCs w:val="28"/>
          <w:rtl w:val="true"/>
          <w:lang w:bidi="fa-IR"/>
        </w:rPr>
        <w:t>و سیوافیک تفصیله عند البحث عن حجّیة الأمارات العقلائیة</w:t>
      </w:r>
      <w:r>
        <w:rPr>
          <w:rStyle w:val="FootnoteAnchor"/>
          <w:rtl w:val="true"/>
        </w:rPr>
        <w:footnoteReference w:id="455"/>
      </w:r>
      <w:r>
        <w:rPr>
          <w:rFonts w:ascii="IRNazanin" w:hAnsi="IRNazanin" w:eastAsia="IRNazanin"/>
          <w:color w:val="111111"/>
          <w:sz w:val="28"/>
          <w:sz w:val="28"/>
          <w:szCs w:val="28"/>
          <w:rtl w:val="true"/>
          <w:lang w:bidi="fa-IR"/>
        </w:rPr>
        <w:t>،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باب الطرق و الأمارات حکم وضعی و لا تکلیفی، و إنّما عمل بها الشارع کما یعمل بها العقلاء فی مجاری امورهم من معاملاتهم و سیاساتهم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إمضاء الشارع العمل بالأمارات مستتبعاً لإنشاء حکم، بل مآله إلی عدم الردع و عدم التصرّف فی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الروایات</w:t>
      </w:r>
      <w:r>
        <w:rPr>
          <w:rStyle w:val="FootnoteAnchor"/>
          <w:rtl w:val="true"/>
        </w:rPr>
        <w:footnoteReference w:id="456"/>
      </w:r>
      <w:r>
        <w:rPr>
          <w:rFonts w:ascii="IRNazanin" w:hAnsi="IRNazanin" w:eastAsia="IRNazanin"/>
          <w:color w:val="111111"/>
          <w:sz w:val="28"/>
          <w:sz w:val="28"/>
          <w:szCs w:val="28"/>
          <w:rtl w:val="true"/>
          <w:lang w:bidi="fa-IR"/>
        </w:rPr>
        <w:t>کلّها إرشاد إلی ما علیه العقلاء، و قد اعترف به قدس سره فیما سبق</w:t>
      </w:r>
      <w:r>
        <w:rPr>
          <w:rStyle w:val="FootnoteAnchor"/>
          <w:rtl w:val="true"/>
        </w:rPr>
        <w:footnoteReference w:id="457"/>
      </w:r>
      <w:r>
        <w:rPr>
          <w:rFonts w:ascii="IRNazanin" w:hAnsi="IRNazanin" w:eastAsia="IRNazanin"/>
          <w:color w:val="111111"/>
          <w:sz w:val="28"/>
          <w:sz w:val="28"/>
          <w:szCs w:val="28"/>
          <w:rtl w:val="true"/>
          <w:lang w:bidi="fa-IR"/>
        </w:rPr>
        <w:t>، و لکنّه أفاد هنا 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المستند للقول بجعل الوسطیة و الطریقیة من جانب الشارع هو الأخبار الواردة فی شأن الآحاد من الأخبار أو شأن مخبریها،</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زرارة</w:t>
      </w:r>
      <w:r>
        <w:rPr>
          <w:rStyle w:val="FootnoteAnchor"/>
          <w:rtl w:val="true"/>
        </w:rPr>
        <w:footnoteReference w:id="458"/>
      </w:r>
      <w:r>
        <w:rPr>
          <w:rFonts w:ascii="IRNazanin" w:hAnsi="IRNazanin" w:eastAsia="IRNazanin"/>
          <w:color w:val="111111"/>
          <w:sz w:val="28"/>
          <w:sz w:val="28"/>
          <w:szCs w:val="28"/>
          <w:rtl w:val="true"/>
          <w:lang w:bidi="fa-IR"/>
        </w:rPr>
        <w:t>، و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أبا بصیر</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فاسمع له و أطع فإنّه الثقة المأمون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 الکثیرة التی سیجی‌ء کثیر منها فی بابه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شکّ أنّه لو کان المستند هذه الأخبار فالمجعول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قلنا من أنّها إرشاد إلی ما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العمل علی طبقها تعبّداً علی</w:t>
      </w:r>
    </w:p>
    <w:p>
      <w:pPr>
        <w:pStyle w:val="BookText"/>
        <w:rPr/>
      </w:pPr>
      <w:r>
        <w:rPr>
          <w:rFonts w:ascii="IRNazanin" w:hAnsi="IRNazanin" w:eastAsia="IRNazanin"/>
          <w:color w:val="111111"/>
          <w:sz w:val="28"/>
          <w:sz w:val="28"/>
          <w:szCs w:val="28"/>
          <w:rtl w:val="true"/>
          <w:lang w:bidi="fa-IR"/>
        </w:rPr>
        <w:t>أنّها هو الواقع، و ترتیب آثار الواقع علی مؤدّاها، و لیس فیها أیّ أثر من حدیث جعل الوسطیة 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المدرک مفهوم آیة النبأ</w:t>
      </w:r>
      <w:r>
        <w:rPr>
          <w:rStyle w:val="FootnoteAnchor"/>
          <w:rtl w:val="true"/>
        </w:rPr>
        <w:footnoteReference w:id="462"/>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بصدد جعل الکاشفیة لخبر العادل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الإشکالات المقرّرة فی محلّه</w:t>
      </w:r>
      <w:r>
        <w:rPr>
          <w:rStyle w:val="FootnoteAnchor"/>
          <w:rtl w:val="true"/>
        </w:rPr>
        <w:footnoteReference w:id="463"/>
      </w:r>
      <w:r>
        <w:rPr>
          <w:rFonts w:ascii="IRNazanin" w:hAnsi="IRNazanin" w:eastAsia="IRNazanin"/>
          <w:color w:val="111111"/>
          <w:sz w:val="28"/>
          <w:sz w:val="28"/>
          <w:szCs w:val="28"/>
          <w:rtl w:val="true"/>
          <w:lang w:bidi="fa-IR"/>
        </w:rPr>
        <w:t>، و عمّا احتملناه فی الأخبار؛ من کونها إرشاداً إلی عمل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بأنّها بصدد جعل وجوب العمل علی طبق قول العادل، لا جعل المبیّنیة و الکاشفیة، و إنّما المبیّنیة جهة تعلیلیة لجعل وجوب العمل، و لیست موردة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القابل للجعل فی المقام إنّما هو وجوب العمل علی طبق الأخبار و وجوب ترتیب الأثر علی مؤدّاها، و أمّا الطریقیة و الکاشفیة فلیس ممّا تنالها ید الجعل؛ فلأنّ الشی‌ء لو کان واجداً لهذه الصفة تکویناً فلا معنی لإعطائها لها، و إن کان فاقداً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یصیر ما لیس بکاشف کاشفاً، و ما لیس طریقاً طریقاً؛ فإنّ الطریقیة و الکاشفیة لیست أمراً اعتباریاً کالملکیة حتّی یصحّ جعلها بالاعتبار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علیه تتمیم الکشف و إکمال الطریقیة، فکما أنّ اللاکاشفیة ذاتیة للشکّ لا یصحّ سلبه، فکذلک النقصان فی مقام الکشف ذاتی للأمارات لا یمکن 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یناله الجعل لیس إلّا إیجاب العمل بمفادها و العمل علی طبقها و ترتیب آثار الواقع علیها، و لمّا کان ذاک التعبّد بلسان تحقّق الواقع و إلغاء احتمال الخلاف تعبّداً صحّ انتزاع الوسطیة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الحجّیة؛ فلأنّ معناها کون الشی‌ء قاطعاً للعذر فی ترک ما امر بفعله و فعل ما امر بترکه، و معلوم أنّه متأخّر عن أیّ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أو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یأمر الشارع بوجوب العمل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 أو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الحجّیة و لا یقطع به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إمکان انتزاع الزوجیة عمّا ذکره من الأحکام لا لعدم الجامع بینها، بل لأجل کونها آثاراً متأخّرة عن الزوجیة، و هی بعد یعدّ موضوعاً لهذه الأحکام المتأخّرة، فلا معنی لانتزاع ما هو المتقدّم طبعاً عمّا هو متأخّر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أحکام تکلیفیة یمکن أن یتوهّم إمکان انتزاع الزوجیة منها، کالأوامر الواردة بالنکاح فی الآیات</w:t>
      </w:r>
      <w:r>
        <w:rPr>
          <w:rStyle w:val="FootnoteAnchor"/>
          <w:rtl w:val="true"/>
        </w:rPr>
        <w:footnoteReference w:id="464"/>
      </w:r>
      <w:r>
        <w:rPr>
          <w:rFonts w:ascii="Amiri" w:hAnsi="Amiri" w:eastAsia="Amiri" w:cs="Amiri"/>
          <w:color w:val="111111"/>
          <w:sz w:val="28"/>
          <w:sz w:val="28"/>
          <w:szCs w:val="28"/>
          <w:rtl w:val="true"/>
          <w:lang w:bidi="ar-SA"/>
        </w:rPr>
        <w:t>، أو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الزوجیة لیست من المخترعات الشرعیة، بل من الاعتبارات العقلائیة التی یدور علیها فلک الحیاة الإنسانیة، فبما أنّ الزوجیة ممّا یتوقّف علیه نظام الاجتماع و یترتّب علیه آثار و منافع لا تحصی قام العقلاء علی اعتبارها، نعم الشرائع السماویة قد تصرّف فیها؛ تصرّفاً یرجع إلی إصلاحها و بیان حدودها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هذا الإطناب فالإشکال باقٍ بعد بحاله؛ فإنّ جعل الوسطیة و الطریقیة و الحجّیة للطرق و الأمارات مع العلم بأنّها ینجرّ أحیاناً إلی المخالفة</w:t>
      </w:r>
    </w:p>
    <w:p>
      <w:pPr>
        <w:pStyle w:val="BookText"/>
        <w:rPr/>
      </w:pPr>
      <w:r>
        <w:rPr>
          <w:rFonts w:ascii="IRNazanin" w:hAnsi="IRNazanin" w:eastAsia="IRNazanin"/>
          <w:color w:val="111111"/>
          <w:sz w:val="28"/>
          <w:sz w:val="28"/>
          <w:szCs w:val="28"/>
          <w:rtl w:val="true"/>
          <w:lang w:bidi="fa-IR"/>
        </w:rPr>
        <w:t>و المناقضة للواقع لا یجتمع مع بقاء الأحکام الواقعیة علی ما علیها من الفعلیة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الجدّیة الحتمیة بالأحکام الواقعیة لا تجتمع مع تعلّق مثل تلک الإرادة علی جعل الوسطیة للطرق التی ربّما یوجب تفویت الواقع؛ فإنّ ذلک الجعل یلازم الترخیص الفعلی فی مخالفة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جعل الوسطیة فی الإثبات بالعلم المخالف للواقع أحیاناً قیاس مع الفارق؛ فإنّ العمل بالعلم المخالف لیس ترخیصاً من الشارع فی مخالفة الأحکام الواقعیة، و إنّما هو ضرورة ابتلی به المکلّف لا من جانب الشارع بل لقصور منه، و هذا بخلاف جعل الحجّیة علی الأمارة المؤدّیة إلی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قلنا ببقاء الواقع علی ما علیه من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باعثاً و زاجراً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قلنا بأنّه یصیر إنشائیاً أو فعلیاً بمرتبة دون مرتبة، و أنّ الشارع قد رفع الید لأجل مصالح اجتماعیة عن تلک الواقعیات فلا مضادّة و لا منافاة بین الواقعی و الظاهری، و لا یحتاج إلی إتعاب النفس و عقد هذه المباحث</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ما فی کلام المحقّق الخراسانی؛ حیث تخلّص عن کافّة الإشکالات بأنّ الحجّیة غیر مستتبعة لإنشاء أحکام تکلیفیة</w:t>
      </w:r>
      <w:r>
        <w:rPr>
          <w:rStyle w:val="FootnoteAnchor"/>
          <w:rtl w:val="true"/>
        </w:rPr>
        <w:footnoteReference w:id="466"/>
      </w:r>
      <w:r>
        <w:rPr>
          <w:rFonts w:ascii="IRNazanin" w:hAnsi="IRNazanin" w:eastAsia="IRNazanin"/>
          <w:color w:val="111111"/>
          <w:sz w:val="28"/>
          <w:sz w:val="28"/>
          <w:szCs w:val="28"/>
          <w:rtl w:val="true"/>
          <w:lang w:bidi="fa-IR"/>
        </w:rPr>
        <w:t>فإنّ هذا التقریب لا یحسم مادّة الإشکال، کالقول بأنّ أحدهما طریقی و الآخر واقعی</w:t>
      </w:r>
      <w:r>
        <w:rPr>
          <w:rStyle w:val="FootnoteAnchor"/>
          <w:rtl w:val="true"/>
        </w:rPr>
        <w:footnoteReference w:id="467"/>
      </w:r>
      <w:r>
        <w:rPr>
          <w:rFonts w:ascii="IRNazanin" w:hAnsi="IRNazanin" w:eastAsia="IRNazanin"/>
          <w:color w:val="111111"/>
          <w:sz w:val="28"/>
          <w:sz w:val="28"/>
          <w:szCs w:val="28"/>
          <w:rtl w:val="true"/>
          <w:lang w:bidi="fa-IR"/>
        </w:rPr>
        <w:t>فإنّ جعل الحجّیة و الطریقیة لمّا کان ینتهی أحیاناً إلی مخالفة الواقع و مناقضته لا تجتمع مع فعلیة الأحکام الواقعیة</w:t>
      </w:r>
      <w:r>
        <w:rPr>
          <w:rFonts w:eastAsia="IRNazanin" w:cs="IRNazanin"/>
          <w:color w:val="111111"/>
          <w:sz w:val="28"/>
          <w:szCs w:val="28"/>
          <w:rtl w:val="true"/>
          <w:lang w:bidi="fa-IR"/>
        </w:rPr>
        <w:t>.</w:t>
      </w:r>
      <w:bookmarkStart w:id="518" w:name="pg12907_206843"/>
    </w:p>
    <w:p>
      <w:pPr>
        <w:pStyle w:val="Heading5"/>
        <w:numPr>
          <w:ilvl w:val="4"/>
          <w:numId w:val="1"/>
        </w:numPr>
        <w:rPr/>
      </w:pPr>
      <w:bookmarkStart w:id="519" w:name="__RefHeading___Toc3346606_3224264995"/>
      <w:bookmarkStart w:id="520" w:name="_Toc196"/>
      <w:bookmarkEnd w:id="518"/>
      <w:bookmarkEnd w:id="519"/>
      <w:r>
        <w:rPr>
          <w:rtl w:val="true"/>
        </w:rPr>
        <w:t>ما أفاده المحقّق النائینی فی الاصول المحرزة</w:t>
      </w:r>
      <w:bookmarkEnd w:id="520"/>
    </w:p>
    <w:p>
      <w:pPr>
        <w:pStyle w:val="BookText"/>
        <w:rPr/>
      </w:pPr>
      <w:r>
        <w:rPr>
          <w:rFonts w:ascii="IRNazanin" w:hAnsi="IRNazanin" w:eastAsia="IRNazanin"/>
          <w:color w:val="111111"/>
          <w:sz w:val="28"/>
          <w:sz w:val="28"/>
          <w:szCs w:val="28"/>
          <w:rtl w:val="true"/>
          <w:lang w:bidi="fa-IR"/>
        </w:rPr>
        <w:t>ثمّ إنّه أفاد فیها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فیها هو البناء العملی علی أحد طرفی الشکّ علی أنّه الواقع و إلغاء الطرف الآخر و جعله کالعدم، و لأجل ذلک قامت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فیها لیس أمراً مغایراً للواقع، بل الجعل الشرعی تعلّق بالجری العملی علی المؤدّی علی أنّه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یرشدنا إلیه قوله علیه السلام فی بعض أخبار 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قد رکع</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فإن کان المؤدّی هو الواقع فهو، و إلّا کان الجری العملی واقعاً فی غیر محلّه، من دون أن یتعلّق بالمؤدّی حکم علی خلاف ما هو علیه، فلا یکون ما وراء الحکم الواقعی حکم آخر حتّی یناقضه و یضادّه</w:t>
      </w:r>
      <w:r>
        <w:rPr>
          <w:rStyle w:val="FootnoteAnchor"/>
          <w:rtl w:val="true"/>
        </w:rPr>
        <w:footnoteReference w:id="4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الجری العملی و البناء العملی علی أحد طرفی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تناله ید الجعل؛ لأنّه فعل للمکلّف، و ما یصحّ جعله إنّما هو إیجاب الجری العملی، فهو لا یفید و لا یرفع غائلة التضادّ بین الواقعیة و الظاهریة؛ فإنّ إیجاب الجری العملی علی إتیان الشرط أو الجزء بعد 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أحیاناً یؤدّی إلی ترک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فعلیة حکم الجزئیة و الشرطیة، و لا یعقل جعل الهوهویة بین الواقع و ما یخالفه أحیاناً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حدیث الهوهویة عین و لا أثر فی الاصول التنزیلیة، کما سیوافیک بیانه عند البحث عن الاستصحاب و قاعدة التجاوز</w:t>
      </w:r>
      <w:r>
        <w:rPr>
          <w:rFonts w:eastAsia="IRNazanin" w:cs="IRNazanin"/>
          <w:color w:val="111111"/>
          <w:sz w:val="28"/>
          <w:szCs w:val="28"/>
          <w:rtl w:val="true"/>
          <w:lang w:bidi="fa-IR"/>
        </w:rPr>
        <w:t>.</w:t>
      </w:r>
      <w:bookmarkStart w:id="521" w:name="pg12907_206844"/>
    </w:p>
    <w:p>
      <w:pPr>
        <w:pStyle w:val="Heading5"/>
        <w:numPr>
          <w:ilvl w:val="4"/>
          <w:numId w:val="1"/>
        </w:numPr>
        <w:rPr/>
      </w:pPr>
      <w:bookmarkStart w:id="522" w:name="__RefHeading___Toc3346608_3224264995"/>
      <w:bookmarkStart w:id="523" w:name="_Toc197"/>
      <w:bookmarkEnd w:id="521"/>
      <w:bookmarkEnd w:id="522"/>
      <w:r>
        <w:rPr>
          <w:rtl w:val="true"/>
        </w:rPr>
        <w:t>کلام المحقّق النائینی فی غیر المحرزة من الاصول</w:t>
      </w:r>
      <w:bookmarkEnd w:id="523"/>
    </w:p>
    <w:p>
      <w:pPr>
        <w:pStyle w:val="BookText"/>
        <w:rPr/>
      </w:pPr>
      <w:r>
        <w:rPr>
          <w:rFonts w:ascii="IRNazanin" w:hAnsi="IRNazanin" w:eastAsia="IRNazanin"/>
          <w:color w:val="111111"/>
          <w:sz w:val="28"/>
          <w:sz w:val="28"/>
          <w:szCs w:val="28"/>
          <w:rtl w:val="true"/>
          <w:lang w:bidi="fa-IR"/>
        </w:rPr>
        <w:t>ثمّ إنّه قدس سره قد أفاد فی هذا الباب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للشکّ فی الحکم الواقعی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الحالات و الطوارئ اللاحقة للحکم الواقعی أو موضوعه، کحالة العلم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بهذا الاعتبار لا یمکن أخذه موضوعاً لحکم یضادّ الحکم الواقعی؛ لانحفاظ الحکم الواقعی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کونه موجباً للحیرة فی الواقع، و عدم کونه موصلًا إلیه و منجّزاً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بهذا الاعتبار یمکن أخذه موضوعاً لما یکون متمّماً للجعل و منجّزاً للواقع و موصلًا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أخذه موضوعاً لما یکون مؤمّناً عن الواقع حسب اختلاف مراتب الملاکات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مصلحة الواقع مهمّة فی نظر الشارع کان علیه جعل المتمّم، کمصلحة احترام المؤمن و حفظ نفسه؛ فإنّه أهمّ من مفسدة حفظ نفس الکافر، فیقتضی جعل حکم طریقی لوجوب الاحتیاط فی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الاحتیاطی إنّما هو فی طول الواقع لحفظ مصلحته؛ و لذا کان خطابه نفسیاً لا مقدّمیاً؛ لأنّ الخطاب المقدّمی ما لا مصلحة فیه أصلًا، و الاحتیاط لیس کذلک؛ لأنّ أهمّیة الواقع دعت إلی وجوبه، فهو واجب نفسی للغیر لا واجب بالغیر؛ و لذا کان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لقبح العقاب علیه مع الجهل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یصحّ العقوبة علی مخالفة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 الواقع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واجباً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علل التشریع و علل الأحکام، و الذی لا یدور الحکم مداره هو الأوّل دون الثانی، و لا إشکال فی أنّ الحکم بوجوب حفظ نفس المؤمن علّة للحکم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یبقی فی مورد الشکّ مع عدم کون المشکوک ممّا یجب حفظه، و لکن لمکان جهل المکلّف کان اللازم علیه الاحتیاط؛ تحرّزاً عن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مضادّة بین إیجاب الاحتیاط و بین الحکم الواقعی؛ فإنّ المشتبه إن کان ممّا یجب حفظ نفسه واقعاً فوجوب الاحتیاط یتّحد مع الوجوب الواقعی و یکون هو هو، و إلّا فلا؛ لانتفاء علّته، و المکلّف یتخیّل وجوبه لجهله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الاحتیاط من هذه الجهة یشبه الوجوب المقدّمی؛ و إن کان من جهة اخری یغایره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إیجاب الاحتیاط من متمّمات الجعل الأوّلی فوجوبه یدور مداره، و لا یعقل بقاء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وجوب الاحتیاط یدور مدار الوجوب الواقعی فلا یعقل التضادّ بینهما؛ لاتّحادهما فی مورد المصادفة و عدم وجوب الاحتیاط فی مورد المخالفة، فأین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المصلحة مقتضیة لجعل المتمّم، و أمّا مع عدم الأهمّیة فللشارع جعل المؤمّن بلسان الرفع، کما 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بلسان الوضع،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Style w:val="FootnoteAnchor"/>
          <w:rtl w:val="true"/>
        </w:rPr>
        <w:footnoteReference w:id="47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رفع التکلیف لیس من</w:t>
      </w:r>
    </w:p>
    <w:p>
      <w:pPr>
        <w:pStyle w:val="BookText"/>
        <w:rPr/>
      </w:pPr>
      <w:r>
        <w:rPr>
          <w:rFonts w:ascii="IRNazanin" w:hAnsi="IRNazanin" w:eastAsia="IRNazanin"/>
          <w:color w:val="111111"/>
          <w:sz w:val="28"/>
          <w:sz w:val="28"/>
          <w:szCs w:val="28"/>
          <w:rtl w:val="true"/>
          <w:lang w:bidi="fa-IR"/>
        </w:rPr>
        <w:t>موطنه لیلزم التناقض، بل رفع التکلیف عمّا یستتبعه من التبعات و 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فالرخصة المستفادة من دلیل الرفع نظیر الرخصة المستفادة من حکم العقل بقبح العقاب بلا بیان فی عدم المنافاة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تکون فی طول الواقع؛ لتأخّر رتبته عنه؛ لأنّ الموضوع فیها هو الشکّ فی الحکم من حیث کونه موجباً للحیرة فی الواقع و غیر موصل إلیه، و لا منجّز له، فقد لوحظ فی الرخصة وجود الحکم الواقعی، و معه کیف یعقل أن تضادّه؟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و الحلّیة المستفادة من حدیث الرفع و أصالة الحلّ تکون فی عرض المنع و الحرمة المستفادة من إیجاب الاحتیاط، و قد عرفت أنّ إیجاب الاحتیاط یکون فی طول الواقع، فما یکون فی عرضه یکون فی طول الواقع أیضاً، و إلّا یلزم أن یکون ما فی طول الشی‌ء فی عرضه</w:t>
      </w:r>
      <w:r>
        <w:rPr>
          <w:rStyle w:val="FootnoteAnchor"/>
          <w:rtl w:val="true"/>
        </w:rPr>
        <w:footnoteReference w:id="472"/>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کلامه قدس سره مواقع للنظر، نشیر إلی مهمّاتها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الشکّ تارة بما أنّه من الحالات و الطوارئ اللاحقة للحکم الواقعی، و اخری بما أنّه موجب للحیرة فیه لا یرجع إلی محصّل؛ لأنّه تفنّن فی التعبیر و تغییر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 حکماً یرتفع غائلة التضادّ بالاعتبار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جعله موضوعاً بما أنّه موجب للتحیّر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المجعول و الموضوع فی طول الواقع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یرتفع الغائلة بجعل الحکم علی الشکّ بالاعتبار الأوّل؛ لکون الشکّ فی الشی‌ء متأخّراً عن الشی‌ء، فجعل أحدهما رافعاً دون الآخر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ارتفاعها بکلا الاعتبارین؛ لکون الحکم الواقعی محفوظاً مع الشکّ و الحیرة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الواقعی إن بقی علی فعلیته و باعثیته فجعل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لترخیص ترک الواقع الذی هو فعلی و مطلوب للمولی، و مع هذا فکیف یرتفع غائلة التضادّ؟ و إن لم یبق علی فعلیته و باعثیته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فی المقام بأنّ الأحکام الواقعیة بوجوداتها النفس الأمریة لا تصلح للداعویة</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 الواقعی و الظاهری حاصل بهذا الوجه، بلا احتیاج إلی ما أتعب به نفسه الزکیة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أورده علی نفسه من أنّ لازم کون الاحتیاط واجباً نفسیاً هو صحّة العقوبة علی مخالفة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 الواقع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تفصّی به عنه من عدم وجوب الاحتیاط واقعاً فی مورد الشکّ مع عدم کون المشکوک ممّا یجب حفظه؛ لکون وجوب حفظ المؤمن علّة للحکم بالاحتیاط لا علّة للتشریع لا یدفع الإشکال؛ فإنّ خلاصة کلامه قدس سره یرجع إلی أنّ وجوب الاحتیاط دائر مدار وجود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فالعلم بوجود الحکم الواقعی یلازم العلم بلزوم الاحتیاط، کما أنّ العلم بعدمه یلازم العلم بعدم وجوب الاحتیاط</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الحکم الواقعی یستلزم الشکّ فی وجوب الاحتیاط، فکما أنّ الحکم الواقعی لا داعویة له فی صورة الشکّ فی وجوده فهکذا وجوب الاحتیاط، فلا یصلح للباعثیة فی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تعلّق وجوب الاحتیاط بمورد الشکّ الذی ینطبق علی الواجب الواقعی دون غیره لاحتاج إلی متمّم آخر، و یصیر إیجاب الاحتیاط حینئذٍ لغواً؛ فإنّ موارد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وجود الحکم الواقعی مشکوکاً، کما فی الاحتیاط فی الدماء و الأعراض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المکلّف لمّا لم یعلم کون المشکوک ممّا یجب حفظ نفسه أو لا یجب کان اللازم هو الاحتیاط؛ تحرّزاً عن مخالفة الواقع غیر واضح؛ فإنّ وجوب الاحتیاط علی النحو الذی قرّره لا یقصر عن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داعویة له فی ظرف الشکّ فی وجوده فهکذا ما هو مثلها؛ أعنی وجوب الاحتیاط علی ما التزم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یصیر الاحتیاط فی عامّة الموارد اللازمة فی الشبهات البدویة لغواً باطلًا؛ فإنّ الاحتیاط فی کافّة الموارد إنّما هو فی صورة الشکّ فی الحکم الواقعی،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أنّ الاحتیاط لیس محبوباً و واجباً نفسیاً و متعلّقاً لغرض المولی، و الغرض من إیجابه هو حفظ الواقع لا غیر، و لأجله لا یستلزم ترک الاحتیاط عقوبة وراء ترک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فی بعض کلامه من أنّ 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یتکفّل بیان وجود الحکم فی زمان الشکّ فیه لا یخلو من ضعف؛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مخالفته لما قال سابقاً من أنّ الاحتیاط أصل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کون الاحتیاط أو إیجابه أمارة لوجود الحکم فی زمان الشکّ، و هو خلاف الواقع؛ فإنّ إیجاب الاحتیاط مع الشکّ لغرض الوصول إلی الواقع غیر کونه کاشفاً عن الواقع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أصالة البراءة و الحلّیة فی طول الواقع؛ لأنّهما فی عرض</w:t>
      </w:r>
      <w:bookmarkStart w:id="524" w:name="pg12907_206849"/>
    </w:p>
    <w:p>
      <w:pPr>
        <w:pStyle w:val="BookText"/>
        <w:rPr/>
      </w:pPr>
      <w:bookmarkEnd w:id="524"/>
      <w:r>
        <w:rPr>
          <w:rFonts w:ascii="IRNazanin" w:hAnsi="IRNazanin" w:eastAsia="IRNazanin"/>
          <w:color w:val="111111"/>
          <w:sz w:val="28"/>
          <w:sz w:val="28"/>
          <w:szCs w:val="28"/>
          <w:rtl w:val="true"/>
          <w:lang w:bidi="fa-IR"/>
        </w:rPr>
        <w:t>الاحتیاط الذی هو فی طول الواقع غیر واضح؛ فإنّ التقدّم الرتبی غیر التقدّم الزمانی و المکانی؛ فإنّ ما ذکره صحیح فیهما، و أمّا الرتبی فالتقدّم و التأخّر تابع لوجود الملاک فی الموصوف؛ فإنّ مجرّد کون الشی‌ء فی عرض المتأخّر رتبة عن الشی‌ء لا یستلزم تأخّره عنه أیضاً؛ فإنّ المعلول متأخّر رتبة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هو فی رتبة المعلول من المقارنات الخارجیة فلیس محکوماً بالتأخّر الرتبی عن تلک العلّة، کما هو واضح فی محلّه و عند أهله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حدیث قیاس المساواة فقد ذکر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مجراها إنّما هو المسائل الهندسیة، فراجع إلی مظانّها و أهلها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3346610_3224264995"/>
      <w:bookmarkStart w:id="526" w:name="_Toc198"/>
      <w:bookmarkEnd w:id="525"/>
      <w:r>
        <w:rPr>
          <w:rtl w:val="true"/>
        </w:rPr>
        <w:t>تقریب المحقّق العراقی للجمع بین الحکم الواقعی و الظاهری</w:t>
      </w:r>
      <w:bookmarkEnd w:id="526"/>
    </w:p>
    <w:p>
      <w:pPr>
        <w:pStyle w:val="BookText"/>
        <w:rPr/>
      </w:pPr>
      <w:r>
        <w:rPr>
          <w:rFonts w:ascii="IRNazanin" w:hAnsi="IRNazanin" w:eastAsia="IRNazanin"/>
          <w:color w:val="111111"/>
          <w:sz w:val="28"/>
          <w:sz w:val="28"/>
          <w:szCs w:val="28"/>
          <w:rtl w:val="true"/>
          <w:lang w:bidi="fa-IR"/>
        </w:rPr>
        <w:t>و هو ما أفاده بعض محقّقی العصر قدس سره، و خلاصة ما أفاده لرفع التضادّ هو أنّ الأحکام متعلّقة علی العناوین الذهنیة الملحوظة خارجیة علی وجه لا یری بالنظر التصوّری کونها غیر الخارج؛ و إن کانت بالنظر التصدیقی غیره، مع وقوف الحکم علی نفس العنوان و عدم سرایته إلی المعنون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قد ینتزع من وجود واحد عنوانان طولیان؛ بحیث یکون الذات ملحوظة فی 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رتبة سابقة علی الوصف، و اخری فی رتبة لاحقة، نظیر الذات المعروضة للأمر التی یستلزم تقدّم الذات علیه، و الذات المعلولة لدعوته المنتزع عنها عنوان الإطاعة التی یستلزم تأخّر الذات عنها، و کالجهات التعلیلیة</w:t>
      </w:r>
    </w:p>
    <w:p>
      <w:pPr>
        <w:pStyle w:val="BookText"/>
        <w:rPr/>
      </w:pPr>
      <w:r>
        <w:rPr>
          <w:rFonts w:ascii="IRNazanin" w:hAnsi="IRNazanin" w:eastAsia="IRNazanin"/>
          <w:color w:val="111111"/>
          <w:sz w:val="28"/>
          <w:sz w:val="28"/>
          <w:szCs w:val="28"/>
          <w:rtl w:val="true"/>
          <w:lang w:bidi="fa-IR"/>
        </w:rPr>
        <w:t>التی انیط بها الحکم؛ فإنّه لا بدّ فیها من فرض وجود الوصف قائماً بموصوفه، و الحکم فی هذا الظرف علی نفس الذات الملحوظة فی الرتبة المتأخّرة عن الوصف بلا أخذ الوصف قیداً للموضوع، کالجهات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صفة المشکوکیة؛ لأنّها جهة تعلیلیة لتعلّق الحکم بالموضوع حسب ظاهر أدلّتها لا تقییدیة لموضوعاتها، و لازم ذلک اعتبار الذات فی 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فی الرتبة السابقة علی الوصف، و اخری فی الرتبة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فیختلف موضوع الحکم الظاهری و الواقعی رتبة؛ بحیث لا یکاد یتصوّر الجمع لهما فی عالم عروض الحکم، بخلاف الطولیة الناشئة من الجهات التقییدیة؛ لعدم طولیة الذات رتبة، و محفوظیتها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رفع التضادّ کما افید،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التوضیح فلیرجع إلی کتابه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ذکره جهات من الخلل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المقدّمة الاولی من أنّ کلّ حکم لا یتجاوز عن عنوان إلی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اتّحدا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جدّاً، إلّا أنّ ما ذکره من أنّ الأحکام متعلّقة علی العناوین الذهنیة الملحوظة خارجیة علی وجه لا یری بالنظر التصوّری کونها غیر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بالنظر التصدیقی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فإنّه إن کان المراد أنّ الحاکم یختلف نظره التصوّری و التصدیقی عند الحکم فهو واضح الفساد، و إن أراد أنّ الحاکم لا یری الاثنینیة حین الحکم؛ و إن کانت المغایرة موجودة فی نفس الأمر أو فی نظرة اخری فهو یستلزم تعلّق الأمر بالموجود، و هو مساوق لتحصیل الحاصل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مآله إلی تعلّق البعث إلی الأمر الخارجی؛ فإنّ إلقاء الصورة الذهنیة من رأس و عدم التوجّه إلیها عند الحکم یستلزم تعلّق البعث علی الطبیعة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ما ذکره هو ما اشتهر بینهم من أنّه لو تعلّق الأحکام بالطبائع بما هی هی بلا لحاظ کونها مرآة للخارج یلزم کون الطبیعة مطلوبة من حیث هی هی، و قد ذکرنا ما هو الحقّ فی مباحث الألفاظ</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أنّ الذات فی الجهات التعلیلیة و القضایا الطلبیة الشرطیة یلاحظ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تارة و متأخّراً اخری، کما فی باب الأوامر غیر صحیح؛ لا فی المقیس و لا فی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الأوامر و الأحکام التی یعبّر عنها بالزجر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إلزامیاً أو غیر 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قبیل الأعراض بالنسبة إلی موضوعاتها حتّی یکون فیها مناط التأخّر الرتبی، بل لها قیام صدوری بالأمر، کما أنّ لها إضافة اعتباریة بالنسبة إلی المأمور و المأمور به و الآمر، و إنّما قلنا اعتباریة؛ لأنّها تحلیلات ذهنیة لا یقابلها شی‌ء فی الخارج؛ بحیث لولاه فهی لیست عرضاً؛ لا فی الذهن و 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داعویة الأمر أمراً تکوینیاً حقیقیاً کان لما ذکره وجه؛ لأنّه حینئذٍ یتأخّر الانبعاث عن البعث؛ تأخّر المعلول عن علّته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داعویته لیس إلّا إیقاعیاً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مبیّناً لموضوع الإطاعة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محرّکاً للمأمور نحو الأمر؛ ضرورة أنّ العبد إنّما ینبعث عن المبادئ الحاصلة فی نفسه؛ من</w:t>
      </w:r>
    </w:p>
    <w:p>
      <w:pPr>
        <w:pStyle w:val="BookText"/>
        <w:rPr/>
      </w:pPr>
      <w:r>
        <w:rPr>
          <w:rFonts w:ascii="IRNazanin" w:hAnsi="IRNazanin" w:eastAsia="IRNazanin"/>
          <w:color w:val="111111"/>
          <w:sz w:val="28"/>
          <w:sz w:val="28"/>
          <w:szCs w:val="28"/>
          <w:rtl w:val="true"/>
          <w:lang w:bidi="fa-IR"/>
        </w:rPr>
        <w:t>الخوف و الرجاء، و أمّا مجرّد الأمر فلیس محرّکاً؛ و لو مع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فانبعاث العبد لیس من البعث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الانبعاث متأخّر عن البعث رتبة؛ لعدم ملاک التأخّر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تأخّر الانبعاث عن البعث زماناً و تصوّراً فهو لا یستلزم التأخّر الرتبی الذی لا یتحقّق إلّا بین العلل و المعالیل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فی المقیس علیه لأجل أنّ الذات تارة یلاحظ معروضة فیصیر متقدّمة، و اخری معلولة لدعوته فتصیر متأخّرة، فلا نسلّم فی المقیس؛ فإنّ الجهات التعلیلیة لیست إلّا علّة لتعلّق الحکم بالموضوع، فهی مقدّمة علی الحکم و تعلّقه بالموضوع، و أمّا تقدّمها علی الذات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یحرم؛ لغلیانه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موضوع و حکم و علّة، فلا شکّ أنّ الذات مقدّم علی الغلیان لکونه وصفاً له، و الحکم متأخّر عن الوصف لکونه 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العلّة علی الحکم تقدّم رتبی، و تأخّره عنها أیضاً کذلک، و أمّا تقدّمها علی الذات فلیس له وجه و 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القول بارتفاع التضادّ بالجهات التقییدیة أولی بارتفاعه من التشبّث بالجهات التعلیلیة؛ 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عنوانی الخمر و المشکوک فیه عموماً من وجه؛ لتصادقهما فی الخمر المشکوک فیه مع کونه خمراً فی الواقع، و تفارقهما فی الخمر المعلومة، و المشکوک فیه إذا کان خلًّا، فیمکن أن یکون أحد العنوانین مصبّاً للحلّیة و اخری للحرمة، کما فی عنوانی الصلاة و الغصب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مرّ منّا فی مباحث القطع ما یردّه أیضاً؛ للفرق بین المقامین؛ فإنّ</w:t>
      </w:r>
      <w:bookmarkStart w:id="527" w:name="pg12907_206853"/>
    </w:p>
    <w:p>
      <w:pPr>
        <w:pStyle w:val="BookText"/>
        <w:rPr/>
      </w:pPr>
      <w:bookmarkEnd w:id="527"/>
      <w:r>
        <w:rPr>
          <w:rFonts w:ascii="IRNazanin" w:hAnsi="IRNazanin" w:eastAsia="IRNazanin"/>
          <w:color w:val="111111"/>
          <w:sz w:val="28"/>
          <w:sz w:val="28"/>
          <w:szCs w:val="28"/>
          <w:rtl w:val="true"/>
          <w:lang w:bidi="fa-IR"/>
        </w:rPr>
        <w:t>الدلیل الدالّ علی وجوب الصلاة غیر ناظر إلی ما یدلّ علی حرمة الغصب، و هذا بخلاف المقام فإنّ الأدلّة المرخّصة ناظرة إلی العناوین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الحلّیة إلی زمن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لا یجتمع الإرادة الحتمیة التحریمیة علی نحو الإطلاق مع الترخیص الفعلی لأجل الاشتباه، أو جعل الطرق و إمضائها، التی یؤدّی أحیاناً إلی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أنّ صفة المشکوکیة و المشتبهیة جهات تعلیلیة خلاف ظاهر أدلّة الباب؛ فإنّ الظاهر من حدیث الرفع و روایات الحلّ و الطهارة و أدلّة الاستصحاب و الشکّ بعد تجاوز المحلّ أنّ الأحکام متعلّقة بالمشکوک بما أنّه مشکوک، و غیر المعلوم بما أنّه کذلک</w:t>
      </w:r>
      <w:r>
        <w:rPr>
          <w:rFonts w:eastAsia="IRNazanin" w:cs="IRNazanin"/>
          <w:color w:val="111111"/>
          <w:sz w:val="28"/>
          <w:szCs w:val="28"/>
          <w:rtl w:val="true"/>
          <w:lang w:bidi="fa-IR"/>
        </w:rPr>
        <w:t>.</w:t>
      </w:r>
    </w:p>
    <w:p>
      <w:pPr>
        <w:pStyle w:val="Heading5"/>
        <w:numPr>
          <w:ilvl w:val="4"/>
          <w:numId w:val="1"/>
        </w:numPr>
        <w:rPr/>
      </w:pPr>
      <w:bookmarkStart w:id="528" w:name="__RefHeading___Toc3346612_3224264995"/>
      <w:bookmarkStart w:id="529" w:name="_Toc199"/>
      <w:bookmarkEnd w:id="528"/>
      <w:r>
        <w:rPr>
          <w:rtl w:val="true"/>
        </w:rPr>
        <w:t>تقریب السیّد الفشارکی للجمع بین الحکم الواقعی و الظاهری</w:t>
      </w:r>
      <w:bookmarkEnd w:id="529"/>
    </w:p>
    <w:p>
      <w:pPr>
        <w:pStyle w:val="BookText"/>
        <w:rPr/>
      </w:pPr>
      <w:r>
        <w:rPr>
          <w:rFonts w:ascii="IRNazanin" w:hAnsi="IRNazanin" w:eastAsia="IRNazanin"/>
          <w:color w:val="111111"/>
          <w:sz w:val="28"/>
          <w:sz w:val="28"/>
          <w:szCs w:val="28"/>
          <w:rtl w:val="true"/>
          <w:lang w:bidi="fa-IR"/>
        </w:rPr>
        <w:t>إنّ شیخنا العلّامة قد نقل وجوهاً للجمع، و نقل وجهاً عن السیّد الجلیل الاستاذ السیّد محمّد الفشارکی،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المنافاة بین الحکمین إذا کان الملحوظ فی موضوع الآخر الشکّ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تتعلّق بالمفاهیم الذهنیة؛ من حیث إنّها حاکیة عن الخارج، فالشی‌ء ما لم یتصوّر فی الذهن لا یتّصف بالمحبوبیة و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المفهوم المتصوّر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مطلوباً علی نحو الإطلاق و اخری علی نحو التقیید، و علی الثانی فقد یکون لعدم المقتضی فی غیر ذلک المقیّد، و قد یکون لوجود المانع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الأخیر مثل أن یکون الغرض فی عتق الرقبة مطلقاً، إلّا أنّ عتق الرقبة الکافرة منافٍ لغرضه الآخر الأهمّ، فلا محالة بعد الکسر و الانکسار یقیّد الرقبة</w:t>
      </w:r>
    </w:p>
    <w:p>
      <w:pPr>
        <w:pStyle w:val="BookText"/>
        <w:rPr/>
      </w:pPr>
      <w:r>
        <w:rPr>
          <w:rFonts w:ascii="IRNazanin" w:hAnsi="IRNazanin" w:eastAsia="IRNazanin"/>
          <w:color w:val="111111"/>
          <w:sz w:val="28"/>
          <w:sz w:val="28"/>
          <w:szCs w:val="28"/>
          <w:rtl w:val="true"/>
          <w:lang w:bidi="fa-IR"/>
        </w:rPr>
        <w:t>بالمؤمنة، لا لعدم المقتضی بل لمزاحمة المانع، و ذلک موقوف علی تصوّر العنوان المطلوب مع العنوان الآخر المتّحد معه، المخرج له عن المطلوبیة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عدم اجتماع العنوانین فی الذهن؛ بحیث یکون تعقّل أحدهما لا مع الآخر دائماً لا یتحقّق الکسر و الانکسار بین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تصوّر العنوان الذی فیه جهة المطلوبیة یکون مطلوباً مطلقاً؛ لعدم تعقّل منافیه، و متی تصوّر العنوان الذی فیه جهة المبغوضیة یکون مبغوضاً کذلک؛ لعدم تعقّل منافیه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العنوان المتعلّق للأحکام الواقعیة مع العنوان المتعلّق للأحکام الظاهریة ممّا لا یجتمعان فی الوجود الذهنی أبداً؛ لأنّ الحالات اللاحقة للموضوع بعد تحقّق الحکم و فی الرتبة المتأخّرة عنه، لا یمکن إدراجها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بعد ملاحظة اتّصاف الموضوع بکونه مشکوک الحکم تحقّق جهة المبغوضیة فیه، و یصیر مبغوضاً بهذه الملاحظة، لا یزاحمها جهة المطلوبیة الملحوظة فی ذاته؛ لأنّ الموضوع بتلک الملاحظة لا یکون متعقّلًا فعلًا؛ لأنّ تلک الملاحظة ملاحظة ذات الموضوع مع قطع النظر عن الحکم، و هذه ملاحظته مع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المتأخّر و إن لم یکن متعقّلًا فی مرتبة تعقّل الذات، و لکن الذات ملحوظة فی مرتبة تعلّق العنوان المتأخّر، فیجتمع العنوانان، و عاد الإشکال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تصوّر موضوع الحکم الواقعی مبنی علی تجرّده عن الحکم، و تصوّره بعنوان کونه مشکوک الحکم لا بدّ و أن یکون بلحاظ الحکم، و لا یمکن الجمع بین لحاظی التجرّد و اللاتجرّد</w:t>
      </w:r>
      <w:r>
        <w:rPr>
          <w:rStyle w:val="FootnoteAnchor"/>
          <w:rtl w:val="true"/>
        </w:rPr>
        <w:footnoteReference w:id="478"/>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امتناع أخذ ما یأتی من قبل الأمر فی دائرة موضوع الحکم، کالشکّ فی الحکم و العلم به، و قد قدّمنا صحّة الأخذ فی باب التعبّدی و التوصّلی</w:t>
      </w:r>
      <w:r>
        <w:rPr>
          <w:rStyle w:val="FootnoteAnchor"/>
          <w:rtl w:val="true"/>
        </w:rPr>
        <w:footnoteReference w:id="479"/>
      </w:r>
      <w:r>
        <w:rPr>
          <w:rFonts w:ascii="IRNazanin" w:hAnsi="IRNazanin" w:eastAsia="IRNazanin"/>
          <w:color w:val="111111"/>
          <w:sz w:val="28"/>
          <w:sz w:val="28"/>
          <w:szCs w:val="28"/>
          <w:rtl w:val="true"/>
          <w:lang w:bidi="fa-IR"/>
        </w:rPr>
        <w:t>، و اعترف قدس سره بصحّته</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اجتماع العنوانین فی الذهن من هذه الجهة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تأخّر الشکّ عن الحکم و تحقّقه بعد تعلّقه بالموضوع ممنوع؛ فإنّ الشکّ فی الشی‌ء لا یستلزم تحقّق المشکوک فی الخارج کما هو واضح، و إلّا لزم انقلاب الشکّ علماً لو علم بهذه الملازمة، و مع الغفلة ینقلب إذا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تعلّقه مع الغفلة دلیل علی بطلان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لغویة جعل الحکم علی المشکوک من دون سبق حکم من الحاکم علی الطبیعة المحضة فإنّما یلزم لو لم یکن للحاکم حکم أصلًا، و هو لا یستلزم تأخّر جعل الحکم علی المشکوک عن نفس الحکم علی الذات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من مزاحمة جهة المبغوضیة مع جهة المحبوبیة مرجعها إلی التصویب الباطل؛ فإنّ تلک المزاحمة یستلزم تضیّق الحکم فی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إطلاق الحکم بسبب الغفلة عن المزاحم غیر مفید؛ فإنّ الإهمال فی الثبوت غیر متصوّر؛ فإنّ الصلاة و إن کانت واجبة فی نفس الأمر إلّا أنّ الصلاة المشکوک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ابتلائها بالمزاحم الأقوی، و مزاحمة الجهة المبغوضیة الموجود فیها فی حال الشکّ مع المحبوبیة الکامنة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تقیّد الوجوب</w:t>
      </w:r>
    </w:p>
    <w:p>
      <w:pPr>
        <w:pStyle w:val="BookText"/>
        <w:rPr/>
      </w:pPr>
      <w:r>
        <w:rPr>
          <w:rFonts w:ascii="IRNazanin" w:hAnsi="IRNazanin" w:eastAsia="IRNazanin"/>
          <w:color w:val="111111"/>
          <w:sz w:val="28"/>
          <w:sz w:val="28"/>
          <w:szCs w:val="28"/>
          <w:rtl w:val="true"/>
          <w:lang w:bidi="fa-IR"/>
        </w:rPr>
        <w:t>فی ناحیة الوجوب المتعلّق بالصلاة، و یختصّ الوجوب بغیر هذه الصورة، و ینحصر بالصلاة المعلومة الوجوب، فعاد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دفع الإشکال من أنّ موضوع الحکم الواقعی هو الذات المجرّد عن الحکم غیر واضح؛ فإنّه إن أراد من التجرّد لحاظ الماهیة مقیّدة بالتجرّد عن الحکم حتّی یصیر الموضوع هو الطبیعة بشرط لا، فهو خلاف التحقیق؛ فإنّ متعلّق الأوامر إنّما هو نفس الطبائع، غیر مقیّدة بشی‌ء من القیود؛ حتّی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لحاظ تجرّد الموضوع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تصوّر الحکم فی مرتبة الموضوع، مع أنّه حکم بامتناعه، و جعل الحالات اللاحقة للموضوع کالحکم و الشکّ فیه ممّا یمتنع لحاظه فی ذات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التجرّد عدم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محفوظ فی کلّ مرتبة؛ مرتبة الحکم الواقعی و الظاهری، فیصیر مقسماً لمعلوم الحکم و مشکوکه، فعاد المحذور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فی المقام تقریبات، ضربنا عنها صفحاً، و فیما ذکرنا غنیً و کفایة</w:t>
      </w:r>
      <w:r>
        <w:rPr>
          <w:rFonts w:eastAsia="IRNazanin" w:cs="IRNazanin"/>
          <w:color w:val="111111"/>
          <w:sz w:val="28"/>
          <w:szCs w:val="28"/>
          <w:rtl w:val="true"/>
          <w:lang w:bidi="fa-IR"/>
        </w:rPr>
        <w:t>.</w:t>
      </w:r>
      <w:bookmarkStart w:id="530" w:name="pg12907_206857"/>
    </w:p>
    <w:p>
      <w:pPr>
        <w:pStyle w:val="Heading4"/>
        <w:numPr>
          <w:ilvl w:val="3"/>
          <w:numId w:val="1"/>
        </w:numPr>
        <w:rPr/>
      </w:pPr>
      <w:bookmarkStart w:id="531" w:name="__RefHeading___Toc3346614_3224264995"/>
      <w:bookmarkStart w:id="532" w:name="_Toc200"/>
      <w:bookmarkEnd w:id="530"/>
      <w:bookmarkEnd w:id="531"/>
      <w:r>
        <w:rPr>
          <w:rtl w:val="true"/>
        </w:rPr>
        <w:t>المقام الثانی فی وقوع التعبّد بالظنّ</w:t>
      </w:r>
      <w:bookmarkEnd w:id="532"/>
    </w:p>
    <w:p>
      <w:pPr>
        <w:pStyle w:val="Heading5"/>
        <w:numPr>
          <w:ilvl w:val="4"/>
          <w:numId w:val="1"/>
        </w:numPr>
        <w:rPr/>
      </w:pPr>
      <w:bookmarkStart w:id="533" w:name="__RefHeading___Toc3346616_3224264995"/>
      <w:bookmarkStart w:id="534" w:name="_Toc201"/>
      <w:bookmarkEnd w:id="533"/>
      <w:r>
        <w:rPr>
          <w:rtl w:val="true"/>
        </w:rPr>
        <w:t>تأسیس الأصل فی التعبّد بالظنون</w:t>
      </w:r>
      <w:bookmarkEnd w:id="534"/>
    </w:p>
    <w:p>
      <w:pPr>
        <w:pStyle w:val="BookText"/>
        <w:rPr/>
      </w:pPr>
      <w:r>
        <w:rPr>
          <w:rFonts w:ascii="Amiri" w:hAnsi="Amiri" w:eastAsia="Amiri" w:cs="Amiri"/>
          <w:color w:val="111111"/>
          <w:sz w:val="28"/>
          <w:sz w:val="28"/>
          <w:szCs w:val="28"/>
          <w:rtl w:val="true"/>
          <w:lang w:bidi="ar-SA"/>
        </w:rPr>
        <w:t>و لنقدّم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للحجّیة 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الوسطیة فی الإثبات و الطریقیة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تطلق الحجّة علی المعلومات التصدیقیة الموصلة إلی المجهولات، و علی الأمارات العقلائیة أو الشرعیة باعتبار کونها برهاناً عقلائیاً أو شرعیاً علی الواقع، لا باعتبار صیرورتها بعناوینها وسطاً فی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علی الخصم و قاطعیة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الحجّة بهذا المعنی علی الأمارات أنسب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الحجّیة بالمعنی الأوّل تستلزم وجوداً و عدماً جواز الانتساب إلی الشارع و عدمه؛ إذ لیس للطریقیة و الوسطیة فی الإثبات معنی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بالمعنی الثانی فلا تلازم بینهما أصلًا؛ فإنّ الظنّ علی الحکومة حجّة بالمعنی الثانی؛ لکونه قاطعاً للعذر، و مع ذلک لا یصحّ معه الانتساب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وقع الخلط بین عنوانی التشریع و القول بغیر علم؛ فاستدلّ بما یدلّ علی حرمة القول بغیر علم علی حرمة التشریع</w:t>
      </w:r>
      <w:r>
        <w:rPr>
          <w:rStyle w:val="FootnoteAnchor"/>
          <w:rtl w:val="true"/>
        </w:rPr>
        <w:footnoteReference w:id="481"/>
      </w:r>
      <w:r>
        <w:rPr>
          <w:rFonts w:ascii="IRNazanin" w:hAnsi="IRNazanin" w:eastAsia="IRNazanin"/>
          <w:color w:val="111111"/>
          <w:sz w:val="28"/>
          <w:sz w:val="28"/>
          <w:szCs w:val="28"/>
          <w:rtl w:val="true"/>
          <w:lang w:bidi="fa-IR"/>
        </w:rPr>
        <w:t>، مع أنّ بینهما فرقاً؛ فإنّ التشریع عبارة عن إدخال ما لیس فی الشریعة فیها،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القوانین الإلهیة و الأحکام الإلهیة بإدخال ما لیس فی الدین فیه و إخراج ما هو منه عنه، و هذا ما یسمّی بدعة، فلا کلام فی حرمته و مبغوضیته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التشریع بالتعبّد بما لا یعلم جواز التعبّد به من قبل الشارع فإن ارید منه التعبّد الحقیقی جدّاً فلا شکّ أنّه أمر غیر ممکن خارج عن اختیار المکلّف؛ إذ کیف یمکن التعبّد الحقیقی بما لا یعلم أنّه عبادی؟ فإنّ الالتزامات النفسانیة لیست واقعة تحت اختیار النفس حتّی توجدها فی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إسناد ما لم یعلم کونه من الشریعة إلیها فهو أمر ممکن لکنّه غیر التشریع، بل عنوان آخر محرّم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حرمته ما ورد من حرمة القول بغیر علم</w:t>
      </w:r>
      <w:r>
        <w:rPr>
          <w:rStyle w:val="FootnoteAnchor"/>
          <w:rtl w:val="true"/>
        </w:rPr>
        <w:footnoteReference w:id="482"/>
      </w:r>
      <w:r>
        <w:rPr>
          <w:rFonts w:ascii="IRNazanin" w:hAnsi="IRNazanin" w:eastAsia="IRNazanin"/>
          <w:color w:val="111111"/>
          <w:sz w:val="28"/>
          <w:sz w:val="28"/>
          <w:szCs w:val="28"/>
          <w:rtl w:val="true"/>
          <w:lang w:bidi="fa-IR"/>
        </w:rPr>
        <w:t>، و ما ورد من أدلّة حرمة الإفتاء و القضاء بغیر علم</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 دلالة القسم الثانی بلحاظ أنّ الحکم إنشاء لا إسناد إلی الشرع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الخلط فیما أفاده بعض الأعاظم قدس سره؛ حیث جعل العنوانین واحداً</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للتشریع واقعاً قد یصیبه المکلّف و قد لا یصیبه؛ فإنّ تغییر القوانین الشرعیة کسائر المحرّمات مبغوض واقعی قد یتعلّق بها العلم و قد لا یتعلّق، فهو مبغوض بمناطها الواقعی، کما أنّ القول بغیر علم و إسناد شی‌ء إلی الشارع بلا حجّة مبغوض بما له من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أعاظم العصر قدس سره من أنّه لیس للتشریع واقع یمکن أن یصیبه أو لا یصیبه، بل واقع التشریع هو إسناد الشی‌ء إلی الشارع مع عدم العلم بتشریعه إیّاه؛ سواء علم المکلّف بالعدم أو ظنّ أو شکّ، و سواء کان فی الواقع ممّا شرّعه الشارع أو لم یکن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واضح؛ إذ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التشریع غیر الإسناد من غیر علم و لا حجّة، و أنّ الأوّل عبارة عن تغییر القوانین الإلهیة و التلاعب بأحکام اللَّه تعالی، و هو من العناوین الواقعیة متّصفة بالقبح کالظلم، بل هو منه، فلو جهل المکلّف به لما اتّصف بالقبح الفاعلی، مع کون الفعل حراماً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معنی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یسری قبحه إلی الفعل الخارجی؛ إذ لا وجه لتسریة القبح من عنوان إلی عنوان آخر مغایر معه، کما هو المطّرد فی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فعلی القول بالملازمة فلا نستکشف من کون التشریع قبیحاً عقلًا إلّا حرمة ذلک العنوان شرعاً، لا حرمة عنوان آخر مغایر معه، و هذا واضح جدّاً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بعض الأعاظم قدس سره من إمکان کون القصد و الداعی من الجهات و العناوین المغیّرة لجهة حسن العمل و قبحه، فیکون التعبّد بعمل لا یعلم التعبّد به من</w:t>
      </w:r>
      <w:bookmarkStart w:id="535" w:name="pg12907_206860"/>
    </w:p>
    <w:p>
      <w:pPr>
        <w:pStyle w:val="BookText"/>
        <w:rPr/>
      </w:pPr>
      <w:bookmarkEnd w:id="535"/>
      <w:r>
        <w:rPr>
          <w:rFonts w:ascii="IRNazanin" w:hAnsi="IRNazanin" w:eastAsia="IRNazanin"/>
          <w:color w:val="111111"/>
          <w:sz w:val="28"/>
          <w:sz w:val="28"/>
          <w:szCs w:val="28"/>
          <w:rtl w:val="true"/>
          <w:lang w:bidi="fa-IR"/>
        </w:rPr>
        <w:t>الشارع موجباً لانقلاب العمل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ذلک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لدلالته علی حرمة القضاء و استحقاق العقوبة علیه، فیدلّ علی حرمة نفس العمل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واضح جدّاً؛ فإنّ إمکان کون القصد من الجهات المغیّرة لا یدلّ علی فعلیة ما ادّعاه من النتیجة؛ إذ هی تابعة لأخسّ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بعض العناوین مغیّراً فما الدلیل علی أنّ هذه العناوین کذلک؟ فالإشکال فی کلّیة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استدلّ من الروایة ضعیف؛ فإنّ حرمة القضاء ممّا لا کلام فیه، و إنّما الکلام فی حرمة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Heading5"/>
        <w:numPr>
          <w:ilvl w:val="4"/>
          <w:numId w:val="1"/>
        </w:numPr>
        <w:rPr/>
      </w:pPr>
      <w:bookmarkStart w:id="536" w:name="__RefHeading___Toc3346618_3224264995"/>
      <w:bookmarkStart w:id="537" w:name="_Toc202"/>
      <w:bookmarkEnd w:id="536"/>
      <w:r>
        <w:rPr>
          <w:rtl w:val="true"/>
        </w:rPr>
        <w:t>ما أفاده الأعلام فی تقریر الأصل</w:t>
      </w:r>
      <w:bookmarkEnd w:id="537"/>
    </w:p>
    <w:p>
      <w:pPr>
        <w:pStyle w:val="Heading6"/>
        <w:numPr>
          <w:ilvl w:val="5"/>
          <w:numId w:val="1"/>
        </w:numPr>
        <w:rPr/>
      </w:pPr>
      <w:bookmarkStart w:id="538" w:name="__RefHeading___Toc3346620_3224264995"/>
      <w:bookmarkStart w:id="539" w:name="_Toc203"/>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 xml:space="preserve">الحقّ فی تقریر الأصل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الأنسب بالبحث الاصولی؛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فیما لا یعلم اعتباره بالخصوص شرعاً و لا یحرز التعبّد به واقعاً عدم حجّیته جزماً؛ بمعنی عدم ترتّب الآثار المرغوبة من الحجّة علیه قطعاً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خارج عن محطّ الکلام، فراجع، هذا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 الشیخ الأعظم قدس سره فی تأسیس الأصل من حرمة التعبّد بالظنّ</w:t>
      </w:r>
    </w:p>
    <w:p>
      <w:pPr>
        <w:pStyle w:val="BookText"/>
        <w:rPr/>
      </w:pPr>
      <w:r>
        <w:rPr>
          <w:rFonts w:ascii="IRNazanin" w:hAnsi="IRNazanin" w:eastAsia="IRNazanin"/>
          <w:color w:val="111111"/>
          <w:sz w:val="28"/>
          <w:sz w:val="28"/>
          <w:szCs w:val="28"/>
          <w:rtl w:val="true"/>
          <w:lang w:bidi="fa-IR"/>
        </w:rPr>
        <w:t>الذی لم یدلّ دلیل علی وقوع التعبّد به إذا تعبّدنا علی أنّه من الشارع و الالتزام به کذلک، لا إذا أتی به رجاء إدراک الواقع؛ فإنّه لیس بمحرّم إلّا إذا استلزم طرح ما یقابله من الاصول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مختاره بالأدلّة الأربعة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الحرمة التکلیفیة للتعبّد بالظنّ لا یناسب مع تقریر الأصل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یرجع إلی نفی الحجّیة بإثبات الحرمة؛ استدلالًا علی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اللازم، بناءً علی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دعاه إلی ذلک بناؤه علی عدم کون الحجّیة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بینهما، و لم یقم برهان علیه بل قام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قدس سره 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قدس سره؛ قائلًا بنفی الملازمة بین الحجّیة و صحّة الاستناد؛ مستشهداً بأنّ حجّیة الظنّ عقلًا علی الحکومة فی حال الانسداد لا توجب صحّة الاستناد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محقّقی العصر قدس سره من أنّ الشکّ حجّة فی الشبهات البدویة قبل الفحص، مع أنّه لا یجوز الانتساب إلیه تعالی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قدس سره من أنّ جعل الاحتیاط فی الشبهات البدویة کلّها أو بعضها حجّة علی الواقع، مع أنّه لا یصحّ معه الانتساب</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فی حال الانسداد هو العلم الإجمالی؛ فیکون الحجّة هو العلم لا الظنّ، و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ساعدنا الحال لبیان ما هو الحقّ فی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یدّعی من عدم کون العلم مقدّمة ضعیف؛ فإنّ العلم الإجمالی بالأحکام مع عدم جواز الاحتیاط و الإهمال یوجب حکومة العقل بأنّ أقرب الطرق إلی الواقع هو الظنّ، فالظنّ لیس حجّة بما هو ظنّ، بل الحجّة 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ثانی النقوض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لیس نفس الشکّ؛ لأنّ قاعدة قبح العقاب بلا بیان غیر محکّمة مع وجود البیان فی الکتب المعدّة للبیان، فالحجّة الواصلة الواردة فی الکتب حجّة علی الواقع دون الشکّ، نعم یمکن أن یجعل ذلک نقضاً علیه إن کان محطّ البحث أعمّ من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ثالث النقوض؛ فإنّ إیجاب الاحتیاط رافع لموضوع حکم العقل، فلیس الشکّ حجّة بل الحجّة هو الحکم الواقعی أو إیجاب الاحتیاط، و هذا أیضاً نقض علیه و لا الشکّ البدوی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من الأدلّة غیر حکم العقل مخدوش جدّاً، بعد الغضّ عمّا تقدّم منّا</w:t>
      </w:r>
      <w:r>
        <w:rPr>
          <w:rStyle w:val="FootnoteAnchor"/>
          <w:rtl w:val="true"/>
        </w:rPr>
        <w:footnoteReference w:id="494"/>
      </w:r>
      <w:r>
        <w:rPr>
          <w:rFonts w:ascii="IRNazanin" w:hAnsi="IRNazanin" w:eastAsia="IRNazanin"/>
          <w:color w:val="111111"/>
          <w:sz w:val="28"/>
          <w:sz w:val="28"/>
          <w:szCs w:val="28"/>
          <w:rtl w:val="true"/>
          <w:lang w:bidi="fa-IR"/>
        </w:rPr>
        <w:t>من أنّ الالتزام الجزمی بما شکّ کونه من المولی، أمر ممتنع لا حرام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ضعف الأدلّة اللفظیة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الافتراء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عبارة عن الانتساب إلی اللَّه تعالی عمداً و کذباً؛ إذ الافتراء لغةً هو الکذب لا انتساب المشکوک فیه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الافتراء و إن کان لغة هو الکذب إلّا أنّه لوقوعه فی مقابل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 المقام أیضاً</w:t>
      </w:r>
      <w:r>
        <w:rPr>
          <w:rStyle w:val="FootnoteAnchor"/>
          <w:rtl w:val="true"/>
        </w:rPr>
        <w:footnoteReference w:id="496"/>
      </w:r>
      <w:r>
        <w:rPr>
          <w:rFonts w:ascii="IRNazanin" w:hAnsi="IRNazanin" w:eastAsia="IRNazanin"/>
          <w:color w:val="111111"/>
          <w:sz w:val="28"/>
          <w:sz w:val="28"/>
          <w:szCs w:val="28"/>
          <w:rtl w:val="true"/>
          <w:lang w:bidi="fa-IR"/>
        </w:rPr>
        <w:t>ضعیف؛ فإنّ المراد من الإذن هو الإذن الواقعی لا الإذن الواصل؛ حتّی یقال بأنّ عدم وصول الإذن یلازم کونه افتراءً،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علی حرمة الانتساب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بالأخبار الواردة فی القول بغیر علم</w:t>
      </w:r>
      <w:r>
        <w:rPr>
          <w:rStyle w:val="FootnoteAnchor"/>
          <w:rtl w:val="true"/>
        </w:rPr>
        <w:footnoteReference w:id="498"/>
      </w:r>
      <w:r>
        <w:rPr>
          <w:rFonts w:ascii="IRNazanin" w:hAnsi="IRNazanin" w:eastAsia="IRNazanin"/>
          <w:color w:val="111111"/>
          <w:sz w:val="28"/>
          <w:sz w:val="28"/>
          <w:szCs w:val="28"/>
          <w:rtl w:val="true"/>
          <w:lang w:bidi="fa-IR"/>
        </w:rPr>
        <w:t>، لو لم نقل بکونها إرشاداً إلی حکم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آللَّهُ أَذِنَ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فظاهرها یأبی عن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الإجماع فموهون بالعلم بمستنده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حکم العقل بقبح الانتساب بغیر علم لا سترة فیه؛ خصوصاً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حرمة العمل بالظنّ إذا استلزم طرح ما یقابله من الاصول و الأمارات لا یصحّ علی مختاره؛ لأنّ المحرّم هو مخالفة الواقع لا الأمارات و الاصول، و الأمر دائر بین التجرّی و المعصیة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یقرّر الأصل الأوّلی بالتمسّک بالاستصحاب؛ أعنی أصالة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ترتّب الأثر العملی علی مقتضی الاستصحاب؛ لأنّ نفس الشکّ فی الحجّیة موضوع لحرمة التعبّد، و لا یحتاج إلی إحراز عدم ورود التعبّد بالأمارة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المحقّق الخراسانی قدس سره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من الأحکام الوضعیة، و جریان الاستصحاب وجوداً و عدماً لا یحتاج فیها إلی أثر آخر ورائها، کاستصحاب عدم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الاحتیاج إلی الأثر فحرمة التعبّد کما تکون أثراً للشکّ فی الحجّیة کذلک تکون أثراً لعدم الحجّیة واقعاً، فیکون الشکّ فی الحجّیة مورداً لکلّ من الاستصحاب و القاعدة المضروبة لحال الشکّ، و یقدّم الاستصحاب علی القاعدة؛ لحکومتها علیها کحکومة استصحاب الطهارة علی قاعدتها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الوجهین بعض أعاظم العصر، بعد ما لخّص کلامه کما ذکرنا بما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الاستصحاب من الاصول العملیة، و لا یجری إلّا إذا کان فی البین عمل، و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الحکمیة لا تتوقّف علی الأثر إنّما هو فیما إذا کان المؤدّی بنفسه من الآثار العملیة لا مطلقاً، و الحجّیة و إن کانت من الأحکام الوضعیة المجعولة إلّا أنّها بوجودها الواقعی لا یترتّب علیها أثر عملی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الآثار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یترتّب علیها بوجودها العلمی، ککونها منجّزة للواقع عند الإصابة و عذراً عند المخالفة، و منها ما یترتّب علی نفس الشکّ فی</w:t>
      </w:r>
    </w:p>
    <w:p>
      <w:pPr>
        <w:pStyle w:val="BookText"/>
        <w:rPr/>
      </w:pPr>
      <w:r>
        <w:rPr>
          <w:rFonts w:ascii="IRNazanin" w:hAnsi="IRNazanin" w:eastAsia="IRNazanin"/>
          <w:color w:val="111111"/>
          <w:sz w:val="28"/>
          <w:sz w:val="28"/>
          <w:szCs w:val="28"/>
          <w:rtl w:val="true"/>
          <w:lang w:bidi="fa-IR"/>
        </w:rPr>
        <w:t>حجّیتها، کحرمة التعبّد بها و عدم جواز إسنادها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لإثبات عدم الحجّیة أثر إلّا حرمة التعبّد بها، و هو حاصل بنفس الشکّ فی الحجّیة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فجریان الأصل لإثبات هذا الأثر أسوأ حالًا من تحصیل الحاصل؛ للزوم إحراز ما هو محرز وجداناً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حرمة التعبّد بالأمارة تکون أثراً للشکّ فی الحجّیة و لعدم الحجّیة واقعاً، و فی ظرف الشکّ یکون الاستصحاب حاکماً علی القاعدة المضروبة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الشکّ فی الواقع موضوعاً للأثر الشرعی فی عرض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جریان الاستصحاب علی هذا الفرض أیضاً؛ لأنّ الأثر یترتّب بمجرّد الشکّ لتحقّق موضوعه، فلا یبقی مجال لجریان الاستصحاب، و لا تصل النوبة إلی إثبات الواقع لیجری الاستصحاب؛ فإنّه فی الرتبة السابقة علی هذا الإثبات، تحقّق موضوع الأثر و ترتّب علیه الأثر، فأیّ فائدة فی جریان الاستصحاب؟</w:t>
      </w:r>
    </w:p>
    <w:p>
      <w:pPr>
        <w:pStyle w:val="BookText"/>
        <w:rPr/>
      </w:pPr>
      <w:r>
        <w:rPr>
          <w:rFonts w:ascii="IRNazanin" w:hAnsi="IRNazanin" w:eastAsia="IRNazanin"/>
          <w:color w:val="111111"/>
          <w:sz w:val="28"/>
          <w:sz w:val="28"/>
          <w:szCs w:val="28"/>
          <w:rtl w:val="true"/>
          <w:lang w:bidi="fa-IR"/>
        </w:rPr>
        <w:t>و حکومته علی القاعدة إنّما تکون فیما إذا کان ما یثبته الاستصحاب غیر ما یثبته القاعدة، کقاعدتی الطهارة و الحلّ و استصحابهما؛ فإنّ القاعدة لا تثبت الطهارة و الحلّیة الواقعیة، بل مفادهما حکم ظاهری، بخلاف الاستصحاب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یترتّب علی بقاء الطهارة و الحلّیة الواقعیة غیر جواز الاستعمال و حلّیة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یبتنی جواز الصلاة فی أجزاء الحیوان الذی شکّ فی حلّیته إذا کان استصحاب الحلّیة جاریاً، کما إذا کان الحیوان غنماً، فشکّ فی مسخه إلی الأرنب و عدم جواز الصلاة فی أجزائه إذا لم یجر الاستصحاب؛ و إن جرت فیه أصالة الحلّ، فإنّها لا تثبت الحلّیة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قاعدة الاشتغال مع الاستصحاب؛ فإنّه فی مورد جریان القاعدة لا یجری الاستصحاب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تجری فی مورد العلم الإجمالی عند خروج بعض الأطراف عن محلّ الابتلاء بالامتثال و نحوه، و الاستصحاب یجری عند الشکّ فی فعل المأمور به، و أین هذا ممّا نحن فیه ممّا کان الأثر المترتّب علی الاستصحاب عین الأثر المترتّب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لتوهّم جریان استصحاب عدم الحجّیة عند الشکّ فیها</w:t>
      </w:r>
      <w:r>
        <w:rPr>
          <w:rStyle w:val="FootnoteAnchor"/>
          <w:rtl w:val="true"/>
        </w:rPr>
        <w:footnoteReference w:id="5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w:t>
      </w:r>
      <w:r>
        <w:rPr>
          <w:rStyle w:val="FootnoteAnchor"/>
          <w:rtl w:val="true"/>
        </w:rPr>
        <w:footnoteReference w:id="502"/>
      </w:r>
      <w:r>
        <w:rPr>
          <w:rFonts w:ascii="IRNazanin" w:hAnsi="IRNazanin" w:eastAsia="IRNazanin"/>
          <w:color w:val="111111"/>
          <w:sz w:val="28"/>
          <w:sz w:val="28"/>
          <w:szCs w:val="28"/>
          <w:rtl w:val="true"/>
          <w:lang w:bidi="fa-IR"/>
        </w:rPr>
        <w:t>أنّ التشریع و إدخال شی‌ء فی الشریعة و تبدیل الأحکام عنوان برأسه و مبغوض شرعاً و محرّم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المکلّف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القول بغیر العلم و انتساب شی‌ء إلی الشارع بلا حجّة قبیح عقلًا و محرّم شرعی غیر التشریع، و بمناط مستقلّ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الحجّیة کما أنّه موضوع لحرمة التعبّد و حرمة الانتساب إلی الشارع موضوع لاستصحاب عدم الحجّیة و حرمة التشریع و إدخال ما لیس فی الدین فیه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الاستصحاب حاکماً علی القاعدة المضروبة للشکّ؛ بمعنی أنّه مع استصحاب عدم جعل الحجّیة و عدم کون شی‌ء من الدین یخرج الموضوع عن القول بغیر علم؛ لأنّ المراد من القول بغیر علم هو القول بغیر حجّة؛ ضرورة أنّ الإفتاء بمقتضی الأمارات و الاصول و الانتساب إلی الشارع مقتضاهما غیر محرّم</w:t>
      </w:r>
    </w:p>
    <w:p>
      <w:pPr>
        <w:pStyle w:val="BookText"/>
        <w:rPr/>
      </w:pPr>
      <w:r>
        <w:rPr>
          <w:rFonts w:ascii="IRNazanin" w:hAnsi="IRNazanin" w:eastAsia="IRNazanin"/>
          <w:color w:val="111111"/>
          <w:sz w:val="28"/>
          <w:sz w:val="28"/>
          <w:szCs w:val="28"/>
          <w:rtl w:val="true"/>
          <w:lang w:bidi="fa-IR"/>
        </w:rPr>
        <w:t>و غیر داخل فی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الانتساب مع استصحاب العدم انتساباً بغیر حجّة، بل انتساب مع الحجّة علی العدم، و هو کذب و افتراء و بدعة، و تکون حرمته لأجل انطباق تلک العناوین علیه، لا عنوان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مثبتیة الأصل فی غیر محلّه،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 ما أفاده بعض أعاظم العصر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جریان الاستصحاب تحصیل للحاصل بل أسوأ منه، لا یخلو من خلط؛ لما عرفت أنّ التشریع غیر التقوّل بغیر علم، و ما یحصل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الحرمة بمجرّد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الثانی، و أمّا الأوّل فهو یحتاج إلی عنایة اخری،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امتناع کون الشکّ موضوعاً للأثر فی عرض الواقع لم یقم علیه برهان إذا فرضنا وجود جعلین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الشکّ فی الرتبة السابقة علی الاستصحاب یترتّب علیه الأثر، فلا یبقی مجال لجریانه، غیر وجیه؛ فإنّ الشکّ فی الواقع فی رتبة واحدة موضوع للقاعدة و الاستصحاب، فکیف یمکن أن یتقدّم علی موضوع الاستصحاب بعد ما کان الأثر مترتّباً علی الواقع کما هو المفروض لا علی العلم بعدم الواقع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هذا العنوان تعبّداً فی الرتبة المتأخّرة عن الاستصحاب،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تقدّمه علی الحکم الاستصحابی لیس إلّا کتقدّمه علی الحکم الثابت بالقاعدة؛ ضرورة تقدّم کلّ موضوع علی حکمه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کلمات الشیخ الأعظم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الشکّ یترتّب علیه الأثر فی القاعدة، و أمّا الاستصحاب فهو یحتاج إلی</w:t>
      </w:r>
    </w:p>
    <w:p>
      <w:pPr>
        <w:pStyle w:val="BookText"/>
        <w:rPr/>
      </w:pPr>
      <w:r>
        <w:rPr>
          <w:rFonts w:ascii="IRNazanin" w:hAnsi="IRNazanin" w:eastAsia="IRNazanin"/>
          <w:color w:val="111111"/>
          <w:sz w:val="28"/>
          <w:sz w:val="28"/>
          <w:szCs w:val="28"/>
          <w:rtl w:val="true"/>
          <w:lang w:bidi="fa-IR"/>
        </w:rPr>
        <w:t>عنایة اخری؛ من لحاظ الحالة السابقة و جرّ الثابت سابقاً إلی الزمان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الأثر علی الشکّ عبارة اخری عن جعل الحکم علیه، کما أنّ العنایة فی الاستصحاب کذلک، فالشکّ فیهما موضوع للحکم فی عرض واحد، و حکمهما متأخّر عنه؛ تأخّر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الفرق بین قاعدة الحلّیة و الطهارة و استصحابهما من جواز الصلاة فی المحکوم بالطهارة و الحلّیة بالاستصحاب، دون المحکوم بهما بمعونة القاعدتین، قد فرغنا</w:t>
      </w:r>
      <w:r>
        <w:rPr>
          <w:rStyle w:val="FootnoteAnchor"/>
          <w:rtl w:val="true"/>
        </w:rPr>
        <w:footnoteReference w:id="503"/>
      </w:r>
      <w:r>
        <w:rPr>
          <w:rFonts w:ascii="IRNazanin" w:hAnsi="IRNazanin" w:eastAsia="IRNazanin"/>
          <w:color w:val="111111"/>
          <w:sz w:val="28"/>
          <w:sz w:val="28"/>
          <w:szCs w:val="28"/>
          <w:rtl w:val="true"/>
          <w:lang w:bidi="fa-IR"/>
        </w:rPr>
        <w:t>عن ضعف هذا التفصیل فی محلّه، و أوضحنا حکومة القاعدتین علی أدلّة الشرائط و الأجزاء، و حکمنا بصحّة الصلاة،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عدم جریان الاستصحاب فی مورد قاعدة الاشتغال ضعیف إذا ادّعی الکلّیة، و إن ادّعی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اختلّ أرکان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من المثال من هذا القبیل، کما أنّ ما ذکره من عدم جریان القاعدة عند الشکّ فی المأمور به غیر صحیح، فتدبّر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خرج عن الأصل المذکور امور</w:t>
      </w:r>
      <w:r>
        <w:rPr>
          <w:rFonts w:eastAsia="IRNazanin" w:cs="IRNazanin"/>
          <w:color w:val="111111"/>
          <w:sz w:val="28"/>
          <w:szCs w:val="28"/>
          <w:rtl w:val="true"/>
          <w:lang w:bidi="fa-IR"/>
        </w:rPr>
        <w:t>:</w:t>
      </w:r>
      <w:bookmarkStart w:id="540" w:name="pg12907_206869"/>
    </w:p>
    <w:p>
      <w:pPr>
        <w:pStyle w:val="Heading6"/>
        <w:numPr>
          <w:ilvl w:val="5"/>
          <w:numId w:val="1"/>
        </w:numPr>
        <w:rPr/>
      </w:pPr>
      <w:bookmarkStart w:id="541" w:name="__RefHeading___Toc3346622_3224264995"/>
      <w:bookmarkStart w:id="542" w:name="_Toc204"/>
      <w:bookmarkEnd w:id="540"/>
      <w:bookmarkEnd w:id="541"/>
      <w:r>
        <w:rPr>
          <w:rtl w:val="true"/>
        </w:rPr>
        <w:t>الأمر الأوّل فی حجّیة الظواهر</w:t>
      </w:r>
      <w:bookmarkEnd w:id="542"/>
    </w:p>
    <w:p>
      <w:pPr>
        <w:pStyle w:val="Heading6"/>
        <w:numPr>
          <w:ilvl w:val="5"/>
          <w:numId w:val="1"/>
        </w:numPr>
        <w:rPr/>
      </w:pPr>
      <w:bookmarkStart w:id="543" w:name="__RefHeading___Toc3346624_3224264995"/>
      <w:bookmarkStart w:id="544" w:name="_Toc205"/>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 کان الأولی تأخیر البحث عنها عن سائر المقامات؛ لأنّ حجّیة الظاهر فرع کونه صادراً إلّا أنّا نقتفی أثر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الحکم الشرعی من الأدلّة یتوقّف علی طیّ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صدوره، و المتکفّل له کبرویاً هو البحث عن حجّیة الخبر الواحد، و صغرویاً هو علم الرجال و ملاحظة أسانید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أصل الظهور بالتبادر و عدم صحّة السلب و قول اللغوی و مهرة الفنّ، بعد إثبات حجّیة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جهة الصدور و أنّ التکلّم لأجل إفهام ما هو الحکم الواقعی لا لملاک آخر؛ من التقیّة و غیرها،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التطابق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حجّیة الظهورات؛ کتاباً و سنّة، و هذا هو الذی انعقد له البحث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جارٍ فی عامّة التخاطبات العرفیة؛ فإنّ حجّیة قول الرجل فی أقاریره و وصایاه و إخباراته یتوقّف علی طیّ تلک المراحل عامّة، من غیر فرق بین الکتاب و السنّة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لمن له أدنی إلمام بالمحاورات العرفیة فی أنّ ظواهر الکلام متّبعة فی تعیین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یدور رحی التکلّم و الخطابات، من دون أیّ غمض منهم أصلًا، و أنّهم یفهمون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بالدلالة العقلیة علی أنّ فاعله مرید له، و أنّ صدوره لغرض الإفادة، و أنّ قائله أراد إفادة مضمون الجملة؛ إخباریاً أو إنشائیاً لا لغرض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مفردات کلامه موضوعة یحکمون أنّ المتکلّم أراد المعانی الموضوعة لها، و بما أنّ له هیئة ترکیبیة و له ظاهر و متفاهم عرفی یحملون کلامه علی أنّه مستعمل فیما هو ظاهر فیه، و أنّ الظاهر من تلک الهیئة الترکیبیة مراد استعمالًا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یتّبعون ذلک أنّ المراد استعمالًا مراد جدّی، و أنّ الإرادة الاستعمالیة مطابقة بالإرادة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اصول و بناء منهم فی محاوراتهم العرفیة، و لا یصغون إلی قول من أراد الخروج عن هذه القواعد،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حجّیة الظواهر هل هو لأجل أصالة الحقیقة أو أصالة عدم القرینة أو أصالة الظهور، أو أنّ لکلّ مورد من الشکّ أصل یخصّ به؟</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الأخیر؛ و إن بنینا فی الدورة السابقة علی أنّ المعتبر عندهم أصل واحد؛ و هو أصالة الظهور</w:t>
      </w:r>
      <w:r>
        <w:rPr>
          <w:rStyle w:val="FootnoteAnchor"/>
          <w:rtl w:val="true"/>
        </w:rPr>
        <w:footnoteReference w:id="504"/>
      </w:r>
      <w:r>
        <w:rPr>
          <w:rFonts w:ascii="IRNazanin" w:hAnsi="IRNazanin" w:eastAsia="IRNazanin"/>
          <w:color w:val="111111"/>
          <w:sz w:val="28"/>
          <w:sz w:val="28"/>
          <w:szCs w:val="28"/>
          <w:rtl w:val="true"/>
          <w:lang w:bidi="fa-IR"/>
        </w:rPr>
        <w:t>، و لکن بعد التدبّر ظهر لنا أنّ الحقّ هو الأخیر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الصادر من المتکلّم إذا شکّ فی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منشأ الشکّ احتمال عدم کونه بصدد التفهیم، و أنّ التخاطب لأجل أغراض اخر؛ من الممارسة و التمرین فقد عرفت أنّ الأصل العقلائی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مبدأ الشکّ احتمال استعمال اللفظ فی غیر ما وضع له غلطاً من غیر مصحّح فالأصل العقلائی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لأجل احتمال استعمال المتکلّم کلامه فی المعنی المجازی علی 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 المجاز استعمال اللفظ فی غیر ما وضع له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الحقیقة هو المتّبع، و إن قلنا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المجاز استعمال اللفظ فی ما وضع له؛ للتجاوز إلی المعنی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تحقیقه</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هو تطابق الإرادة الاستعمالیة مع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لأجل احتمال أنّ المتکلّم یخرج بعض الموارد الذی لیس مراداً جدّیاً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کالتخصیص و التقیید بالمنفصل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 إلی مخالفة الإرادة الاستعمالیة مع الإرادة الجدّیة، علی ما هو الحقّ من أنّ العامّ بعد التخصیص حقیقة أیضاً فقد عرفت أنّ أصالة التطابق بین الإرادتین محکّمة أیضاً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المنقول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المبدأ للشکّ لو کان احتمال التعمّد بحذف القرینة فعدالة الراوی و وثاقته دافعة لذلک، و إن کان لأجل احتمال السهو و النسیان و الاشتباه و الخطأ فکلّ ذلک منفیة بالأُصول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الحجّة هو الظهور، لکن مبنی الحجّیة الاصول الاخر، کما تقدّم ذکرها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أصالة الظهور فلیست أصلًا معوّلًا، بل إضافة الأصل إلی الظهور لا یرجع إلی محصّل، إلّا أن یراد بعض ما تقدّم</w:t>
      </w:r>
      <w:r>
        <w:rPr>
          <w:rFonts w:eastAsia="IRNazanin" w:cs="IRNazanin"/>
          <w:color w:val="111111"/>
          <w:sz w:val="28"/>
          <w:szCs w:val="28"/>
          <w:rtl w:val="true"/>
          <w:lang w:bidi="fa-IR"/>
        </w:rPr>
        <w:t>.</w:t>
      </w:r>
      <w:bookmarkStart w:id="545" w:name="pg12907_206872"/>
    </w:p>
    <w:p>
      <w:pPr>
        <w:pStyle w:val="Heading6"/>
        <w:numPr>
          <w:ilvl w:val="5"/>
          <w:numId w:val="1"/>
        </w:numPr>
        <w:rPr/>
      </w:pPr>
      <w:bookmarkStart w:id="546" w:name="__RefHeading___Toc3346626_3224264995"/>
      <w:bookmarkStart w:id="547" w:name="_Toc206"/>
      <w:bookmarkEnd w:id="545"/>
      <w:bookmarkEnd w:id="546"/>
      <w:r>
        <w:rPr>
          <w:rtl w:val="true"/>
        </w:rPr>
        <w:t>تفصیل المحقّق القمّی بین من قصد إفهامه و غیره</w:t>
      </w:r>
      <w:bookmarkEnd w:id="547"/>
    </w:p>
    <w:p>
      <w:pPr>
        <w:pStyle w:val="BookText"/>
        <w:rPr/>
      </w:pPr>
      <w:r>
        <w:rPr>
          <w:rFonts w:ascii="IRNazanin" w:hAnsi="IRNazanin" w:eastAsia="IRNazanin"/>
          <w:color w:val="111111"/>
          <w:sz w:val="28"/>
          <w:sz w:val="28"/>
          <w:szCs w:val="28"/>
          <w:rtl w:val="true"/>
          <w:lang w:bidi="fa-IR"/>
        </w:rPr>
        <w:t>و قد فصّل فی حجّیة الظواهر ذلک المحقّق العظیم؛ حیث ذهب إلی حجّیة الظواهر بالنسبة إلی من قصد إفهامه دون من لم یقصد</w:t>
      </w:r>
      <w:r>
        <w:rPr>
          <w:rStyle w:val="FootnoteAnchor"/>
          <w:rtl w:val="true"/>
        </w:rPr>
        <w:footnoteReference w:id="508"/>
      </w:r>
      <w:r>
        <w:rPr>
          <w:rFonts w:ascii="IRNazanin" w:hAnsi="IRNazanin" w:eastAsia="IRNazanin"/>
          <w:color w:val="111111"/>
          <w:sz w:val="28"/>
          <w:sz w:val="28"/>
          <w:szCs w:val="28"/>
          <w:rtl w:val="true"/>
          <w:lang w:bidi="fa-IR"/>
        </w:rPr>
        <w:t>، و هو ضعیف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الأخبار الواصلة إلینا عن النبی و الأئمّة المعصومین علیهم السلام لیس إلّا کالکتب المؤلّفة التی قال قدس سره بحجّیة ظواهرها بالنسبة إلی الجمیع؛ و ذلک لأنّ الخطاب و إن کان متوجّهاً إلی مخاطب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کزرارة و محمّد بن مسلم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الأحکام لمّا کانت مشترکة و شأن الأئمّة لیس إلّا بثّ الأحکام بین الناس فلا جرم یجری الخطاب الخاصّ مجری الخطاب العامّ فی أنّ الغرض نفس مفاد الکلام، من غیر دخالة إفهام متکلّم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فلبناء العقلاء علی العمل بالظواهر مطلقاً ما لم یحرز أنّ بناء المتکلّم علی الرمز و حذف القرائن اللازمة؛ لوضوحه عند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المفصّل هذا القسم فلما قاله وجه وجیه، و إن أراد غیر ذلک فمدفوع بالبناء منهم علی خلافه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إنّ من المرسوم الدائر فی بعض الأحیان مراقبة الرسائل الدائرة بین الأصدقاء و الإخوان من جانب الحکومة، و لا شکّ أنّ الرسائل الدائرة لم یقصد کاتبها إلّا إفهام من أرسله إلیه، إلّا أنّ الحکومة و الرقابة العسکریة إذا وجدوا فیها ما یستشمّ منه الخیانة أو التجمّع للفتنة صاروا إلی إحضار الکاتب و زجره و حبسه</w:t>
      </w:r>
      <w:r>
        <w:rPr>
          <w:rFonts w:eastAsia="IRNazanin" w:cs="IRNazanin"/>
          <w:color w:val="111111"/>
          <w:sz w:val="28"/>
          <w:szCs w:val="28"/>
          <w:rtl w:val="true"/>
          <w:lang w:bidi="fa-IR"/>
        </w:rPr>
        <w:t>.</w:t>
      </w:r>
      <w:bookmarkStart w:id="548" w:name="pg12907_206873"/>
    </w:p>
    <w:p>
      <w:pPr>
        <w:pStyle w:val="Heading6"/>
        <w:numPr>
          <w:ilvl w:val="5"/>
          <w:numId w:val="1"/>
        </w:numPr>
        <w:rPr/>
      </w:pPr>
      <w:bookmarkStart w:id="549" w:name="__RefHeading___Toc3346628_3224264995"/>
      <w:bookmarkStart w:id="550" w:name="_Toc207"/>
      <w:bookmarkEnd w:id="548"/>
      <w:bookmarkEnd w:id="549"/>
      <w:r>
        <w:rPr>
          <w:rtl w:val="true"/>
        </w:rPr>
        <w:t>مقالة الأخباریین فی عدم حجیّة ظواهر الکتاب</w:t>
      </w:r>
      <w:bookmarkEnd w:id="550"/>
    </w:p>
    <w:p>
      <w:pPr>
        <w:pStyle w:val="BookText"/>
        <w:rPr/>
      </w:pPr>
      <w:r>
        <w:rPr>
          <w:rFonts w:ascii="IRNazanin" w:hAnsi="IRNazanin" w:eastAsia="IRNazanin"/>
          <w:color w:val="111111"/>
          <w:sz w:val="28"/>
          <w:sz w:val="28"/>
          <w:szCs w:val="28"/>
          <w:rtl w:val="true"/>
          <w:lang w:bidi="fa-IR"/>
        </w:rPr>
        <w:t>و هم استدلّوا علی عدم حجّیة ظواهره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وقوع التحریف فی الکتاب حسب أخبار کثیرة</w:t>
      </w:r>
      <w:r>
        <w:rPr>
          <w:rStyle w:val="FootnoteAnchor"/>
          <w:rtl w:val="true"/>
        </w:rPr>
        <w:footnoteReference w:id="509"/>
      </w:r>
      <w:r>
        <w:rPr>
          <w:rFonts w:ascii="IRNazanin" w:hAnsi="IRNazanin" w:eastAsia="IRNazanin"/>
          <w:color w:val="111111"/>
          <w:sz w:val="28"/>
          <w:sz w:val="28"/>
          <w:szCs w:val="28"/>
          <w:rtl w:val="true"/>
          <w:lang w:bidi="fa-IR"/>
        </w:rPr>
        <w:t>، و هو یوجب عروض الإجمال المانع من التمسّک به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بمعرض من السقوط؛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الواقف علی عنایة المسلمین علی جمع الکتاب و حفظه و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و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 بطلان تلک المزعمة، و أنّه لا ینبغی أن یرکن إلیه ذو 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وردت فیه من الأخبار بین ضعیف لا یستدلّ به، إلی مجعول یلوح منها أمارات الجعل، إلی غریب یقضی منه العجب، إلی صحیح یدلّ علی أنّ مضمونه تأویل الکتاب و تفسیره، إلی غیر ذلک من الأقسام التی یحتاج بیان المراد منها إلی تألیف کتاب حافل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لولا خوف الخروج عن طور الکتاب لأرخینا عنان البیان إلی بیان تأریخ القرآن و ما جری علیه طیلة تلک القرون</w:t>
      </w:r>
      <w:r>
        <w:rPr>
          <w:rStyle w:val="FootnoteAnchor"/>
          <w:rtl w:val="true"/>
        </w:rPr>
        <w:footnoteReference w:id="511"/>
      </w:r>
      <w:r>
        <w:rPr>
          <w:rFonts w:ascii="IRNazanin" w:hAnsi="IRNazanin" w:eastAsia="IRNazanin"/>
          <w:color w:val="111111"/>
          <w:sz w:val="28"/>
          <w:sz w:val="28"/>
          <w:szCs w:val="28"/>
          <w:rtl w:val="true"/>
          <w:lang w:bidi="fa-IR"/>
        </w:rPr>
        <w:t>، و أوضحنا علیک أنّ الکتاب هو عین ما بین الدفّتین، و الاختلافات الناشئة بین القرّاء لیس إلّا أمراً حدیثاً لا ربط له</w:t>
      </w:r>
    </w:p>
    <w:p>
      <w:pPr>
        <w:pStyle w:val="BookText"/>
        <w:rPr/>
      </w:pPr>
      <w:r>
        <w:rPr>
          <w:rFonts w:ascii="IRNazanin" w:hAnsi="IRNazanin" w:eastAsia="IRNazanin"/>
          <w:color w:val="111111"/>
          <w:sz w:val="28"/>
          <w:sz w:val="28"/>
          <w:szCs w:val="28"/>
          <w:rtl w:val="true"/>
          <w:lang w:bidi="fa-IR"/>
        </w:rPr>
        <w:t>بما نزل به الروح الأمین علی قلب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فالتحریف علی فرض وقوعه إنّما وقعت فی غیر الأحکام ممّا هو مخالف لأغراضهم الفاسدة؛ من التنصیص علی الخلافة و الإمامة، و هذا لا یضرّ بالتمسّک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بوقوع التخصیص و التقیید فی العمومات و المطلقات، و هو یمنع عن الاستدلال بالظهور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الناهیة عن العمل بالکتاب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أجاب عنه الأساطین، و لا حاجة إلی الإطالة</w:t>
      </w:r>
      <w:r>
        <w:rPr>
          <w:rFonts w:eastAsia="IRNazanin" w:cs="IRNazanin"/>
          <w:color w:val="111111"/>
          <w:sz w:val="28"/>
          <w:szCs w:val="28"/>
          <w:rtl w:val="true"/>
          <w:lang w:bidi="fa-IR"/>
        </w:rPr>
        <w:t>.</w:t>
      </w:r>
      <w:bookmarkStart w:id="551" w:name="pg12907_206875"/>
    </w:p>
    <w:p>
      <w:pPr>
        <w:pStyle w:val="Heading6"/>
        <w:numPr>
          <w:ilvl w:val="5"/>
          <w:numId w:val="1"/>
        </w:numPr>
        <w:rPr/>
      </w:pPr>
      <w:bookmarkStart w:id="552" w:name="__RefHeading___Toc3346630_3224264995"/>
      <w:bookmarkStart w:id="553" w:name="_Toc208"/>
      <w:bookmarkEnd w:id="551"/>
      <w:bookmarkEnd w:id="552"/>
      <w:r>
        <w:rPr>
          <w:rtl w:val="true"/>
        </w:rPr>
        <w:t>الأمر الثانی فی البحث عمّا یتعیّن به الظاهر</w:t>
      </w:r>
      <w:bookmarkEnd w:id="553"/>
    </w:p>
    <w:p>
      <w:pPr>
        <w:pStyle w:val="Heading6"/>
        <w:numPr>
          <w:ilvl w:val="5"/>
          <w:numId w:val="1"/>
        </w:numPr>
        <w:rPr/>
      </w:pPr>
      <w:bookmarkStart w:id="554" w:name="__RefHeading___Toc3346632_3224264995"/>
      <w:bookmarkStart w:id="555" w:name="_Toc209"/>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و نکتفی فی المقام بالبحث عن حجّیة قول اللغوی؛ إذ أکثر ما یبحث عنه فی مباحث الألفاظ یرجع إلی تشخیص الظاهر</w:t>
      </w:r>
      <w:r>
        <w:rPr>
          <w:rFonts w:eastAsia="IRNazanin" w:cs="IRNazanin"/>
          <w:color w:val="111111"/>
          <w:sz w:val="28"/>
          <w:szCs w:val="28"/>
          <w:rtl w:val="true"/>
          <w:lang w:bidi="fa-IR"/>
        </w:rPr>
        <w:t>:</w:t>
      </w:r>
    </w:p>
    <w:p>
      <w:pPr>
        <w:pStyle w:val="Heading6"/>
        <w:numPr>
          <w:ilvl w:val="5"/>
          <w:numId w:val="1"/>
        </w:numPr>
        <w:rPr/>
      </w:pPr>
      <w:bookmarkStart w:id="556" w:name="__RefHeading___Toc3346634_3224264995"/>
      <w:bookmarkStart w:id="557" w:name="_Toc210"/>
      <w:bookmarkEnd w:id="556"/>
      <w:r>
        <w:rPr>
          <w:rtl w:val="true"/>
        </w:rPr>
        <w:t>حجّیة قول اللغوی</w:t>
      </w:r>
      <w:bookmarkEnd w:id="557"/>
    </w:p>
    <w:p>
      <w:pPr>
        <w:pStyle w:val="BookText"/>
        <w:rPr/>
      </w:pPr>
      <w:r>
        <w:rPr>
          <w:rFonts w:ascii="IRNazanin" w:hAnsi="IRNazanin" w:eastAsia="IRNazanin"/>
          <w:color w:val="111111"/>
          <w:sz w:val="28"/>
          <w:sz w:val="28"/>
          <w:szCs w:val="28"/>
          <w:rtl w:val="true"/>
          <w:lang w:bidi="fa-IR"/>
        </w:rPr>
        <w:t>و قد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ببناء العقلاء علی الرجوع إلی مهرة الفنّ من أهل الصناعات؛ لکونهم أهل الخبرة فی هذا الأمر، و اخری بالإجماع و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بأنّ اللغوی مرجع فی موارد الاستعمال، لا فی تشخیص الحقائق عن المجاز</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بناء العقلاء علی الرجوع فی هذه القرون لا یکشف عن وجوده فی زمن المعصومین حتّی یستکشف من سکوته رضاه، مثل العمل بخبر الواحد و أصالة الصحّة، و لم یرد منهم علیهم السلام ما یدلّ علی رجوع الجاهل بالعالم حتّی</w:t>
      </w:r>
    </w:p>
    <w:p>
      <w:pPr>
        <w:pStyle w:val="BookText"/>
        <w:rPr/>
      </w:pPr>
      <w:r>
        <w:rPr>
          <w:rFonts w:ascii="IRNazanin" w:hAnsi="IRNazanin" w:eastAsia="IRNazanin"/>
          <w:color w:val="111111"/>
          <w:sz w:val="28"/>
          <w:sz w:val="28"/>
          <w:szCs w:val="28"/>
          <w:rtl w:val="true"/>
          <w:lang w:bidi="fa-IR"/>
        </w:rPr>
        <w:t>نتمسّک بإطلاقه أو عمومه فی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موارد التمسّک ببناء العقلاء إنّما هو فیما إذا احرز کون بناء العقلاء بمرأی و مسمع من المعصومین علیهم السلام، و لم یحرز رجوع الناس إلی صناعة اللغة فی زمن الأئمّة؛ بحیث کان الرجوع إلیهم کالرجوع إلی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الصحابة فی معانی مفردات القرآن إلی حَمَلة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عبّاس و 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سترة فیه، و کون الرجل عربیاً فصیحاً لا یوجب إحاطته بعامّة لغاته، کما فی غیر العربی من الألسنة، و لا شکّ أنّه کان امّة کبیرة من الأصحاب مراجع فیما یتعلّق بالقرآن و الحدیث فی توضیحهما و تفسیرهما و تبیین مفرداتهما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اللغة قد دوّنت فی زمن المعصومین علیهم السلام؛ فإنّ أوّل من دوّنه هو خلیل بن أحمد الفراهیدی الذی عدّه الشیخ من أصحاب الصادق علیه السلام، و بعده ابن درید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أصحاب الجواد علیه السلام، و ألّف 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قتله المتوکّل لتشیّعه، و هذا یکشف عن کون التدوین و الرجوع إلی معاجم اللغة کان أمراً دائراً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رجوعهم إلی مثل ابن عبّاس و غیره فی لغة القرآن و مفرداته، بل الظاهر رجوعهم إلی مثله فی تفسیر القرآن المدّخر عنده من أصحاب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 تدوین اللغة فی عصر الأئمّة علیهم السلام لا یدلّ علی أخذ الناس اللغة بصرف التقلید، کالرجوع إلی الطبیب و الفقیه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الرجوع إلی کتب اللغة ربّما یوجب تشخیص المعنی بمناسبة سائر الجمل، کما فی رجوعنا إلیها، فصرف تدوین اللغة و الرجوع إلیها فی تلک الأعصار لا یفید شیئاً</w:t>
      </w:r>
      <w:r>
        <w:rPr>
          <w:rFonts w:eastAsia="IRNazanin" w:cs="IRNazanin"/>
          <w:color w:val="111111"/>
          <w:sz w:val="28"/>
          <w:szCs w:val="28"/>
          <w:rtl w:val="true"/>
          <w:lang w:bidi="fa-IR"/>
        </w:rPr>
        <w:t>.</w:t>
      </w:r>
      <w:bookmarkStart w:id="558" w:name="pg12907_206877"/>
    </w:p>
    <w:p>
      <w:pPr>
        <w:pStyle w:val="Heading6"/>
        <w:numPr>
          <w:ilvl w:val="5"/>
          <w:numId w:val="1"/>
        </w:numPr>
        <w:rPr/>
      </w:pPr>
      <w:bookmarkStart w:id="559" w:name="__RefHeading___Toc3346636_3224264995"/>
      <w:bookmarkStart w:id="560" w:name="_Toc211"/>
      <w:bookmarkEnd w:id="558"/>
      <w:bookmarkEnd w:id="559"/>
      <w:r>
        <w:rPr>
          <w:rtl w:val="true"/>
        </w:rPr>
        <w:t>الأمر الثالث فی الإجماع المنقول</w:t>
      </w:r>
      <w:bookmarkEnd w:id="560"/>
    </w:p>
    <w:p>
      <w:pPr>
        <w:pStyle w:val="BookText"/>
        <w:rPr/>
      </w:pPr>
      <w:r>
        <w:rPr>
          <w:rFonts w:ascii="IRNazanin" w:hAnsi="IRNazanin" w:eastAsia="IRNazanin"/>
          <w:color w:val="111111"/>
          <w:sz w:val="28"/>
          <w:sz w:val="28"/>
          <w:szCs w:val="28"/>
          <w:rtl w:val="true"/>
          <w:lang w:bidi="fa-IR"/>
        </w:rPr>
        <w:t>و تحقیق الحال یتوقّف علی 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عند العامّة دلیل برأسه فی مقابل الکتاب و السنّة؛</w:t>
      </w:r>
    </w:p>
    <w:p>
      <w:pPr>
        <w:pStyle w:val="BookText"/>
        <w:rPr/>
      </w:pPr>
      <w:r>
        <w:rPr>
          <w:rFonts w:ascii="IRNazanin" w:hAnsi="IRNazanin" w:eastAsia="IRNazanin"/>
          <w:color w:val="111111"/>
          <w:sz w:val="28"/>
          <w:sz w:val="28"/>
          <w:szCs w:val="28"/>
          <w:rtl w:val="true"/>
          <w:lang w:bidi="fa-IR"/>
        </w:rPr>
        <w:t>لما نقلوا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الضلالة</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الخطأ</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لذلک اشترطوا 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اتّفاق امّة محمّد صلی الله علیه و آله و سلم علی أمر من الامور الدینیة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لم یکن المرمی من الإجماع و حجّیته و ما اختلقوا له من المستند إلّا إثبات خلافة الخلفاء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رأوا أنّ ما عرّف به الغزالی لا ینطبق علی مورد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اجتماع الامّة جمیعاً علیها؛ لمخالفة کثیر من الأصحاب و جمهرة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الرازی و الحاجبی إلی تعریفه بوجه آخر، فعن الأوّل بأنّه اتّفاق أهل الحلّ و العقد من امّة محمّد علی أمر من الامور</w:t>
      </w:r>
      <w:r>
        <w:rPr>
          <w:rStyle w:val="FootnoteAnchor"/>
          <w:rtl w:val="true"/>
        </w:rPr>
        <w:footnoteReference w:id="517"/>
      </w:r>
      <w:r>
        <w:rPr>
          <w:rFonts w:ascii="IRNazanin" w:hAnsi="IRNazanin" w:eastAsia="IRNazanin"/>
          <w:color w:val="111111"/>
          <w:sz w:val="28"/>
          <w:sz w:val="28"/>
          <w:szCs w:val="28"/>
          <w:rtl w:val="true"/>
          <w:lang w:bidi="fa-IR"/>
        </w:rPr>
        <w:t>، 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اتفاق المجتهدین من هذه الامّة فی عصر علی ما أمر</w:t>
      </w:r>
      <w:r>
        <w:rPr>
          <w:rStyle w:val="FootnoteAnchor"/>
          <w:rtl w:val="true"/>
        </w:rPr>
        <w:footnoteReference w:id="518"/>
      </w:r>
      <w:r>
        <w:rPr>
          <w:rFonts w:ascii="IRNazanin" w:hAnsi="IRNazanin" w:eastAsia="IRNazanin"/>
          <w:color w:val="111111"/>
          <w:sz w:val="28"/>
          <w:sz w:val="28"/>
          <w:szCs w:val="28"/>
          <w:rtl w:val="true"/>
          <w:lang w:bidi="fa-IR"/>
        </w:rPr>
        <w:t>، مع عدم تتمیم مقصدهم بأیّ تعریف عرف؛ لمخالفة جمع من أهل الحلّ و العقد و المجتهدین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حجّة بنفسه اتّفاقاً، بل لأجل أنّه یستکشف منه قول المعصوم أو رضاه؛ سواء استکشف من الکلّ أو اتّفاق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تسمیة ما هو الدلیل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لإفادة أنّ لهم نصیباً منها، و لیکون الاستدلال علی أساس مسلّم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علی ذلک یحمل الإجماعات الکثیرة الدائرة بین القدماء، کالشیخ و ابن زهرة و أضرابهم، کما یظهر من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و إلّا فقد عرفت أنّ الإجماع عندنا و عندهم مختلف؛ غایةً و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المقام إنّما هو عن شمول أدلّة حجّیة الخبر الواحد للإجماع المنقول به و عدم شموله، و کان الأولی إرجاع البحث إلی الفراغ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سیوافیک</w:t>
      </w:r>
      <w:r>
        <w:rPr>
          <w:rStyle w:val="FootnoteAnchor"/>
          <w:rtl w:val="true"/>
        </w:rPr>
        <w:footnoteReference w:id="520"/>
      </w:r>
      <w:r>
        <w:rPr>
          <w:rFonts w:ascii="IRNazanin" w:hAnsi="IRNazanin" w:eastAsia="IRNazanin"/>
          <w:color w:val="111111"/>
          <w:sz w:val="28"/>
          <w:sz w:val="28"/>
          <w:szCs w:val="28"/>
          <w:rtl w:val="true"/>
          <w:lang w:bidi="fa-IR"/>
        </w:rPr>
        <w:t>أنّ الدلیل الوحید علی حجّیة الخبر الواحد لیس إلّا بناء العقلاء، و ما ورد من الآیات و الأخبار کلّها إرشاد إلی ذلک البناء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حجّیة الخبر الواحد فی الإخبار عن المحسوسات</w:t>
      </w:r>
    </w:p>
    <w:p>
      <w:pPr>
        <w:pStyle w:val="BookText"/>
        <w:rPr/>
      </w:pPr>
      <w:r>
        <w:rPr>
          <w:rFonts w:ascii="IRNazanin" w:hAnsi="IRNazanin" w:eastAsia="IRNazanin"/>
          <w:color w:val="111111"/>
          <w:sz w:val="28"/>
          <w:sz w:val="28"/>
          <w:szCs w:val="28"/>
          <w:rtl w:val="true"/>
          <w:lang w:bidi="fa-IR"/>
        </w:rPr>
        <w:t>المتعارفة أو غیر المحسوس إذا عدّه العرف لقربه إلی الحسّ محسوساً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 غیر عادی أو مستنبطاً بالحدس عن مقدّمات کثیرة فللتوقّف مجال؛ لعدم إحراز وجود البناء فی هذه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تشرّفه أو سماع کلامه بین المجمعین فلا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الأخبار الآحاد مبنیة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التعمّد فی الکذب، و عدم خطأه فیما ینقله، و الأوّل مدفوع بعدالته و وثاقته؛ سواء کان الإخبار عن حسّ أو حدس، و أمّا الثانی فأصالة عدم الخطأ أصل عقلائی، و مورده ما إذا کان المخبر به أمراً حسّیاً أو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عن حدس، أو حسّ لکن المخبر به کان أمراً غریباً غیر عادی فلا یدفع احتمال الخطأ بالأصل،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حجّیة خبر الثقة غیر وافٍ لإثبات مثل الإخبار بالغرائب، إلّا إذا انضمّ إلی دعواه قرائن و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المنقول بخبر الواحد حجّة بالنسبة إلی الکاشف إذا کان ذا أثر شرعی، و أمّا بالنسبة إلی المنکشف فلیس بحجّة؛ لأنّه لیس إخباراً عن أمر محسوس، فلا یشمله ما هو الحجّة فی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المقام بالإخبار عن الشجاعة و العدالة غیر مفید؛ لأنّ مبادئهما محسوسة، فإنّهما من المعقولات القریبة إلی الحسّ، و لأجل ذلک یقبل الشهادة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الإمام فهو مستنبط بمقدّمات و ظنون متراکمة، کما لا یخفی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ذکروا لاستکشاف قول الإمام علیه السلام طرقاً؛ أوجهها دعوی الملازمة العادیة بین اتّفاق المرءوسین علی شی‌ء و رضا الرئیس به، و هذا أمر قریب جدّاً، و لأجل ذلک لو قدّم غریب بلادنا و شاهد إجراء قانون العسکریة فی کلّ دورة و کورة یحدس قطعاً أنّ هذا قانون قد صوّب فی مجلس النوّاب، و استقرّ</w:t>
      </w:r>
    </w:p>
    <w:p>
      <w:pPr>
        <w:pStyle w:val="BookText"/>
        <w:rPr/>
      </w:pPr>
      <w:r>
        <w:rPr>
          <w:rFonts w:ascii="IRNazanin" w:hAnsi="IRNazanin" w:eastAsia="IRNazanin"/>
          <w:color w:val="111111"/>
          <w:sz w:val="28"/>
          <w:sz w:val="28"/>
          <w:szCs w:val="28"/>
          <w:rtl w:val="true"/>
          <w:lang w:bidi="fa-IR"/>
        </w:rPr>
        <w:t>علیه رأی من بیده رتق الامور و فتقه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اتّفاقهم علی أمر إن کان نشأ عن تواطئهم علی ذلک کان لتوهّم الملازمة العادیة بین إجماع المرؤوسین و رضاء الرئیس مجال، و أمّا إذا اتّفق الاتّفاق بلا تواطؤ منهم فهو ممّا لا یلازم عادة رضاء الرئیس و لا یمکن دعوی الملازمة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فضعیف جدّاً؛ لأنّ إنکار الملازمة فی صورة التواطؤ أولی و أقرب من الإجماع بلا تواطؤ؛ فإنّ الاتّفاق مع عدم الرابط بینهما یکشف عن وجود ملاک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الاتّفاق مع التواطؤ فیحتمل أن یکون معلّلًا بأمر غیر 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ادّعی القائل بحجّیة الإجماع المنقول أنّه کاشف عن الدلیل المعتبر الذی لم نعثر علیه أو عن رضاه فلا یعدّ أمراً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موهون من جهة اخری؛ فإنّ من البعید جدّاً أن یقف الکلینی أو الصدوق أو الشیخ و من بعده علی روایة متقنة دالّة علی المقصود، و مع ذلک ترکوا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الفتوائیة عند قدماء الأصحاب یکشف عن کون الحکم مشهوراً فی زمن الأئمّة علیهم السلام؛ بحیث صار الحکم فی الاشتهار بمنزلة أوجبت عدم الاحتیاج إلی السؤال عنهم علیهم السلام، کما نشاهده فی بعض المسائل الفقهیة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اشتهار حکم بین الأصحاب یکشف عن ثبوت الحکم فی الشریعة المطهّرة و معروفیته من لدن عصر الأئمّة علیهم السلام</w:t>
      </w:r>
      <w:r>
        <w:rPr>
          <w:rFonts w:eastAsia="IRNazanin" w:cs="IRNazanin"/>
          <w:color w:val="111111"/>
          <w:sz w:val="28"/>
          <w:szCs w:val="28"/>
          <w:rtl w:val="true"/>
          <w:lang w:bidi="fa-IR"/>
        </w:rPr>
        <w:t>.</w:t>
      </w:r>
      <w:bookmarkStart w:id="561" w:name="pg12907_206881"/>
    </w:p>
    <w:p>
      <w:pPr>
        <w:pStyle w:val="Heading6"/>
        <w:numPr>
          <w:ilvl w:val="5"/>
          <w:numId w:val="1"/>
        </w:numPr>
        <w:rPr/>
      </w:pPr>
      <w:bookmarkStart w:id="562" w:name="__RefHeading___Toc3346638_3224264995"/>
      <w:bookmarkStart w:id="563" w:name="_Toc212"/>
      <w:bookmarkEnd w:id="561"/>
      <w:bookmarkEnd w:id="562"/>
      <w:r>
        <w:rPr>
          <w:rtl w:val="true"/>
        </w:rPr>
        <w:t>الأمر الرابع فی الشهرة الفتوائیة</w:t>
      </w:r>
      <w:bookmarkEnd w:id="563"/>
    </w:p>
    <w:p>
      <w:pPr>
        <w:pStyle w:val="Heading6"/>
        <w:numPr>
          <w:ilvl w:val="5"/>
          <w:numId w:val="1"/>
        </w:numPr>
        <w:rPr/>
      </w:pPr>
      <w:bookmarkStart w:id="564" w:name="__RefHeading___Toc3346640_3224264995"/>
      <w:bookmarkStart w:id="565" w:name="_Toc213"/>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لا إشکال فی عدم حجّیة الشهرة الفتوائیة فی التفریعات الفقهیة الدائرة بین المتأخّرین من زمن شیخ الطائفة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استدلّوا به علی حجّیتها من التمسّک بفحوی أدلّة حجّیة الخبر الواحد أو تنقیح المناط أو تعلیل آیة النبأ أو دلالة المقبولة أو تعلیلها</w:t>
      </w:r>
      <w:r>
        <w:rPr>
          <w:rStyle w:val="FootnoteAnchor"/>
          <w:rtl w:val="true"/>
        </w:rPr>
        <w:footnoteReference w:id="522"/>
      </w:r>
      <w:r>
        <w:rPr>
          <w:rFonts w:ascii="IRNazanin" w:hAnsi="IRNazanin" w:eastAsia="IRNazanin"/>
          <w:color w:val="111111"/>
          <w:sz w:val="28"/>
          <w:sz w:val="28"/>
          <w:szCs w:val="28"/>
          <w:rtl w:val="true"/>
          <w:lang w:bidi="fa-IR"/>
        </w:rPr>
        <w:t>لا یخلو من ضعف غنی عن البیان</w:t>
      </w:r>
      <w:r>
        <w:rPr>
          <w:rFonts w:eastAsia="IRNazanin" w:cs="IRNazanin"/>
          <w:color w:val="111111"/>
          <w:sz w:val="28"/>
          <w:szCs w:val="28"/>
          <w:rtl w:val="true"/>
          <w:lang w:bidi="fa-IR"/>
        </w:rPr>
        <w:t>.</w:t>
      </w:r>
    </w:p>
    <w:p>
      <w:pPr>
        <w:pStyle w:val="Heading6"/>
        <w:numPr>
          <w:ilvl w:val="5"/>
          <w:numId w:val="1"/>
        </w:numPr>
        <w:rPr/>
      </w:pPr>
      <w:bookmarkStart w:id="566" w:name="__RefHeading___Toc3346642_3224264995"/>
      <w:bookmarkStart w:id="567" w:name="_Toc214"/>
      <w:bookmarkEnd w:id="566"/>
      <w:r>
        <w:rPr>
          <w:rtl w:val="true"/>
        </w:rPr>
        <w:t>حجّیة الشهرة الفتوائیة الدائرة بین القدماء</w:t>
      </w:r>
      <w:bookmarkEnd w:id="56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الشهرة المتقدّمة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الشهرة الدائرة بین قدماء أصحابنا، الذین کان دیدنهم التحفّظ علی الاصول و الإفتاء بمتون الروایة إلی أن ینتهی الأمر إلی أصحاب الفتوی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وجود مناط الإجماع فیه،</w:t>
      </w:r>
    </w:p>
    <w:p>
      <w:pPr>
        <w:pStyle w:val="BookText"/>
        <w:rPr/>
      </w:pPr>
      <w:r>
        <w:rPr>
          <w:rFonts w:ascii="IRNazanin" w:hAnsi="IRNazanin" w:eastAsia="IRNazanin"/>
          <w:color w:val="111111"/>
          <w:sz w:val="28"/>
          <w:sz w:val="28"/>
          <w:szCs w:val="28"/>
          <w:rtl w:val="true"/>
          <w:lang w:bidi="fa-IR"/>
        </w:rPr>
        <w:t>و کونه موجباً للحدس القطعی علی وجود نصٍّ معتبر دائر بینهم، أو معروفیة الحکم من لدن عصر الأئمّة،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اشتهر من الشیخ عن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من أنّ دیدن الأصحاب قد کان جاریاً علی الجمود علی النصوص، من دون أدنی خروج من ظواهرها؛ تکریماً لأئمّتهم و تعظیماً لهم علیهم السلام، غیر أنّ الشیخ قد نقض تلک الطریقة ببعض تآلیفه، و أورد المسائل بعبارات غیر دارجة عند أصحاب النصوص، و فرّع علی الاصول کثیراً من التفریعات غیر المذکورة فی الروایات، و جاء الأصحاب بعد الشیخ فحذوا حذوه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ظاهر؛ فإنّا بعد الفحص لم نجد الکتب المؤلّفة فی عصره أو فی عصر قبله علی ما وصفه، فراجع ما بقی بأیدینا من تآلیف المفید و المرتضی و سلّار و ابن حمزة و أضرابهم ممّن نقل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عبائرهم، کابن جنید و ابن أبی عقیل و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الطبقة السابقة علی أصحاب الفتوی کان دأبهم علی ما وصفه؛ من الجمود علی ذکر الروایات المطابقة لفتواهم، أو نقل ألفاظها بعد الجمع و الترجیح و التقیید و التخصیص، و من أظهر مصادیقه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قریب منه بعض کتب الصدوق و أبیه،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مثل تلک الشهرة مناط الإجماع، بل الإجماع لیس إلّا ذاک فلیس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حجّیتها بالتعلیل الوارد فی مقبولة عمر بن حنظلة؛ حیث قال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 الذی حکما به</w:t>
      </w:r>
    </w:p>
    <w:p>
      <w:pPr>
        <w:pStyle w:val="BookText"/>
        <w:rPr/>
      </w:pPr>
      <w:r>
        <w:rPr>
          <w:rFonts w:ascii="IRNazanin" w:hAnsi="IRNazanin" w:eastAsia="IRNazanin"/>
          <w:color w:val="111111"/>
          <w:sz w:val="28"/>
          <w:sz w:val="28"/>
          <w:szCs w:val="28"/>
          <w:rtl w:val="true"/>
          <w:lang w:bidi="fa-IR"/>
        </w:rPr>
        <w:t>المجمع علیه بین أصحابک، فیؤخذ به من حکمهما و یترک الشاذّ الذی لیس بمشهور عند أصحابک؛ فإنّ المجمع علیه لا ریب فیه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الاشتهار بین الأصحاب فی تلک الأزمنة؛ بحیث یکون الطرف المقابل شاذّاً معرضاً عنه بینهم، و لا یکون مضرّاً بإجماعهم عرفاً؛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الشاذّ مخالف لإجماع أصحابنا، لا شبهة فی کشفه عن رأی المعصوم و حجّیته، و هذا هو الإجماع المعتبر الذی یقال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حجّیة مجرّد الشهرة الفتوائیة لو لم یحدس منها قول الإمام علیه السلام، کما هو المناط فی الإجماع المحصّل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أعاظم العصر قدس سره قد ضعّف هذا الاستدلال،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بهذا التعلیل ضعیف؛ لأنّه لیس من العلّة المنصوصة لیکون من الکبری الکلّیة التی یتعدّی عن موردها؛ فإنّ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هو الإجماع المصطلح فلا یعمّ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المشهور فلا یصحّ حمل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بقول مطلق، بل لا بدّ أن یکون المراد منه عدم الریب بالإضافة إلی ما یقابله، و هذا یوجب خروج التعلیل عن کونه کبری کلّیة؛ لأنّه یعتبر فی الکبری الکلّیة صحّة التکلیف بها ابتداءً بلا ضمّ المورد إلیها،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ضمّ الخمر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 الوارد فی المقبولة لا ینطبق علی ذلک؛ لأنّه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الأخذ بکلّ ما لا ریب فیه بالإضافة إلی ما یقابله، و إلّا لزم الأخذ بکلّ راجح بالنسبة إلی غیره، و بأقوی الشهرتین و بالظنّ المطلق و غیر ذلک من التوالی الفاسدة التی لا یمکن الالتزام بها، فالتعلیل أجنبی عن أن یکون من الکبری الکلّیة التی یصحّ التعدّی عن موردها</w:t>
      </w:r>
      <w:r>
        <w:rPr>
          <w:rStyle w:val="FootnoteAnchor"/>
          <w:rtl w:val="true"/>
        </w:rPr>
        <w:footnoteReference w:id="5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لیست مجرّد کون الشی‌ء مسلوباً عنه الریب بالإضافة إلی غیره حتّی یتوهّم سعة نطاق الکبری، بل الکبری کون الشی‌ء ممّا لا ریب فیه بقول مطلق عرفاً؛ بحیث یعدّ طرف الآخر شاذّاً نادراً لا یعبأ به عند العقلاء، و هذا غیر موجود فی الموارد الذی عدّه قدس سره؛ فإنّ ما ذکره من الموارد لیس ممّا لا ریب فیه عند العرف؛ بحیث صار الطرف المقابل أمراً غریباً غیر معتنی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الریب لیس من المعانی الإضافیة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بالنسبة إلی مقابله، بل من المعانی النفسیة التی لا یصدق إلّا مع فقد الریب بقول مطلق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کلّیة، و کلّ ما کان کذلک عرفاً یجب الأخذ به، و لا یرد علیه ما جعله نقضاً لذلک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الشهرة الفتوائیة الدائرة بین القدماء إذا کان موجباً للحدس بثبوت الحکم دون غیره من الشهرة فی التفریعات الاجتهادیة، و سیوافیک بعض الکلام فی مبحث التعادل و الترجیح، و أنّ الشهرة الفتوائیة علی مضمون إحدی الروایتین یوجب سقوط الاخری عن الحجّیة</w:t>
      </w:r>
      <w:r>
        <w:rPr>
          <w:rStyle w:val="FootnoteAnchor"/>
          <w:rtl w:val="true"/>
        </w:rPr>
        <w:footnoteReference w:id="526"/>
      </w:r>
      <w:bookmarkStart w:id="568" w:name="pg12907_206885"/>
    </w:p>
    <w:p>
      <w:pPr>
        <w:pStyle w:val="Heading6"/>
        <w:numPr>
          <w:ilvl w:val="5"/>
          <w:numId w:val="1"/>
        </w:numPr>
        <w:rPr/>
      </w:pPr>
      <w:bookmarkStart w:id="569" w:name="__RefHeading___Toc3346644_3224264995"/>
      <w:bookmarkStart w:id="570" w:name="_Toc215"/>
      <w:bookmarkEnd w:id="568"/>
      <w:bookmarkEnd w:id="569"/>
      <w:r>
        <w:rPr>
          <w:rtl w:val="true"/>
        </w:rPr>
        <w:t>الأمر الخامس فی حجّیة الخبر الواحد</w:t>
      </w:r>
      <w:bookmarkEnd w:id="570"/>
    </w:p>
    <w:p>
      <w:pPr>
        <w:pStyle w:val="Heading6"/>
        <w:numPr>
          <w:ilvl w:val="5"/>
          <w:numId w:val="1"/>
        </w:numPr>
        <w:rPr/>
      </w:pPr>
      <w:bookmarkStart w:id="571" w:name="__RefHeading___Toc3346646_3224264995"/>
      <w:bookmarkStart w:id="572" w:name="_Toc216"/>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و قد وقعت معرکة للآراء، و لا محیص للفقیه عن الخوض فیها؛ لأنّه یدور علیها رحی الاستنباط فی هذه الأعصار</w:t>
      </w:r>
      <w:r>
        <w:rPr>
          <w:rFonts w:eastAsia="IRNazanin" w:cs="IRNazanin"/>
          <w:color w:val="111111"/>
          <w:sz w:val="28"/>
          <w:szCs w:val="28"/>
          <w:rtl w:val="true"/>
          <w:lang w:bidi="fa-IR"/>
        </w:rPr>
        <w:t>.</w:t>
      </w:r>
    </w:p>
    <w:p>
      <w:pPr>
        <w:pStyle w:val="Heading6"/>
        <w:numPr>
          <w:ilvl w:val="5"/>
          <w:numId w:val="1"/>
        </w:numPr>
        <w:rPr/>
      </w:pPr>
      <w:bookmarkStart w:id="573" w:name="__RefHeading___Toc3346648_3224264995"/>
      <w:bookmarkStart w:id="574" w:name="_Toc217"/>
      <w:bookmarkEnd w:id="573"/>
      <w:r>
        <w:rPr>
          <w:rtl w:val="true"/>
        </w:rPr>
        <w:t>استدلال النافین لحجّیة الخبر الواحد بالکتاب</w:t>
      </w:r>
      <w:bookmarkEnd w:id="574"/>
    </w:p>
    <w:p>
      <w:pPr>
        <w:pStyle w:val="BookText"/>
        <w:rPr/>
      </w:pPr>
      <w:r>
        <w:rPr>
          <w:rFonts w:ascii="IRNazanin" w:hAnsi="IRNazanin" w:eastAsia="IRNazanin"/>
          <w:color w:val="111111"/>
          <w:sz w:val="28"/>
          <w:sz w:val="28"/>
          <w:szCs w:val="28"/>
          <w:rtl w:val="true"/>
          <w:lang w:bidi="fa-IR"/>
        </w:rPr>
        <w:t>فاستدلّ المنکرون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المتدبّر فی سیاق الآیات یقف علی أنّها راجعة إلی الاصول الاعتقادیة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و ذیل الآیة یوجب تعمیمها للفروع؛ لو لم نقل باختصاصها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صحّة الاستدلال بها مستلزمة لعدم جواز الاستدلال بها؛ و ذلک لأنّه یدلّ علی نحو القضیة الحقیقیة علی الزجر عن کلّ اتّباع بغیر علم یوجد فی الخارج، مع أنّ الأخذ بظاهر الآیة أیضاً اتّباع لغیر علم و مصداق له؛ لأنّ دلالتها علی الردع عن غیر العلم ظنّیة لا قطعیة، فیلزم من الأخذ بمدلولها عدم جواز اتّباعها؛ لکون دلالتها بالفرض ظنّیة، و الآیة شاملة لنفسها؛ لکونها قضیة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غیر شاملة لنفسها لأجل المحذور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مخصّصة عقلًا؛ للزوم المحال لو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الاستحالة مندفعة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ذکره القائل من عمومها لکلّ غیر علم إلّا نفسه، و الثانی بتخصیصها بما قام الدلیل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ترجیح، بل الترجیح للثانی؛ لأنّ الآیة وردت للزجر عن اتّباع غیر العلم، و لا یتمّ الزجر إلّا إذا کان ظاهرها حجّة عند المخاطبین؛ حتّی یحصل لهم التزجّر عند الزجر، و لا وجه لخروج ظاهر الآیة عن هذا العموم إلّا کون الظواهر حجّة عند العقلاء، کسائر الظنون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ظاهر الآیة أو مطلق الظواهر دون سائر الظنون تحکّم محض؛ لوجود البناء من العقلاء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هذه الآیة قابلة للتخصیص، و ما لا تقبل له راجعة إلی الاصول الاعتقادیة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قدس سره قد أجاب عن هذا الإشکال 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الأدلّة الدالّة علی حجّیة الخبر الواحد إلی الآیات نسبة الحکومة لا التخصیص؛ لکی یقال إنّها آبیة عنه؛ فإنّ تلک الأدلّة تقتضی إلقاء احتمال الخلاف</w:t>
      </w:r>
    </w:p>
    <w:p>
      <w:pPr>
        <w:pStyle w:val="BookText"/>
        <w:rPr/>
      </w:pPr>
      <w:r>
        <w:rPr>
          <w:rFonts w:ascii="IRNazanin" w:hAnsi="IRNazanin" w:eastAsia="IRNazanin"/>
          <w:color w:val="111111"/>
          <w:sz w:val="28"/>
          <w:sz w:val="28"/>
          <w:szCs w:val="28"/>
          <w:rtl w:val="true"/>
          <w:lang w:bidi="fa-IR"/>
        </w:rPr>
        <w:t>و جعل الخبر محرزاً للواقع؛ لکون حاله حال العلم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السیرة العقلائیة القائمة علی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نسبتها إلیها هی الورود، بل التخصّص؛ لأنّ عمل العقلاء بخبر الثقة لیس من العمل بالظنّ؛ لعدم التفاتهم إلی احتمال المخالفة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به خارج بالتخصّص عن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تصلح الآیات الناهیة عن العمل به لأن تکون رادعة عنها؛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خروج العمل به عن موضوع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الدور المحال؛ لأنّ الردع عن السیرة بها یتوقّف علی أن لا تکون السیرة مخصّصة لعمومها، و عدم التخصیص یتوقّف علی الرادعیة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منعت عن ذلک فلا أقلّ من کون السیرة حاکمة علی الآیات، و المحکوم لا یصلح أن یکون رادعاً للحاکم</w:t>
      </w:r>
      <w:r>
        <w:rPr>
          <w:rStyle w:val="FootnoteAnchor"/>
          <w:rtl w:val="true"/>
        </w:rPr>
        <w:footnoteReference w:id="5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آبٍ من التخصیص إنّما هی الآیات الناهیة عن اتّباع الظنّ، 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فقد عرفت أنّه عامّ للُاصول و الفروع و قابل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حکومة الأدلّة الدالّة علی حجّیة الخبر الواحد علی الآیات فلا أصل لها؛ لأنّ الحکومة تتقوّم باللفظ، و لیس لسان 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آیاتها و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الحکومة،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ثقة فما أدّی إلیک عنّی فعنّی یؤدّی، و ما قال لک</w:t>
      </w:r>
    </w:p>
    <w:p>
      <w:pPr>
        <w:pStyle w:val="BookText"/>
        <w:rPr/>
      </w:pPr>
      <w:r>
        <w:rPr>
          <w:rFonts w:ascii="IRNazanin" w:hAnsi="IRNazanin" w:eastAsia="IRNazanin"/>
          <w:color w:val="111111"/>
          <w:sz w:val="28"/>
          <w:sz w:val="28"/>
          <w:szCs w:val="28"/>
          <w:rtl w:val="true"/>
          <w:lang w:bidi="fa-IR"/>
        </w:rPr>
        <w:t>عنی فعنی یقول، فاسمع له و أطع؛ فإنه الثقة المأمون</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فلا یصلح لإثبات ما رامه قدس سره؛ فإنّ مفاده هو وجوب اتّباع قوله لوثاقته، و أمّا تنزیل ما یقوله منزلة العلم حتّی یکون حاکماً علی ما دلّ علی الزجر عن اتّباع غیر العلم فلا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نسبتها نسبة الورود أو التخصّص فلا یخلو عن ضعف؛ لأنّ ذلک فرع کون العمل بالخبر الواحد عند العقلاء عملًا بالعلم، و هو ممنوع جدّاً؛ لعدم حصول العلم من أخبار الآحاد؛ حتّی لو فرضنا غفلتهم عن احتمال الخلاف فلا یصحّ أیضاً؛ لأنّ الورود و التخصّص یدور مدار الخروج الواقعی، لا علی الخروج عند المخاطب؛ فإنّ الورود لیس إلّا خروج موضوع أحد الدلیلین عن موضوع الدلیل الآخر حقیقةً بعنایة التشریع، کما أنّ التخصّص هو الخروج حقیقةً و تکویناً، و مع ذلک کلّه فهما یدور علی الخروج الواقعی لا عند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عمّا أفاده أخیراً من حدیث حکومة السیرة؛ فإنّ السیرة عمل خارجی و الحکومة من أوصاف دلالة الدلیل اللفظی، فکیف یصحّ حکومة العمل الخارجی علی دلیل آخر، مع أنّها قائمة بین لسانی الدلیلین اللفظیین؟</w:t>
      </w:r>
    </w:p>
    <w:p>
      <w:pPr>
        <w:pStyle w:val="BookText"/>
        <w:rPr/>
      </w:pPr>
      <w:r>
        <w:rPr>
          <w:rFonts w:ascii="IRNazanin" w:hAnsi="IRNazanin" w:eastAsia="IRNazanin"/>
          <w:color w:val="111111"/>
          <w:sz w:val="28"/>
          <w:sz w:val="28"/>
          <w:szCs w:val="28"/>
          <w:rtl w:val="true"/>
          <w:lang w:bidi="fa-IR"/>
        </w:rPr>
        <w:t>نعم، یمکن أن یقال بعدم صلاحیة تلک الآیات للردع عن السیرة الدائرة بین العقلاء؛ لعدم انتقالهم من التدبّر فی هذه الآیات إلی کون الخبر الواحد مصداقاً له؛ و إن کان مصداقاً واقعیاً 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تقریب ورود السیرة علی الآیات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أی لا تقف ما لیس لک به حجّة؛ إذ لو ارید منه العلم الوجدانی، و ارید منه الزجر عن التمسّک بغیر العلم الوجدانی لزم تعطیل أکثر الأحکام أو ورود التخصیص الأکثر المستهجن، و هذا نظیر حرمة القول بغیر علم أو الإفتاء بغیر علم، و علیه کلّ ما یدلّ علی حجّیة الخبر الواحد یکون 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الطریق و إن کان ظنّیاً إلّا أنّ ما یدلّ علی حجّیته أمر قطعی؛ لأنّ ما یدلّ من ظواهر الآیات علی حجّیة الخبر الواحد حجّة قطعیة عند الخصم، کسائر الظواهر، فینسلک اتّباع الخبر الواحد فی عداد اتّباع العلم، فیتمّ میزان الورود،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مشکل الدور فی رادعیة الآیات عن السیرة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لیس دوراً اصطلاحیاً؛ فإنّ الدور المصطلح ما یقتضی تقدّم الموقوف علی الموقوف علیه؛ ضرورة عدم تقدّم الرادعیة علی عدم المخصّصیة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السیرة یتوقّف علی عدم الرادعیة، و عدم الرادعیة یتوقّف علی عدم مخصّص واصل،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إذ لا مخصّص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الآیات بعمومها تدلّ علی الزجر عن اتّباع کلّ ظنّ و ما لیس بعلم، و رادعیة هذه الآیات تتوقّف علی عدم مخصّص من الشارع، و المفروض أنّه لم یصل إلینا مخصّص</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السیرة بما هی هی فلا تصلح أن یکون مخصّصة؛ إذ لا حجّیة للسیرة بلا إمضاء من الشارع، فالرادع رادع فعلًا، و السیرة حجّة لو ثبت الإمضاء، و هو غیر ثابت؛ لا سیّما مع ورود تلک النواهی</w:t>
      </w:r>
      <w:r>
        <w:rPr>
          <w:rFonts w:eastAsia="IRNazanin" w:cs="IRNazanin"/>
          <w:color w:val="111111"/>
          <w:sz w:val="28"/>
          <w:szCs w:val="28"/>
          <w:rtl w:val="true"/>
          <w:lang w:bidi="fa-IR"/>
        </w:rPr>
        <w:t>.</w:t>
      </w:r>
      <w:bookmarkStart w:id="575" w:name="pg12907_206890"/>
    </w:p>
    <w:p>
      <w:pPr>
        <w:pStyle w:val="BookText"/>
        <w:rPr/>
      </w:pPr>
      <w:bookmarkEnd w:id="575"/>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بالخبر الواحد کان سیرة جاریة قبل نزول تلک الآیات، و سکوت الشارع عنه إمضاء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نزول الآیات فالمقام من صغریات الخاصّ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 المتأخّر، فیدور الأمر بین تخصیصها بالسیرة المتقدّمة أو ردعها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التخصیص و النسخ، و مع عدم الترجیح یستصحب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بالاستصحاب من الغرائب؛ إذ لم یثبت حجّیته إلّا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السکوت فی أوائل البعثة لا یکشف عن رضاه؛ فإنّ أوائل البعثة و الهجرة لم یکن المفزع و المرجع فی أخذ الأحکام إلّا نفس النبی صلی الله علیه و آله و سلم، فلم یکن أکثر الأحکام منقولة بآحاد الرواة حتّی تقع مورد الرضی و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بها فی الامور العادیة و العرفیة فلا یجب للشارع تحدید العمل و التصرّف فیها، بل من الممکن أنّ الآیات نزّلت فی أوائل الأمر للردع عن العمل بها فی العادیات؛ لئلّا یسری إلی الشرعیات</w:t>
      </w:r>
      <w:r>
        <w:rPr>
          <w:rFonts w:eastAsia="IRNazanin" w:cs="IRNazanin"/>
          <w:color w:val="111111"/>
          <w:sz w:val="28"/>
          <w:szCs w:val="28"/>
          <w:rtl w:val="true"/>
          <w:lang w:bidi="fa-IR"/>
        </w:rPr>
        <w:t>.</w:t>
      </w:r>
    </w:p>
    <w:p>
      <w:pPr>
        <w:pStyle w:val="Heading6"/>
        <w:numPr>
          <w:ilvl w:val="5"/>
          <w:numId w:val="1"/>
        </w:numPr>
        <w:rPr/>
      </w:pPr>
      <w:bookmarkStart w:id="576" w:name="__RefHeading___Toc3346650_3224264995"/>
      <w:bookmarkStart w:id="577" w:name="_Toc218"/>
      <w:bookmarkEnd w:id="576"/>
      <w:r>
        <w:rPr>
          <w:rtl w:val="true"/>
        </w:rPr>
        <w:t>استدلال النافین لحجّیة الخبر الواحد بالسنّة</w:t>
      </w:r>
      <w:bookmarkEnd w:id="577"/>
    </w:p>
    <w:p>
      <w:pPr>
        <w:pStyle w:val="BookText"/>
        <w:rPr/>
      </w:pPr>
      <w:r>
        <w:rPr>
          <w:rFonts w:ascii="IRNazanin" w:hAnsi="IRNazanin" w:eastAsia="IRNazanin"/>
          <w:color w:val="111111"/>
          <w:sz w:val="28"/>
          <w:sz w:val="28"/>
          <w:szCs w:val="28"/>
          <w:rtl w:val="true"/>
          <w:lang w:bidi="fa-IR"/>
        </w:rPr>
        <w:t>فهی مع کثرتها تنقسم إلی أقسام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جواز العمل بالخبر إلّا إذا وجد شاهد أو شاهدان من کتاب اللَّه أو من قول رسول اللَّه صلی الله علیه و آله و سلم یصدق مضمون الخبر</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مضمون ما دلّ علی عدم جواز الأخذ إلّا بما وافق کتاب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علی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وجد شاهد أو شاهدان من الکتاب و السنّة علی حکم مطابق لمضمون الخبر فلا حاجة عندئذٍ علی الخبر الوارد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حینئذٍ عن حملها علی مورد التعارض و الترجیح بموافقة الکتاب و السنّة، فتقع تلک الطائفة فی عداد الأخبار العلاجیة، و یکون من أدلّة حجّیة الخبر الواحد فی نفسه عند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طرح الخبر المخالف للکتاب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التدبّر فی هذه الطائفة یعطی کونها آبیة عن التخصیص، و علیه فلو قلنا بعمومها و شمولها لعامّة أقسام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الخصوص المطلق و من وجه و التباین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خلاف الضرورة؛ فإنّ الأخبار المقیّدة أو المخصّصة للکتاب قد صدرت من النبی و الخلفاء من بعده صلی الله علیه و آله و سلم بلا شکّ، فلا بدّ من حملها علی المخالف بالتباین الکلّی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علی رسول اللَّه و الخلفاء من بعده علی وجه التباین الکلّی لا یصدر من خصمائهم؛ لظهور بطلان مزعمته، مدفوع بأنّ الفریة إذا کان علی وجه الدسّ فی کتب أصحابنا یحصل لهم فی هذا الجعل و البهتان کلّ مقاصدهم؛ من تضعیف کتب أصحابنا بإدخال المخالف لقول اللَّه و رسوله فیها؛ حتّی یشوّهوا سمعة</w:t>
      </w:r>
    </w:p>
    <w:p>
      <w:pPr>
        <w:pStyle w:val="BookText"/>
        <w:rPr/>
      </w:pPr>
      <w:r>
        <w:rPr>
          <w:rFonts w:ascii="IRNazanin" w:hAnsi="IRNazanin" w:eastAsia="IRNazanin"/>
          <w:color w:val="111111"/>
          <w:sz w:val="28"/>
          <w:sz w:val="28"/>
          <w:szCs w:val="28"/>
          <w:rtl w:val="true"/>
          <w:lang w:bidi="fa-IR"/>
        </w:rPr>
        <w:t>أئمّة الدین بین المسلمین، و غیرهما من المقاصد الفاسدة التی لا تحصل إلّا بجعل أکاذیب واضحة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طرح غیر الموافق</w:t>
      </w:r>
      <w:r>
        <w:rPr>
          <w:rStyle w:val="FootnoteAnchor"/>
          <w:rtl w:val="true"/>
        </w:rPr>
        <w:footnoteReference w:id="536"/>
      </w:r>
      <w:r>
        <w:rPr>
          <w:rFonts w:ascii="IRNazanin" w:hAnsi="IRNazanin" w:eastAsia="IRNazanin"/>
          <w:color w:val="111111"/>
          <w:sz w:val="28"/>
          <w:sz w:val="28"/>
          <w:szCs w:val="28"/>
          <w:rtl w:val="true"/>
          <w:lang w:bidi="fa-IR"/>
        </w:rPr>
        <w:t>، و هو یرجع إلی المخالف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الاستدلال بهذه الروایات فرع کونها متواترة الوصول إلینا فی تمام الطبقات، فثبوت التواتر فی بعض الطبقات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التواتر علی هذا الوصف غیر ثابتة؛ فإنّ عامّة الروایات منقولة عن عدّة کتب لم نقطع بعدم وقوع النسیان و الاشتباه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کونها متواترة الوصول من قرون الصادقین إلی عصر أصحاب الکتب فلا محالة یصیر التواتر إجمالیاً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الأخذ بالقدر المتیقّن؛ و هو الأخصّ من الجمیع، و المتیقّن من المخالفة لیس إلّا التباین الکلّی أو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المخالفة علی النحو العموم المطلق فلیست مخالفة فی محیط التقنین، علی ما عرفت من صدور الأخبار المخصّصة و المقیّدة عنهم علیهم السلام بالضرورة، فکیف یحمل علیها هذه الروایات؟</w:t>
      </w:r>
      <w:bookmarkStart w:id="578" w:name="pg12907_206893"/>
    </w:p>
    <w:p>
      <w:pPr>
        <w:pStyle w:val="Heading6"/>
        <w:numPr>
          <w:ilvl w:val="5"/>
          <w:numId w:val="1"/>
        </w:numPr>
        <w:rPr/>
      </w:pPr>
      <w:bookmarkStart w:id="579" w:name="__RefHeading___Toc3346652_3224264995"/>
      <w:bookmarkStart w:id="580" w:name="_Toc219"/>
      <w:bookmarkEnd w:id="578"/>
      <w:bookmarkEnd w:id="579"/>
      <w:r>
        <w:rPr>
          <w:rtl w:val="true"/>
        </w:rPr>
        <w:t>حول استدلال القائلین بحجّیة الخبر الواحد</w:t>
      </w:r>
      <w:bookmarkEnd w:id="580"/>
    </w:p>
    <w:p>
      <w:pPr>
        <w:pStyle w:val="Heading6"/>
        <w:numPr>
          <w:ilvl w:val="5"/>
          <w:numId w:val="1"/>
        </w:numPr>
        <w:rPr/>
      </w:pPr>
      <w:bookmarkStart w:id="581" w:name="__RefHeading___Toc3346654_3224264995"/>
      <w:bookmarkStart w:id="582" w:name="_Toc220"/>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استدلّ المثبتون بوجوه من الآیات و الأخبار و الإجماع و غیرهما</w:t>
      </w:r>
      <w:r>
        <w:rPr>
          <w:rFonts w:eastAsia="IRNazanin" w:cs="IRNazanin"/>
          <w:color w:val="111111"/>
          <w:sz w:val="28"/>
          <w:szCs w:val="28"/>
          <w:rtl w:val="true"/>
          <w:lang w:bidi="fa-IR"/>
        </w:rPr>
        <w:t>:</w:t>
      </w:r>
    </w:p>
    <w:p>
      <w:pPr>
        <w:pStyle w:val="Heading6"/>
        <w:numPr>
          <w:ilvl w:val="5"/>
          <w:numId w:val="1"/>
        </w:numPr>
        <w:rPr/>
      </w:pPr>
      <w:bookmarkStart w:id="583" w:name="__RefHeading___Toc3346656_3224264995"/>
      <w:bookmarkStart w:id="584" w:name="_Toc221"/>
      <w:bookmarkEnd w:id="583"/>
      <w:r>
        <w:rPr>
          <w:rtl w:val="true"/>
        </w:rPr>
        <w:t>الاستدلال بآیة النبأ</w:t>
      </w:r>
      <w:bookmarkEnd w:id="584"/>
    </w:p>
    <w:p>
      <w:pPr>
        <w:pStyle w:val="Heading6"/>
        <w:numPr>
          <w:ilvl w:val="5"/>
          <w:numId w:val="1"/>
        </w:numPr>
        <w:rPr/>
      </w:pPr>
      <w:bookmarkStart w:id="585" w:name="__RefHeading___Toc3346658_3224264995"/>
      <w:bookmarkStart w:id="586" w:name="_Toc222"/>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قوله تعالی فی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العمدة فی الاستدلال به هو مفهوم الشرط، و دفع کون الشرط محقّقاً للموضوع، و قد قیل فی تقریبه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أنّ تعلیق الحکم بإیجاب التبیّن عن النبأ الذی جی‌ء به علی کون الجائی به الفاسق یقتضی انتفائه عند انتفائه، و علی ذلک لا یکون الشرط مسوقاً لتحقّق الموضوع</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محقّقی العصر من أنّ الظاهر أنّ الشرط هو المجی‌ء مع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مجی‌ء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نفس النبأ و لمفهومه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الفاسق، و مجی‌ء العادل، فلا یکون الشرط محقّقاً للموضوع</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جعل الشرط نفس المجی‌ء یکون الموضوع نبأ الفاسق، فیصیر الشرط محقّقاً للموضوع</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بقاء الإشکال علی حاله؛ فإنّ مفهوم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الفاسق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یجئک الفاسق بنبإ، و أمّا مجی‌ء العادل مکانه فلیس مذکوراً فی المنطوق حتّی یعلم حکمه من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المصداق للمفهوم لا یتوقّف علی ما ذکره من کون الشرط هو مجی‌ء الفاسق، بل یتمّ لو کان الشرط هو المجی‌ء و الموضوع هو نبأ الفاسق، فلانتفائه فی الخارج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النبأ أصلًا و مجی‌ء العادل بالنبإ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العرف، و هو لا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المقام بوجه آخر؛ و هو أنّه لا فرق فی شمول العامّ لأفراده بین کونها الأفراد الذاتیة أو العرضیة إذا کانت القضیة شاملة لها علی وجه الحقیقیة، فکما أنّ الأبیض صادق علی نفس البیاض لو فرض قیامه بذاته، کذلک صادق علی الجسم المعروض له، مع أنّ صدقه علیه تبعی لدی العقل الدقیق، لکنّه حقیقیة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مجی‌ء الفاسق بالخبر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المجی‌ء بالنبإ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الفاسق و لا من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مجی‌ء العادل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فرد ذاتی له و الآخر عرضی، فیشمل العامّ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 الفاسق بالخبر لا یجب التبیّن؛ سواء جاء به العادل؛ و هو الفرد العرضی أو لم یجئ أصلًا؛ و هو الفرد الذاتی، و العامّ یشملهما معاً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السالبة ظاهرة فی سلب شی‌ء عن شی‌ء مع وجود الموضوع، لا فی السلب باعتبار عدم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 المفهوم علی المصداق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الإتیان بالخبر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السالبة صادقة باعتبار عدم</w:t>
      </w:r>
    </w:p>
    <w:p>
      <w:pPr>
        <w:pStyle w:val="BookText"/>
        <w:rPr/>
      </w:pPr>
      <w:r>
        <w:rPr>
          <w:rFonts w:ascii="IRNazanin" w:hAnsi="IRNazanin" w:eastAsia="IRNazanin"/>
          <w:color w:val="111111"/>
          <w:sz w:val="28"/>
          <w:sz w:val="28"/>
          <w:szCs w:val="28"/>
          <w:rtl w:val="true"/>
          <w:lang w:bidi="fa-IR"/>
        </w:rPr>
        <w:t>الموضوع، و لو حمل علی إتیان العادل بالخبر تصیر من السوالب المنتفی محمولها مع وجود الموضوع، 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المثال و الممثّل متعاکس؛ و هو أنّ البیاض مصداق للأبیض عند العقل دون العرف، و لکن عدم إتیان الفاسق بالنبإ مصداق ذاتی للمفهوم عند العقل و العرف، و أمّا مجی‌ء العادل بالخبر فلیس من مصادیق ذلک المفهوم عندهم؛ و إن فرض أنّ أحد الضدّین ینطبق علیه عدم الضدّ الآخر، و یکون مصدوقاً علیه لا مصداقاً حسب ما اصطلحه بعض الأکابر</w:t>
      </w:r>
      <w:r>
        <w:rPr>
          <w:rStyle w:val="FootnoteAnchor"/>
          <w:rtl w:val="true"/>
        </w:rPr>
        <w:footnoteReference w:id="540"/>
      </w:r>
      <w:r>
        <w:rPr>
          <w:rFonts w:ascii="IRNazanin" w:hAnsi="IRNazanin" w:eastAsia="IRNazanin"/>
          <w:color w:val="111111"/>
          <w:sz w:val="28"/>
          <w:sz w:val="28"/>
          <w:szCs w:val="28"/>
          <w:rtl w:val="true"/>
          <w:lang w:bidi="fa-IR"/>
        </w:rPr>
        <w:t>، لکنّه أمر خارج عن المتفاهم العرفی الذی هو المرجع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ظهور القضایا السالبة فی سلب المحمول فإنّه یصحّ لو کانت القضیة لفظیة، لا مفهوماً من قضیة منطوقة بالدلالة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فرض صبّ هذا المفهوم فی قالب اللفظ لما فهم منه أیضاً إلّا کون الشرط محقّقاً للموضوع، و انتفاء التبیّن باعتبار 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المفهوم للآیة فلا دلالة فیه علی حجّیة قول العادل و کونه تمام الموضوع للحجّیة؛ لأنّ جزاء الشرط لیس هو التبیّن؛ فإنّ التبیّن إنّما هو بمعنی طلب بیان الحال، و هو غیر مترتّب علی مجی‌ء الفاسق بنبإ؛ لا عقلًا و لا عرفاً، و الجزاء لا بدّ أن یکون مترتّباً علی الشرط؛ ترتّب المعلول علی العلّة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تقدیر الجزاء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فأعرضوا عنه أو لا تقبلوه و أشباههما، و إنّما حذف لقیامه مقامه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المفهوم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عادل بنبإ فلا تعرضوا عنه</w:t>
      </w:r>
    </w:p>
    <w:p>
      <w:pPr>
        <w:pStyle w:val="BookText"/>
        <w:rPr/>
      </w:pPr>
      <w:r>
        <w:rPr>
          <w:rFonts w:ascii="IRNazanin" w:hAnsi="IRNazanin" w:eastAsia="IRNazanin"/>
          <w:color w:val="111111"/>
          <w:sz w:val="28"/>
          <w:sz w:val="28"/>
          <w:szCs w:val="28"/>
          <w:rtl w:val="true"/>
          <w:lang w:bidi="fa-IR"/>
        </w:rPr>
        <w:t>و اعتنوا به، و هو أعمّ من کونه تمام الموضوع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للعمل به شرائط اخر کضمّ آخر إلیه أو حصول الظنّ بالواقع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أعاظم العصر قدس سره قد أفاد فی تقریب الآیة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استظهار کون الموضوع فی الآیة مطلق النبأ و الشرط هو مجی‌ء الفاسق به من مورد النزول؛ فإنّ مورده إخبار الولید بارتداد بنی المصطلق، فقد اجتمع فی إخباره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خبراً واحداً، و کون المخبر فاسقاً، و الآیة وردت لإفادة کبری کلّیة لیتمیّز الإخبار التی یجب التبیّن عنها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وجوب التبیّن فیها علی کون المخبر فاسقاً، فیکون هو الشرط، لا کون الخبر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الشرط ذلک لعلّق علیه؛ لأنّه بإطلاقه شامل لخبر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التعرّض لخبر الواحد و جعل الشرط خبر الفاسق کاشف عن انتفاء التبیّن فی خبر غیر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یرجع إلی تنقیح المناط أو إلی دلالة الإیماء؛ فإنّ ما بیّناه من التقریب ینطبق علی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الآیة تکون بمنزلة الکبری الکلّیة، و لا بدّ أن یکون مورد النزول من صغریاتها، و إلّا یلزم خروج المورد عن العامّ،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أخذ المورد مفروض التحقّق فی موضوع القضیة، فیکون مفاد الآیة بعد ضمّ المورد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الواحد إن کان الجائی به فاسقاً فتبیّنوا، فتصیر ذات مفهوم</w:t>
      </w:r>
      <w:r>
        <w:rPr>
          <w:rStyle w:val="FootnoteAnchor"/>
          <w:rtl w:val="true"/>
        </w:rPr>
        <w:footnoteReference w:id="5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مواقع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مورد النزول هو إخبار ولید الفاسق لا یصحّح کون الموضوع هو النبأ، و أنّ الشرط هو مجی‌ء الفاسق، و أنّه غیر مسوق لتحقّق الموضوع؛ إذ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مسوق لإعطاء القاعدة الکلّیة فی مورد الفاسق، و أمّا بیان الضابطة لمطلق الخبر و ظهورها فی إفادة الکبری الکلّیة لیتمیّز الإخبار التی یجب التبیّن عنها عن غیرها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أنّه اجتمع فی إخباره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خبر الواحد، و کون المخبر فاسقاً بیان لمفهوم الوصف دون الشرط، الذی هو بصدد بیانه؛ ضرورة أنّه لم یعلّق وجوب التبیّن فی الآیة علی کون المخبر فاسقاً حتّی یصحّ ما ادّعاه من کون الموضوع هو النبأ و الشرط کون المخبر فاسقاً، بل علّق علی مجی‌ء الفاسق بالخبر، و من المعلوم أنّ الشرط حینئذٍ محقّق للموضوع، و 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خارج عن محلّ الکلام غیر صحیح؛ لبناء المفهوم علی استفادة الانحصار من القیود، و هی فی جانب الوصف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أن یکون ذکر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سیق لغرض آخر غیر المفهوم؛ و هو التنبیه علی فسق الولید، فکون مورد النزول إخبار الولید مانع عن دلالة الآیة علی المفهوم، لا موجبٌ له، کما أفاد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من تأیید کون الآیة بمنزلة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المورد من صغریاتها و إلّا یلزم إخراج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عن خلط؛ فإنّ کون المورد من صغریاتها لا یستلزم کونها بصدد إعطاء الضابطة فی مطلق الخبر، بل یصحّ لو کانت بصدد إعطاء القاعدة لخبر الفاسق، و یصیر المورد من مواردها، من غیر إخراج المورد، و لا ثبوت مفهوم</w:t>
      </w:r>
      <w:r>
        <w:rPr>
          <w:rFonts w:eastAsia="IRNazanin" w:cs="IRNazanin"/>
          <w:color w:val="111111"/>
          <w:sz w:val="28"/>
          <w:szCs w:val="28"/>
          <w:rtl w:val="true"/>
          <w:lang w:bidi="fa-IR"/>
        </w:rPr>
        <w:t>.</w:t>
      </w:r>
      <w:bookmarkStart w:id="587" w:name="pg12907_206898"/>
    </w:p>
    <w:p>
      <w:pPr>
        <w:pStyle w:val="Heading6"/>
        <w:numPr>
          <w:ilvl w:val="5"/>
          <w:numId w:val="1"/>
        </w:numPr>
        <w:rPr/>
      </w:pPr>
      <w:bookmarkStart w:id="588" w:name="__RefHeading___Toc3346660_3224264995"/>
      <w:bookmarkStart w:id="589" w:name="_Toc223"/>
      <w:bookmarkEnd w:id="587"/>
      <w:bookmarkEnd w:id="588"/>
      <w:r>
        <w:rPr>
          <w:rtl w:val="true"/>
        </w:rPr>
        <w:t>فی الإشکالات المختصّة بآیة النبأ و أجوبتها</w:t>
      </w:r>
      <w:bookmarkEnd w:id="58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علی تقدیر ثبوته معارض لعموم التعلیل فی ذیل الآیة؛ فإنّ الجهالة هی عدم العلم بالواقع، و هو مشترک بین إخبار الفاسق و العادل، فالتعلیل بظاهره یقتضی التبیّن عن کلا القسمین، فیقع التعارض بینهما، و التعلیل أقوی فی مفاده؛ خصوصاً فی مثل هذا التعلیل الآبی عن التخصیص، فعموم التعلیل لأقوائیته یمنع ظهور القضیة فی المفهوم، فلا یصل النوبة إلی ملاحظة النسبة؛ فإنّها فرع المفهوم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بعض أعاظم العصر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الإنصاف أنّه لا 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الجهالة بمعنی السفاهة و الرکون إلی ما لا ینبغی الرکون إلیه، و لا شبهة فی جواز الرکون إلی خبر العادل دون الفاسق، فخبر العادل خارج عن العلّة موضوعاً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کونها بمعنی عدم العلم بمطابقة الخبر للواقع یکون المفهوم حاکماً علی عموم التعلیل؛ لأنّ أقصی ما یدلّ علیه التعلیل هو عدم جواز العمل بما وراء العلم، و المفهوم یقتضی إلغاء احتمال الخلاف، و جعل خبر العادل محرزاً للواقع و علماً فی مقام التشریع، فلا یعقل أن یقع التعارض بینهما؛ لأنّ المحکوم لا یعارض الحاکم؛ و لو کان ظهوره أقوی؛ لأنّ الحاکم متعرّض لعقد وضع المحکوم إمّا بالتوسعة أو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فرع ثبوت المفهوم، 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التعلیل مانع عن ظهور القضیة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منه لیس إلّا توهّم المعارضة بینهما، و إلّا فظهورها الأوّلی فیه ممّا لا سبیل لإنکاره، و قد عرفت عدم المعارضة بینهما؛ لأنّ المفهوم لا یقتضی تخصیص العموم، بل هو علی حاله من العموم، بل إنّما یقتضی خروج خبر العادل عن موضوع القضیة، لا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معارضة بینهما أصلًا؛ لعدم تکفّل العامّ لبیان موضوعه وضعاً و رفعاً، بل هو متکفّل لحکم الموضوع علی فرض وجوده، و المفهوم یمنع عن وجوده</w:t>
      </w:r>
      <w:r>
        <w:rPr>
          <w:rStyle w:val="FootnoteAnchor"/>
          <w:rtl w:val="true"/>
        </w:rPr>
        <w:footnoteReference w:id="5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التعلیل مانع عن المفهوم فی المقام بلا إشکال، لا لما ذکره المستشکل من أقوائیة التعلیل، بل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وافاک</w:t>
      </w:r>
      <w:r>
        <w:rPr>
          <w:rStyle w:val="FootnoteAnchor"/>
          <w:rtl w:val="true"/>
        </w:rPr>
        <w:footnoteReference w:id="544"/>
      </w:r>
      <w:r>
        <w:rPr>
          <w:rFonts w:ascii="IRNazanin" w:hAnsi="IRNazanin" w:eastAsia="IRNazanin"/>
          <w:color w:val="111111"/>
          <w:sz w:val="28"/>
          <w:sz w:val="28"/>
          <w:szCs w:val="28"/>
          <w:rtl w:val="true"/>
          <w:lang w:bidi="fa-IR"/>
        </w:rPr>
        <w:t>من أنّ دلالة الشرطیة علی المفهوم و استفادة ذلک من تلک القضیة مبنیة علی ظهور الشرط فی القضیة فی کونه علّة منحصرة؛ بحیث ینتفی الحکم بانتفائه، و أمّا إذا صرّح المتکلّم بالعلّة الحقیقیة، و کان التعلیل أعمّ من الشرط أو کان غیر الشرط فلا معنی لاستفادة العلّیة؛ فضلًا عن انحصارها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صرّح أنّ العلّة إنّما هو علمه فنستکشف أنّ المجی‌ء لیس علّة و لا جزء منها، و هذا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من الإشکالات التی لا یمکن الذبّ عنه، و قد غفل عنه الأعلام، و علیه فلا وقع لما أفادوه فی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الجهالة بمعنی السفاهة أو ما لا ینبغی الرکون إلیه کما 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 الأعظم</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بل المراد منها عدم 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جعلها مقابلًا للتبیّن؛ بمعنی تحصیل العلم و إحراز الواقع، و معلوم أنّ الجهالة بهذا المعنی مشترک بین خبری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لیست بصدد بیان أنّ خبر الفاسق لا یعتنی به؛ لأنّ مناسبات صدرها و ذیلها و تعلیلها موجبة لظهورها فی أنّ النبأ الذی له خطر عظیم و ترتیب الأثر علیه موجب لمفاسد عظیمة و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کإصابة قوم و مقاتلتهم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تبیّنه و العلم بمفاده، و لا یجوز الإقدام علی طبقه بلا تحصیل العلم؛ لا سیّما إذا جاء به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إبقاء ظاهر الآیة علی حاله؛ فإنّ الظاهر من التبیین طلب الوضوح و تحقیق صدق الخبر و کذبه، کما أنّ المراد من الجهالة ضدّ التبیین؛ أعنی عدم العلم بالواقع لا السفاهة؛ و لو فرض أنّها إحدی معانیها، مع إمکان منعه؛ لعدم ذکرها فی جملة معانیها فی المعاجم و مصادر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کتب اللغة</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نحو جهالة؛ فإنّ السفیه جاهل بعواقب الامور، لا أنّها بعنوانها معناها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 ما ذکرناه فی معنی الآیة لا تلزم فیها التخصیصات الکثیرة، علی فرض حملها علی 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بلزومها</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المفهوم حاکماً علی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خلوّه من شبهة الدور؛ فإنّ انعقاد ظهور القضیة فی المفهوم فرع کونه حاکماً علی عموم التعلیل، و کون المفهوم حاکماً یتوقّف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أمر قائم بلسان الدلیل، و معلوم أنّ غایة ما یستفاد من المفهوم هو جواز العمل بخبر العادل أو وجوبه، و أمّا کونه بمنزلة العلم و أنّه محرز الواقع و أنّه علم فی عالم التشریع فلا یدلّ علیه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ادّعی أنّ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جاءَکُمْ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هو عدم وجوب التبیّن فی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متبیّناً فی عالم التشریع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للحکومة وجه، لکنّه غیر متفاهم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الإشکالات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خروج المورد عن المفهوم؛ فإنّه من الموضوعات الخارجیة، و هی لا تثبت إلّا بالبیّنة، فلا بدّ من رفع الید عن المفهوم لئلّا یلزم التخصیص البشیع</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بعض أعاظم العصر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المورد داخل فی عموم المنطوق، و هو غیر مخصّص؛ فإنّ خبر الفاسق لا اعتبار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الموضوعات و لا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المفهوم فلم یرد کبری لصغری مفروضة الوجود؛ لأنّه لم یرد فی مورد إخبار العادل بالارتداد، بل یکون حکم المفهوم من هذه الجهة حکم سائر العمومات الابتدائیة، فلا مانع من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المفهوم و العام الابتدائی؛ سوی أنّ المفهوم کان ممّا تقتضیه خصوصیة فی المنطوق، و لا ملازمة بین المفهوم و المنطوق من حیث المورد، بل القدر اللازم هو أن یکون</w:t>
      </w:r>
      <w:bookmarkStart w:id="590" w:name="pg12907_206902"/>
    </w:p>
    <w:p>
      <w:pPr>
        <w:pStyle w:val="BookText"/>
        <w:rPr/>
      </w:pPr>
      <w:bookmarkEnd w:id="590"/>
      <w:r>
        <w:rPr>
          <w:rFonts w:ascii="IRNazanin" w:hAnsi="IRNazanin" w:eastAsia="IRNazanin"/>
          <w:color w:val="111111"/>
          <w:sz w:val="28"/>
          <w:sz w:val="28"/>
          <w:szCs w:val="28"/>
          <w:rtl w:val="true"/>
          <w:lang w:bidi="fa-IR"/>
        </w:rPr>
        <w:t>الموضوع فی المنطوق و المفهوم واحداً</w:t>
      </w:r>
      <w:r>
        <w:rPr>
          <w:rStyle w:val="FootnoteAnchor"/>
          <w:rtl w:val="true"/>
        </w:rPr>
        <w:footnoteReference w:id="5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مبنی استفادة المفهوم من الآیة هو القول بأنّ علّة التشنیع و الاعتراض فی العمل بقول الفاسق إنّما هو کون المخبر فاسقاً؛ بحیث لو لا فسقه أو کون المخبر غیره من العدول لما توجّه لوم و لا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الأمر علی خلافه فی المورد؛ إذ لو کان الولید غیر فاسق أو کان المخبر غیره من العدول لتوجّه اللوم أیضاً علی العاملین؛ حیث اعتمدوا علی قول العادل الواحد فی الموضوعات، مع عدم کفایته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فی المفهوم بشیع، فلا بدّ من رفع الید عن المفهوم و الالتزام بأنّ الآیة سیقت لبیان المنطوق دون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فیما أفاده الشیخ الأعظم قدس سره، فراجعه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3346662_3224264995"/>
      <w:bookmarkStart w:id="592" w:name="_Toc224"/>
      <w:bookmarkEnd w:id="591"/>
      <w:r>
        <w:rPr>
          <w:rtl w:val="true"/>
        </w:rPr>
        <w:t>حول إشکالات لا یختصّ بآیة النبأ و أجوبتها</w:t>
      </w:r>
      <w:bookmarkEnd w:id="59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الأدلّة الدالّة علی حجّیة قول العادل و بین عموم الآیات الناهیة عن العمل بالظنّ و ما وراء العلم عموم من وجه، و المرجع بعد التعارض إلی أصالة عدم الحجّیة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الآیات ما یختصّ بالأُصول الاعتقادیة، و لسانها آبٍ 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النسبة عموماً و خصوصاً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هو قابل للتخصیص؛ لعمومیتها للُاصول و الفروع،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w:t>
      </w:r>
    </w:p>
    <w:p>
      <w:pPr>
        <w:pStyle w:val="BookText"/>
        <w:rPr/>
      </w:pPr>
      <w:r>
        <w:rPr>
          <w:rFonts w:ascii="Amiri" w:hAnsi="Amiri" w:eastAsia="Amiri" w:cs="Amiri"/>
          <w:color w:val="111111"/>
          <w:sz w:val="28"/>
          <w:sz w:val="28"/>
          <w:szCs w:val="28"/>
          <w:rtl w:val="true"/>
          <w:lang w:bidi="ar-SA"/>
        </w:rPr>
        <w:t>بِهِ عِلْمٌ</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و النسبة بینه و بین أدلّة الباب هو العموم و الخصوص المطلق، فیخصّص عمومها أو یقیّد إطلاقها، کما مرّ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بعض أعاظم العصر قدس سره بأنّ أدلّة الحجّیة حاکمة علی الآیات الناهیة؛ لأنّ أدلّة الحجّیة تقتضی خروج العمل بخبر العادل عن کونه عملًا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نسلّم الحکومة فالنسبة بین أدلّة الباب مع الآیات الناهیة هو العموم و الخصوص المطلق، و الصناعة یقتضی تخصیص عمومها بما عدا خبر العادل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الإشکال فی حکومة أدلّة الحجّیة؛ لأنّ الحکومة قائمة باللسان، و لیس هنا ما یتکفّل تنزیل الخبر الواحد منزلة العلم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من التخصیص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لسان العامّ آبیاً عن التخصیص یقع المعارضة بینه و بین الخاصّ، و لا یجری صناعة التخصیص فی هذا المقام أصلًا، و الجواب ما عرفت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الواحد تستلزم عدم حجّیته؛ إذ لو کان حجّة لکان یعمّ قول السیّد و إخباره عن تحقّق الإجماع علی عدم حجّیته</w:t>
      </w:r>
      <w:r>
        <w:rPr>
          <w:rStyle w:val="FootnoteAnchor"/>
          <w:rtl w:val="true"/>
        </w:rPr>
        <w:footnoteReference w:id="555"/>
      </w:r>
      <w:r>
        <w:rPr>
          <w:rFonts w:ascii="IRNazanin" w:hAnsi="IRNazanin" w:eastAsia="IRNazanin"/>
          <w:color w:val="111111"/>
          <w:sz w:val="28"/>
          <w:sz w:val="28"/>
          <w:szCs w:val="28"/>
          <w:rtl w:val="true"/>
          <w:lang w:bidi="fa-IR"/>
        </w:rPr>
        <w:t>، فیلزم من حجّیة الخبر عدم حجّیته، و هو باطل بالضرورة</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أنّه إجماع منقول و أدلّة حجّیته لا تشمله، و عن أنّ الاستحالة إنّما هو ناشٍ من إطلاق دلیل الحجّیة و شموله لخبر السیّد لا عن أصل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بین إبقاء عامّة الأفراد و إخراج قوله بالتخصیص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الأوّل متعیّن؛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بشاعة التخصیص الکثیر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عن عدم حجّیة الخبر الواحد بلفظٍ یدلّ علی حجّیة عامّة أفراده، ثمّ إخراج ما عدا الفرد الواحد الذی یؤول إلی القول بعدم الحجّیة قبیح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الجائز أن یکون خبر العادل حجّة فی زمن صدور الآیة إلی زمن صدور هذا الخبر من السیّد، و بعده یکون هذا الخبر حجّة فقط، فیکون شمول العامّ لخبر السیّد مفیداً لانتهاء الحکم فی هذا الزمان، و لیس هذا بمستهجن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المحکی بقول السیّد یدلّ علی عدم حجّیة قول العادل من أوّل البعثة؛ إذ هو یحکی عن حکم إلهی عامّ لکلّ الأفراد فی عامّة الأعصار و الأدوار، فلو کان قوله داخلًا تحت العموم لکشف عن عدم حجّیة الخبر الواحد من زمن النبی صلی الله علیه و آله و سلم، و أنّ عمل الناس علیه و استفادتهم حجّیتها بظاهر الآیة إنّما هو لأجل جهلهم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فلا معنی لما أفاده من انتهاء زمن الحجّیة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شیخنا العلّامة قدس سره من أنّ بشاعة الکلام علی تقدیر شموله لخبر السیّد لیست من جهة خروج تمام الأفراد سوی فرد واحد حتّی</w:t>
      </w:r>
    </w:p>
    <w:p>
      <w:pPr>
        <w:pStyle w:val="BookText"/>
        <w:rPr/>
      </w:pPr>
      <w:r>
        <w:rPr>
          <w:rFonts w:ascii="IRNazanin" w:hAnsi="IRNazanin" w:eastAsia="IRNazanin"/>
          <w:color w:val="111111"/>
          <w:sz w:val="28"/>
          <w:sz w:val="28"/>
          <w:szCs w:val="28"/>
          <w:rtl w:val="true"/>
          <w:lang w:bidi="fa-IR"/>
        </w:rPr>
        <w:t>یدفع بما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التعبیر بالحجّیة فی مقام إرادة عدمها، و هذا لا یدفع بما أفاده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نظر؛ لما عرفت من أنّ البشاعة الاولی لا تندفع بما أفاده أیضاً؛ لما عرفت أنّ مفاد الإجماع حکم إلهی کاشف عن عدم الحجّیة من زمن النبی صلی الله علیه و آله و سلم، فیکون تمام الأفراد خارجاً سوی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عمّا ذکرناه، و سلّمنا أنّ شمول الأدلّة لخبر السیّد یدلّ علی انتهاء أمد الحکم بعد شموله لهذه الأفراد طول مدّة قرون، فالبشاعة الثانیة مندفعة بما فی کلام المحقّق الخراسانی؛ إذ لا مانع من شمول الإطلاق لفرد من الأفراد یفید انتهاء أمد الحکم، و یعلن بعدم حجّیة قول العادل الواحد بعد هذا الإعلان و الإخبار، 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محقّقی العصر قدس سره عن الإشکال 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إطلاق أدلّة الباب لمثل خبر السیّد الحاکی عن عدم الحجّیة ممتنع؛ لاستلزامه شمول الإطلاق لمرتبة الشکّ بمضمون نفسه؛ لأنّ التعبّد بإخبار السیّد بعدم الحجّیة إنّما کان فی ظرف الشکّ فی الحجّیة و اللاحجّیة، و هو عین الشکّ فی مضمون أدلّة الحجّیة التی منها المفهوم، و إطلاقه لمثل هذه المراتب المتأخّرة غیر ممکن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امتناع شمول إطلاق الجعل للحالات المتأخّرة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بطلانه و أنّ إطلاق الحکم یشمل لبعض الحالات المتأخّرة من الشکّ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و سائر الأدلّة وردت رافعة لعامّة الشکوک، و الشکّ فی حجّیة قول العادل و عدمها أمر ینقدح فی ذهن الإنسان؛ سواء جعل الحجّیة له أو لا، و سواء وقف علیها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غضّ عن سائر الإشکالات فلا مانع لو قلنا بأنّ إطلاق الأدلّة شامل لقول السیّد؛ حتّی یکون قول السیّد رافعة للشکّ؛ إذ هو نبأ و الحکم معلّق علی مطلق النبأ؛ و لکن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الإجماع علی الفرق بین النبأین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 السیّد و سائر الأنباء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إجماع السیّد ناظراً إلی عدم الحجّیة من أوّل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جاز الأخذ بالمفهوم و إدخال قول السیّد تحته، فتکون النتیجة حجّیة أخبار الآحاد من عصر الرسول إلی زمن السیّد، و انتهاء أمد الحجّیة فی زمانه، کما أفاده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دائر بین التخصیص و التخصّص؛ لأنّ شمول الآیة لسائر الأخبار یجعلها مقطوع الحجّیة، فیعلم بکذب 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شمولها لخبر السیّد و إخراج غیره یکون من قبیل التخصیص؛ لعدم العلم بکذب مؤدّیاتها؛ و لو مع العلم بحجّیة خبر السیّد؛ لأنّ مؤدّیاتها غیر الحجّیة و اللاحجّیة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أدلّة الباب لیس هو الحجّیة، و إنّما لسانها و مفادها وجوب العمل، و ینتزع الحجّیة من الوجوب الطریقی، کما أنّ إجماع السیّد لیس مضمونه عدم الحجّیة، بل مفاده حرمة العمل بالأخبار، و ینتزع من الحرمة عدم الحجّیة؛ و ذلک لأنّ الحجّیة و اللاحجّیة لیستا من الامور القابلة للجعل</w:t>
      </w:r>
      <w:r>
        <w:rPr>
          <w:rFonts w:eastAsia="IRNazanin" w:cs="IRNazanin"/>
          <w:color w:val="111111"/>
          <w:sz w:val="28"/>
          <w:szCs w:val="28"/>
          <w:rtl w:val="true"/>
          <w:lang w:bidi="fa-IR"/>
        </w:rPr>
        <w:t>.</w:t>
      </w:r>
      <w:bookmarkStart w:id="593" w:name="pg12907_206907"/>
    </w:p>
    <w:p>
      <w:pPr>
        <w:pStyle w:val="BookText"/>
        <w:rPr/>
      </w:pPr>
      <w:bookmarkEnd w:id="593"/>
      <w:r>
        <w:rPr>
          <w:rFonts w:ascii="IRNazanin" w:hAnsi="IRNazanin" w:eastAsia="IRNazanin"/>
          <w:color w:val="111111"/>
          <w:sz w:val="28"/>
          <w:sz w:val="28"/>
          <w:szCs w:val="28"/>
          <w:rtl w:val="true"/>
          <w:lang w:bidi="fa-IR"/>
        </w:rPr>
        <w:t>فإجماع السیّد أیضاً یرجع إلی الإجماع علی حرمة العمل المنتزع منها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یدور الأمر بین التخصیصین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مضمون الآیة لو کان جعل الحجّیة للأخبار فلا إشکال فی عدم شموله لما قطع بعدم حجّیته أو قطعت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لو شملت الآیة لخبر السیّد یصیر خبره مقطوع الحجّیة و خبر غیره مقطوع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مقطوع المخالفة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حال غیره کحاله فی خروجه تخصّصاً، فتدبّر</w:t>
      </w:r>
      <w:r>
        <w:rPr>
          <w:rFonts w:eastAsia="IRNazanin" w:cs="IRNazanin"/>
          <w:color w:val="111111"/>
          <w:sz w:val="28"/>
          <w:szCs w:val="28"/>
          <w:rtl w:val="true"/>
          <w:lang w:bidi="fa-IR"/>
        </w:rPr>
        <w:t>.</w:t>
      </w:r>
    </w:p>
    <w:p>
      <w:pPr>
        <w:pStyle w:val="Heading6"/>
        <w:numPr>
          <w:ilvl w:val="5"/>
          <w:numId w:val="1"/>
        </w:numPr>
        <w:rPr/>
      </w:pPr>
      <w:bookmarkStart w:id="594" w:name="__RefHeading___Toc3346664_3224264995"/>
      <w:bookmarkStart w:id="595" w:name="_Toc225"/>
      <w:bookmarkEnd w:id="594"/>
      <w:r>
        <w:rPr>
          <w:rtl w:val="true"/>
        </w:rPr>
        <w:t>إشکال شمول الأدلّة للأخبار مع الواسطة</w:t>
      </w:r>
      <w:bookmarkEnd w:id="595"/>
    </w:p>
    <w:p>
      <w:pPr>
        <w:pStyle w:val="BookText"/>
        <w:rPr/>
      </w:pPr>
      <w:r>
        <w:rPr>
          <w:rFonts w:ascii="IRNazanin" w:hAnsi="IRNazanin" w:eastAsia="IRNazanin"/>
          <w:color w:val="111111"/>
          <w:sz w:val="28"/>
          <w:sz w:val="28"/>
          <w:szCs w:val="28"/>
          <w:rtl w:val="true"/>
          <w:lang w:bidi="fa-IR"/>
        </w:rPr>
        <w:t>و المهمّ هنا إشکال شمول الأدلّة للأخبار مع الواسطة؛ و قد قرّره الشیخ الأعظم بوجوه</w:t>
      </w:r>
      <w:r>
        <w:rPr>
          <w:rStyle w:val="FootnoteAnchor"/>
          <w:rtl w:val="true"/>
        </w:rPr>
        <w:footnoteReference w:id="561"/>
      </w:r>
      <w:r>
        <w:rPr>
          <w:rFonts w:ascii="IRNazanin" w:hAnsi="IRNazanin" w:eastAsia="IRNazanin"/>
          <w:color w:val="111111"/>
          <w:sz w:val="28"/>
          <w:sz w:val="28"/>
          <w:szCs w:val="28"/>
          <w:rtl w:val="true"/>
          <w:lang w:bidi="fa-IR"/>
        </w:rPr>
        <w:t>، ضرب علی بعضها القلم فی بعض النسخ، و فصّلها و أوضحها بعض أعاظم العصر بوجوه خمسة</w:t>
      </w:r>
      <w:r>
        <w:rPr>
          <w:rStyle w:val="FootnoteAnchor"/>
          <w:rtl w:val="true"/>
        </w:rPr>
        <w:footnoteReference w:id="562"/>
      </w:r>
      <w:r>
        <w:rPr>
          <w:rFonts w:ascii="IRNazanin" w:hAnsi="IRNazanin" w:eastAsia="IRNazanin"/>
          <w:color w:val="111111"/>
          <w:sz w:val="28"/>
          <w:sz w:val="28"/>
          <w:szCs w:val="28"/>
          <w:rtl w:val="true"/>
          <w:lang w:bidi="fa-IR"/>
        </w:rPr>
        <w:t>، و نحن نذکر ما هو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بعض تلک الوجوه لیس تقریراً لإشکال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عامّة الوجوه راجعة إلی الإخبار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نفصّلها بما یلی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الأدلّة عن الإخبار بالواسطة إذا کانت الوسائط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الأخبار الواصلة إلینا من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الواسطة بیننا و بین المعصومین کثیرة جدّاً، و مثل هذه الأخبار بعید عن مصبّ الأدلّة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اللبّی منها، کبناء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الدلیل الوحید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یحرز بناء منهم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الإخبار بالوسائط الکثیرة بمرأی و مسمع من الشارع حتّی نکشف من سکوته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بمنع الانصراف بالنسبة إلی الأخبار الدارجة بیننا؛ فإنّه إنّما یصحّ لو کانت الوسائط کثیرة؛ بحیث أسقطه کثرة الوسائط عن الاعتبار، و أمّا الأخبار الدائرة بیننا فصدورها عن مؤلّفیها إمّا متواترة کالکتب الأربعة أو مستفیضة، و لا نحتاج فی إثبات صدورها عن هؤلاء الأعلام إلی 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الوسائط بینهم و بین أئمّة الدین فلیست علی حدّ یخرجه عن الاعتبار أو یوجب انصراف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اللبّی من الأدلّة فلا وجه للتردّد فی شموله لما نحن فیه؛ ضرورة أنّ العقلاء یحتجّون بما وصل إلیهم بوسائط کثیرة أکثر ممّا هو الموجود فی أخبارنا، فکیف بتلک الوسائط القلیلة؟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منصرفة عن المصداق التعبّدی للخبر الذی احرز بدلیل الحجّیة؛ فإنّ من نسمع کلامه و نشافهه فإخباره أمر وجدانی لنا، و أمّا من یحکی عنهم من الوسائط، إلی أن یصل إلی أئمّة الدین فکلّها أخبار تعبّدیة محرزة بدلیل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لا یفرّق بین فاقد الواسطة و واجدها؛ بحیث لو قلنا بقصور الإطلاق لحکم العرف بشمول مناط الحجّیة لعامّة الأقسام بإلغاء الخصوصیة أو بتنقیح المناط</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الخبر الواصل إلینا بالوسائط تستلزم إثبات الحکم لموضوعه؛ فإنّ الشیخ إذا أخبر عن المفید، و هو عن الصدوق فالمصداق الوجدانی</w:t>
      </w:r>
    </w:p>
    <w:p>
      <w:pPr>
        <w:pStyle w:val="BookText"/>
        <w:rPr/>
      </w:pPr>
      <w:r>
        <w:rPr>
          <w:rFonts w:ascii="IRNazanin" w:hAnsi="IRNazanin" w:eastAsia="IRNazanin"/>
          <w:color w:val="111111"/>
          <w:sz w:val="28"/>
          <w:sz w:val="28"/>
          <w:szCs w:val="28"/>
          <w:rtl w:val="true"/>
          <w:lang w:bidi="fa-IR"/>
        </w:rPr>
        <w:t>لنا هو قول الشیخ، فیجب تصدیقه، و أمّا قول المفید إلی أن ینتهی إلی الإمام فإنّما یصیر مصداقاً لموضوع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تصدیق الشیخ قدس سره، فیلزم إثبات الموضوع بالحکم،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أدلّة الحجّیة من قبیل القضایا الحقیقیة الشاملة للموضوعات المحقّقة و المقدّرة، فلا مانع من تحقّق الموضوع بها و شمولها لنفسها، فیشمل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للموضوع المنکشف لنا إثباتاً بنفس التصدیق، کشمول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بانحلال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قضایا کثیرة؛ فإنّ الذی لا یعقل إنّما هو إثبات الحکم موضوع شخصه، لا إثبات موضوع لحکم آخر؛ فإنّ خبر الشیخ المحرز بالوجدان یجب تصدیقه، و بتصدیقه یحصل لنا موضوع آخر؛ و هو خبر المفید، و له وجوب تصدیق آخر،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حکم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موضوعاً مستقلًّا لحکم آخر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الأثر الذی بلحاظه وجب تصدیق العادل نفس تصدیقه، من دون أن یکون فی البین أثر آخر کان وجوب التصدیق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الحکم ناظراً إلی نفسه؛ فإنّ وجوب التصدیق الذی یتعلّق بالخبر مع الواسطة إنّما یکون بلحاظ الأثر الذی هو وجوب التصدیق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التعبّد بالشی‌ء لا بدّ و أن یکون بلحاظ ما یترتّب علی الشی‌ء من الآثار الشرعیة؛ فلو فرضنا خلوّ الموضوع عن الأثر الشرعی لما صحّ إیجاب التعبّد الشرعی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فلزوم التعبّد بعدالة زید التی قامت البیّنة علی اتّصافه بها</w:t>
      </w:r>
    </w:p>
    <w:p>
      <w:pPr>
        <w:pStyle w:val="BookText"/>
        <w:rPr/>
      </w:pPr>
      <w:r>
        <w:rPr>
          <w:rFonts w:ascii="IRNazanin" w:hAnsi="IRNazanin" w:eastAsia="IRNazanin"/>
          <w:color w:val="111111"/>
          <w:sz w:val="28"/>
          <w:sz w:val="28"/>
          <w:szCs w:val="28"/>
          <w:rtl w:val="true"/>
          <w:lang w:bidi="fa-IR"/>
        </w:rPr>
        <w:t>لأجل کونها ذات آثار؛ من جواز الصلاة خلفه، و إیقاع الطلاق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الراوی حاکیاً قول الإمام فوجوب التصدیق بلحاظ ما یترتّب علی قول الإمام من الآثار، کحرمة الشی‌ء و وجوبه؛ و لو کان المحکی قول غیره، کحکایة الشیخ قول المفید فالأثر المترتّب علی قول المفید لیس إلّا وجوب تصدیقه، و حینئذٍ یجب تصدیق الشیخ فیما یحکیه لأجل کون 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أثر شرعی؛ و هو وجوب التصدیق، و لا یعقل أن یکون الحکم بوجوب التصدیق بلحاظ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بعض أعاظم العصر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عندنا فی باب الأمارات نفس الکاشفیة و الوسطیة فی الإثبات؛ لأنّ المجعول فی جمیع السلسلة هو الطریقیة إلی ما تؤدّی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الشیخ طریق إلی قول المفید، و هو إلی قول الصدوق، و هکذا إلی أن ینتهی إلی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نحتاج فی جعل الطریق إلی أن یکون فی نفس المؤدّی أثر شرعی، بل یکفی الانتهاء إلی الأثر، کما فی المقام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غیر مندفع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القول بجعل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محصّل الإشکال لزوم کون الدلیل ناظراً إلی نفسه، و کون دلیل الجعل باعتبار الأثر الذی هو نفسه، و هو وارد علی مبناه أیضاً؛ فإنّ خبر الشیخ المحرز بالوجدان طریق إلی خبر المفید و کاشف عنه بدلیل الاعتبار، و هو کاشف عن خبر الصدوق بدلیل الاعتبار أیضاً،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جعل الکاشفیة ناظر إلی جعل کاشفیة نفسه، و یکون جعل الکاشفیة بلحاظ جعل الکاشفیة،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لا بدّ له من لحاظ موضوع حکمه حین الحکم و الموضوع لمّا لم یثبت إلّا بهذا الحکم فلا بدّ أن یکون دلیل الجعل ناظراً إلی نفسه باعتبار ما عدا الخبر الذی فی آخر السلسلة، و لا بدّ فی الذبّ عنه ببعض الوجوه المتقدّمة أو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أعاظم العصر قرّر الإشکال المتقدّم بتقریر آخر، و جعله خامس الوجوه؛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تقریر الإشکال بوجه آخر، لعلّه یأتی حتّی بناءً علی المختار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عمّ دلیل الاعتبار للخبر مع الواسطة یلزم أن یکون الدلیل حاکماً علی نفسه و یتّحد الحاکم و المحکوم؛ لأنّ أدلّة الاصول و الأمارات حاکمة علی الأدلّة الأوّلیة الواردة للأحکام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حکومتها هو أنّها مثبتة لتلک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یکون الحکم الواقعی هو وجوب التصدیق، و ارید إثباته بدلیل وجوب التصدیق، فیکون دلیل وجوب التصدیق حاکماً علی نفسه؛ أی مثبتاً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الإشکال یأتی فی الأصل السببی و المسبّبی؛ فإنّ لازمه حکومة دلیل لا تنقض علی نفسه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الاعتبار قضیة حقیقیة ینحلّ إلی قضایا، فدلیل التعبّد ینحلّ إلی قضایا متعدّدة حسب تعدّد آحاد السلسلة، و یکون لکلّ منها أثر یخصّه غیر الأثر المترتّب علی الآخر، فلا یلزم اتّحاد الحاکم و المحکوم، بل یکون کلّ قضیة حاکمة علی غیرها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المخبر به بخبر الصفّار الحاکی لقول العسکری علیه السلام فی مبدأ السلسلة لمّا</w:t>
      </w:r>
    </w:p>
    <w:p>
      <w:pPr>
        <w:pStyle w:val="BookText"/>
        <w:rPr/>
      </w:pPr>
      <w:r>
        <w:rPr>
          <w:rFonts w:ascii="IRNazanin" w:hAnsi="IRNazanin" w:eastAsia="IRNazanin"/>
          <w:color w:val="111111"/>
          <w:sz w:val="28"/>
          <w:sz w:val="28"/>
          <w:szCs w:val="28"/>
          <w:rtl w:val="true"/>
          <w:lang w:bidi="fa-IR"/>
        </w:rPr>
        <w:t>کان حکماً شرعیاً من وجوب الشی‌ء أو حرمته وجب تصدیق الصفّار فی إخباره عن العسکری بمقتضی أدلّة خبر الواحد، و الصدوق الحاکی لقول الصفّار حکی موضوعاً ذا أثر شرعی، فیعمّه دلیل الاعتبار، و هکذا إلی أن ینتهی إلی قول الشیخ المحرز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الانحلال لا یلزم أن یکون الأثر المترتّب علی التعبّد بالخبر بلحاظ نفسه، و لا حکومة الدلیل علی نفسه، فیرتفع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دفع الإشکال فی حکومة الأصل السببی علی المسبّبی؛ فإنّ انحلال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یقتضی حکومة أحد المصداقین علی الآخر،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فی باب الأصل السببی و المسبّبی تقتضی إخراج الأصل المسبّبی عن تحت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حکومة دلیل الاعتبار فیما نحن فیه یقتضی إدخال فرد فی 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أوضحه مقرّر بحثه رحمه الله فی ذیل الصحیفة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حلّ الإشکال الثالث مع طریق حلّ الإشکال الرابع، الذی جعله خامس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انحلال القضیة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حلّ الإشکال الأوّل یکون بلحاظ آخر السلسلة؛ و هو خبر الشیخ المحرز بالوجدان، فإنّ وجوب تصدیقه یثبت موضوعاً آخر، و حلّ الإشکال الثانی بلحاظ مبدأ السلسلة؛ و هو الراوی عن الإمام علیه السلام، فإنّ وجوب تصدیقه بلحاظ</w:t>
      </w:r>
    </w:p>
    <w:p>
      <w:pPr>
        <w:pStyle w:val="BookText"/>
        <w:rPr/>
      </w:pPr>
      <w:r>
        <w:rPr>
          <w:rFonts w:ascii="IRNazanin" w:hAnsi="IRNazanin" w:eastAsia="IRNazanin"/>
          <w:color w:val="111111"/>
          <w:sz w:val="28"/>
          <w:sz w:val="28"/>
          <w:szCs w:val="28"/>
          <w:rtl w:val="true"/>
          <w:lang w:bidi="fa-IR"/>
        </w:rPr>
        <w:t>الأثر الذی هو غیر وجوب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وجوب تصدیقه أثراً للإخبار الآخر، و هکذا إلی آخر السلسلة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کلامه مواقع للنظر؛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الأمارات حاکمة علی الأحکام الواقعیة؛ بمعنی أنّها مثبتة لتلک الأحکام لا یخلو عن ضعف؛ فإنّ مجرّد إثبات الأمارات الأحکام الواقعیة لا یصحّح الحکومة؛ لعدم انطباق ضابطتها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الاصول لیست أیضاً حاکمة علی الأحکام الواقعیة، بل هی متکفّلة لبیان الوظائف العملیة فی ظرف الشکّ، من غیر فرق بین المحرز منها و غیر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عدم صحّة ما زعمه قدس سره من وجود الأصل المحرز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الطهارة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أدلّة الشرائط، کما مرّ تفصیله فی مبحث الإجزاء، و هو أمر آخر أجنبی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یقرّر کون الدلیل حاکماً علی نفسه علی وجه 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المتکفّل لبیان الموضوع حاکم علی الدلیل المتکفّل لبیان الحکم،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الحکومة قد یکون بإخراج فرد و اخری بإدخاله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الدلیل متکفّلًا لکلتا الحیثیتین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ما ذکرناه من المحذور؛ فإنّ أدلّة اعتبار الخبر کما هی متکفّلة لبیان الحکم من وجوب التصدیق فهکذا مثبتة لموضوعه علی ما عرفت فی الإشکال الثالث، و هذا ما یقال من کون الدلیل حاکماً لنفسه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التقریر إمّا إشکالًا مستقلًّا أو تقریراً آخر لثالث</w:t>
      </w:r>
    </w:p>
    <w:p>
      <w:pPr>
        <w:pStyle w:val="BookText"/>
        <w:rPr/>
      </w:pPr>
      <w:r>
        <w:rPr>
          <w:rFonts w:ascii="IRNazanin" w:hAnsi="IRNazanin" w:eastAsia="IRNazanin"/>
          <w:color w:val="111111"/>
          <w:sz w:val="28"/>
          <w:sz w:val="28"/>
          <w:szCs w:val="28"/>
          <w:rtl w:val="true"/>
          <w:lang w:bidi="fa-IR"/>
        </w:rPr>
        <w:t>الإشکالات، لا لرابعها کما ذکره مقرّر بحثه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المقرّر قد خلط الأمر، و الشاهد ما ذکره فی إبداء الفرق بین حکومة السببی علی المسبّبی و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فی باب الأصل السببی و المسبّبی تقتضی إخراج الأصل المسبّبی عن تحت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حکومة دلیل الاعتبار فیما نحن فیه تقتضی إدخال فرد فی دلیل الاعتبار؛ فإنّ وجوب تصدیق الشیخ فی إخباره عن المفید یقتضی وجوب تصدیق المفید فی إخباره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تصدیق الشیخ یدخل فرداً تحت عموم وجوب التصدیق؛ بحیث لولاه لما کان داخلًا</w:t>
      </w:r>
      <w:r>
        <w:rPr>
          <w:rStyle w:val="FootnoteAnchor"/>
          <w:rtl w:val="true"/>
        </w:rPr>
        <w:footnoteReference w:id="56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مقرّر بحثه من أنّ طریق حلّ الإشکالین و إن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انحلال القضیة إلی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حلّ الإشکال الثالث بلحاظ آخر السلسلة، و حلّ الرابع إنّما هو بلحاظ مبدأ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جدّاً؛ فإنّ الرابع لا ینحلّ بما ذکره؛ فإنّ محکی قول الصفّار و إن کان هو قول الإمام و له أثر شرعی غیر وجوب التصدیق، إلّا أنّ وجوب التصدیق یتوقّف علی ثبوت موضوع ذی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الصفّار المنقول لنا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یتوقّف علی وجوب تصدیقه؛ فإنّ قول الصفّار لم یصل إلینا من الطرق العلمیة حتّی یکون الموضوع محرزاً بالوجدان، و لا نحتاج فی تحصیل الموضوع إلی شی‌ء</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لا ینحلّ من طریق مبدأ السلسلة؛ لعدم الموضوع لوجوب التصدیق، فلا بدّ من حلّ الإشکال باعتبار آخر السلسلة؛ و هو خبر الشیخ المحرز بالوجدان، و لا یتوقّف الموضوع فیه علی الحکم</w:t>
      </w:r>
      <w:r>
        <w:rPr>
          <w:rFonts w:eastAsia="IRNazanin" w:cs="IRNazanin"/>
          <w:color w:val="111111"/>
          <w:sz w:val="28"/>
          <w:szCs w:val="28"/>
          <w:rtl w:val="true"/>
          <w:lang w:bidi="fa-IR"/>
        </w:rPr>
        <w:t>.</w:t>
      </w:r>
      <w:bookmarkStart w:id="596" w:name="pg12907_206915"/>
    </w:p>
    <w:p>
      <w:pPr>
        <w:pStyle w:val="Heading6"/>
        <w:numPr>
          <w:ilvl w:val="5"/>
          <w:numId w:val="1"/>
        </w:numPr>
        <w:rPr/>
      </w:pPr>
      <w:bookmarkStart w:id="597" w:name="__RefHeading___Toc3346666_3224264995"/>
      <w:bookmarkStart w:id="598" w:name="_Toc226"/>
      <w:bookmarkEnd w:id="596"/>
      <w:bookmarkEnd w:id="597"/>
      <w:r>
        <w:rPr>
          <w:rtl w:val="true"/>
        </w:rPr>
        <w:t>جولة حول الأجوبة الماضیة</w:t>
      </w:r>
      <w:bookmarkEnd w:id="598"/>
    </w:p>
    <w:p>
      <w:pPr>
        <w:pStyle w:val="BookText"/>
        <w:rPr/>
      </w:pPr>
      <w:r>
        <w:rPr>
          <w:rFonts w:ascii="IRNazanin" w:hAnsi="IRNazanin" w:eastAsia="IRNazanin"/>
          <w:color w:val="111111"/>
          <w:sz w:val="28"/>
          <w:sz w:val="28"/>
          <w:szCs w:val="28"/>
          <w:rtl w:val="true"/>
          <w:lang w:bidi="fa-IR"/>
        </w:rPr>
        <w:t>هذه جملة ما قیل أو یمکن أن یقال حول الإشکالات و الأجوبة، غیر أنّ کلّ ذلک یتوقّف علی أن یکون لسان الأدلّة لسان جعل الطریقیة و أمثالها أو لسان التنزیل و جعل المصداق؛ بأن یکون خبر الواحد من مصادیق العلم تشریعاً و تعبّداً، أو یکون لسان الأدلّة ناظراً إلی تحقّق المخبر به فی الخارج؛ سواء کان المخبر به قول الإمام أو إخبار المفید للشیخ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 واحد من هذه لصحّ ما تشبّثوا به؛ من إحراز الموضوع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العلم و ما هو منزّل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کشفاً تامّاً تعبّدیاً عن وجود موضوع کان مستوراً عنّا، فیشمله وجوب التصدیق؛ لانحلاله إلی وجوبات حسب تعدّد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لسانها علی فرض دلالتها هو إیجاب العمل و لزوم التمسّک به فلا وجه لهذه الأجوبة؛ لأنّ المحرز بالوجدان هو خبر الشیخ، و ما قبله لیس محرزاً؛ لا بالوجدان و لا بالتعبّد؛ لأنّ المفروض أنّ لسان الأدلّة وجوب العمل بها حسب الوظیفة، لا کون قول العادل نازلًا منزلة العلم، أو دالًّا علی وقوع المخبر به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وجوب التصدیق لغیر المحرز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أدلّة حجّیة الخبر کذلک فیظهر بالمراجعة إلیها و التأمّل فیها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قلنا بأنّ أدلّة الحجّیة تأسیسیة، و إلّا فلا بدّ من ملاحظة بناء العقلاء، و یأتی الکلام فیه</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أمّا حصول الظنّ النوعی منه أو الکشف الظنّی عن الواقع فکلّ ذلک یمکن أن یکون نکتة التشریع لیس مصبّاً للجعل، کالقول بأنّ علّة التشریع عدم وقوع الناس فی الکلفة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التصدیق شرعاً یتوقّف علی أثر عملی للمنکشف، و لیس لمحکی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المفید له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شرعی؛ فإنّه لا یخبر عن وجوب صلاة الجمعة، بل عن إخبار استاذه له،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أثر لقوله بما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أخبر العادل بشی‌ء یکون ملازماً لشی‌ء له أثر شرعاً؛ إمّا عادة أو عقلًا أو بحسب العلم نأخذ به، و یکفی فی حجّیة خبر العادل انتهاؤه إلی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یصحّ إذا کانت الملازمة عادیة أو عقلیة، و لیس هنا بین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ملازمة؛ لا عادیة و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و إن لم تکن عقلیة و لا عادیة و لکن یکفی ثبوت الملازمة الجعلیة؛ بمعنی أنّ الشارع جعل الملازمة النوعیة الواقعیة بین إخبار العادل و تحقّق المخبر به بمنزلة الملازمة القطعیة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یخلو عن إشکال؛ فإنّ الملازمة لیست عقلیة و لا عادیة کما اعترف به، و الملازمة الشرعیة تحتاج إلی الجعل، و لیس بین الأدلّة ما یتکفّل بذلک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دخالة کلّ واحد من السلسلة فی موضوع الحکم غریبة؛ فإنّ ما هو الموضوع للوجوب لیس إلّا نفس الصلاة، لا الصلاة المحکی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p>
    <w:p>
      <w:pPr>
        <w:pStyle w:val="BookText"/>
        <w:rPr/>
      </w:pPr>
      <w:r>
        <w:rPr>
          <w:rFonts w:ascii="IRNazanin" w:hAnsi="IRNazanin" w:eastAsia="IRNazanin"/>
          <w:color w:val="111111"/>
          <w:sz w:val="28"/>
          <w:sz w:val="28"/>
          <w:szCs w:val="28"/>
          <w:rtl w:val="true"/>
          <w:lang w:bidi="fa-IR"/>
        </w:rPr>
        <w:t>الانتهاء إلی الأثر إنّما هو بالتعبّد، و التعبّد بالشی‌ء فرع تحقّق الأثر الشرعی حتّی یکون التعبّد بلحاظ 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الشیخ لا عمل له و لا أثر عملی له، و لیس جزء موضوع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أثر عملی بما هو موضوع من الموضوعات، و هو جواز انتساب الخبر إلی المفید، و هو یتوقّف علی تعدّد المخبر کسائر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صلاة الجمعة فلیس مفاد خبر الشیخ حتّی یکون إقامة الصلاة ترتیباً عملیاً له؛ فإنّ الشیخ لم یخبر عن وجوبها، و إنّما أخبر عن إخبار المفید، و لأجل ذلک یدور صدق قوله أو کذبه مدار إخبار المفید له و عدم إخباره؛ سواء کانت الصلاة واجبة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الأساتذة أعرضوا عن مصبّ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آخر السلسلة؛ و هو 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تشبّثوا بأوّل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خبر الصفّار عن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الصفّار له أثر غیر وجوب التصدیق، فیجب تصدیقه لأجل ذاک الأثر المغایر لوجوب تصدیقه، فیصیر قوله ذا أثر، فإذا أخبر الکلینی یکون إخباره موضوعاً ذا أثر؛ حتّی ینتهی إلی آخر السلسلة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المهمّ تصحیح الحجّیة من جانب الشیخ؛ حیث لیس لقوله و إخباره أثر عملی حتّی یجب التصدیق بلحاظه، و أمّا إخبار الصفّار فإنّ قوله و إن کان ذا أثر شرعی غیر أنّ إخبار الصفّار للکلینی لیس لنا وجدانیاً، بل لم یثبت لنا إلّا بدلیل التعبّد، فلا یثبت إخباره له إلّا أن یثبت قبله إخبار المفید للشیخ، و ما بین المفید و الصفّار من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إلّا التشبّث بآخر السلسلة و إصلاح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إشکاله</w:t>
      </w:r>
      <w:r>
        <w:rPr>
          <w:rFonts w:eastAsia="IRNazanin" w:cs="IRNazanin"/>
          <w:color w:val="111111"/>
          <w:sz w:val="28"/>
          <w:szCs w:val="28"/>
          <w:rtl w:val="true"/>
          <w:lang w:bidi="fa-IR"/>
        </w:rPr>
        <w:t>.</w:t>
      </w:r>
      <w:bookmarkStart w:id="599" w:name="pg12907_206918"/>
    </w:p>
    <w:p>
      <w:pPr>
        <w:pStyle w:val="Heading6"/>
        <w:numPr>
          <w:ilvl w:val="5"/>
          <w:numId w:val="1"/>
        </w:numPr>
        <w:rPr/>
      </w:pPr>
      <w:bookmarkStart w:id="600" w:name="__RefHeading___Toc3346668_3224264995"/>
      <w:bookmarkStart w:id="601" w:name="_Toc227"/>
      <w:bookmarkEnd w:id="599"/>
      <w:bookmarkEnd w:id="600"/>
      <w:r>
        <w:rPr>
          <w:rtl w:val="true"/>
        </w:rPr>
        <w:t>التحقیق فی دفع الإشکالات</w:t>
      </w:r>
      <w:bookmarkEnd w:id="601"/>
    </w:p>
    <w:p>
      <w:pPr>
        <w:pStyle w:val="BookText"/>
        <w:rPr/>
      </w:pPr>
      <w:r>
        <w:rPr>
          <w:rFonts w:ascii="IRNazanin" w:hAnsi="IRNazanin" w:eastAsia="IRNazanin"/>
          <w:color w:val="111111"/>
          <w:sz w:val="28"/>
          <w:sz w:val="28"/>
          <w:szCs w:val="28"/>
          <w:rtl w:val="true"/>
          <w:lang w:bidi="fa-IR"/>
        </w:rPr>
        <w:t>و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الإشکالات تندفع بحذافیرها بمراجعة بناء العرف و العقلاء؛ فإنّهم لا یفرّقون فی الأخبار بین ذی الواسطة و عدمه، و سیمرّ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الوحید هو البناء القطعی من العقلاء علی العمل بخبر الثقة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 عدم کون محکی قول الشیخ ذا أثر فمدفوع بأنّه لا یلزم فی صحّة التعبّد أن یکون له أثر عملی، بل الملاک فی صحّته عدم لزوم اللغویة فی إعمال التعبّد أو إمضاء بناء العقلاء، کما فی المقام؛ فإنّ جعل الحجّیة لکلّ واحد من الوسائط أو إمضاء بناء العقلاء لیس أمراً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عدم تفریقهم بین ذی الواسطة و عدمه، و عدّهم الخبر المعنعن المسلسل خبراً واحداً لا أخباراً لأنّ نظرهم إلی الوسائط طریقی لا موضوعی، و لیس هاهنا إخبارات عدیدة، و لکن لا یترتّب الأثر العملی إلّا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خبر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إخبار واحد و عمل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ما یدلّ علی احتیاج الموضوعات إلی البیّنة عن المقام؛ أعنی أقوال الوسائط مع کونها موضوعات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لبعض الوسائط أثر خاصّ لا یمکن إثباته إلّا بالبیّنة، کما لا یخفی</w:t>
      </w:r>
      <w:r>
        <w:rPr>
          <w:rFonts w:eastAsia="IRNazanin" w:cs="IRNazanin"/>
          <w:color w:val="111111"/>
          <w:sz w:val="28"/>
          <w:szCs w:val="28"/>
          <w:rtl w:val="true"/>
          <w:lang w:bidi="fa-IR"/>
        </w:rPr>
        <w:t>.</w:t>
      </w:r>
      <w:bookmarkStart w:id="602" w:name="pg12907_206919"/>
    </w:p>
    <w:p>
      <w:pPr>
        <w:pStyle w:val="Heading6"/>
        <w:numPr>
          <w:ilvl w:val="5"/>
          <w:numId w:val="1"/>
        </w:numPr>
        <w:rPr/>
      </w:pPr>
      <w:bookmarkStart w:id="603" w:name="__RefHeading___Toc3346670_3224264995"/>
      <w:bookmarkStart w:id="604" w:name="_Toc228"/>
      <w:bookmarkEnd w:id="602"/>
      <w:bookmarkEnd w:id="603"/>
      <w:r>
        <w:rPr>
          <w:rtl w:val="true"/>
        </w:rPr>
        <w:t>الاستدلال بآیة النفر</w:t>
      </w:r>
      <w:bookmarkEnd w:id="604"/>
    </w:p>
    <w:p>
      <w:pPr>
        <w:pStyle w:val="BookText"/>
        <w:rPr/>
      </w:pPr>
      <w:r>
        <w:rPr>
          <w:rFonts w:ascii="Amiri" w:hAnsi="Amiri" w:eastAsia="Amiri" w:cs="Amiri"/>
          <w:color w:val="111111"/>
          <w:sz w:val="28"/>
          <w:sz w:val="28"/>
          <w:szCs w:val="28"/>
          <w:rtl w:val="true"/>
          <w:lang w:bidi="ar-SA"/>
        </w:rPr>
        <w:t>و ممّا استدلّ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بعض أعاظم العصر تقریباً، زعم أنّه یندفع به عامّة الإشکالات المتوهّمة فی دلالة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یترکّب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تستعمل تدلّ علی أنّ ما یتلوها یکون من العلل الغائیة لما قبلها؛ سواء فی ذلک التکوینیات و التشریعیات، و الأفعال الاختیاریة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ما یتلوها من الأفعال الاختیاریة التی تصلح لأن یتعلّق بها الإرادة الآمریة کان لا محالة بحکم ما قبلها فی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استفادة الملازمة بین وجوب الشی‌ء و وجوب علّته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جعل التحذّر علّة غائیة للإنذار، و لمّا کان الإنذار واجباً کان التحذّر واجباً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الجموع فی الآیة هی الجموع الاستغراقیة لا المجموعیة؛ لوضوح أنّ المکلّف بالتفقّه هو کلّ فردٍ فردٍ من النافرین أو المتخلّفین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یتفقّه کلّ فرد منهم، و ینذر کلّ واحد منهم، و یتحذّر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التحذّر هو التحذّر العملی، و هو یحصل بالعمل بقول المنذر، بل مقتضی الإطلاق و العموم الاستغراقی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الحذر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العلم من قول المنذر أو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تقیید إطلاقه بما إذا کان المنذر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العلم بهذه الامور لا أظنّ أن یشکّ أحد فی دلالتها علی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من التقریب یمکن دفع جمیع ما ذکر من الإشکالات علی التمسّک بها</w:t>
      </w:r>
      <w:r>
        <w:rPr>
          <w:rStyle w:val="FootnoteAnchor"/>
          <w:rtl w:val="true"/>
        </w:rPr>
        <w:footnoteReference w:id="5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تصدّی لبیان الإشکالات و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ادّعاه من أنّ ما یقع بعد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دائماً علّة غائیة لما قبلها منقوض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فإنّ الجملة الشرطیة و إن کانت متأخّرة ظاهراً لکنّها متقدّمة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باخِعٌ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حسب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غائیة لما قبلها؛ أعنی الجملة الشرطیة؛ فإنّ بخوع نفسه الشریفة صلی الله علیه و آله و سلم لیس علّة غائیة لعدم إیمانهم؛ و إن کان مترتّباً علیه، غیر أنّ الترتّب و الاستلزام غیر 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سهل بعد کون المقام من قبیل ما ذکره رحمه الله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وجوب التحذّر لکونه غایة للإنذار الواجب غیر صحیح، بل الظاهر کونه غایة للنفر المستفاد وجوبه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 الظاهرة فی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للآیة ظهور تامّ فی وجوب النفر حتّی یترتّب علیه وجوب التحذّر؛ فإنّ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المسوق له الکلام هو النهی عن النفر العمومی، و أنّه لا یسوغ للمؤمنین أن ینفروا کافّة، و إبقاء رسول اللَّه وحیداً فریداً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فیصیر المآل من الآیة هو النهی عن النفر العمومی، لا إیجاب النفر للبعض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فالحثّ إنّما هو علی لزوم التجزئة و عدم النفر العمومی، لا علی نفر طائفة من کلّ فرقة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خلاف ظاهر الآیة، بشهادة أنّه لو کان الغرض هو المنع عن النفر العمومی لکان الواجب الاکتفاء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أن یعقّبه بما ذکره بعده من التفقّه و الرجوع و الإنذار و التحذّر؛ فإنّ التعقیب بما ذکر شاهد علی أنّ الغرض هو الحثّ علی تحصیل هذه المطالب؛ من بدوها إلی ختامها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لیس نهیاً و لا منعاً، بل إخباراً عن أمر تکوینی خارجی؛ و هو امتناع النفر العمومی امتناعاً واضحاً یحکم به ضرورة العقول؛ لاستلزامه 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بنفر البعض؛ لعدم استلزامه هدم النظام و فساد المجتمع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الاکتفاء علی الجملة الاولی یمکن أن یکون لدفع ما ربّما ینقدح فی الأذهان من بقاء سائر الطوائف علی جهالتهم و عدم تفقّههم فی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لذلک تفقّه طائفة، فلیست الآیة فی مقام بیان وجوب النفر، بل فی مقام بیان لزوم التفرقة بین الطوائف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فی 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بقرینة شأن نزولها، کما قال المفسّرون</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بیان أمر واضح و هو امتناع نفر جمیع الناس فی جمیع الأدوار إلی طلب العلم و التفقّه حتّی لزم التنبّه به، إلّا أن یحمل ذکره لصرف المقدّمة لما بعده، و هو أیضاً بعید مخالف لشأن نزول الآیة و قول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أنّ المراد من الحذر هو الحذر العملی، و هو یحصل بالعمل بقول المنذر لا یخلو عن ضعف،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الحذر هو الحذر القلبی بعد إنذار المنذر و إیعاده و تلاوته ما ورد فی ذلک من الآیات و النصوص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أنذر المنذر بما عنده من الآیات و الروایات، و حصل الحذر و الخوف القلبیان یقوم المنذرون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 من الوظائف العملیة التی تعلّموها من قبل، أو یلزم تعلّمها من بعد، فلیست الآیة ظاهرة فی أخذ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الأحکام من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القائل سبحانه من الآیة لیس تعلّم المنذَر شیئاً من المنذِر و لا عمله بقوله، بل غرضه سبحانه أنّ المنذرین بعد ما أوعدوا قومهم بتذکار اللَّه و بیان عظمته، و ما اعدّ للمتّقین من الجنّة و للکافرین و الفاسقین من النار، و ذکروا ذلک کلّه علی سبیل الموعظة و الإنذار یحصل له حذر قلبی و خوف باطنی یجبر ذلک الخوف علی العمل بالوظائف الشرعیة العملیة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هو الوظائف و أنّها من أین یلزم تحصیلها و الوقوف علیها فلیس</w:t>
      </w:r>
    </w:p>
    <w:p>
      <w:pPr>
        <w:pStyle w:val="BookText"/>
        <w:rPr/>
      </w:pPr>
      <w:r>
        <w:rPr>
          <w:rFonts w:ascii="IRNazanin" w:hAnsi="IRNazanin" w:eastAsia="IRNazanin"/>
          <w:color w:val="111111"/>
          <w:sz w:val="28"/>
          <w:sz w:val="28"/>
          <w:szCs w:val="28"/>
          <w:rtl w:val="true"/>
          <w:lang w:bidi="fa-IR"/>
        </w:rPr>
        <w:t>مورداً لغرض الآیة، کما أنّ أوصاف المنذِر من عدالته و تعدّده لیس مصبّاً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فبین معنی الآیة و حجّیة الخبر الواحد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أهمّ ما فی الباب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إطلاق الآیة بالنسبة إلی حصول العلم من قول المنذر و عدمه؛ فإنّ الإطلاق فرع کون المتکلّم فی مقام البیان، و لیس فی الآیة ما یشعر بکونه سبحانه فی مقام بیان تلک الجهة بعامّة 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بعض تفاسیرها</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وجوب أصل النفر و قیام عدّة به، و رجوعهم و إنذارهم و تحذیرهم، و أمّا لزوم العمل بقول کلّ منذر؛ سواء کان عادلًا أم فاسقاً، واحداً أم متعدّداً، حصل منه الظنّ أو العلم أم لا فلیس فی مقام بیانها حتّی یؤخذ بإطلاق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قد صار بصدد دفع الإشکال،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أنّ المراد من الجمع هو العامّ الاستغراقی لا یبقی موقع لهذا الإشکال؛ إذ أیّ إطلاق یکون أقوی من إطلاق الآیة بالنسبة إلی حالتی حصول العلم من قول المنذر و عدمه</w:t>
      </w:r>
      <w:r>
        <w:rPr>
          <w:rStyle w:val="FootnoteAnchor"/>
          <w:rtl w:val="true"/>
        </w:rPr>
        <w:footnoteReference w:id="5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العامّ استغراقیاً لا یثبت الإطلاق من ناحیة الفرد؛ إذ لا منافاة بین کون الحکم شاملًا لکلّ أحد و بین حجّیة قول کلّ واحد منها فی ظروف خاصّة و أوقات معیّنة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الروایات الصادرة عنهم علیهم السلام یستفاد منها أنّ الأئمّة الهداة</w:t>
      </w:r>
      <w:bookmarkStart w:id="605" w:name="pg12907_206924"/>
    </w:p>
    <w:p>
      <w:pPr>
        <w:pStyle w:val="BookText"/>
        <w:rPr/>
      </w:pPr>
      <w:bookmarkEnd w:id="605"/>
      <w:r>
        <w:rPr>
          <w:rFonts w:ascii="IRNazanin" w:hAnsi="IRNazanin" w:eastAsia="IRNazanin"/>
          <w:color w:val="111111"/>
          <w:sz w:val="28"/>
          <w:sz w:val="28"/>
          <w:szCs w:val="28"/>
          <w:rtl w:val="true"/>
          <w:lang w:bidi="fa-IR"/>
        </w:rPr>
        <w:t>قد استشهدوا بها علی لزوم النفر إلی تحصیل العلم بالإمام المفترض طاعته بعد فوت إمام قبله</w:t>
      </w:r>
      <w:r>
        <w:rPr>
          <w:rStyle w:val="FootnoteAnchor"/>
          <w:rtl w:val="true"/>
        </w:rPr>
        <w:footnoteReference w:id="578"/>
      </w:r>
      <w:r>
        <w:rPr>
          <w:rFonts w:ascii="IRNazanin" w:hAnsi="IRNazanin" w:eastAsia="IRNazanin"/>
          <w:color w:val="111111"/>
          <w:sz w:val="28"/>
          <w:sz w:val="28"/>
          <w:szCs w:val="28"/>
          <w:rtl w:val="true"/>
          <w:lang w:bidi="fa-IR"/>
        </w:rPr>
        <w:t>، و معلوم أنّ الاصول الاعتقادیة لا یعتمد فیها بخبر الثقة، و هذا أیضاً یؤیّد عدم الإطلاق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استدلّ القوم بآیات کثیرة، غیر أنّ المهمّ ما عرفت</w:t>
      </w:r>
      <w:r>
        <w:rPr>
          <w:rFonts w:eastAsia="IRNazanin" w:cs="IRNazanin"/>
          <w:color w:val="111111"/>
          <w:sz w:val="28"/>
          <w:szCs w:val="28"/>
          <w:rtl w:val="true"/>
          <w:lang w:bidi="fa-IR"/>
        </w:rPr>
        <w:t>.</w:t>
      </w:r>
    </w:p>
    <w:p>
      <w:pPr>
        <w:pStyle w:val="Heading6"/>
        <w:numPr>
          <w:ilvl w:val="5"/>
          <w:numId w:val="1"/>
        </w:numPr>
        <w:rPr/>
      </w:pPr>
      <w:bookmarkStart w:id="606" w:name="__RefHeading___Toc3346672_3224264995"/>
      <w:bookmarkStart w:id="607" w:name="_Toc229"/>
      <w:bookmarkEnd w:id="606"/>
      <w:r>
        <w:rPr>
          <w:rtl w:val="true"/>
        </w:rPr>
        <w:t>الاستدلال علی حجّیة قول الثقة بالأخبار</w:t>
      </w:r>
      <w:bookmarkEnd w:id="607"/>
    </w:p>
    <w:p>
      <w:pPr>
        <w:pStyle w:val="BookText"/>
        <w:rPr/>
      </w:pPr>
      <w:r>
        <w:rPr>
          <w:rFonts w:ascii="IRNazanin" w:hAnsi="IRNazanin" w:eastAsia="IRNazanin"/>
          <w:color w:val="111111"/>
          <w:sz w:val="28"/>
          <w:sz w:val="28"/>
          <w:szCs w:val="28"/>
          <w:rtl w:val="true"/>
          <w:lang w:bidi="fa-IR"/>
        </w:rPr>
        <w:t xml:space="preserve">قد استدلّ الأصحاب بالروایات الکثیرة الواردة التی جمعها الشیخ الجلیل الحرّ العاملی فی کتاب القضاء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وسائله</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و لا حاجة لنا فی نقلها و سردها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القارئ الکریم ملاحظة أبواب القضاء من ذاک الکتاب، لعلّه یقف علی أزید ممّا وقف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نعطف نظره إلی نکتة مرّت الإشارة إلیه غیر مرّة؛ و هو أنّا لاحظنا ما وقفنا علیه من الأخبار واحداً بعد واحد، و أمعنا النظر فی مفادها، فلم نجد فیها ما یدلّ علی التأسیس، و أنّ الشارع قد جعل الخبر الواحد أو قول الثقة حجّة من عنده، بل یظهر من 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الثقة کان أمراً مسلّماً عندهم، و کانت الغایة فی هذه الأخبار تشخیص الثقة عن غیرها، و أنّ فلاناً هل یجوز الأخذ منه لوثاقته أو لا یجوز</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فی مقام بیان الصغری؛ و هو تعیین الثقة، و أنّ فلاناً ثقة أو غیر ثقة، و أمّا الکبری؛ و هو حجّیة قول الثقة فقد کانت أمراً ارتکازیاً</w:t>
      </w:r>
    </w:p>
    <w:p>
      <w:pPr>
        <w:pStyle w:val="BookText"/>
        <w:rPr/>
      </w:pPr>
      <w:r>
        <w:rPr>
          <w:rFonts w:ascii="IRNazanin" w:hAnsi="IRNazanin" w:eastAsia="IRNazanin"/>
          <w:color w:val="111111"/>
          <w:sz w:val="28"/>
          <w:sz w:val="28"/>
          <w:szCs w:val="28"/>
          <w:rtl w:val="true"/>
          <w:lang w:bidi="fa-IR"/>
        </w:rPr>
        <w:t>لهم، و کان بناء العقلاء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استدلّوا به من الکتاب و السنّة ما یدلّ بظاهرها علی حجّیة قول الثقة فهی محمولة علی الأمر العقلائی الدائر بینهم، و کان المرمی إمضاء عملهم، لا تأسیس أمر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w:t>
      </w:r>
      <w:r>
        <w:rPr>
          <w:rStyle w:val="FootnoteAnchor"/>
          <w:rtl w:val="true"/>
        </w:rPr>
        <w:footnoteReference w:id="580"/>
      </w:r>
      <w:r>
        <w:rPr>
          <w:rFonts w:ascii="IRNazanin" w:hAnsi="IRNazanin" w:eastAsia="IRNazanin"/>
          <w:color w:val="111111"/>
          <w:sz w:val="28"/>
          <w:sz w:val="28"/>
          <w:szCs w:val="28"/>
          <w:rtl w:val="true"/>
          <w:lang w:bidi="fa-IR"/>
        </w:rPr>
        <w:t>، و تبعه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 العلم إجمالًا بتواترها الإجمالی و إن کان هو الأخذ بأخصّ مضامین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حجّیة قول العدل الذی شهد اثنان من أهل الفنّ بعدالته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یوجد فی تلک الأخبار خبر یکون جامعاً لعامّة الشرائط الحجّیة، و یکون مفاده حجّیة قول مطلق الثقة، فیتعدّی منه إلی الأعمّ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صحیح؛ إذ لا أظنّ أن یکون بین الأخبار فی الباب خبر یکون جامعاً لعامّة الشرائط الحجّیة التی قد قلنا بها من باب الأخذ بالقدر المتیقّن، و مع ذلک یکون من حیث المفاد أعمّ؛ أی دالًّا علی حجّیة قول مطلق الثقة، فإنّه مجرّد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القدر المتیقّن من تلک الأخبار هو الخبر الحاکی من الإمام بلا واسطة، مع کون الراوی من الفقهاء نظراء زرارة و محمّد بن مسلم و أبی بصیر، و معلوم أنّه لیس بینها خبر جامع لتلک الشرائط دالّ علی حجّیة قول مطلق الثقة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بعض أعاظم العصر من أنّ أغلب الطوائف و إن لم یکن متواتراً إلّا أنّه لا إشکال فی أنّ مجموعها متواترة إجمالًا؛ للعلم بصدور بعضها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بصدور البعض لا یمکن الاستدلال به علی</w:t>
      </w:r>
    </w:p>
    <w:p>
      <w:pPr>
        <w:pStyle w:val="BookText"/>
        <w:rPr/>
      </w:pPr>
      <w:r>
        <w:rPr>
          <w:rFonts w:ascii="IRNazanin" w:hAnsi="IRNazanin" w:eastAsia="IRNazanin"/>
          <w:color w:val="111111"/>
          <w:sz w:val="28"/>
          <w:sz w:val="28"/>
          <w:szCs w:val="28"/>
          <w:rtl w:val="true"/>
          <w:lang w:bidi="fa-IR"/>
        </w:rPr>
        <w:t>حجّیة قول الثقة مطلقاً؛ إذ من المحتمل أن یکون الصادر منهم ما یدلّ علی حجّیة قول الثقة إذا کان جامعاً لشرائط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بصدور البعض لا یکفی فی استنتاج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منع التواتر؛ لأنّها مع کثرتها منقولة عن عدّة کتب خاصّة لا تبلغ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اشترطوا فی تحقّق التواتر کون الطبقات عامّتها متواترة، و التواتر فی جمیعها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وجه آخر لإثبات حجّیة مطلق قول الثقة،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ثبت حال السیرة العقلائیة، و ظهر أنّ بناء العقلاء علی العمل بمطلق قول الثقة فهو، و إلّا فالقدر المتیقّن من السیرة هو بناؤهم علی حجّیة الخبر العالی السند الذی یکون رواته کلّهم ثقات عدول، قد زکّاهم جمع من العدول، و لا إشکال فی أنّه یوجد بین تلک الروایات ما یکون جامعاً لتلک الشرائط، مع کونه دالًّا علی حجّیة قول الثقة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عن محمّد بن عبد اللَّه الحمیری و محمّد بن یحیی جمیعاً عن عبد اللَّه بن جعفر الحمیری عن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و عمّن آخذ، و قول من أقبل؟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فما أدّی إلیک عنّی فعنّی یؤدّی، و ما قال لک عنّی فعنّی یقول، فاسمع له و أطع؛ فإنّه الثقة المأمون</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صحیحته الاخری</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هذه الروایة مع علوّها رواته کلّهم من المشایخ العظام ممّن اتّفق الأصحاب علی العمل بروایاتهم، فتلک الروایة لا إشکال فی شمول السیرة العقلائیة علیها، فإذا شملتها نتعدّی حسب مضمونها إلی کلّ 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التعدّی منها إلّا إلی نظراء العمری و ابنه، الذین هم من الأجلّاء الثقات، و لا یمکن منه التعدّی إلی مطلق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بأنّه الثقة المأمون یرفع هذا الاحتمال؛ فإنّ التعلیل بمطلق الوثاقة و المأمونیة، لا الوثاقة المختصّة لأضراب العمری و ابنه، کما أنّ التعلیل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تمام العلّة ذات الإسکار، لا الإسکار المختصّ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الروایة و أمثالها و إن کان لسانه عاریاً عن جعل الحجّیة أو تتمیم الکشف أو جعل الطریقیة إلّا أنّه یظهر منه أنّ العمل بقول الثقة المأمون کان رائجاً بین الأصحاب، بل بین العقلاء؛ و لذا جاء أخذ الحدیث من العمری و ابنه معلّلًا بأنّه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الفرق بین مقالنا و بین ما ذکره المحقّق الخراسانی، فراجع لما نقلناه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استفادة إیجاب العمل أو جعل الحجّیة و أمثالها منها یشکل التمسّک بها لکشف حال السیرة؛ لعدم الکشف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کونه حکماً عملیاً، فلا معنی للتعبّد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فالخطب سهل بعد إحراز بناء العقلاء علی الاحتجاج بخبر کلّ ثقة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إنکار بنائهم فالروایة و نحوها تدلّ علی التشریع و لزوم العمل بقوله، و ما ذکرناه من عدم الدلالة علی التأسیس لأجل إحراز بناء العقلاء، فتدبّر</w:t>
      </w:r>
      <w:r>
        <w:rPr>
          <w:rFonts w:eastAsia="IRNazanin" w:cs="IRNazanin"/>
          <w:color w:val="111111"/>
          <w:sz w:val="28"/>
          <w:szCs w:val="28"/>
          <w:rtl w:val="true"/>
          <w:lang w:bidi="fa-IR"/>
        </w:rPr>
        <w:t>.</w:t>
      </w:r>
      <w:bookmarkStart w:id="608" w:name="pg12907_206928"/>
    </w:p>
    <w:p>
      <w:pPr>
        <w:pStyle w:val="Heading6"/>
        <w:numPr>
          <w:ilvl w:val="5"/>
          <w:numId w:val="1"/>
        </w:numPr>
        <w:rPr/>
      </w:pPr>
      <w:bookmarkStart w:id="609" w:name="__RefHeading___Toc3346674_3224264995"/>
      <w:bookmarkStart w:id="610" w:name="_Toc230"/>
      <w:bookmarkEnd w:id="608"/>
      <w:bookmarkEnd w:id="609"/>
      <w:r>
        <w:rPr>
          <w:rtl w:val="true"/>
        </w:rPr>
        <w:t>الاستدلال بالسیرة العقلائیة علی حجّیة قول الثقة</w:t>
      </w:r>
      <w:bookmarkEnd w:id="610"/>
    </w:p>
    <w:p>
      <w:pPr>
        <w:pStyle w:val="BookText"/>
        <w:rPr/>
      </w:pPr>
      <w:r>
        <w:rPr>
          <w:rFonts w:ascii="IRNazanin" w:hAnsi="IRNazanin" w:eastAsia="IRNazanin"/>
          <w:color w:val="111111"/>
          <w:sz w:val="28"/>
          <w:sz w:val="28"/>
          <w:szCs w:val="28"/>
          <w:rtl w:val="true"/>
          <w:lang w:bidi="fa-IR"/>
        </w:rPr>
        <w:t>و قد عرفت أنّها العمدة فی الباب، بل لا دلیل غیرها، و یقف علی وجودها کلّ من له إلمام بالمجتمعات البشریة منذ دوّن تأریخ البشر، و استقرّ له التمدّن، و اتّخذ لنفسه مسلکاً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الآیات الناهیة من العمل بغیر العلم</w:t>
      </w:r>
      <w:r>
        <w:rPr>
          <w:rStyle w:val="FootnoteAnchor"/>
          <w:rtl w:val="true"/>
        </w:rPr>
        <w:footnoteReference w:id="585"/>
      </w:r>
      <w:r>
        <w:rPr>
          <w:rFonts w:ascii="IRNazanin" w:hAnsi="IRNazanin" w:eastAsia="IRNazanin"/>
          <w:color w:val="111111"/>
          <w:sz w:val="28"/>
          <w:sz w:val="28"/>
          <w:szCs w:val="28"/>
          <w:rtl w:val="true"/>
          <w:lang w:bidi="fa-IR"/>
        </w:rPr>
        <w:t>أو العمل بالظنّ</w:t>
      </w:r>
      <w:r>
        <w:rPr>
          <w:rStyle w:val="FootnoteAnchor"/>
          <w:rtl w:val="true"/>
        </w:rPr>
        <w:footnoteReference w:id="586"/>
      </w:r>
      <w:r>
        <w:rPr>
          <w:rFonts w:ascii="IRNazanin" w:hAnsi="IRNazanin" w:eastAsia="IRNazanin"/>
          <w:color w:val="111111"/>
          <w:sz w:val="28"/>
          <w:sz w:val="28"/>
          <w:szCs w:val="28"/>
          <w:rtl w:val="true"/>
          <w:lang w:bidi="fa-IR"/>
        </w:rPr>
        <w:t>لیست رادعة عن السیرة؛ إذ لو کانت رادعة لمطلق العمل بالظنّ أو بغیر العلم شملت نفسها؛ لأنّها بمنزلة القضایا الحقیقیة، الثابت فیها الحکم لموضوعاتها المحقّقة کلّ فی موطنها، و من العمل بالظنّ نفس التمسّک بهذه الآیات و الأخذ بمفادها؛ فیلزم من جواز التمسّک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 من أنّ رادعیة تلک الآیات تستلزم الدور المحال</w:t>
      </w:r>
      <w:r>
        <w:rPr>
          <w:rStyle w:val="FootnoteAnchor"/>
          <w:rtl w:val="true"/>
        </w:rPr>
        <w:footnoteReference w:id="587"/>
      </w:r>
      <w:r>
        <w:rPr>
          <w:rFonts w:ascii="IRNazanin" w:hAnsi="IRNazanin" w:eastAsia="IRNazanin"/>
          <w:color w:val="111111"/>
          <w:sz w:val="28"/>
          <w:sz w:val="28"/>
          <w:szCs w:val="28"/>
          <w:rtl w:val="true"/>
          <w:lang w:bidi="fa-IR"/>
        </w:rPr>
        <w:t>فضعیف، و قد مرّ وجهه عند البحث عن استدلال النافین بالآیات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المحال إنّما یلزم من شمولها لنفسها، فیندفع بعدم شمولها لنفسها، و حینئذٍ یصلح للرادعیة عن مطلق العمل بالظنّ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هذه الآیة إنّما نزلت لأجل الإفادة و الاستفادة حتّی یأخذ الامّة بمضمونها، کما لا شکّ فی أنّ العمل بظاهرها لیس إلّا عملًا بالظنّ</w:t>
      </w:r>
    </w:p>
    <w:p>
      <w:pPr>
        <w:pStyle w:val="BookText"/>
        <w:rPr/>
      </w:pPr>
      <w:r>
        <w:rPr>
          <w:rFonts w:ascii="IRNazanin" w:hAnsi="IRNazanin" w:eastAsia="IRNazanin"/>
          <w:color w:val="111111"/>
          <w:sz w:val="28"/>
          <w:sz w:val="28"/>
          <w:szCs w:val="28"/>
          <w:rtl w:val="true"/>
          <w:lang w:bidi="fa-IR"/>
        </w:rPr>
        <w:t>و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فهل المتکلّم اتّکل فی بیان مراده علی مفروغیة حجّیة الظواهر الظنّیة کما هو المطلوب، أو اتّکل علی عدم شمولها لنفسها؛ لاستلزامه المحال؟</w:t>
      </w:r>
    </w:p>
    <w:p>
      <w:pPr>
        <w:pStyle w:val="BookText"/>
        <w:rPr/>
      </w:pPr>
      <w:r>
        <w:rPr>
          <w:rFonts w:ascii="IRNazanin" w:hAnsi="IRNazanin" w:eastAsia="IRNazanin"/>
          <w:color w:val="111111"/>
          <w:sz w:val="28"/>
          <w:sz w:val="28"/>
          <w:szCs w:val="28"/>
          <w:rtl w:val="true"/>
          <w:lang w:bidi="fa-IR"/>
        </w:rPr>
        <w:t>و لا أظنّ أحداً یتفوّه بالثانی؛ فإنّه خارج عن المتفاهم العرفی و الطریقة المألوفة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الاتّکال فی الإفهام علی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مفروغیة حجّیة الظواهر مع عدم إفادتها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بعد إلغاء الخصوصیة عدم رادعیتها للسیرة القطعیة فی العمل بالظواهر أو بقول الثقة المأمون أو غیرهما ممّا علیه عمل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قد اعتمد فی إفادة المطلوب علی السیرة العقلائیة الدائرة بینهم من حجّیة الظواهر، لا علی أنّ هذا الکلام لا یشمل لنفسها لأجل لزوم المحال؛ فإنّه خارج عن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الاعتماد علی السیرة المستمرّة من حجّیة الظواهر مع عدم إفادتها العلم یعلم بإلغاء الخصوصیة أنّ الآیة غیر رادعة لما قامت علیه السیرة من العمل بالظنون فی موارد خاصّة من الظواهر و حجّیة قول الثقة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أفاد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یحتاج فی اعتبار الطریقیة العقلائیة إلی إمضاء صاحب الشرع لها و التصریح باعتبارها، بل یکفی عدم الردع عنها؛ فإنّ عدم الردع عنها مع التمکّن منه یلازم الرضی بها؛ و إن لم یصرّح بالإمضاء</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الحاجة إلی الإمضاء فی باب المعاملات؛ لأنّها من الامور الاعتباریة التی یتوقّف صحّتها علی اعتبارها؛ و لو کان المعتبر غیر الشارع</w:t>
      </w:r>
    </w:p>
    <w:p>
      <w:pPr>
        <w:pStyle w:val="BookText"/>
        <w:rPr/>
      </w:pPr>
      <w:r>
        <w:rPr>
          <w:rFonts w:ascii="IRNazanin" w:hAnsi="IRNazanin" w:eastAsia="IRNazanin"/>
          <w:color w:val="111111"/>
          <w:sz w:val="28"/>
          <w:sz w:val="28"/>
          <w:szCs w:val="28"/>
          <w:rtl w:val="true"/>
          <w:lang w:bidi="fa-IR"/>
        </w:rPr>
        <w:t>فلا بدّ من إمضاء ذلک؛ و لو بالعموم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المعاملات المستحدثة التی لم تکن فی زمان الشارع، کالمعاملات المعروفة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البیمة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إذا لم یندرج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و نحو ذلک فلا یجوز ترتیب آثار الصحّة علیها</w:t>
      </w:r>
      <w:r>
        <w:rPr>
          <w:rStyle w:val="FootnoteAnchor"/>
          <w:rtl w:val="true"/>
        </w:rPr>
        <w:footnoteReference w:id="5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التفریق بین المعاملات و غیرها باحتیاج الاولی إلی الإمضاء و عدم کفایة الردع، بخلاف الثانی غیر صحیح؛ لأنّ مجرّد کون المعاملات اموراً اعتباریة لا یستلزم لزوم الإمضاء و عدم کفایة عدم الردع، فإذا کانت المعاملة بمرأی و مسمع من الشارع، و کان متمکّناً عن الردع فسکوته کاشف عن رضاه، و هذا کافٍ فی نفوذ المعاملة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أفاد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المسلمین فی الامور التوقیفیة التی من شأنها أن تتلقّی من الشارع تکشف لا محالة عن الجعل الشرعی، و أمّا فی غیر التوقیفیة التی کانت تنالها ید العرف و العقلاء قبل الشرع فمن المحتمل قریباً رجوع سیرة المسلمین إلی طریقة العقلاء، و لکن ذلک لا یضرّ جواز الاستدلال بها؛ فإنّه کما أنّ استمرار طریقة العقلاء یکشف عن رضاء صاحب الشرع، کذلک سیرة المسلمین تکشف عن ذلک،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مورد اجتماع السیرة و الطریقة یکونان من قبیل تعدّد الدلیل علی أمر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مورد اجتماع السیرتین من باب قیام الدلیلین علی شی‌ء واحد غیر صحیح؛ فإنّ سیرة المسلمین علی جواز العمل بقول الثقة لو کانت قائمة علیه بما هم مسلمون فلا وجه لإرجاعها إلی طریقة العقلاء و سیرتهم کما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قائمة علیه لا بما هم مسلمون فهی و إن کانت راجعة إلی سیرة العقلاء لکن لا تصیر السیرة دلیلًا مستقلًّا بعد اتّحاد الحیثیتین فی متعلّق السیرتین، بل الدلیل ینحصر فی واحد؛ و هو سیرة العقلاء</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قد بحث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الدورة السابقة، و غار فی عامّة مباحثه، و فند أکثر ما أفاده بعض أعاظم العصر فی هاتیک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البحث عنه فی هذه الدورة ضیاعاً للوقت، و صار بصدد تهذیب الاصول و تنقیحه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أجمل ما أفاد فی هذا المقام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أصل الانسداد و إن کان له شأن؛ لیقف القارئ علی حقیقة الحال، غیر أنّ البحث عن فروعه؛ من کون النتیجة علی فرض صحّة الانسداد مهملة أو کلّیة، و کون الظنّ حجّة علی الکشف أو الحکومة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 جدّاً؛ إذ بعد إبطاله لا مصاغ للبحث عن فروعه؛ إذ لا أساس حتّی یبحث عمّا 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bookmarkStart w:id="611" w:name="pg12907_206933"/>
    </w:p>
    <w:p>
      <w:pPr>
        <w:pStyle w:val="Heading2"/>
        <w:numPr>
          <w:ilvl w:val="1"/>
          <w:numId w:val="1"/>
        </w:numPr>
        <w:rPr/>
      </w:pPr>
      <w:bookmarkStart w:id="612" w:name="__RefHeading___Toc3346676_3224264995"/>
      <w:bookmarkStart w:id="613" w:name="_Toc231"/>
      <w:bookmarkEnd w:id="611"/>
      <w:bookmarkEnd w:id="612"/>
      <w:r>
        <w:rPr>
          <w:rtl w:val="true"/>
        </w:rPr>
        <w:t>فهرس المحتویات</w:t>
      </w:r>
      <w:bookmarkEnd w:id="613"/>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هیئة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متعلّق الطلب فی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دلالة النهی علی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اجتماع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هذه المسألة و مسألة النهی فی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اصولیة مسألة جواز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قید المندوحة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ابتناء النزاع علی تعلّق الأحکام بالطبائع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ابتناء النزاع علی إحراز المناط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الفرق بین باب الاجتماع و باب التعارض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علی القول بالجواز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علی القول بالامتناع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جریان النزاع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مقتضی التحقیق هو القول بجواز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دفع الإشکالات الواردة علی القول بجواز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القول بالامتناع و 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فیما استدلّ به للقول بالامتناع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فیما استدلّ به للقول بالجواز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المتوسط فی أرض مغصوبة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النهی عن الشی‌ء هل یکشف عن فساده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المسألة عقلیة 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البحث للنهی التنزیهی و الغیری و التبعی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العبادات و المعاملات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الصحّة و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مجعولیة الصحّة و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الأصل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التحقیق فی دلالة النهی علی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النهی بمعاملة مع عدم إحراز حال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النهی بعبادة مع عدم إحراز حال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النهی بعبادة مع إحراز حال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النهی بمعاملة مع إحراز حال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التمسّک بالروایات علی فساد المعاملة المنهی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دعوی دلالة النهی علی الصحّة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تعلّق النهی بجزء العبادة أو شرطها أو وصفها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المفاهیم فیه مقدّمة و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المفهوم هو انتفاء سنخ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الإشکال فیما إذا کان مفاد الجزاء معنی حرفیاً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تعدّد الشرط و اتّحاد الجزاء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تداخل الأسباب و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فیه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تداخل الأسباب و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اختصاص النزاع بالماهیة القابلة للتکثّر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التداخل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تعدّد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نقل آراء الأعلام فی تداخل الأسباب و المسبّبات و نقدها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یقع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تعدّد الشرط ماهیة و نوعاً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الاستدلال علی عدم تداخل الأسباب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فی تداخل المسبّبات ثبوتاً و إثباتاً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تعدّد الشرط شخصاً لا نوعاً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مفهوم العامّ الاستغراقی جزئی لا کلّی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البحث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الغایة علی ارتفاع الحکم عمّا بعدها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الغایة داخلة فی المغیّی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فیها نقدّم البحث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المطلق و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احتیاج العامّ إلی مقدّمات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نقد کلام المحقّق الخراسانی فی وجه انقسام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الألفاظ الدالّة علی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حجّیة العامّ المخصّص فی الباقی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سرایة إجمال المخصِّص إلی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التمسّک بالعامّ فی الشبهة المفهومیة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التمسّک بالعامّ فی الشبهة المصداقیة للمخصّص المنفصل اللفظی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القول فی الشبهة المصداقیة للمخصّص اللبّی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بالعامّ مع کون الخاصّ معلّلًا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العامّین من وجه المتنافیی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إحراز المشتبه بالأصل الموضوعی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مقتضی التحقیق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فیه 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القضایا بلحاظ النسبة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یوجب کون الکلام محتملًا للصدق و الکذب و مناطهما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القضایا المفتقرة إلی وجود 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کون الموضوع فی الجملة الخبریة و الإنشائیة مفرداً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اعتبارات موضوع العامّ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حال الفرد بالعناوین الثانویة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بأصالة العموم لکشف حال 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بالعامّ إذا کان المخصّص مجملًا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العمل بالعامّ قبل الفحص عن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الاستدلال بمعرضیة العامّ للتخصیص علی لزوم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الاستدلال بالعلم الإجمالی علی لزوم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مقدار الفحص عن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الخطابات الشفاهیة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ثمرة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تعقّب العامّ بضمیر یرجع إلی بعض أفراده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العامّ بالمفهوم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الموافق من المفهوم و جواز التخصیص به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المفهوم المخالف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الکتاب بالخبر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المتعقّب لجمل متعدّدة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تفصیله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الرجوع إلی الجمیع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حاله إثباتاً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المطلق و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بعض الألفاظ التی یطلق علیها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اسم الجنس و علمه و غیرهما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تقسیم الماهیة إلی أقسام 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البحث فی علم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الکلام فی النکرة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إشکال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حلّ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عند الشکّ فی مقام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 المطلق علی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الصور المتصوّرة فی ورود المطلق و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تحریر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الصور المهمّة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الأمارات المعتبرة عقلًا أو شرعاً الکلام فی القطع و أحکامه و فیه مقدّمة 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اصولیة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تقسیم المکلّف حسب حالاته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متابعة القطع و حجّیته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التجرّی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البحث فیه عن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اصولیة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استحقاق المتجرّی العقوبة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حرمة المتجرّی به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القطع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القطع موضوعاً لحکم یخالفه أو یماثله أو یضادّه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الظنّ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القطع تمام الموضوع لحکمه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قیام الأمارات و الاصول مقام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الأمارات و الاصول مقام القطع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قیام الأمارات و الاصول مقام القطع إثباتاً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قیام الأمارات مقام القطع بأقسامه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قیام الاصول مقام القطع بأقسامه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مفاد الاستصحاب و قاعدة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قیام الاستصحاب و قاعدة التجاوز مقام القطع بأقسامه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الموافقة الالتزامیة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نقل مقال و توضیح حال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کیفیة الالتزام بالأحکام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ثبوت التکلیف بالعلم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إشکال و جواب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سقوط التکلیف بالامتثال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الکلام فی الظنّ و لا بدّ من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التعبّد بالظنّ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المحذورات المتوهّمة فی التعبّد بالظنّ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تفویت المصلحة و الإلقاء فی المفسدة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اجتماع الضدّین و النقیضین و المثلین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اجتماع الإرادة الوجوبیة و التحریمیة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المحذور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التدافع بین ملاکات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جولة فیما ذکر من الجمع بین الحکم الواقعی و الظاهری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تقریب المحقّق النائینی للجمع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ما أفاده المحقّق النائینی فی الاصول المحرزة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کلام المحقّق النائینی فی غیر المحرزة من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تقریب المحقّق العراقی للجمع بین الحکم الواقعی و الظاهری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تقریب السیّد الفشارکی للجمع بین الحکم الواقعی و الظاهری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التعبّد بالظنّ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تأسیس الأصل فی التعبّد بالظنون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ما أفاده الأعلام فی تقریر الأصل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 قد خرج عن الأصل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الظواهر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تفصیل المحقّق القمّی بین من قصد إفهامه و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مقالة الأخباریین فی عدم حجیّة ظواهر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عمّا یتعیّن به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الإجماع المنقول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الشهرة الفتوائیة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حجّیة الشهرة الفتوائیة الدائرة بین القدماء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استدلال النافین لحجّیة الخبر الواحد بالکتاب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استدلال النافین لحجّیة الخبر الواحد بالسنّة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حول استدلال القائلین بحجّیة الخبر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الاستدلال بآیة 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فی الإشکالات المختصّة بآیة النبأ و أجوبتها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حول إشکالات لا یختصّ بآیة النبأ و أجوبتها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إشکال شمول الأدلّة للأخبار مع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جولة حول الأجوبة الماضیة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التحقیق فی دفع الإشکالات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الاستدلال بآیة النفر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الاستدلال علی حجّیة قول الثقة بالأخبار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الاستدلال بالسیرة العقلائیة علی حجّیة قول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الاثنا عشریة فی الصلاة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المحصول فی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ضمن تراث الشیخ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 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 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المنخول من تعلیقات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المحصول فی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المحقّق الحائری قدس سره فی مجلس 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معتمد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تنقیح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المواقیت،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یصحّ منه الصوم،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ضمن تراث الشیخ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أنّک لو أحفیت الحقیقة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فی الولایة و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 لک حلّ بعض مشاکله، و هو من أنفس ما ألّف فی هذا المقام، فحیّا اللَّه سیّدنا الاستاذ و بیّاه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 أحکامه،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مخلوطة، مطلقة، مجرّدةعند اعتبارات علیها واردة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القیصری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أفردنا لما أفاده سیّدنا الاستاذ فی هذه المباحث من الحقائق الراهنة و الکنوز العلمیة رسالة مفردة، و علّقنا علیها بعض التعالیق، و هی جاهزة للطبع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الإشارات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المباحث المشرقیة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فی علم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حرّرناه فی المقام ممّا استفدناه عن سیّدنا الاستاذ فی الدورة السابقة فی مبحث الاستصحاب، و عند البحث عن الإجزاء فی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جنود عقل و جهل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استقصی الکلام فی الدورة السابقة فی توضیح أحکام القطع، فأوضح مقالة الأخباریین فی المقام، کما تکلّم فی حجّیة قطع القطّاع، غیر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فی هذه الدورة هاتیک المباحث، و نحن قد اقتفینا أثره، أطال اللَّه 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أسقط سیّدنا الاستاذ فی هذه الدورة کثیراً من المباحث التی بحث عنها فی الدورة السابقة، و نحن قد أسقطنا بعض المباحث؛ روماً للاختصار، و سیأتی فی مبحث الاشتغال، فتربّص حتّی یأتیک البیان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التنبیهات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فوائد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الإشارات و التنبیهات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الإشارات و التنبیهات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التحصیل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فی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فیما ألّفه فقید العلم و الأدب، فقید التفسیر و الفلسفة، العلّامة الحجّة، الشیخ أبو عبد اللَّه الزنجانی رحمه الله غنیً و کفایة، و قد أسمی کتابه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فی القاهرة، و علیها مقدّمة بقلم الاستاذ أحمد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مستنده فیما بأیدینا من المجامیع الروائیة، و لکن ورد فی بعض الکتب الفقهیة و الاصولیة، راجع 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استدلّوا علی حجّیة قول الثقة بالدلیل العقلی الذی نقل الشیخ الأعظم تقریراته المختلفة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مرجع الکلّ إلی الانسداد الصغیر و الکبیر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71850</Words>
  <Characters>303603</Characters>
  <CharactersWithSpaces>373111</CharactersWithSpaces>
  <Paragraphs>2343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2026-08-23T21:59:23Z</dcterms:created>
  <dc:creator>ghaemiyeh.com</dc:creator>
  <dc:description/>
  <dc:language>en-US</dc:language>
  <cp:lastModifiedBy/>
  <dcterms:modified xsi:type="dcterms:W3CDTF">2026-08-24T01:29:33Z</dcterms:modified>
  <cp:revision>1</cp:revision>
  <dc:subject/>
  <dc:title>تهذیب الاصول جلد 2</dc:title>
</cp:coreProperties>
</file>

<file path=docProps/custom.xml><?xml version="1.0" encoding="utf-8"?>
<Properties xmlns="http://schemas.openxmlformats.org/officeDocument/2006/custom-properties" xmlns:vt="http://schemas.openxmlformats.org/officeDocument/2006/docPropsVTypes"/>
</file>