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06592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00659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006596_73709187">
            <w:r>
              <w:rPr>
                <w:webHidden/>
                <w:rStyle w:val="IndexLink"/>
                <w:rtl w:val="true"/>
              </w:rPr>
              <w:t>(</w:t>
            </w:r>
            <w:r>
              <w:rPr>
                <w:rStyle w:val="IndexLink"/>
                <w:rtl w:val="true"/>
              </w:rPr>
              <w:t>الفصل الرابع</w:t>
            </w:r>
            <w:r>
              <w:rPr>
                <w:rStyle w:val="IndexLink"/>
                <w:rtl w:val="true"/>
              </w:rPr>
              <w:t xml:space="preserve">: </w:t>
            </w:r>
            <w:r>
              <w:rPr>
                <w:rStyle w:val="IndexLink"/>
                <w:rtl w:val="true"/>
              </w:rPr>
              <w:t>في الضمان</w:t>
            </w:r>
            <w:r>
              <w:rPr>
                <w:rStyle w:val="IndexLink"/>
                <w:rtl w:val="true"/>
              </w:rPr>
              <w:t>)</w:t>
              <w:tab/>
            </w:r>
            <w:r>
              <w:rPr>
                <w:rStyle w:val="IndexLink"/>
              </w:rPr>
              <w:t>12</w:t>
            </w:r>
          </w:hyperlink>
        </w:p>
        <w:p>
          <w:pPr>
            <w:pStyle w:val="Contents3"/>
            <w:tabs>
              <w:tab w:val="clear" w:pos="8459"/>
              <w:tab w:val="right" w:pos="9026" w:leader="dot"/>
            </w:tabs>
            <w:rPr/>
          </w:pPr>
          <w:hyperlink w:anchor="__RefHeading___Toc11006598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1006600_73709187">
            <w:r>
              <w:rPr>
                <w:webHidden/>
                <w:rStyle w:val="IndexLink"/>
                <w:rtl w:val="true"/>
              </w:rPr>
              <w:t>اعتبار رضا المضمون له</w:t>
            </w:r>
            <w:r>
              <w:rPr>
                <w:rStyle w:val="IndexLink"/>
                <w:rtl w:val="true"/>
              </w:rPr>
              <w:tab/>
            </w:r>
            <w:r>
              <w:rPr>
                <w:rStyle w:val="IndexLink"/>
              </w:rPr>
              <w:t>16</w:t>
            </w:r>
          </w:hyperlink>
        </w:p>
        <w:p>
          <w:pPr>
            <w:pStyle w:val="Contents3"/>
            <w:tabs>
              <w:tab w:val="clear" w:pos="8459"/>
              <w:tab w:val="right" w:pos="9026" w:leader="dot"/>
            </w:tabs>
            <w:rPr/>
          </w:pPr>
          <w:hyperlink w:anchor="__RefHeading___Toc11006602_73709187">
            <w:r>
              <w:rPr>
                <w:webHidden/>
                <w:rStyle w:val="IndexLink"/>
                <w:rtl w:val="true"/>
              </w:rPr>
              <w:t>التعليق في الضمان</w:t>
            </w:r>
            <w:r>
              <w:rPr>
                <w:rStyle w:val="IndexLink"/>
                <w:rtl w:val="true"/>
              </w:rPr>
              <w:tab/>
            </w:r>
            <w:r>
              <w:rPr>
                <w:rStyle w:val="IndexLink"/>
              </w:rPr>
              <w:t>20</w:t>
            </w:r>
          </w:hyperlink>
        </w:p>
        <w:p>
          <w:pPr>
            <w:pStyle w:val="Contents3"/>
            <w:tabs>
              <w:tab w:val="clear" w:pos="8459"/>
              <w:tab w:val="right" w:pos="9026" w:leader="dot"/>
            </w:tabs>
            <w:rPr/>
          </w:pPr>
          <w:hyperlink w:anchor="__RefHeading___Toc11006604_73709187">
            <w:r>
              <w:rPr>
                <w:webHidden/>
                <w:rStyle w:val="IndexLink"/>
                <w:rtl w:val="true"/>
              </w:rPr>
              <w:t>لا يعتبر العلم بمقدار الدين</w:t>
            </w:r>
            <w:r>
              <w:rPr>
                <w:rStyle w:val="IndexLink"/>
                <w:rtl w:val="true"/>
              </w:rPr>
              <w:tab/>
            </w:r>
            <w:r>
              <w:rPr>
                <w:rStyle w:val="IndexLink"/>
              </w:rPr>
              <w:t>22</w:t>
            </w:r>
          </w:hyperlink>
        </w:p>
        <w:p>
          <w:pPr>
            <w:pStyle w:val="Contents3"/>
            <w:tabs>
              <w:tab w:val="clear" w:pos="8459"/>
              <w:tab w:val="right" w:pos="9026" w:leader="dot"/>
            </w:tabs>
            <w:rPr/>
          </w:pPr>
          <w:hyperlink w:anchor="__RefHeading___Toc11006606_73709187">
            <w:r>
              <w:rPr>
                <w:webHidden/>
                <w:rStyle w:val="IndexLink"/>
                <w:rtl w:val="true"/>
              </w:rPr>
              <w:t>انتقال المال إلى ذمّة الضامن</w:t>
            </w:r>
            <w:r>
              <w:rPr>
                <w:rStyle w:val="IndexLink"/>
                <w:rtl w:val="true"/>
              </w:rPr>
              <w:tab/>
            </w:r>
            <w:r>
              <w:rPr>
                <w:rStyle w:val="IndexLink"/>
              </w:rPr>
              <w:t>25</w:t>
            </w:r>
          </w:hyperlink>
        </w:p>
        <w:p>
          <w:pPr>
            <w:pStyle w:val="Contents3"/>
            <w:tabs>
              <w:tab w:val="clear" w:pos="8459"/>
              <w:tab w:val="right" w:pos="9026" w:leader="dot"/>
            </w:tabs>
            <w:rPr/>
          </w:pPr>
          <w:hyperlink w:anchor="__RefHeading___Toc11006608_73709187">
            <w:r>
              <w:rPr>
                <w:webHidden/>
                <w:rStyle w:val="IndexLink"/>
                <w:rtl w:val="true"/>
              </w:rPr>
              <w:t>ضمان الحالّ والمؤجّل</w:t>
            </w:r>
            <w:r>
              <w:rPr>
                <w:rStyle w:val="IndexLink"/>
                <w:rtl w:val="true"/>
              </w:rPr>
              <w:tab/>
            </w:r>
            <w:r>
              <w:rPr>
                <w:rStyle w:val="IndexLink"/>
              </w:rPr>
              <w:t>28</w:t>
            </w:r>
          </w:hyperlink>
        </w:p>
        <w:p>
          <w:pPr>
            <w:pStyle w:val="Contents3"/>
            <w:tabs>
              <w:tab w:val="clear" w:pos="8459"/>
              <w:tab w:val="right" w:pos="9026" w:leader="dot"/>
            </w:tabs>
            <w:rPr/>
          </w:pPr>
          <w:hyperlink w:anchor="__RefHeading___Toc11006610_73709187">
            <w:r>
              <w:rPr>
                <w:webHidden/>
                <w:rStyle w:val="IndexLink"/>
                <w:rtl w:val="true"/>
              </w:rPr>
              <w:t>رجوع الضامن على المضمون عنه</w:t>
            </w:r>
            <w:r>
              <w:rPr>
                <w:rStyle w:val="IndexLink"/>
                <w:rtl w:val="true"/>
              </w:rPr>
              <w:tab/>
            </w:r>
            <w:r>
              <w:rPr>
                <w:rStyle w:val="IndexLink"/>
              </w:rPr>
              <w:t>33</w:t>
            </w:r>
          </w:hyperlink>
        </w:p>
        <w:p>
          <w:pPr>
            <w:pStyle w:val="Contents3"/>
            <w:tabs>
              <w:tab w:val="clear" w:pos="8459"/>
              <w:tab w:val="right" w:pos="9026" w:leader="dot"/>
            </w:tabs>
            <w:rPr/>
          </w:pPr>
          <w:hyperlink w:anchor="__RefHeading___Toc11006612_73709187">
            <w:r>
              <w:rPr>
                <w:webHidden/>
                <w:rStyle w:val="IndexLink"/>
                <w:rtl w:val="true"/>
              </w:rPr>
              <w:t>عدم اشتراط العلم بقَدر المضمون عنه</w:t>
            </w:r>
            <w:r>
              <w:rPr>
                <w:rStyle w:val="IndexLink"/>
                <w:rtl w:val="true"/>
              </w:rPr>
              <w:tab/>
            </w:r>
            <w:r>
              <w:rPr>
                <w:rStyle w:val="IndexLink"/>
              </w:rPr>
              <w:t>37</w:t>
            </w:r>
          </w:hyperlink>
        </w:p>
        <w:p>
          <w:pPr>
            <w:pStyle w:val="Contents3"/>
            <w:tabs>
              <w:tab w:val="clear" w:pos="8459"/>
              <w:tab w:val="right" w:pos="9026" w:leader="dot"/>
            </w:tabs>
            <w:rPr/>
          </w:pPr>
          <w:hyperlink w:anchor="__RefHeading___Toc11006614_73709187">
            <w:r>
              <w:rPr>
                <w:webHidden/>
                <w:rStyle w:val="IndexLink"/>
                <w:rtl w:val="true"/>
              </w:rPr>
              <w:t>ضمان الأعيان</w:t>
            </w:r>
            <w:r>
              <w:rPr>
                <w:rStyle w:val="IndexLink"/>
                <w:rtl w:val="true"/>
              </w:rPr>
              <w:tab/>
            </w:r>
            <w:r>
              <w:rPr>
                <w:rStyle w:val="IndexLink"/>
              </w:rPr>
              <w:t>38</w:t>
            </w:r>
          </w:hyperlink>
        </w:p>
        <w:p>
          <w:pPr>
            <w:pStyle w:val="Contents3"/>
            <w:tabs>
              <w:tab w:val="clear" w:pos="8459"/>
              <w:tab w:val="right" w:pos="9026" w:leader="dot"/>
            </w:tabs>
            <w:rPr/>
          </w:pPr>
          <w:hyperlink w:anchor="__RefHeading___Toc11006616_73709187">
            <w:r>
              <w:rPr>
                <w:webHidden/>
                <w:rStyle w:val="IndexLink"/>
                <w:rtl w:val="true"/>
              </w:rPr>
              <w:t>الضمان المُستَحدث</w:t>
            </w:r>
            <w:r>
              <w:rPr>
                <w:rStyle w:val="IndexLink"/>
                <w:rtl w:val="true"/>
              </w:rPr>
              <w:tab/>
            </w:r>
            <w:r>
              <w:rPr>
                <w:rStyle w:val="IndexLink"/>
              </w:rPr>
              <w:t>41</w:t>
            </w:r>
          </w:hyperlink>
        </w:p>
        <w:p>
          <w:pPr>
            <w:pStyle w:val="Contents3"/>
            <w:tabs>
              <w:tab w:val="clear" w:pos="8459"/>
              <w:tab w:val="right" w:pos="9026" w:leader="dot"/>
            </w:tabs>
            <w:rPr/>
          </w:pPr>
          <w:hyperlink w:anchor="__RefHeading___Toc11006618_73709187">
            <w:r>
              <w:rPr>
                <w:webHidden/>
                <w:rStyle w:val="IndexLink"/>
                <w:rtl w:val="true"/>
              </w:rPr>
              <w:t>ضمان العُهدة</w:t>
            </w:r>
            <w:r>
              <w:rPr>
                <w:rStyle w:val="IndexLink"/>
                <w:rtl w:val="true"/>
              </w:rPr>
              <w:tab/>
            </w:r>
            <w:r>
              <w:rPr>
                <w:rStyle w:val="IndexLink"/>
              </w:rPr>
              <w:t>43</w:t>
            </w:r>
          </w:hyperlink>
        </w:p>
        <w:p>
          <w:pPr>
            <w:pStyle w:val="Contents3"/>
            <w:tabs>
              <w:tab w:val="clear" w:pos="8459"/>
              <w:tab w:val="right" w:pos="9026" w:leader="dot"/>
            </w:tabs>
            <w:rPr/>
          </w:pPr>
          <w:hyperlink w:anchor="__RefHeading___Toc11006620_73709187">
            <w:r>
              <w:rPr>
                <w:webHidden/>
                <w:rStyle w:val="IndexLink"/>
                <w:rtl w:val="true"/>
              </w:rPr>
              <w:t>الحوالة</w:t>
            </w:r>
            <w:r>
              <w:rPr>
                <w:rStyle w:val="IndexLink"/>
                <w:rtl w:val="true"/>
              </w:rPr>
              <w:tab/>
            </w:r>
            <w:r>
              <w:rPr>
                <w:rStyle w:val="IndexLink"/>
              </w:rPr>
              <w:t>45</w:t>
            </w:r>
          </w:hyperlink>
        </w:p>
        <w:p>
          <w:pPr>
            <w:pStyle w:val="Contents3"/>
            <w:tabs>
              <w:tab w:val="clear" w:pos="8459"/>
              <w:tab w:val="right" w:pos="9026" w:leader="dot"/>
            </w:tabs>
            <w:rPr/>
          </w:pPr>
          <w:hyperlink w:anchor="__RefHeading___Toc11006622_73709187">
            <w:r>
              <w:rPr>
                <w:webHidden/>
                <w:rStyle w:val="IndexLink"/>
                <w:rtl w:val="true"/>
              </w:rPr>
              <w:t>الحوالة من العقود</w:t>
            </w:r>
            <w:r>
              <w:rPr>
                <w:rStyle w:val="IndexLink"/>
                <w:rtl w:val="true"/>
              </w:rPr>
              <w:tab/>
            </w:r>
            <w:r>
              <w:rPr>
                <w:rStyle w:val="IndexLink"/>
              </w:rPr>
              <w:t>49</w:t>
            </w:r>
          </w:hyperlink>
        </w:p>
        <w:p>
          <w:pPr>
            <w:pStyle w:val="Contents3"/>
            <w:tabs>
              <w:tab w:val="clear" w:pos="8459"/>
              <w:tab w:val="right" w:pos="9026" w:leader="dot"/>
            </w:tabs>
            <w:rPr/>
          </w:pPr>
          <w:hyperlink w:anchor="__RefHeading___Toc11006624_73709187">
            <w:r>
              <w:rPr>
                <w:webHidden/>
                <w:rStyle w:val="IndexLink"/>
                <w:rtl w:val="true"/>
              </w:rPr>
              <w:t>الحوالة لازمة</w:t>
            </w:r>
            <w:r>
              <w:rPr>
                <w:rStyle w:val="IndexLink"/>
                <w:rtl w:val="true"/>
              </w:rPr>
              <w:tab/>
            </w:r>
            <w:r>
              <w:rPr>
                <w:rStyle w:val="IndexLink"/>
              </w:rPr>
              <w:t>51</w:t>
            </w:r>
          </w:hyperlink>
        </w:p>
        <w:p>
          <w:pPr>
            <w:pStyle w:val="Contents3"/>
            <w:tabs>
              <w:tab w:val="clear" w:pos="8459"/>
              <w:tab w:val="right" w:pos="9026" w:leader="dot"/>
            </w:tabs>
            <w:rPr/>
          </w:pPr>
          <w:hyperlink w:anchor="__RefHeading___Toc11006626_73709187">
            <w:r>
              <w:rPr>
                <w:webHidden/>
                <w:rStyle w:val="IndexLink"/>
                <w:rtl w:val="true"/>
              </w:rPr>
              <w:t>إذا أحال المشتري بالثمن رَدّ البيع</w:t>
            </w:r>
            <w:r>
              <w:rPr>
                <w:rStyle w:val="IndexLink"/>
                <w:rtl w:val="true"/>
              </w:rPr>
              <w:tab/>
            </w:r>
            <w:r>
              <w:rPr>
                <w:rStyle w:val="IndexLink"/>
              </w:rPr>
              <w:t>56</w:t>
            </w:r>
          </w:hyperlink>
        </w:p>
        <w:p>
          <w:pPr>
            <w:pStyle w:val="Contents3"/>
            <w:tabs>
              <w:tab w:val="clear" w:pos="8459"/>
              <w:tab w:val="right" w:pos="9026" w:leader="dot"/>
            </w:tabs>
            <w:rPr/>
          </w:pPr>
          <w:hyperlink w:anchor="__RefHeading___Toc11006628_73709187">
            <w:r>
              <w:rPr>
                <w:webHidden/>
                <w:rStyle w:val="IndexLink"/>
                <w:rtl w:val="true"/>
              </w:rPr>
              <w:t>حكم الحوالة المستحدثة</w:t>
            </w:r>
            <w:r>
              <w:rPr>
                <w:rStyle w:val="IndexLink"/>
                <w:rtl w:val="true"/>
              </w:rPr>
              <w:tab/>
            </w:r>
            <w:r>
              <w:rPr>
                <w:rStyle w:val="IndexLink"/>
              </w:rPr>
              <w:t>59</w:t>
            </w:r>
          </w:hyperlink>
        </w:p>
        <w:p>
          <w:pPr>
            <w:pStyle w:val="Contents3"/>
            <w:tabs>
              <w:tab w:val="clear" w:pos="8459"/>
              <w:tab w:val="right" w:pos="9026" w:leader="dot"/>
            </w:tabs>
            <w:rPr/>
          </w:pPr>
          <w:hyperlink w:anchor="__RefHeading___Toc11006630_73709187">
            <w:r>
              <w:rPr>
                <w:webHidden/>
                <w:rStyle w:val="IndexLink"/>
                <w:rtl w:val="true"/>
              </w:rPr>
              <w:t>الكفالة</w:t>
            </w:r>
            <w:r>
              <w:rPr>
                <w:rStyle w:val="IndexLink"/>
                <w:rtl w:val="true"/>
              </w:rPr>
              <w:tab/>
            </w:r>
            <w:r>
              <w:rPr>
                <w:rStyle w:val="IndexLink"/>
              </w:rPr>
              <w:t>62</w:t>
            </w:r>
          </w:hyperlink>
        </w:p>
        <w:p>
          <w:pPr>
            <w:pStyle w:val="Contents3"/>
            <w:tabs>
              <w:tab w:val="clear" w:pos="8459"/>
              <w:tab w:val="right" w:pos="9026" w:leader="dot"/>
            </w:tabs>
            <w:rPr/>
          </w:pPr>
          <w:hyperlink w:anchor="__RefHeading___Toc11006632_73709187">
            <w:r>
              <w:rPr>
                <w:webHidden/>
                <w:rStyle w:val="IndexLink"/>
                <w:rtl w:val="true"/>
              </w:rPr>
              <w:t>شرائط الكفالة</w:t>
            </w:r>
            <w:r>
              <w:rPr>
                <w:rStyle w:val="IndexLink"/>
                <w:rtl w:val="true"/>
              </w:rPr>
              <w:tab/>
            </w:r>
            <w:r>
              <w:rPr>
                <w:rStyle w:val="IndexLink"/>
              </w:rPr>
              <w:t>63</w:t>
            </w:r>
          </w:hyperlink>
        </w:p>
        <w:p>
          <w:pPr>
            <w:pStyle w:val="Contents3"/>
            <w:tabs>
              <w:tab w:val="clear" w:pos="8459"/>
              <w:tab w:val="right" w:pos="9026" w:leader="dot"/>
            </w:tabs>
            <w:rPr/>
          </w:pPr>
          <w:hyperlink w:anchor="__RefHeading___Toc11006634_73709187">
            <w:r>
              <w:rPr>
                <w:webHidden/>
                <w:rStyle w:val="IndexLink"/>
                <w:rtl w:val="true"/>
              </w:rPr>
              <w:t>الكفيل مخيَّر بين دفع المكفول أو ما عليه</w:t>
            </w:r>
            <w:r>
              <w:rPr>
                <w:rStyle w:val="IndexLink"/>
                <w:rtl w:val="true"/>
              </w:rPr>
              <w:tab/>
            </w:r>
            <w:r>
              <w:rPr>
                <w:rStyle w:val="IndexLink"/>
              </w:rPr>
              <w:t>68</w:t>
            </w:r>
          </w:hyperlink>
        </w:p>
        <w:p>
          <w:pPr>
            <w:pStyle w:val="Contents3"/>
            <w:tabs>
              <w:tab w:val="clear" w:pos="8459"/>
              <w:tab w:val="right" w:pos="9026" w:leader="dot"/>
            </w:tabs>
            <w:rPr/>
          </w:pPr>
          <w:hyperlink w:anchor="__RefHeading___Toc11006636_73709187">
            <w:r>
              <w:rPr>
                <w:webHidden/>
                <w:rStyle w:val="IndexLink"/>
                <w:rtl w:val="true"/>
              </w:rPr>
              <w:t>إطلاق الغريم من يد صاحب الحقّ‌</w:t>
            </w:r>
            <w:r>
              <w:rPr>
                <w:rStyle w:val="IndexLink"/>
                <w:rtl w:val="true"/>
              </w:rPr>
              <w:tab/>
            </w:r>
            <w:r>
              <w:rPr>
                <w:rStyle w:val="IndexLink"/>
              </w:rPr>
              <w:t>70</w:t>
            </w:r>
          </w:hyperlink>
        </w:p>
        <w:p>
          <w:pPr>
            <w:pStyle w:val="Contents2"/>
            <w:tabs>
              <w:tab w:val="clear" w:pos="8743"/>
              <w:tab w:val="right" w:pos="9026" w:leader="dot"/>
            </w:tabs>
            <w:rPr/>
          </w:pPr>
          <w:hyperlink w:anchor="__RefHeading___Toc11006638_73709187">
            <w:r>
              <w:rPr>
                <w:webHidden/>
                <w:rStyle w:val="IndexLink"/>
                <w:rtl w:val="true"/>
              </w:rPr>
              <w:t>(</w:t>
            </w:r>
            <w:r>
              <w:rPr>
                <w:rStyle w:val="IndexLink"/>
                <w:rtl w:val="true"/>
              </w:rPr>
              <w:t>الفصل الخامس</w:t>
            </w:r>
            <w:r>
              <w:rPr>
                <w:rStyle w:val="IndexLink"/>
                <w:rtl w:val="true"/>
              </w:rPr>
              <w:t xml:space="preserve">: </w:t>
            </w:r>
            <w:r>
              <w:rPr>
                <w:rStyle w:val="IndexLink"/>
                <w:rtl w:val="true"/>
              </w:rPr>
              <w:t>في الصُّلح</w:t>
            </w:r>
            <w:r>
              <w:rPr>
                <w:rStyle w:val="IndexLink"/>
                <w:rtl w:val="true"/>
              </w:rPr>
              <w:t>)</w:t>
              <w:tab/>
            </w:r>
            <w:r>
              <w:rPr>
                <w:rStyle w:val="IndexLink"/>
              </w:rPr>
              <w:t>75</w:t>
            </w:r>
          </w:hyperlink>
        </w:p>
        <w:p>
          <w:pPr>
            <w:pStyle w:val="Contents3"/>
            <w:tabs>
              <w:tab w:val="clear" w:pos="8459"/>
              <w:tab w:val="right" w:pos="9026" w:leader="dot"/>
            </w:tabs>
            <w:rPr/>
          </w:pPr>
          <w:hyperlink w:anchor="__RefHeading___Toc11006640_73709187">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11006642_73709187">
            <w:r>
              <w:rPr>
                <w:webHidden/>
                <w:rStyle w:val="IndexLink"/>
                <w:rtl w:val="true"/>
              </w:rPr>
              <w:t>حكم الصُّلح مع الإنكار</w:t>
            </w:r>
            <w:r>
              <w:rPr>
                <w:rStyle w:val="IndexLink"/>
                <w:rtl w:val="true"/>
              </w:rPr>
              <w:tab/>
            </w:r>
            <w:r>
              <w:rPr>
                <w:rStyle w:val="IndexLink"/>
              </w:rPr>
              <w:t>77</w:t>
            </w:r>
          </w:hyperlink>
        </w:p>
        <w:p>
          <w:pPr>
            <w:pStyle w:val="Contents3"/>
            <w:tabs>
              <w:tab w:val="clear" w:pos="8459"/>
              <w:tab w:val="right" w:pos="9026" w:leader="dot"/>
            </w:tabs>
            <w:rPr/>
          </w:pPr>
          <w:hyperlink w:anchor="__RefHeading___Toc11006644_73709187">
            <w:r>
              <w:rPr>
                <w:webHidden/>
                <w:rStyle w:val="IndexLink"/>
                <w:rtl w:val="true"/>
              </w:rPr>
              <w:t>حكم الصُّلح المحلّل للحرام أو العكس</w:t>
            </w:r>
            <w:r>
              <w:rPr>
                <w:rStyle w:val="IndexLink"/>
                <w:rtl w:val="true"/>
              </w:rPr>
              <w:tab/>
            </w:r>
            <w:r>
              <w:rPr>
                <w:rStyle w:val="IndexLink"/>
              </w:rPr>
              <w:t>80</w:t>
            </w:r>
          </w:hyperlink>
        </w:p>
        <w:p>
          <w:pPr>
            <w:pStyle w:val="Contents3"/>
            <w:tabs>
              <w:tab w:val="clear" w:pos="8459"/>
              <w:tab w:val="right" w:pos="9026" w:leader="dot"/>
            </w:tabs>
            <w:rPr/>
          </w:pPr>
          <w:hyperlink w:anchor="__RefHeading___Toc11006646_73709187">
            <w:r>
              <w:rPr>
                <w:webHidden/>
                <w:rStyle w:val="IndexLink"/>
                <w:rtl w:val="true"/>
              </w:rPr>
              <w:t>عدم اعتبار العلم بالمقدار</w:t>
            </w:r>
            <w:r>
              <w:rPr>
                <w:rStyle w:val="IndexLink"/>
                <w:rtl w:val="true"/>
              </w:rPr>
              <w:tab/>
            </w:r>
            <w:r>
              <w:rPr>
                <w:rStyle w:val="IndexLink"/>
              </w:rPr>
              <w:t>83</w:t>
            </w:r>
          </w:hyperlink>
        </w:p>
        <w:p>
          <w:pPr>
            <w:pStyle w:val="Contents3"/>
            <w:tabs>
              <w:tab w:val="clear" w:pos="8459"/>
              <w:tab w:val="right" w:pos="9026" w:leader="dot"/>
            </w:tabs>
            <w:rPr/>
          </w:pPr>
          <w:hyperlink w:anchor="__RefHeading___Toc11006648_73709187">
            <w:r>
              <w:rPr>
                <w:webHidden/>
                <w:rStyle w:val="IndexLink"/>
                <w:rtl w:val="true"/>
              </w:rPr>
              <w:t>وقوع الصُّلح من الشريكين على كون الربح والخسران لأحدهما</w:t>
            </w:r>
            <w:r>
              <w:rPr>
                <w:rStyle w:val="IndexLink"/>
                <w:rtl w:val="true"/>
              </w:rPr>
              <w:tab/>
            </w:r>
            <w:r>
              <w:rPr>
                <w:rStyle w:val="IndexLink"/>
              </w:rPr>
              <w:t>85</w:t>
            </w:r>
          </w:hyperlink>
        </w:p>
        <w:p>
          <w:pPr>
            <w:pStyle w:val="Contents3"/>
            <w:tabs>
              <w:tab w:val="clear" w:pos="8459"/>
              <w:tab w:val="right" w:pos="9026" w:leader="dot"/>
            </w:tabs>
            <w:rPr/>
          </w:pPr>
          <w:hyperlink w:anchor="__RefHeading___Toc11006650_73709187">
            <w:r>
              <w:rPr>
                <w:webHidden/>
                <w:rStyle w:val="IndexLink"/>
                <w:rtl w:val="true"/>
              </w:rPr>
              <w:t>لو ادّعى أحدهما درهمين في يدهما والآخر في أحدهما</w:t>
            </w:r>
            <w:r>
              <w:rPr>
                <w:rStyle w:val="IndexLink"/>
                <w:rtl w:val="true"/>
              </w:rPr>
              <w:tab/>
            </w:r>
            <w:r>
              <w:rPr>
                <w:rStyle w:val="IndexLink"/>
              </w:rPr>
              <w:t>88</w:t>
            </w:r>
          </w:hyperlink>
        </w:p>
        <w:p>
          <w:pPr>
            <w:pStyle w:val="Contents3"/>
            <w:tabs>
              <w:tab w:val="clear" w:pos="8459"/>
              <w:tab w:val="right" w:pos="9026" w:leader="dot"/>
            </w:tabs>
            <w:rPr/>
          </w:pPr>
          <w:hyperlink w:anchor="__RefHeading___Toc11006652_73709187">
            <w:r>
              <w:rPr>
                <w:webHidden/>
                <w:rStyle w:val="IndexLink"/>
                <w:rtl w:val="true"/>
              </w:rPr>
              <w:t>حكم من أودعه إنسانٌ درهمين وآخر درهماً</w:t>
            </w:r>
            <w:r>
              <w:rPr>
                <w:rStyle w:val="IndexLink"/>
                <w:rtl w:val="true"/>
              </w:rPr>
              <w:tab/>
            </w:r>
            <w:r>
              <w:rPr>
                <w:rStyle w:val="IndexLink"/>
              </w:rPr>
              <w:t>90</w:t>
            </w:r>
          </w:hyperlink>
        </w:p>
        <w:p>
          <w:pPr>
            <w:pStyle w:val="Contents3"/>
            <w:tabs>
              <w:tab w:val="clear" w:pos="8459"/>
              <w:tab w:val="right" w:pos="9026" w:leader="dot"/>
            </w:tabs>
            <w:rPr/>
          </w:pPr>
          <w:hyperlink w:anchor="__RefHeading___Toc11006654_73709187">
            <w:r>
              <w:rPr>
                <w:webHidden/>
                <w:rStyle w:val="IndexLink"/>
                <w:rtl w:val="true"/>
              </w:rPr>
              <w:t>حكم اشتباه الثوبين</w:t>
            </w:r>
            <w:r>
              <w:rPr>
                <w:rStyle w:val="IndexLink"/>
                <w:rtl w:val="true"/>
              </w:rPr>
              <w:tab/>
            </w:r>
            <w:r>
              <w:rPr>
                <w:rStyle w:val="IndexLink"/>
              </w:rPr>
              <w:t>92</w:t>
            </w:r>
          </w:hyperlink>
        </w:p>
        <w:p>
          <w:pPr>
            <w:pStyle w:val="Contents2"/>
            <w:tabs>
              <w:tab w:val="clear" w:pos="8743"/>
              <w:tab w:val="right" w:pos="9026" w:leader="dot"/>
            </w:tabs>
            <w:rPr/>
          </w:pPr>
          <w:hyperlink w:anchor="__RefHeading___Toc11006656_73709187">
            <w:r>
              <w:rPr>
                <w:webHidden/>
                <w:rStyle w:val="IndexLink"/>
                <w:rtl w:val="true"/>
              </w:rPr>
              <w:t>(</w:t>
            </w:r>
            <w:r>
              <w:rPr>
                <w:rStyle w:val="IndexLink"/>
                <w:rtl w:val="true"/>
              </w:rPr>
              <w:t>الفصل السادس</w:t>
            </w:r>
            <w:r>
              <w:rPr>
                <w:rStyle w:val="IndexLink"/>
                <w:rtl w:val="true"/>
              </w:rPr>
              <w:t xml:space="preserve">: </w:t>
            </w:r>
            <w:r>
              <w:rPr>
                <w:rStyle w:val="IndexLink"/>
                <w:rtl w:val="true"/>
              </w:rPr>
              <w:t>في الإقرار</w:t>
            </w:r>
            <w:r>
              <w:rPr>
                <w:rStyle w:val="IndexLink"/>
                <w:rtl w:val="true"/>
              </w:rPr>
              <w:t>)</w:t>
              <w:tab/>
            </w:r>
            <w:r>
              <w:rPr>
                <w:rStyle w:val="IndexLink"/>
              </w:rPr>
              <w:t>95</w:t>
            </w:r>
          </w:hyperlink>
        </w:p>
        <w:p>
          <w:pPr>
            <w:pStyle w:val="Contents3"/>
            <w:tabs>
              <w:tab w:val="clear" w:pos="8459"/>
              <w:tab w:val="right" w:pos="9026" w:leader="dot"/>
            </w:tabs>
            <w:rPr/>
          </w:pPr>
          <w:hyperlink w:anchor="__RefHeading___Toc11006658_73709187">
            <w:r>
              <w:rPr>
                <w:webHidden/>
                <w:rStyle w:val="IndexLink"/>
                <w:rtl w:val="true"/>
              </w:rPr>
              <w:t>إقرار العاقل على نفسه جائز</w:t>
            </w:r>
            <w:r>
              <w:rPr>
                <w:rStyle w:val="IndexLink"/>
                <w:rtl w:val="true"/>
              </w:rPr>
              <w:tab/>
            </w:r>
            <w:r>
              <w:rPr>
                <w:rStyle w:val="IndexLink"/>
              </w:rPr>
              <w:t>95</w:t>
            </w:r>
          </w:hyperlink>
        </w:p>
        <w:p>
          <w:pPr>
            <w:pStyle w:val="Contents3"/>
            <w:tabs>
              <w:tab w:val="clear" w:pos="8459"/>
              <w:tab w:val="right" w:pos="9026" w:leader="dot"/>
            </w:tabs>
            <w:rPr/>
          </w:pPr>
          <w:hyperlink w:anchor="__RefHeading___Toc11006660_73709187">
            <w:r>
              <w:rPr>
                <w:webHidden/>
                <w:rStyle w:val="IndexLink"/>
                <w:rtl w:val="true"/>
              </w:rPr>
              <w:t>بيان ما به يتحقّق الإقرار</w:t>
            </w:r>
            <w:r>
              <w:rPr>
                <w:rStyle w:val="IndexLink"/>
                <w:rtl w:val="true"/>
              </w:rPr>
              <w:tab/>
            </w:r>
            <w:r>
              <w:rPr>
                <w:rStyle w:val="IndexLink"/>
              </w:rPr>
              <w:t>96</w:t>
            </w:r>
          </w:hyperlink>
        </w:p>
        <w:p>
          <w:pPr>
            <w:pStyle w:val="Contents3"/>
            <w:tabs>
              <w:tab w:val="clear" w:pos="8459"/>
              <w:tab w:val="right" w:pos="9026" w:leader="dot"/>
            </w:tabs>
            <w:rPr/>
          </w:pPr>
          <w:hyperlink w:anchor="__RefHeading___Toc11006662_73709187">
            <w:r>
              <w:rPr>
                <w:webHidden/>
                <w:rStyle w:val="IndexLink"/>
                <w:rtl w:val="true"/>
              </w:rPr>
              <w:t>حكم تعلّق الإقرار بالشرط</w:t>
            </w:r>
            <w:r>
              <w:rPr>
                <w:rStyle w:val="IndexLink"/>
                <w:rtl w:val="true"/>
              </w:rPr>
              <w:tab/>
            </w:r>
            <w:r>
              <w:rPr>
                <w:rStyle w:val="IndexLink"/>
              </w:rPr>
              <w:t>101</w:t>
            </w:r>
          </w:hyperlink>
        </w:p>
        <w:p>
          <w:pPr>
            <w:pStyle w:val="Contents3"/>
            <w:tabs>
              <w:tab w:val="clear" w:pos="8459"/>
              <w:tab w:val="right" w:pos="9026" w:leader="dot"/>
            </w:tabs>
            <w:rPr/>
          </w:pPr>
          <w:hyperlink w:anchor="__RefHeading___Toc11006664_73709187">
            <w:r>
              <w:rPr>
                <w:webHidden/>
                <w:rStyle w:val="IndexLink"/>
                <w:rtl w:val="true"/>
              </w:rPr>
              <w:t>حكم مالو قال</w:t>
            </w:r>
            <w:r>
              <w:rPr>
                <w:rStyle w:val="IndexLink"/>
                <w:rtl w:val="true"/>
              </w:rPr>
              <w:t>: (</w:t>
            </w:r>
            <w:r>
              <w:rPr>
                <w:rStyle w:val="IndexLink"/>
                <w:rtl w:val="true"/>
              </w:rPr>
              <w:t>إنْ شهد فلانٌ فهو صادق</w:t>
            </w:r>
            <w:r>
              <w:rPr>
                <w:rStyle w:val="IndexLink"/>
                <w:rtl w:val="true"/>
              </w:rPr>
              <w:t>)</w:t>
              <w:tab/>
            </w:r>
            <w:r>
              <w:rPr>
                <w:rStyle w:val="IndexLink"/>
              </w:rPr>
              <w:t>102</w:t>
            </w:r>
          </w:hyperlink>
        </w:p>
        <w:p>
          <w:pPr>
            <w:pStyle w:val="Contents3"/>
            <w:tabs>
              <w:tab w:val="clear" w:pos="8459"/>
              <w:tab w:val="right" w:pos="9026" w:leader="dot"/>
            </w:tabs>
            <w:rPr/>
          </w:pPr>
          <w:hyperlink w:anchor="__RefHeading___Toc11006666_73709187">
            <w:r>
              <w:rPr>
                <w:webHidden/>
                <w:rStyle w:val="IndexLink"/>
                <w:rtl w:val="true"/>
              </w:rPr>
              <w:t>ما يعتبر في المُقرّ</w:t>
            </w:r>
            <w:r>
              <w:rPr>
                <w:rStyle w:val="IndexLink"/>
                <w:rtl w:val="true"/>
              </w:rPr>
              <w:tab/>
            </w:r>
            <w:r>
              <w:rPr>
                <w:rStyle w:val="IndexLink"/>
              </w:rPr>
              <w:t>105</w:t>
            </w:r>
          </w:hyperlink>
        </w:p>
        <w:p>
          <w:pPr>
            <w:pStyle w:val="Contents3"/>
            <w:tabs>
              <w:tab w:val="clear" w:pos="8459"/>
              <w:tab w:val="right" w:pos="9026" w:leader="dot"/>
            </w:tabs>
            <w:rPr/>
          </w:pPr>
          <w:hyperlink w:anchor="__RefHeading___Toc11006668_73709187">
            <w:r>
              <w:rPr>
                <w:webHidden/>
                <w:rStyle w:val="IndexLink"/>
                <w:rtl w:val="true"/>
              </w:rPr>
              <w:t>بيان ما يعتبر في المُقرّ له</w:t>
            </w:r>
            <w:r>
              <w:rPr>
                <w:rStyle w:val="IndexLink"/>
                <w:rtl w:val="true"/>
              </w:rPr>
              <w:tab/>
            </w:r>
            <w:r>
              <w:rPr>
                <w:rStyle w:val="IndexLink"/>
              </w:rPr>
              <w:t>107</w:t>
            </w:r>
          </w:hyperlink>
        </w:p>
        <w:p>
          <w:pPr>
            <w:pStyle w:val="Contents3"/>
            <w:tabs>
              <w:tab w:val="clear" w:pos="8459"/>
              <w:tab w:val="right" w:pos="9026" w:leader="dot"/>
            </w:tabs>
            <w:rPr/>
          </w:pPr>
          <w:hyperlink w:anchor="__RefHeading___Toc11006670_73709187">
            <w:r>
              <w:rPr>
                <w:webHidden/>
                <w:rStyle w:val="IndexLink"/>
                <w:rtl w:val="true"/>
              </w:rPr>
              <w:t>المقرّ به وما يشترط فيه</w:t>
            </w:r>
            <w:r>
              <w:rPr>
                <w:rStyle w:val="IndexLink"/>
                <w:rtl w:val="true"/>
              </w:rPr>
              <w:tab/>
            </w:r>
            <w:r>
              <w:rPr>
                <w:rStyle w:val="IndexLink"/>
              </w:rPr>
              <w:t>110</w:t>
            </w:r>
          </w:hyperlink>
        </w:p>
        <w:p>
          <w:pPr>
            <w:pStyle w:val="Contents3"/>
            <w:tabs>
              <w:tab w:val="clear" w:pos="8459"/>
              <w:tab w:val="right" w:pos="9026" w:leader="dot"/>
            </w:tabs>
            <w:rPr/>
          </w:pPr>
          <w:hyperlink w:anchor="__RefHeading___Toc11006672_73709187">
            <w:r>
              <w:rPr>
                <w:webHidden/>
                <w:rStyle w:val="IndexLink"/>
                <w:rtl w:val="true"/>
              </w:rPr>
              <w:t>تعقيب الإقرار بما ينافيه</w:t>
            </w:r>
            <w:r>
              <w:rPr>
                <w:rStyle w:val="IndexLink"/>
                <w:rtl w:val="true"/>
              </w:rPr>
              <w:tab/>
            </w:r>
            <w:r>
              <w:rPr>
                <w:rStyle w:val="IndexLink"/>
              </w:rPr>
              <w:t>115</w:t>
            </w:r>
          </w:hyperlink>
        </w:p>
        <w:p>
          <w:pPr>
            <w:pStyle w:val="Contents3"/>
            <w:tabs>
              <w:tab w:val="clear" w:pos="8459"/>
              <w:tab w:val="right" w:pos="9026" w:leader="dot"/>
            </w:tabs>
            <w:rPr/>
          </w:pPr>
          <w:hyperlink w:anchor="__RefHeading___Toc11006674_73709187">
            <w:r>
              <w:rPr>
                <w:webHidden/>
                <w:rStyle w:val="IndexLink"/>
                <w:rtl w:val="true"/>
              </w:rPr>
              <w:t>الاستثناء المتعقّب للإقرار</w:t>
            </w:r>
            <w:r>
              <w:rPr>
                <w:rStyle w:val="IndexLink"/>
                <w:rtl w:val="true"/>
              </w:rPr>
              <w:tab/>
            </w:r>
            <w:r>
              <w:rPr>
                <w:rStyle w:val="IndexLink"/>
              </w:rPr>
              <w:t>119</w:t>
            </w:r>
          </w:hyperlink>
        </w:p>
        <w:p>
          <w:pPr>
            <w:pStyle w:val="Contents3"/>
            <w:tabs>
              <w:tab w:val="clear" w:pos="8459"/>
              <w:tab w:val="right" w:pos="9026" w:leader="dot"/>
            </w:tabs>
            <w:rPr/>
          </w:pPr>
          <w:hyperlink w:anchor="__RefHeading___Toc11006676_73709187">
            <w:r>
              <w:rPr>
                <w:webHidden/>
                <w:rStyle w:val="IndexLink"/>
                <w:rtl w:val="true"/>
              </w:rPr>
              <w:t>جملة من فروع الإقرار</w:t>
            </w:r>
            <w:r>
              <w:rPr>
                <w:rStyle w:val="IndexLink"/>
                <w:rtl w:val="true"/>
              </w:rPr>
              <w:tab/>
            </w:r>
            <w:r>
              <w:rPr>
                <w:rStyle w:val="IndexLink"/>
              </w:rPr>
              <w:t>124</w:t>
            </w:r>
          </w:hyperlink>
        </w:p>
        <w:p>
          <w:pPr>
            <w:pStyle w:val="Contents3"/>
            <w:tabs>
              <w:tab w:val="clear" w:pos="8459"/>
              <w:tab w:val="right" w:pos="9026" w:leader="dot"/>
            </w:tabs>
            <w:rPr/>
          </w:pPr>
          <w:hyperlink w:anchor="__RefHeading___Toc11006678_73709187">
            <w:r>
              <w:rPr>
                <w:webHidden/>
                <w:rStyle w:val="IndexLink"/>
                <w:rtl w:val="true"/>
              </w:rPr>
              <w:t>الإقرار بالولد</w:t>
            </w:r>
            <w:r>
              <w:rPr>
                <w:rStyle w:val="IndexLink"/>
                <w:rtl w:val="true"/>
              </w:rPr>
              <w:tab/>
            </w:r>
            <w:r>
              <w:rPr>
                <w:rStyle w:val="IndexLink"/>
              </w:rPr>
              <w:t>129</w:t>
            </w:r>
          </w:hyperlink>
        </w:p>
        <w:p>
          <w:pPr>
            <w:pStyle w:val="Contents2"/>
            <w:tabs>
              <w:tab w:val="clear" w:pos="8743"/>
              <w:tab w:val="right" w:pos="9026" w:leader="dot"/>
            </w:tabs>
            <w:rPr/>
          </w:pPr>
          <w:hyperlink w:anchor="__RefHeading___Toc11006680_73709187">
            <w:r>
              <w:rPr>
                <w:webHidden/>
                <w:rStyle w:val="IndexLink"/>
                <w:rtl w:val="true"/>
              </w:rPr>
              <w:t>(</w:t>
            </w:r>
            <w:r>
              <w:rPr>
                <w:rStyle w:val="IndexLink"/>
                <w:rtl w:val="true"/>
              </w:rPr>
              <w:t>الفصل السابع</w:t>
            </w:r>
            <w:r>
              <w:rPr>
                <w:rStyle w:val="IndexLink"/>
                <w:rtl w:val="true"/>
              </w:rPr>
              <w:t xml:space="preserve">: </w:t>
            </w:r>
            <w:r>
              <w:rPr>
                <w:rStyle w:val="IndexLink"/>
                <w:rtl w:val="true"/>
              </w:rPr>
              <w:t>في الوكالة</w:t>
            </w:r>
            <w:r>
              <w:rPr>
                <w:rStyle w:val="IndexLink"/>
                <w:rtl w:val="true"/>
              </w:rPr>
              <w:t>)</w:t>
              <w:tab/>
            </w:r>
            <w:r>
              <w:rPr>
                <w:rStyle w:val="IndexLink"/>
              </w:rPr>
              <w:t>138</w:t>
            </w:r>
          </w:hyperlink>
        </w:p>
        <w:p>
          <w:pPr>
            <w:pStyle w:val="Contents3"/>
            <w:tabs>
              <w:tab w:val="clear" w:pos="8459"/>
              <w:tab w:val="right" w:pos="9026" w:leader="dot"/>
            </w:tabs>
            <w:rPr/>
          </w:pPr>
          <w:hyperlink w:anchor="__RefHeading___Toc11006682_73709187">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1006684_73709187">
            <w:r>
              <w:rPr>
                <w:webHidden/>
                <w:rStyle w:val="IndexLink"/>
                <w:rtl w:val="true"/>
              </w:rPr>
              <w:t>الوكالة من العقود</w:t>
            </w:r>
            <w:r>
              <w:rPr>
                <w:rStyle w:val="IndexLink"/>
                <w:rtl w:val="true"/>
              </w:rPr>
              <w:tab/>
            </w:r>
            <w:r>
              <w:rPr>
                <w:rStyle w:val="IndexLink"/>
              </w:rPr>
              <w:t>139</w:t>
            </w:r>
          </w:hyperlink>
        </w:p>
        <w:p>
          <w:pPr>
            <w:pStyle w:val="Contents3"/>
            <w:tabs>
              <w:tab w:val="clear" w:pos="8459"/>
              <w:tab w:val="right" w:pos="9026" w:leader="dot"/>
            </w:tabs>
            <w:rPr/>
          </w:pPr>
          <w:hyperlink w:anchor="__RefHeading___Toc11006686_73709187">
            <w:r>
              <w:rPr>
                <w:webHidden/>
                <w:rStyle w:val="IndexLink"/>
                <w:rtl w:val="true"/>
              </w:rPr>
              <w:t>اعتبار التنجيز في الوكالة</w:t>
            </w:r>
            <w:r>
              <w:rPr>
                <w:rStyle w:val="IndexLink"/>
                <w:rtl w:val="true"/>
              </w:rPr>
              <w:tab/>
            </w:r>
            <w:r>
              <w:rPr>
                <w:rStyle w:val="IndexLink"/>
              </w:rPr>
              <w:t>141</w:t>
            </w:r>
          </w:hyperlink>
        </w:p>
        <w:p>
          <w:pPr>
            <w:pStyle w:val="Contents3"/>
            <w:tabs>
              <w:tab w:val="clear" w:pos="8459"/>
              <w:tab w:val="right" w:pos="9026" w:leader="dot"/>
            </w:tabs>
            <w:rPr/>
          </w:pPr>
          <w:hyperlink w:anchor="__RefHeading___Toc11006688_73709187">
            <w:r>
              <w:rPr>
                <w:webHidden/>
                <w:rStyle w:val="IndexLink"/>
                <w:rtl w:val="true"/>
              </w:rPr>
              <w:t>اعتبار العلم في الوكالة</w:t>
            </w:r>
            <w:r>
              <w:rPr>
                <w:rStyle w:val="IndexLink"/>
                <w:rtl w:val="true"/>
              </w:rPr>
              <w:tab/>
            </w:r>
            <w:r>
              <w:rPr>
                <w:rStyle w:val="IndexLink"/>
              </w:rPr>
              <w:t>144</w:t>
            </w:r>
          </w:hyperlink>
        </w:p>
        <w:p>
          <w:pPr>
            <w:pStyle w:val="Contents3"/>
            <w:tabs>
              <w:tab w:val="clear" w:pos="8459"/>
              <w:tab w:val="right" w:pos="9026" w:leader="dot"/>
            </w:tabs>
            <w:rPr/>
          </w:pPr>
          <w:hyperlink w:anchor="__RefHeading___Toc11006690_73709187">
            <w:r>
              <w:rPr>
                <w:webHidden/>
                <w:rStyle w:val="IndexLink"/>
                <w:rtl w:val="true"/>
              </w:rPr>
              <w:t>الوكالة جائزة من الطرفين</w:t>
            </w:r>
            <w:r>
              <w:rPr>
                <w:rStyle w:val="IndexLink"/>
                <w:rtl w:val="true"/>
              </w:rPr>
              <w:tab/>
            </w:r>
            <w:r>
              <w:rPr>
                <w:rStyle w:val="IndexLink"/>
              </w:rPr>
              <w:t>145</w:t>
            </w:r>
          </w:hyperlink>
        </w:p>
        <w:p>
          <w:pPr>
            <w:pStyle w:val="Contents3"/>
            <w:tabs>
              <w:tab w:val="clear" w:pos="8459"/>
              <w:tab w:val="right" w:pos="9026" w:leader="dot"/>
            </w:tabs>
            <w:rPr/>
          </w:pPr>
          <w:hyperlink w:anchor="__RefHeading___Toc11006692_73709187">
            <w:r>
              <w:rPr>
                <w:webHidden/>
                <w:rStyle w:val="IndexLink"/>
                <w:rtl w:val="true"/>
              </w:rPr>
              <w:t>اشتراط الوكالة في عقد لازم</w:t>
            </w:r>
            <w:r>
              <w:rPr>
                <w:rStyle w:val="IndexLink"/>
                <w:rtl w:val="true"/>
              </w:rPr>
              <w:tab/>
            </w:r>
            <w:r>
              <w:rPr>
                <w:rStyle w:val="IndexLink"/>
              </w:rPr>
              <w:t>149</w:t>
            </w:r>
          </w:hyperlink>
        </w:p>
        <w:p>
          <w:pPr>
            <w:pStyle w:val="Contents3"/>
            <w:tabs>
              <w:tab w:val="clear" w:pos="8459"/>
              <w:tab w:val="right" w:pos="9026" w:leader="dot"/>
            </w:tabs>
            <w:rPr/>
          </w:pPr>
          <w:hyperlink w:anchor="__RefHeading___Toc11006694_73709187">
            <w:r>
              <w:rPr>
                <w:webHidden/>
                <w:rStyle w:val="IndexLink"/>
                <w:rtl w:val="true"/>
              </w:rPr>
              <w:t>موارد بطلان الوكالة</w:t>
            </w:r>
            <w:r>
              <w:rPr>
                <w:rStyle w:val="IndexLink"/>
                <w:rtl w:val="true"/>
              </w:rPr>
              <w:tab/>
            </w:r>
            <w:r>
              <w:rPr>
                <w:rStyle w:val="IndexLink"/>
              </w:rPr>
              <w:t>151</w:t>
            </w:r>
          </w:hyperlink>
        </w:p>
        <w:p>
          <w:pPr>
            <w:pStyle w:val="Contents3"/>
            <w:tabs>
              <w:tab w:val="clear" w:pos="8459"/>
              <w:tab w:val="right" w:pos="9026" w:leader="dot"/>
            </w:tabs>
            <w:rPr/>
          </w:pPr>
          <w:hyperlink w:anchor="__RefHeading___Toc11006696_73709187">
            <w:r>
              <w:rPr>
                <w:webHidden/>
                <w:rStyle w:val="IndexLink"/>
                <w:rtl w:val="true"/>
              </w:rPr>
              <w:t>ما تصحّ فيه الوكالة</w:t>
            </w:r>
            <w:r>
              <w:rPr>
                <w:rStyle w:val="IndexLink"/>
                <w:rtl w:val="true"/>
              </w:rPr>
              <w:tab/>
            </w:r>
            <w:r>
              <w:rPr>
                <w:rStyle w:val="IndexLink"/>
              </w:rPr>
              <w:t>156</w:t>
            </w:r>
          </w:hyperlink>
        </w:p>
        <w:p>
          <w:pPr>
            <w:pStyle w:val="Contents3"/>
            <w:tabs>
              <w:tab w:val="clear" w:pos="8459"/>
              <w:tab w:val="right" w:pos="9026" w:leader="dot"/>
            </w:tabs>
            <w:rPr/>
          </w:pPr>
          <w:hyperlink w:anchor="__RefHeading___Toc11006698_73709187">
            <w:r>
              <w:rPr>
                <w:webHidden/>
                <w:rStyle w:val="IndexLink"/>
                <w:rtl w:val="true"/>
              </w:rPr>
              <w:t>عدم جواز تعدّي الوكيل المأذون</w:t>
            </w:r>
            <w:r>
              <w:rPr>
                <w:rStyle w:val="IndexLink"/>
                <w:rtl w:val="true"/>
              </w:rPr>
              <w:tab/>
            </w:r>
            <w:r>
              <w:rPr>
                <w:rStyle w:val="IndexLink"/>
              </w:rPr>
              <w:t>158</w:t>
            </w:r>
          </w:hyperlink>
        </w:p>
        <w:p>
          <w:pPr>
            <w:pStyle w:val="Contents3"/>
            <w:tabs>
              <w:tab w:val="clear" w:pos="8459"/>
              <w:tab w:val="right" w:pos="9026" w:leader="dot"/>
            </w:tabs>
            <w:rPr/>
          </w:pPr>
          <w:hyperlink w:anchor="__RefHeading___Toc11006700_73709187">
            <w:r>
              <w:rPr>
                <w:webHidden/>
                <w:rStyle w:val="IndexLink"/>
                <w:rtl w:val="true"/>
              </w:rPr>
              <w:t>اعتبار أهليّة التصرّف في الموكّل والوكيل</w:t>
            </w:r>
            <w:r>
              <w:rPr>
                <w:rStyle w:val="IndexLink"/>
                <w:rtl w:val="true"/>
              </w:rPr>
              <w:tab/>
            </w:r>
            <w:r>
              <w:rPr>
                <w:rStyle w:val="IndexLink"/>
              </w:rPr>
              <w:t>165</w:t>
            </w:r>
          </w:hyperlink>
        </w:p>
        <w:p>
          <w:pPr>
            <w:pStyle w:val="Contents3"/>
            <w:tabs>
              <w:tab w:val="clear" w:pos="8459"/>
              <w:tab w:val="right" w:pos="9026" w:leader="dot"/>
            </w:tabs>
            <w:rPr/>
          </w:pPr>
          <w:hyperlink w:anchor="__RefHeading___Toc11006702_73709187">
            <w:r>
              <w:rPr>
                <w:webHidden/>
                <w:rStyle w:val="IndexLink"/>
                <w:rtl w:val="true"/>
              </w:rPr>
              <w:t>حكم اكراه الوكيل والموكّل</w:t>
            </w:r>
            <w:r>
              <w:rPr>
                <w:rStyle w:val="IndexLink"/>
                <w:rtl w:val="true"/>
              </w:rPr>
              <w:tab/>
            </w:r>
            <w:r>
              <w:rPr>
                <w:rStyle w:val="IndexLink"/>
              </w:rPr>
              <w:t>167</w:t>
            </w:r>
          </w:hyperlink>
        </w:p>
        <w:p>
          <w:pPr>
            <w:pStyle w:val="Contents3"/>
            <w:tabs>
              <w:tab w:val="clear" w:pos="8459"/>
              <w:tab w:val="right" w:pos="9026" w:leader="dot"/>
            </w:tabs>
            <w:rPr/>
          </w:pPr>
          <w:hyperlink w:anchor="__RefHeading___Toc11006704_73709187">
            <w:r>
              <w:rPr>
                <w:webHidden/>
                <w:rStyle w:val="IndexLink"/>
                <w:rtl w:val="true"/>
              </w:rPr>
              <w:t>وكالة الكافر عن المسلم</w:t>
            </w:r>
            <w:r>
              <w:rPr>
                <w:rStyle w:val="IndexLink"/>
                <w:rtl w:val="true"/>
              </w:rPr>
              <w:tab/>
            </w:r>
            <w:r>
              <w:rPr>
                <w:rStyle w:val="IndexLink"/>
              </w:rPr>
              <w:t>172</w:t>
            </w:r>
          </w:hyperlink>
        </w:p>
        <w:p>
          <w:pPr>
            <w:pStyle w:val="Contents3"/>
            <w:tabs>
              <w:tab w:val="clear" w:pos="8459"/>
              <w:tab w:val="right" w:pos="9026" w:leader="dot"/>
            </w:tabs>
            <w:rPr/>
          </w:pPr>
          <w:hyperlink w:anchor="__RefHeading___Toc11006706_73709187">
            <w:r>
              <w:rPr>
                <w:webHidden/>
                <w:rStyle w:val="IndexLink"/>
                <w:rtl w:val="true"/>
              </w:rPr>
              <w:t>اختلاف الموكّل والوكيل</w:t>
            </w:r>
            <w:r>
              <w:rPr>
                <w:rStyle w:val="IndexLink"/>
                <w:rtl w:val="true"/>
              </w:rPr>
              <w:tab/>
            </w:r>
            <w:r>
              <w:rPr>
                <w:rStyle w:val="IndexLink"/>
              </w:rPr>
              <w:t>175</w:t>
            </w:r>
          </w:hyperlink>
        </w:p>
        <w:p>
          <w:pPr>
            <w:pStyle w:val="Contents3"/>
            <w:tabs>
              <w:tab w:val="clear" w:pos="8459"/>
              <w:tab w:val="right" w:pos="9026" w:leader="dot"/>
            </w:tabs>
            <w:rPr/>
          </w:pPr>
          <w:hyperlink w:anchor="__RefHeading___Toc11006708_73709187">
            <w:r>
              <w:rPr>
                <w:webHidden/>
                <w:rStyle w:val="IndexLink"/>
                <w:rtl w:val="true"/>
              </w:rPr>
              <w:t>بيان ما تثبت به الوكالة</w:t>
            </w:r>
            <w:r>
              <w:rPr>
                <w:rStyle w:val="IndexLink"/>
                <w:rtl w:val="true"/>
              </w:rPr>
              <w:tab/>
            </w:r>
            <w:r>
              <w:rPr>
                <w:rStyle w:val="IndexLink"/>
              </w:rPr>
              <w:t>182</w:t>
            </w:r>
          </w:hyperlink>
        </w:p>
        <w:p>
          <w:pPr>
            <w:pStyle w:val="Contents3"/>
            <w:tabs>
              <w:tab w:val="clear" w:pos="8459"/>
              <w:tab w:val="right" w:pos="9026" w:leader="dot"/>
            </w:tabs>
            <w:rPr/>
          </w:pPr>
          <w:hyperlink w:anchor="__RefHeading___Toc11006710_73709187">
            <w:r>
              <w:rPr>
                <w:webHidden/>
                <w:rStyle w:val="IndexLink"/>
                <w:rtl w:val="true"/>
              </w:rPr>
              <w:t>(</w:t>
            </w:r>
            <w:r>
              <w:rPr>
                <w:rStyle w:val="IndexLink"/>
                <w:rtl w:val="true"/>
              </w:rPr>
              <w:t>كتابُ الهبات وتوابعها</w:t>
            </w:r>
            <w:r>
              <w:rPr>
                <w:rStyle w:val="IndexLink"/>
                <w:rtl w:val="true"/>
              </w:rPr>
              <w:t>)</w:t>
              <w:tab/>
            </w:r>
            <w:r>
              <w:rPr>
                <w:rStyle w:val="IndexLink"/>
              </w:rPr>
              <w:t>184</w:t>
            </w:r>
          </w:hyperlink>
        </w:p>
        <w:p>
          <w:pPr>
            <w:pStyle w:val="Contents3"/>
            <w:tabs>
              <w:tab w:val="clear" w:pos="8459"/>
              <w:tab w:val="right" w:pos="9026" w:leader="dot"/>
            </w:tabs>
            <w:rPr/>
          </w:pPr>
          <w:hyperlink w:anchor="__RefHeading___Toc11006712_73709187">
            <w:r>
              <w:rPr>
                <w:webHidden/>
                <w:rStyle w:val="IndexLink"/>
                <w:rtl w:val="true"/>
              </w:rPr>
              <w:t>تعريف الهبة وبيان حقيقتها</w:t>
            </w:r>
            <w:r>
              <w:rPr>
                <w:rStyle w:val="IndexLink"/>
                <w:rtl w:val="true"/>
              </w:rPr>
              <w:tab/>
            </w:r>
            <w:r>
              <w:rPr>
                <w:rStyle w:val="IndexLink"/>
              </w:rPr>
              <w:t>184</w:t>
            </w:r>
          </w:hyperlink>
        </w:p>
        <w:p>
          <w:pPr>
            <w:pStyle w:val="Contents3"/>
            <w:tabs>
              <w:tab w:val="clear" w:pos="8459"/>
              <w:tab w:val="right" w:pos="9026" w:leader="dot"/>
            </w:tabs>
            <w:rPr/>
          </w:pPr>
          <w:hyperlink w:anchor="__RefHeading___Toc11006714_73709187">
            <w:r>
              <w:rPr>
                <w:webHidden/>
                <w:rStyle w:val="IndexLink"/>
                <w:rtl w:val="true"/>
              </w:rPr>
              <w:t>الهبة من العقود</w:t>
            </w:r>
            <w:r>
              <w:rPr>
                <w:rStyle w:val="IndexLink"/>
                <w:rtl w:val="true"/>
              </w:rPr>
              <w:tab/>
            </w:r>
            <w:r>
              <w:rPr>
                <w:rStyle w:val="IndexLink"/>
              </w:rPr>
              <w:t>192</w:t>
            </w:r>
          </w:hyperlink>
        </w:p>
        <w:p>
          <w:pPr>
            <w:pStyle w:val="Contents3"/>
            <w:tabs>
              <w:tab w:val="clear" w:pos="8459"/>
              <w:tab w:val="right" w:pos="9026" w:leader="dot"/>
            </w:tabs>
            <w:rPr/>
          </w:pPr>
          <w:hyperlink w:anchor="__RefHeading___Toc11006716_73709187">
            <w:r>
              <w:rPr>
                <w:webHidden/>
                <w:rStyle w:val="IndexLink"/>
                <w:rtl w:val="true"/>
              </w:rPr>
              <w:t>القبض شرط في صحّة الهبة</w:t>
            </w:r>
            <w:r>
              <w:rPr>
                <w:rStyle w:val="IndexLink"/>
                <w:rtl w:val="true"/>
              </w:rPr>
              <w:tab/>
            </w:r>
            <w:r>
              <w:rPr>
                <w:rStyle w:val="IndexLink"/>
              </w:rPr>
              <w:t>195</w:t>
            </w:r>
          </w:hyperlink>
        </w:p>
        <w:p>
          <w:pPr>
            <w:pStyle w:val="Contents3"/>
            <w:tabs>
              <w:tab w:val="clear" w:pos="8459"/>
              <w:tab w:val="right" w:pos="9026" w:leader="dot"/>
            </w:tabs>
            <w:rPr/>
          </w:pPr>
          <w:hyperlink w:anchor="__RefHeading___Toc11006718_73709187">
            <w:r>
              <w:rPr>
                <w:webHidden/>
                <w:rStyle w:val="IndexLink"/>
                <w:rtl w:val="true"/>
              </w:rPr>
              <w:t>حكم الهبة من حيث اللّزوم والجواز</w:t>
            </w:r>
            <w:r>
              <w:rPr>
                <w:rStyle w:val="IndexLink"/>
                <w:rtl w:val="true"/>
              </w:rPr>
              <w:tab/>
            </w:r>
            <w:r>
              <w:rPr>
                <w:rStyle w:val="IndexLink"/>
              </w:rPr>
              <w:t>202</w:t>
            </w:r>
          </w:hyperlink>
        </w:p>
        <w:p>
          <w:pPr>
            <w:pStyle w:val="Contents3"/>
            <w:tabs>
              <w:tab w:val="clear" w:pos="8459"/>
              <w:tab w:val="right" w:pos="9026" w:leader="dot"/>
            </w:tabs>
            <w:rPr/>
          </w:pPr>
          <w:hyperlink w:anchor="__RefHeading___Toc11006720_73709187">
            <w:r>
              <w:rPr>
                <w:webHidden/>
                <w:rStyle w:val="IndexLink"/>
                <w:rtl w:val="true"/>
              </w:rPr>
              <w:t>لزوم الهبة لذي الرحم وهبة أحد الزوجين للآخر</w:t>
            </w:r>
            <w:r>
              <w:rPr>
                <w:rStyle w:val="IndexLink"/>
                <w:rtl w:val="true"/>
              </w:rPr>
              <w:tab/>
            </w:r>
            <w:r>
              <w:rPr>
                <w:rStyle w:val="IndexLink"/>
              </w:rPr>
              <w:t>205</w:t>
            </w:r>
          </w:hyperlink>
        </w:p>
        <w:p>
          <w:pPr>
            <w:pStyle w:val="Contents3"/>
            <w:tabs>
              <w:tab w:val="clear" w:pos="8459"/>
              <w:tab w:val="right" w:pos="9026" w:leader="dot"/>
            </w:tabs>
            <w:rPr/>
          </w:pPr>
          <w:hyperlink w:anchor="__RefHeading___Toc11006722_73709187">
            <w:r>
              <w:rPr>
                <w:webHidden/>
                <w:rStyle w:val="IndexLink"/>
                <w:rtl w:val="true"/>
              </w:rPr>
              <w:t>لزوم الهبة بالتلف</w:t>
            </w:r>
            <w:r>
              <w:rPr>
                <w:rStyle w:val="IndexLink"/>
                <w:rtl w:val="true"/>
              </w:rPr>
              <w:tab/>
            </w:r>
            <w:r>
              <w:rPr>
                <w:rStyle w:val="IndexLink"/>
              </w:rPr>
              <w:t>208</w:t>
            </w:r>
          </w:hyperlink>
        </w:p>
        <w:p>
          <w:pPr>
            <w:pStyle w:val="Contents3"/>
            <w:tabs>
              <w:tab w:val="clear" w:pos="8459"/>
              <w:tab w:val="right" w:pos="9026" w:leader="dot"/>
            </w:tabs>
            <w:rPr/>
          </w:pPr>
          <w:hyperlink w:anchor="__RefHeading___Toc11006724_73709187">
            <w:r>
              <w:rPr>
                <w:webHidden/>
                <w:rStyle w:val="IndexLink"/>
                <w:rtl w:val="true"/>
              </w:rPr>
              <w:t>التصرّف من ملزمات الهبة</w:t>
            </w:r>
            <w:r>
              <w:rPr>
                <w:rStyle w:val="IndexLink"/>
                <w:rtl w:val="true"/>
              </w:rPr>
              <w:tab/>
            </w:r>
            <w:r>
              <w:rPr>
                <w:rStyle w:val="IndexLink"/>
              </w:rPr>
              <w:t>211</w:t>
            </w:r>
          </w:hyperlink>
        </w:p>
        <w:p>
          <w:pPr>
            <w:pStyle w:val="Contents3"/>
            <w:tabs>
              <w:tab w:val="clear" w:pos="8459"/>
              <w:tab w:val="right" w:pos="9026" w:leader="dot"/>
            </w:tabs>
            <w:rPr/>
          </w:pPr>
          <w:hyperlink w:anchor="__RefHeading___Toc11006726_73709187">
            <w:r>
              <w:rPr>
                <w:webHidden/>
                <w:rStyle w:val="IndexLink"/>
                <w:rtl w:val="true"/>
              </w:rPr>
              <w:t>لزوم الهبة المعوّضة</w:t>
            </w:r>
            <w:r>
              <w:rPr>
                <w:rStyle w:val="IndexLink"/>
                <w:rtl w:val="true"/>
              </w:rPr>
              <w:tab/>
            </w:r>
            <w:r>
              <w:rPr>
                <w:rStyle w:val="IndexLink"/>
              </w:rPr>
              <w:t>216</w:t>
            </w:r>
          </w:hyperlink>
        </w:p>
        <w:p>
          <w:pPr>
            <w:pStyle w:val="Contents3"/>
            <w:tabs>
              <w:tab w:val="clear" w:pos="8459"/>
              <w:tab w:val="right" w:pos="9026" w:leader="dot"/>
            </w:tabs>
            <w:rPr/>
          </w:pPr>
          <w:hyperlink w:anchor="__RefHeading___Toc11006728_73709187">
            <w:r>
              <w:rPr>
                <w:webHidden/>
                <w:rStyle w:val="IndexLink"/>
                <w:rtl w:val="true"/>
              </w:rPr>
              <w:t>الصدقة</w:t>
            </w:r>
            <w:r>
              <w:rPr>
                <w:rStyle w:val="IndexLink"/>
                <w:rtl w:val="true"/>
              </w:rPr>
              <w:tab/>
            </w:r>
            <w:r>
              <w:rPr>
                <w:rStyle w:val="IndexLink"/>
              </w:rPr>
              <w:t>217</w:t>
            </w:r>
          </w:hyperlink>
        </w:p>
        <w:p>
          <w:pPr>
            <w:pStyle w:val="Contents3"/>
            <w:tabs>
              <w:tab w:val="clear" w:pos="8459"/>
              <w:tab w:val="right" w:pos="9026" w:leader="dot"/>
            </w:tabs>
            <w:rPr/>
          </w:pPr>
          <w:hyperlink w:anchor="__RefHeading___Toc11006730_73709187">
            <w:r>
              <w:rPr>
                <w:webHidden/>
                <w:rStyle w:val="IndexLink"/>
                <w:rtl w:val="true"/>
              </w:rPr>
              <w:t>(</w:t>
            </w:r>
            <w:r>
              <w:rPr>
                <w:rStyle w:val="IndexLink"/>
                <w:rtl w:val="true"/>
              </w:rPr>
              <w:t>الفصل الثاني في الوقف</w:t>
            </w:r>
            <w:r>
              <w:rPr>
                <w:rStyle w:val="IndexLink"/>
                <w:rtl w:val="true"/>
              </w:rPr>
              <w:t>)</w:t>
              <w:tab/>
            </w:r>
            <w:r>
              <w:rPr>
                <w:rStyle w:val="IndexLink"/>
              </w:rPr>
              <w:t>222</w:t>
            </w:r>
          </w:hyperlink>
        </w:p>
        <w:p>
          <w:pPr>
            <w:pStyle w:val="Contents3"/>
            <w:tabs>
              <w:tab w:val="clear" w:pos="8459"/>
              <w:tab w:val="right" w:pos="9026" w:leader="dot"/>
            </w:tabs>
            <w:rPr/>
          </w:pPr>
          <w:hyperlink w:anchor="__RefHeading___Toc11006732_73709187">
            <w:r>
              <w:rPr>
                <w:webHidden/>
                <w:rStyle w:val="IndexLink"/>
                <w:rtl w:val="true"/>
              </w:rPr>
              <w:t>جريان المعاطاة في الوقف</w:t>
            </w:r>
            <w:r>
              <w:rPr>
                <w:rStyle w:val="IndexLink"/>
                <w:rtl w:val="true"/>
              </w:rPr>
              <w:tab/>
            </w:r>
            <w:r>
              <w:rPr>
                <w:rStyle w:val="IndexLink"/>
              </w:rPr>
              <w:t>223</w:t>
            </w:r>
          </w:hyperlink>
        </w:p>
        <w:p>
          <w:pPr>
            <w:pStyle w:val="Contents3"/>
            <w:tabs>
              <w:tab w:val="clear" w:pos="8459"/>
              <w:tab w:val="right" w:pos="9026" w:leader="dot"/>
            </w:tabs>
            <w:rPr/>
          </w:pPr>
          <w:hyperlink w:anchor="__RefHeading___Toc11006734_73709187">
            <w:r>
              <w:rPr>
                <w:webHidden/>
                <w:rStyle w:val="IndexLink"/>
                <w:rtl w:val="true"/>
              </w:rPr>
              <w:t>اشتراط القبول في الوقف</w:t>
            </w:r>
            <w:r>
              <w:rPr>
                <w:rStyle w:val="IndexLink"/>
                <w:rtl w:val="true"/>
              </w:rPr>
              <w:tab/>
            </w:r>
            <w:r>
              <w:rPr>
                <w:rStyle w:val="IndexLink"/>
              </w:rPr>
              <w:t>225</w:t>
            </w:r>
          </w:hyperlink>
        </w:p>
        <w:p>
          <w:pPr>
            <w:pStyle w:val="Contents3"/>
            <w:tabs>
              <w:tab w:val="clear" w:pos="8459"/>
              <w:tab w:val="right" w:pos="9026" w:leader="dot"/>
            </w:tabs>
            <w:rPr/>
          </w:pPr>
          <w:hyperlink w:anchor="__RefHeading___Toc11006736_73709187">
            <w:r>
              <w:rPr>
                <w:webHidden/>
                <w:rStyle w:val="IndexLink"/>
                <w:rtl w:val="true"/>
              </w:rPr>
              <w:t>شرائط الوقف</w:t>
            </w:r>
            <w:r>
              <w:rPr>
                <w:rStyle w:val="IndexLink"/>
                <w:rtl w:val="true"/>
              </w:rPr>
              <w:tab/>
            </w:r>
            <w:r>
              <w:rPr>
                <w:rStyle w:val="IndexLink"/>
              </w:rPr>
              <w:t>228</w:t>
            </w:r>
          </w:hyperlink>
        </w:p>
        <w:p>
          <w:pPr>
            <w:pStyle w:val="Contents3"/>
            <w:tabs>
              <w:tab w:val="clear" w:pos="8459"/>
              <w:tab w:val="right" w:pos="9026" w:leader="dot"/>
            </w:tabs>
            <w:rPr/>
          </w:pPr>
          <w:hyperlink w:anchor="__RefHeading___Toc11006738_73709187">
            <w:r>
              <w:rPr>
                <w:webHidden/>
                <w:rStyle w:val="IndexLink"/>
                <w:rtl w:val="true"/>
              </w:rPr>
              <w:t>يعتبر في الوقف الإقباض</w:t>
            </w:r>
            <w:r>
              <w:rPr>
                <w:rStyle w:val="IndexLink"/>
                <w:rtl w:val="true"/>
              </w:rPr>
              <w:tab/>
            </w:r>
            <w:r>
              <w:rPr>
                <w:rStyle w:val="IndexLink"/>
              </w:rPr>
              <w:t>230</w:t>
            </w:r>
          </w:hyperlink>
        </w:p>
        <w:p>
          <w:pPr>
            <w:pStyle w:val="Contents3"/>
            <w:tabs>
              <w:tab w:val="clear" w:pos="8459"/>
              <w:tab w:val="right" w:pos="9026" w:leader="dot"/>
            </w:tabs>
            <w:rPr/>
          </w:pPr>
          <w:hyperlink w:anchor="__RefHeading___Toc11006740_73709187">
            <w:r>
              <w:rPr>
                <w:webHidden/>
                <w:rStyle w:val="IndexLink"/>
                <w:rtl w:val="true"/>
              </w:rPr>
              <w:t>بطلان الوقف بموت الواقف قبل القبض</w:t>
            </w:r>
            <w:r>
              <w:rPr>
                <w:rStyle w:val="IndexLink"/>
                <w:rtl w:val="true"/>
              </w:rPr>
              <w:tab/>
            </w:r>
            <w:r>
              <w:rPr>
                <w:rStyle w:val="IndexLink"/>
              </w:rPr>
              <w:t>232</w:t>
            </w:r>
          </w:hyperlink>
        </w:p>
        <w:p>
          <w:pPr>
            <w:pStyle w:val="Contents3"/>
            <w:tabs>
              <w:tab w:val="clear" w:pos="8459"/>
              <w:tab w:val="right" w:pos="9026" w:leader="dot"/>
            </w:tabs>
            <w:rPr/>
          </w:pPr>
          <w:hyperlink w:anchor="__RefHeading___Toc11006742_73709187">
            <w:r>
              <w:rPr>
                <w:webHidden/>
                <w:rStyle w:val="IndexLink"/>
                <w:rtl w:val="true"/>
              </w:rPr>
              <w:t>اشتراط القبض في الوقف على الجهات العامّة</w:t>
            </w:r>
            <w:r>
              <w:rPr>
                <w:rStyle w:val="IndexLink"/>
                <w:rtl w:val="true"/>
              </w:rPr>
              <w:tab/>
            </w:r>
            <w:r>
              <w:rPr>
                <w:rStyle w:val="IndexLink"/>
              </w:rPr>
              <w:t>235</w:t>
            </w:r>
          </w:hyperlink>
        </w:p>
        <w:p>
          <w:pPr>
            <w:pStyle w:val="Contents3"/>
            <w:tabs>
              <w:tab w:val="clear" w:pos="8459"/>
              <w:tab w:val="right" w:pos="9026" w:leader="dot"/>
            </w:tabs>
            <w:rPr/>
          </w:pPr>
          <w:hyperlink w:anchor="__RefHeading___Toc11006744_73709187">
            <w:r>
              <w:rPr>
                <w:webHidden/>
                <w:rStyle w:val="IndexLink"/>
                <w:rtl w:val="true"/>
              </w:rPr>
              <w:t>عدم اعتبار التنجيز في الوقف</w:t>
            </w:r>
            <w:r>
              <w:rPr>
                <w:rStyle w:val="IndexLink"/>
                <w:rtl w:val="true"/>
              </w:rPr>
              <w:tab/>
            </w:r>
            <w:r>
              <w:rPr>
                <w:rStyle w:val="IndexLink"/>
              </w:rPr>
              <w:t>238</w:t>
            </w:r>
          </w:hyperlink>
        </w:p>
        <w:p>
          <w:pPr>
            <w:pStyle w:val="Contents3"/>
            <w:tabs>
              <w:tab w:val="clear" w:pos="8459"/>
              <w:tab w:val="right" w:pos="9026" w:leader="dot"/>
            </w:tabs>
            <w:rPr/>
          </w:pPr>
          <w:hyperlink w:anchor="__RefHeading___Toc11006746_73709187">
            <w:r>
              <w:rPr>
                <w:webHidden/>
                <w:rStyle w:val="IndexLink"/>
                <w:rtl w:val="true"/>
              </w:rPr>
              <w:t>عدم اعتبار الدوام في الوقف</w:t>
            </w:r>
            <w:r>
              <w:rPr>
                <w:rStyle w:val="IndexLink"/>
                <w:rtl w:val="true"/>
              </w:rPr>
              <w:tab/>
            </w:r>
            <w:r>
              <w:rPr>
                <w:rStyle w:val="IndexLink"/>
              </w:rPr>
              <w:t>239</w:t>
            </w:r>
          </w:hyperlink>
        </w:p>
        <w:p>
          <w:pPr>
            <w:pStyle w:val="Contents3"/>
            <w:tabs>
              <w:tab w:val="clear" w:pos="8459"/>
              <w:tab w:val="right" w:pos="9026" w:leader="dot"/>
            </w:tabs>
            <w:rPr/>
          </w:pPr>
          <w:hyperlink w:anchor="__RefHeading___Toc11006748_73709187">
            <w:r>
              <w:rPr>
                <w:webHidden/>
                <w:rStyle w:val="IndexLink"/>
                <w:rtl w:val="true"/>
              </w:rPr>
              <w:t>الوقف على النفس</w:t>
            </w:r>
            <w:r>
              <w:rPr>
                <w:rStyle w:val="IndexLink"/>
                <w:rtl w:val="true"/>
              </w:rPr>
              <w:tab/>
            </w:r>
            <w:r>
              <w:rPr>
                <w:rStyle w:val="IndexLink"/>
              </w:rPr>
              <w:t>242</w:t>
            </w:r>
          </w:hyperlink>
        </w:p>
        <w:p>
          <w:pPr>
            <w:pStyle w:val="Contents3"/>
            <w:tabs>
              <w:tab w:val="clear" w:pos="8459"/>
              <w:tab w:val="right" w:pos="9026" w:leader="dot"/>
            </w:tabs>
            <w:rPr/>
          </w:pPr>
          <w:hyperlink w:anchor="__RefHeading___Toc11006750_73709187">
            <w:r>
              <w:rPr>
                <w:webHidden/>
                <w:rStyle w:val="IndexLink"/>
                <w:rtl w:val="true"/>
              </w:rPr>
              <w:t>حكم ما لو شرط الواقف شرطاً لنفسه</w:t>
            </w:r>
            <w:r>
              <w:rPr>
                <w:rStyle w:val="IndexLink"/>
                <w:rtl w:val="true"/>
              </w:rPr>
              <w:tab/>
            </w:r>
            <w:r>
              <w:rPr>
                <w:rStyle w:val="IndexLink"/>
              </w:rPr>
              <w:t>245</w:t>
            </w:r>
          </w:hyperlink>
        </w:p>
        <w:p>
          <w:pPr>
            <w:pStyle w:val="Contents3"/>
            <w:tabs>
              <w:tab w:val="clear" w:pos="8459"/>
              <w:tab w:val="right" w:pos="9026" w:leader="dot"/>
            </w:tabs>
            <w:rPr/>
          </w:pPr>
          <w:hyperlink w:anchor="__RefHeading___Toc11006752_73709187">
            <w:r>
              <w:rPr>
                <w:webHidden/>
                <w:rStyle w:val="IndexLink"/>
                <w:rtl w:val="true"/>
              </w:rPr>
              <w:t>بيان صور إمكان انتفاع الواقف</w:t>
            </w:r>
            <w:r>
              <w:rPr>
                <w:rStyle w:val="IndexLink"/>
                <w:rtl w:val="true"/>
              </w:rPr>
              <w:tab/>
            </w:r>
            <w:r>
              <w:rPr>
                <w:rStyle w:val="IndexLink"/>
              </w:rPr>
              <w:t>247</w:t>
            </w:r>
          </w:hyperlink>
        </w:p>
        <w:p>
          <w:pPr>
            <w:pStyle w:val="Contents3"/>
            <w:tabs>
              <w:tab w:val="clear" w:pos="8459"/>
              <w:tab w:val="right" w:pos="9026" w:leader="dot"/>
            </w:tabs>
            <w:rPr/>
          </w:pPr>
          <w:hyperlink w:anchor="__RefHeading___Toc11006754_73709187">
            <w:r>
              <w:rPr>
                <w:webHidden/>
                <w:rStyle w:val="IndexLink"/>
                <w:rtl w:val="true"/>
              </w:rPr>
              <w:t>شرط عود الوقف مِلْكاً</w:t>
            </w:r>
            <w:r>
              <w:rPr>
                <w:rStyle w:val="IndexLink"/>
                <w:rtl w:val="true"/>
              </w:rPr>
              <w:tab/>
            </w:r>
            <w:r>
              <w:rPr>
                <w:rStyle w:val="IndexLink"/>
              </w:rPr>
              <w:t>248</w:t>
            </w:r>
          </w:hyperlink>
        </w:p>
        <w:p>
          <w:pPr>
            <w:pStyle w:val="Contents3"/>
            <w:tabs>
              <w:tab w:val="clear" w:pos="8459"/>
              <w:tab w:val="right" w:pos="9026" w:leader="dot"/>
            </w:tabs>
            <w:rPr/>
          </w:pPr>
          <w:hyperlink w:anchor="__RefHeading___Toc11006756_73709187">
            <w:r>
              <w:rPr>
                <w:webHidden/>
                <w:rStyle w:val="IndexLink"/>
                <w:rtl w:val="true"/>
              </w:rPr>
              <w:t>الوقف على من ينقرض غالباً</w:t>
            </w:r>
            <w:r>
              <w:rPr>
                <w:rStyle w:val="IndexLink"/>
                <w:rtl w:val="true"/>
              </w:rPr>
              <w:tab/>
            </w:r>
            <w:r>
              <w:rPr>
                <w:rStyle w:val="IndexLink"/>
              </w:rPr>
              <w:t>253</w:t>
            </w:r>
          </w:hyperlink>
        </w:p>
        <w:p>
          <w:pPr>
            <w:pStyle w:val="Contents3"/>
            <w:tabs>
              <w:tab w:val="clear" w:pos="8459"/>
              <w:tab w:val="right" w:pos="9026" w:leader="dot"/>
            </w:tabs>
            <w:rPr/>
          </w:pPr>
          <w:hyperlink w:anchor="__RefHeading___Toc11006758_73709187">
            <w:r>
              <w:rPr>
                <w:webHidden/>
                <w:rStyle w:val="IndexLink"/>
                <w:rtl w:val="true"/>
              </w:rPr>
              <w:t>شرائط الموقوف</w:t>
            </w:r>
            <w:r>
              <w:rPr>
                <w:rStyle w:val="IndexLink"/>
                <w:rtl w:val="true"/>
              </w:rPr>
              <w:tab/>
            </w:r>
            <w:r>
              <w:rPr>
                <w:rStyle w:val="IndexLink"/>
              </w:rPr>
              <w:t>256</w:t>
            </w:r>
          </w:hyperlink>
        </w:p>
        <w:p>
          <w:pPr>
            <w:pStyle w:val="Contents3"/>
            <w:tabs>
              <w:tab w:val="clear" w:pos="8459"/>
              <w:tab w:val="right" w:pos="9026" w:leader="dot"/>
            </w:tabs>
            <w:rPr/>
          </w:pPr>
          <w:hyperlink w:anchor="__RefHeading___Toc11006760_73709187">
            <w:r>
              <w:rPr>
                <w:webHidden/>
                <w:rStyle w:val="IndexLink"/>
                <w:rtl w:val="true"/>
              </w:rPr>
              <w:t>شرائط الواقف</w:t>
            </w:r>
            <w:r>
              <w:rPr>
                <w:rStyle w:val="IndexLink"/>
                <w:rtl w:val="true"/>
              </w:rPr>
              <w:tab/>
            </w:r>
            <w:r>
              <w:rPr>
                <w:rStyle w:val="IndexLink"/>
              </w:rPr>
              <w:t>262</w:t>
            </w:r>
          </w:hyperlink>
        </w:p>
        <w:p>
          <w:pPr>
            <w:pStyle w:val="Contents3"/>
            <w:tabs>
              <w:tab w:val="clear" w:pos="8459"/>
              <w:tab w:val="right" w:pos="9026" w:leader="dot"/>
            </w:tabs>
            <w:rPr/>
          </w:pPr>
          <w:hyperlink w:anchor="__RefHeading___Toc11006762_73709187">
            <w:r>
              <w:rPr>
                <w:webHidden/>
                <w:rStyle w:val="IndexLink"/>
                <w:rtl w:val="true"/>
              </w:rPr>
              <w:t>شرائط الموقوف عليه</w:t>
            </w:r>
            <w:r>
              <w:rPr>
                <w:rStyle w:val="IndexLink"/>
                <w:rtl w:val="true"/>
              </w:rPr>
              <w:tab/>
            </w:r>
            <w:r>
              <w:rPr>
                <w:rStyle w:val="IndexLink"/>
              </w:rPr>
              <w:t>264</w:t>
            </w:r>
          </w:hyperlink>
        </w:p>
        <w:p>
          <w:pPr>
            <w:pStyle w:val="Contents3"/>
            <w:tabs>
              <w:tab w:val="clear" w:pos="8459"/>
              <w:tab w:val="right" w:pos="9026" w:leader="dot"/>
            </w:tabs>
            <w:rPr/>
          </w:pPr>
          <w:hyperlink w:anchor="__RefHeading___Toc11006764_73709187">
            <w:r>
              <w:rPr>
                <w:webHidden/>
                <w:rStyle w:val="IndexLink"/>
                <w:rtl w:val="true"/>
              </w:rPr>
              <w:t>اشتراط تعيين الموقوف عليه</w:t>
            </w:r>
            <w:r>
              <w:rPr>
                <w:rStyle w:val="IndexLink"/>
                <w:rtl w:val="true"/>
              </w:rPr>
              <w:tab/>
            </w:r>
            <w:r>
              <w:rPr>
                <w:rStyle w:val="IndexLink"/>
              </w:rPr>
              <w:t>269</w:t>
            </w:r>
          </w:hyperlink>
        </w:p>
        <w:p>
          <w:pPr>
            <w:pStyle w:val="Contents3"/>
            <w:tabs>
              <w:tab w:val="clear" w:pos="8459"/>
              <w:tab w:val="right" w:pos="9026" w:leader="dot"/>
            </w:tabs>
            <w:rPr/>
          </w:pPr>
          <w:hyperlink w:anchor="__RefHeading___Toc11006766_73709187">
            <w:r>
              <w:rPr>
                <w:webHidden/>
                <w:rStyle w:val="IndexLink"/>
                <w:rtl w:val="true"/>
              </w:rPr>
              <w:t>جعل الواقف النظر لنفسه</w:t>
            </w:r>
            <w:r>
              <w:rPr>
                <w:rStyle w:val="IndexLink"/>
                <w:rtl w:val="true"/>
              </w:rPr>
              <w:tab/>
            </w:r>
            <w:r>
              <w:rPr>
                <w:rStyle w:val="IndexLink"/>
              </w:rPr>
              <w:t>272</w:t>
            </w:r>
          </w:hyperlink>
        </w:p>
        <w:p>
          <w:pPr>
            <w:pStyle w:val="Contents3"/>
            <w:tabs>
              <w:tab w:val="clear" w:pos="8459"/>
              <w:tab w:val="right" w:pos="9026" w:leader="dot"/>
            </w:tabs>
            <w:rPr/>
          </w:pPr>
          <w:hyperlink w:anchor="__RefHeading___Toc11006768_73709187">
            <w:r>
              <w:rPr>
                <w:webHidden/>
                <w:rStyle w:val="IndexLink"/>
                <w:rtl w:val="true"/>
              </w:rPr>
              <w:t>الوقف على الكافر</w:t>
            </w:r>
            <w:r>
              <w:rPr>
                <w:rStyle w:val="IndexLink"/>
                <w:rtl w:val="true"/>
              </w:rPr>
              <w:tab/>
            </w:r>
            <w:r>
              <w:rPr>
                <w:rStyle w:val="IndexLink"/>
              </w:rPr>
              <w:t>280</w:t>
            </w:r>
          </w:hyperlink>
        </w:p>
        <w:p>
          <w:pPr>
            <w:pStyle w:val="Contents3"/>
            <w:tabs>
              <w:tab w:val="clear" w:pos="8459"/>
              <w:tab w:val="right" w:pos="9026" w:leader="dot"/>
            </w:tabs>
            <w:rPr/>
          </w:pPr>
          <w:hyperlink w:anchor="__RefHeading___Toc11006770_73709187">
            <w:r>
              <w:rPr>
                <w:webHidden/>
                <w:rStyle w:val="IndexLink"/>
                <w:rtl w:val="true"/>
              </w:rPr>
              <w:t>فيما يتعلّق بألفاظ الوقف</w:t>
            </w:r>
            <w:r>
              <w:rPr>
                <w:rStyle w:val="IndexLink"/>
                <w:rtl w:val="true"/>
              </w:rPr>
              <w:tab/>
            </w:r>
            <w:r>
              <w:rPr>
                <w:rStyle w:val="IndexLink"/>
              </w:rPr>
              <w:t>282</w:t>
            </w:r>
          </w:hyperlink>
        </w:p>
        <w:p>
          <w:pPr>
            <w:pStyle w:val="Contents3"/>
            <w:tabs>
              <w:tab w:val="clear" w:pos="8459"/>
              <w:tab w:val="right" w:pos="9026" w:leader="dot"/>
            </w:tabs>
            <w:rPr/>
          </w:pPr>
          <w:hyperlink w:anchor="__RefHeading___Toc11006772_73709187">
            <w:r>
              <w:rPr>
                <w:webHidden/>
                <w:rStyle w:val="IndexLink"/>
                <w:rtl w:val="true"/>
              </w:rPr>
              <w:t>إذا بطلت المصلحة الموقوف عليها</w:t>
            </w:r>
            <w:r>
              <w:rPr>
                <w:rStyle w:val="IndexLink"/>
                <w:rtl w:val="true"/>
              </w:rPr>
              <w:tab/>
            </w:r>
            <w:r>
              <w:rPr>
                <w:rStyle w:val="IndexLink"/>
              </w:rPr>
              <w:t>290</w:t>
            </w:r>
          </w:hyperlink>
        </w:p>
        <w:p>
          <w:pPr>
            <w:pStyle w:val="Contents3"/>
            <w:tabs>
              <w:tab w:val="clear" w:pos="8459"/>
              <w:tab w:val="right" w:pos="9026" w:leader="dot"/>
            </w:tabs>
            <w:rPr/>
          </w:pPr>
          <w:hyperlink w:anchor="__RefHeading___Toc11006774_73709187">
            <w:r>
              <w:rPr>
                <w:webHidden/>
                <w:rStyle w:val="IndexLink"/>
                <w:rtl w:val="true"/>
              </w:rPr>
              <w:t>حكم تغيير الوقف عن هيئته</w:t>
            </w:r>
            <w:r>
              <w:rPr>
                <w:rStyle w:val="IndexLink"/>
                <w:rtl w:val="true"/>
              </w:rPr>
              <w:tab/>
            </w:r>
            <w:r>
              <w:rPr>
                <w:rStyle w:val="IndexLink"/>
              </w:rPr>
              <w:t>294</w:t>
            </w:r>
          </w:hyperlink>
        </w:p>
        <w:p>
          <w:pPr>
            <w:pStyle w:val="Contents3"/>
            <w:tabs>
              <w:tab w:val="clear" w:pos="8459"/>
              <w:tab w:val="right" w:pos="9026" w:leader="dot"/>
            </w:tabs>
            <w:rPr/>
          </w:pPr>
          <w:hyperlink w:anchor="__RefHeading___Toc11006776_73709187">
            <w:r>
              <w:rPr>
                <w:webHidden/>
                <w:rStyle w:val="IndexLink"/>
                <w:rtl w:val="true"/>
              </w:rPr>
              <w:t>مصارف تعمير الأملاك الموقوفة</w:t>
            </w:r>
            <w:r>
              <w:rPr>
                <w:rStyle w:val="IndexLink"/>
                <w:rtl w:val="true"/>
              </w:rPr>
              <w:tab/>
            </w:r>
            <w:r>
              <w:rPr>
                <w:rStyle w:val="IndexLink"/>
              </w:rPr>
              <w:t>300</w:t>
            </w:r>
          </w:hyperlink>
        </w:p>
        <w:p>
          <w:pPr>
            <w:pStyle w:val="Contents3"/>
            <w:tabs>
              <w:tab w:val="clear" w:pos="8459"/>
              <w:tab w:val="right" w:pos="9026" w:leader="dot"/>
            </w:tabs>
            <w:rPr/>
          </w:pPr>
          <w:hyperlink w:anchor="__RefHeading___Toc11006778_73709187">
            <w:r>
              <w:rPr>
                <w:webHidden/>
                <w:rStyle w:val="IndexLink"/>
                <w:rtl w:val="true"/>
              </w:rPr>
              <w:t>حكم استيجار الأرض لتُجعل مسجداً</w:t>
            </w:r>
            <w:r>
              <w:rPr>
                <w:rStyle w:val="IndexLink"/>
                <w:rtl w:val="true"/>
              </w:rPr>
              <w:tab/>
            </w:r>
            <w:r>
              <w:rPr>
                <w:rStyle w:val="IndexLink"/>
              </w:rPr>
              <w:t>303</w:t>
            </w:r>
          </w:hyperlink>
        </w:p>
        <w:p>
          <w:pPr>
            <w:pStyle w:val="Contents3"/>
            <w:tabs>
              <w:tab w:val="clear" w:pos="8459"/>
              <w:tab w:val="right" w:pos="9026" w:leader="dot"/>
            </w:tabs>
            <w:rPr/>
          </w:pPr>
          <w:hyperlink w:anchor="__RefHeading___Toc11006780_73709187">
            <w:r>
              <w:rPr>
                <w:webHidden/>
                <w:rStyle w:val="IndexLink"/>
                <w:rtl w:val="true"/>
              </w:rPr>
              <w:t>الشكّ في اعتبار قيدٍ في الموقوف عليه</w:t>
            </w:r>
            <w:r>
              <w:rPr>
                <w:rStyle w:val="IndexLink"/>
                <w:rtl w:val="true"/>
              </w:rPr>
              <w:tab/>
            </w:r>
            <w:r>
              <w:rPr>
                <w:rStyle w:val="IndexLink"/>
              </w:rPr>
              <w:t>304</w:t>
            </w:r>
          </w:hyperlink>
        </w:p>
        <w:p>
          <w:pPr>
            <w:pStyle w:val="Contents3"/>
            <w:tabs>
              <w:tab w:val="clear" w:pos="8459"/>
              <w:tab w:val="right" w:pos="9026" w:leader="dot"/>
            </w:tabs>
            <w:rPr/>
          </w:pPr>
          <w:hyperlink w:anchor="__RefHeading___Toc11006782_73709187">
            <w:r>
              <w:rPr>
                <w:webHidden/>
                <w:rStyle w:val="IndexLink"/>
                <w:rtl w:val="true"/>
              </w:rPr>
              <w:t>السُّكنى والعُمري والرُّقبي</w:t>
            </w:r>
            <w:r>
              <w:rPr>
                <w:rStyle w:val="IndexLink"/>
                <w:rtl w:val="true"/>
              </w:rPr>
              <w:tab/>
            </w:r>
            <w:r>
              <w:rPr>
                <w:rStyle w:val="IndexLink"/>
              </w:rPr>
              <w:t>306</w:t>
            </w:r>
          </w:hyperlink>
        </w:p>
        <w:p>
          <w:pPr>
            <w:pStyle w:val="Contents3"/>
            <w:tabs>
              <w:tab w:val="clear" w:pos="8459"/>
              <w:tab w:val="right" w:pos="9026" w:leader="dot"/>
            </w:tabs>
            <w:rPr/>
          </w:pPr>
          <w:hyperlink w:anchor="__RefHeading___Toc11006784_73709187">
            <w:r>
              <w:rPr>
                <w:webHidden/>
                <w:rStyle w:val="IndexLink"/>
                <w:rtl w:val="true"/>
              </w:rPr>
              <w:t>الحبس</w:t>
            </w:r>
            <w:r>
              <w:rPr>
                <w:rStyle w:val="IndexLink"/>
                <w:rtl w:val="true"/>
              </w:rPr>
              <w:tab/>
            </w:r>
            <w:r>
              <w:rPr>
                <w:rStyle w:val="IndexLink"/>
              </w:rPr>
              <w:t>316</w:t>
            </w:r>
          </w:hyperlink>
        </w:p>
        <w:p>
          <w:pPr>
            <w:pStyle w:val="Contents3"/>
            <w:tabs>
              <w:tab w:val="clear" w:pos="8459"/>
              <w:tab w:val="right" w:pos="9026" w:leader="dot"/>
            </w:tabs>
            <w:rPr/>
          </w:pPr>
          <w:hyperlink w:anchor="__RefHeading___Toc11006786_73709187">
            <w:r>
              <w:rPr>
                <w:webHidden/>
                <w:rStyle w:val="IndexLink"/>
                <w:rtl w:val="true"/>
              </w:rPr>
              <w:t>(</w:t>
            </w:r>
            <w:r>
              <w:rPr>
                <w:rStyle w:val="IndexLink"/>
                <w:rtl w:val="true"/>
              </w:rPr>
              <w:t>الفصل الثالث في الوصايا</w:t>
            </w:r>
            <w:r>
              <w:rPr>
                <w:rStyle w:val="IndexLink"/>
                <w:rtl w:val="true"/>
              </w:rPr>
              <w:t>)</w:t>
              <w:tab/>
            </w:r>
            <w:r>
              <w:rPr>
                <w:rStyle w:val="IndexLink"/>
              </w:rPr>
              <w:t>319</w:t>
            </w:r>
          </w:hyperlink>
        </w:p>
        <w:p>
          <w:pPr>
            <w:pStyle w:val="Contents3"/>
            <w:tabs>
              <w:tab w:val="clear" w:pos="8459"/>
              <w:tab w:val="right" w:pos="9026" w:leader="dot"/>
            </w:tabs>
            <w:rPr/>
          </w:pPr>
          <w:hyperlink w:anchor="__RefHeading___Toc11006788_73709187">
            <w:r>
              <w:rPr>
                <w:webHidden/>
                <w:rStyle w:val="IndexLink"/>
                <w:rtl w:val="true"/>
              </w:rPr>
              <w:t>حكم القبول في الوصيّة</w:t>
            </w:r>
            <w:r>
              <w:rPr>
                <w:rStyle w:val="IndexLink"/>
                <w:rtl w:val="true"/>
              </w:rPr>
              <w:tab/>
            </w:r>
            <w:r>
              <w:rPr>
                <w:rStyle w:val="IndexLink"/>
              </w:rPr>
              <w:t>323</w:t>
            </w:r>
          </w:hyperlink>
        </w:p>
        <w:p>
          <w:pPr>
            <w:pStyle w:val="Contents3"/>
            <w:tabs>
              <w:tab w:val="clear" w:pos="8459"/>
              <w:tab w:val="right" w:pos="9026" w:leader="dot"/>
            </w:tabs>
            <w:rPr/>
          </w:pPr>
          <w:hyperlink w:anchor="__RefHeading___Toc11006790_73709187">
            <w:r>
              <w:rPr>
                <w:webHidden/>
                <w:rStyle w:val="IndexLink"/>
                <w:rtl w:val="true"/>
              </w:rPr>
              <w:t>الوصيّة بالفعل والكتابة</w:t>
            </w:r>
            <w:r>
              <w:rPr>
                <w:rStyle w:val="IndexLink"/>
                <w:rtl w:val="true"/>
              </w:rPr>
              <w:tab/>
            </w:r>
            <w:r>
              <w:rPr>
                <w:rStyle w:val="IndexLink"/>
              </w:rPr>
              <w:t>331</w:t>
            </w:r>
          </w:hyperlink>
        </w:p>
        <w:p>
          <w:pPr>
            <w:pStyle w:val="Contents3"/>
            <w:tabs>
              <w:tab w:val="clear" w:pos="8459"/>
              <w:tab w:val="right" w:pos="9026" w:leader="dot"/>
            </w:tabs>
            <w:rPr/>
          </w:pPr>
          <w:hyperlink w:anchor="__RefHeading___Toc11006792_73709187">
            <w:r>
              <w:rPr>
                <w:webHidden/>
                <w:rStyle w:val="IndexLink"/>
                <w:rtl w:val="true"/>
              </w:rPr>
              <w:t>حكم الوصيّة بأمرين وقبول الموصى له أحدهما</w:t>
            </w:r>
            <w:r>
              <w:rPr>
                <w:rStyle w:val="IndexLink"/>
                <w:rtl w:val="true"/>
              </w:rPr>
              <w:tab/>
            </w:r>
            <w:r>
              <w:rPr>
                <w:rStyle w:val="IndexLink"/>
              </w:rPr>
              <w:t>336</w:t>
            </w:r>
          </w:hyperlink>
        </w:p>
        <w:p>
          <w:pPr>
            <w:pStyle w:val="Contents3"/>
            <w:tabs>
              <w:tab w:val="clear" w:pos="8459"/>
              <w:tab w:val="right" w:pos="9026" w:leader="dot"/>
            </w:tabs>
            <w:rPr/>
          </w:pPr>
          <w:hyperlink w:anchor="__RefHeading___Toc11006794_73709187">
            <w:r>
              <w:rPr>
                <w:webHidden/>
                <w:rStyle w:val="IndexLink"/>
                <w:rtl w:val="true"/>
              </w:rPr>
              <w:t>لزوم الوصيّة بالأمر السائغ</w:t>
            </w:r>
            <w:r>
              <w:rPr>
                <w:rStyle w:val="IndexLink"/>
                <w:rtl w:val="true"/>
              </w:rPr>
              <w:tab/>
            </w:r>
            <w:r>
              <w:rPr>
                <w:rStyle w:val="IndexLink"/>
              </w:rPr>
              <w:t>338</w:t>
            </w:r>
          </w:hyperlink>
        </w:p>
        <w:p>
          <w:pPr>
            <w:pStyle w:val="Contents3"/>
            <w:tabs>
              <w:tab w:val="clear" w:pos="8459"/>
              <w:tab w:val="right" w:pos="9026" w:leader="dot"/>
            </w:tabs>
            <w:rPr/>
          </w:pPr>
          <w:hyperlink w:anchor="__RefHeading___Toc11006796_73709187">
            <w:r>
              <w:rPr>
                <w:webHidden/>
                <w:rStyle w:val="IndexLink"/>
                <w:rtl w:val="true"/>
              </w:rPr>
              <w:t>جواز رجوع الموصي في الوصيّة</w:t>
            </w:r>
            <w:r>
              <w:rPr>
                <w:rStyle w:val="IndexLink"/>
                <w:rtl w:val="true"/>
              </w:rPr>
              <w:tab/>
            </w:r>
            <w:r>
              <w:rPr>
                <w:rStyle w:val="IndexLink"/>
              </w:rPr>
              <w:t>340</w:t>
            </w:r>
          </w:hyperlink>
        </w:p>
        <w:p>
          <w:pPr>
            <w:pStyle w:val="Contents3"/>
            <w:tabs>
              <w:tab w:val="clear" w:pos="8459"/>
              <w:tab w:val="right" w:pos="9026" w:leader="dot"/>
            </w:tabs>
            <w:rPr/>
          </w:pPr>
          <w:hyperlink w:anchor="__RefHeading___Toc11006798_73709187">
            <w:r>
              <w:rPr>
                <w:webHidden/>
                <w:rStyle w:val="IndexLink"/>
                <w:rtl w:val="true"/>
              </w:rPr>
              <w:t>البحث عن شرائط الموصي</w:t>
            </w:r>
            <w:r>
              <w:rPr>
                <w:rStyle w:val="IndexLink"/>
                <w:rtl w:val="true"/>
              </w:rPr>
              <w:tab/>
            </w:r>
            <w:r>
              <w:rPr>
                <w:rStyle w:val="IndexLink"/>
              </w:rPr>
              <w:t>344</w:t>
            </w:r>
          </w:hyperlink>
        </w:p>
        <w:p>
          <w:pPr>
            <w:pStyle w:val="Contents3"/>
            <w:tabs>
              <w:tab w:val="clear" w:pos="8459"/>
              <w:tab w:val="right" w:pos="9026" w:leader="dot"/>
            </w:tabs>
            <w:rPr/>
          </w:pPr>
          <w:hyperlink w:anchor="__RefHeading___Toc11006800_73709187">
            <w:r>
              <w:rPr>
                <w:webHidden/>
                <w:rStyle w:val="IndexLink"/>
                <w:rtl w:val="true"/>
              </w:rPr>
              <w:t>الوصيّة بالولاية على الأطفال</w:t>
            </w:r>
            <w:r>
              <w:rPr>
                <w:rStyle w:val="IndexLink"/>
                <w:rtl w:val="true"/>
              </w:rPr>
              <w:tab/>
            </w:r>
            <w:r>
              <w:rPr>
                <w:rStyle w:val="IndexLink"/>
              </w:rPr>
              <w:t>349</w:t>
            </w:r>
          </w:hyperlink>
        </w:p>
        <w:p>
          <w:pPr>
            <w:pStyle w:val="Contents3"/>
            <w:tabs>
              <w:tab w:val="clear" w:pos="8459"/>
              <w:tab w:val="right" w:pos="9026" w:leader="dot"/>
            </w:tabs>
            <w:rPr/>
          </w:pPr>
          <w:hyperlink w:anchor="__RefHeading___Toc11006802_73709187">
            <w:r>
              <w:rPr>
                <w:webHidden/>
                <w:rStyle w:val="IndexLink"/>
                <w:rtl w:val="true"/>
              </w:rPr>
              <w:t>في المُوصى له</w:t>
            </w:r>
            <w:r>
              <w:rPr>
                <w:rStyle w:val="IndexLink"/>
                <w:rtl w:val="true"/>
              </w:rPr>
              <w:tab/>
            </w:r>
            <w:r>
              <w:rPr>
                <w:rStyle w:val="IndexLink"/>
              </w:rPr>
              <w:t>352</w:t>
            </w:r>
          </w:hyperlink>
        </w:p>
        <w:p>
          <w:pPr>
            <w:pStyle w:val="Contents3"/>
            <w:tabs>
              <w:tab w:val="clear" w:pos="8459"/>
              <w:tab w:val="right" w:pos="9026" w:leader="dot"/>
            </w:tabs>
            <w:rPr/>
          </w:pPr>
          <w:hyperlink w:anchor="__RefHeading___Toc11006804_73709187">
            <w:r>
              <w:rPr>
                <w:webHidden/>
                <w:rStyle w:val="IndexLink"/>
                <w:rtl w:val="true"/>
              </w:rPr>
              <w:t>اعتبار التكليف في الوصي</w:t>
            </w:r>
            <w:r>
              <w:rPr>
                <w:rStyle w:val="IndexLink"/>
                <w:rtl w:val="true"/>
              </w:rPr>
              <w:tab/>
            </w:r>
            <w:r>
              <w:rPr>
                <w:rStyle w:val="IndexLink"/>
              </w:rPr>
              <w:t>356</w:t>
            </w:r>
          </w:hyperlink>
        </w:p>
        <w:p>
          <w:pPr>
            <w:pStyle w:val="Contents3"/>
            <w:tabs>
              <w:tab w:val="clear" w:pos="8459"/>
              <w:tab w:val="right" w:pos="9026" w:leader="dot"/>
            </w:tabs>
            <w:rPr/>
          </w:pPr>
          <w:hyperlink w:anchor="__RefHeading___Toc11006806_73709187">
            <w:r>
              <w:rPr>
                <w:webHidden/>
                <w:rStyle w:val="IndexLink"/>
                <w:rtl w:val="true"/>
              </w:rPr>
              <w:t>اعتبار العقل في الوصيّ‌</w:t>
            </w:r>
            <w:r>
              <w:rPr>
                <w:rStyle w:val="IndexLink"/>
                <w:rtl w:val="true"/>
              </w:rPr>
              <w:tab/>
            </w:r>
            <w:r>
              <w:rPr>
                <w:rStyle w:val="IndexLink"/>
              </w:rPr>
              <w:t>360</w:t>
            </w:r>
          </w:hyperlink>
        </w:p>
        <w:p>
          <w:pPr>
            <w:pStyle w:val="Contents3"/>
            <w:tabs>
              <w:tab w:val="clear" w:pos="8459"/>
              <w:tab w:val="right" w:pos="9026" w:leader="dot"/>
            </w:tabs>
            <w:rPr/>
          </w:pPr>
          <w:hyperlink w:anchor="__RefHeading___Toc11006808_73709187">
            <w:r>
              <w:rPr>
                <w:webHidden/>
                <w:rStyle w:val="IndexLink"/>
                <w:rtl w:val="true"/>
              </w:rPr>
              <w:t>اعتبار العدالة في الوصي</w:t>
            </w:r>
            <w:r>
              <w:rPr>
                <w:rStyle w:val="IndexLink"/>
                <w:rtl w:val="true"/>
              </w:rPr>
              <w:tab/>
            </w:r>
            <w:r>
              <w:rPr>
                <w:rStyle w:val="IndexLink"/>
              </w:rPr>
              <w:t>362</w:t>
            </w:r>
          </w:hyperlink>
        </w:p>
        <w:p>
          <w:pPr>
            <w:pStyle w:val="Contents3"/>
            <w:tabs>
              <w:tab w:val="clear" w:pos="8459"/>
              <w:tab w:val="right" w:pos="9026" w:leader="dot"/>
            </w:tabs>
            <w:rPr/>
          </w:pPr>
          <w:hyperlink w:anchor="__RefHeading___Toc11006810_73709187">
            <w:r>
              <w:rPr>
                <w:webHidden/>
                <w:rStyle w:val="IndexLink"/>
                <w:rtl w:val="true"/>
              </w:rPr>
              <w:t>الموصى به وما يعتبر فيه</w:t>
            </w:r>
            <w:r>
              <w:rPr>
                <w:rStyle w:val="IndexLink"/>
                <w:rtl w:val="true"/>
              </w:rPr>
              <w:tab/>
            </w:r>
            <w:r>
              <w:rPr>
                <w:rStyle w:val="IndexLink"/>
              </w:rPr>
              <w:t>367</w:t>
            </w:r>
          </w:hyperlink>
        </w:p>
        <w:p>
          <w:pPr>
            <w:pStyle w:val="Contents3"/>
            <w:tabs>
              <w:tab w:val="clear" w:pos="8459"/>
              <w:tab w:val="right" w:pos="9026" w:leader="dot"/>
            </w:tabs>
            <w:rPr/>
          </w:pPr>
          <w:hyperlink w:anchor="__RefHeading___Toc11006812_73709187">
            <w:r>
              <w:rPr>
                <w:webHidden/>
                <w:rStyle w:val="IndexLink"/>
                <w:rtl w:val="true"/>
              </w:rPr>
              <w:t>حكم وصيّة القاتل نفسه</w:t>
            </w:r>
            <w:r>
              <w:rPr>
                <w:rStyle w:val="IndexLink"/>
                <w:rtl w:val="true"/>
              </w:rPr>
              <w:tab/>
            </w:r>
            <w:r>
              <w:rPr>
                <w:rStyle w:val="IndexLink"/>
              </w:rPr>
              <w:t>369</w:t>
            </w:r>
          </w:hyperlink>
        </w:p>
        <w:p>
          <w:pPr>
            <w:pStyle w:val="Contents3"/>
            <w:tabs>
              <w:tab w:val="clear" w:pos="8459"/>
              <w:tab w:val="right" w:pos="9026" w:leader="dot"/>
            </w:tabs>
            <w:rPr/>
          </w:pPr>
          <w:hyperlink w:anchor="__RefHeading___Toc11006814_73709187">
            <w:r>
              <w:rPr>
                <w:webHidden/>
                <w:rStyle w:val="IndexLink"/>
                <w:rtl w:val="true"/>
              </w:rPr>
              <w:t>الوصيّة للحمل</w:t>
            </w:r>
            <w:r>
              <w:rPr>
                <w:rStyle w:val="IndexLink"/>
                <w:rtl w:val="true"/>
              </w:rPr>
              <w:tab/>
            </w:r>
            <w:r>
              <w:rPr>
                <w:rStyle w:val="IndexLink"/>
              </w:rPr>
              <w:t>371</w:t>
            </w:r>
          </w:hyperlink>
        </w:p>
        <w:p>
          <w:pPr>
            <w:pStyle w:val="Contents3"/>
            <w:tabs>
              <w:tab w:val="clear" w:pos="8459"/>
              <w:tab w:val="right" w:pos="9026" w:leader="dot"/>
            </w:tabs>
            <w:rPr/>
          </w:pPr>
          <w:hyperlink w:anchor="__RefHeading___Toc11006816_73709187">
            <w:r>
              <w:rPr>
                <w:webHidden/>
                <w:rStyle w:val="IndexLink"/>
                <w:rtl w:val="true"/>
              </w:rPr>
              <w:t>الوصيّة للكافر</w:t>
            </w:r>
            <w:r>
              <w:rPr>
                <w:rStyle w:val="IndexLink"/>
                <w:rtl w:val="true"/>
              </w:rPr>
              <w:tab/>
            </w:r>
            <w:r>
              <w:rPr>
                <w:rStyle w:val="IndexLink"/>
              </w:rPr>
              <w:t>373</w:t>
            </w:r>
          </w:hyperlink>
        </w:p>
        <w:p>
          <w:pPr>
            <w:pStyle w:val="Contents3"/>
            <w:tabs>
              <w:tab w:val="clear" w:pos="8459"/>
              <w:tab w:val="right" w:pos="9026" w:leader="dot"/>
            </w:tabs>
            <w:rPr/>
          </w:pPr>
          <w:hyperlink w:anchor="__RefHeading___Toc11006818_73709187">
            <w:r>
              <w:rPr>
                <w:webHidden/>
                <w:rStyle w:val="IndexLink"/>
                <w:rtl w:val="true"/>
              </w:rPr>
              <w:t>حكم ما لو مات الموصى له قبل الموصي</w:t>
            </w:r>
            <w:r>
              <w:rPr>
                <w:rStyle w:val="IndexLink"/>
                <w:rtl w:val="true"/>
              </w:rPr>
              <w:tab/>
            </w:r>
            <w:r>
              <w:rPr>
                <w:rStyle w:val="IndexLink"/>
              </w:rPr>
              <w:t>378</w:t>
            </w:r>
          </w:hyperlink>
        </w:p>
        <w:p>
          <w:pPr>
            <w:pStyle w:val="Contents3"/>
            <w:tabs>
              <w:tab w:val="clear" w:pos="8459"/>
              <w:tab w:val="right" w:pos="9026" w:leader="dot"/>
            </w:tabs>
            <w:rPr/>
          </w:pPr>
          <w:hyperlink w:anchor="__RefHeading___Toc11006820_73709187">
            <w:r>
              <w:rPr>
                <w:webHidden/>
                <w:rStyle w:val="IndexLink"/>
                <w:rtl w:val="true"/>
              </w:rPr>
              <w:t>الوصيّة بالحمل</w:t>
            </w:r>
            <w:r>
              <w:rPr>
                <w:rStyle w:val="IndexLink"/>
                <w:rtl w:val="true"/>
              </w:rPr>
              <w:tab/>
            </w:r>
            <w:r>
              <w:rPr>
                <w:rStyle w:val="IndexLink"/>
              </w:rPr>
              <w:t>385</w:t>
            </w:r>
          </w:hyperlink>
        </w:p>
        <w:p>
          <w:pPr>
            <w:pStyle w:val="Contents3"/>
            <w:tabs>
              <w:tab w:val="clear" w:pos="8459"/>
              <w:tab w:val="right" w:pos="9026" w:leader="dot"/>
            </w:tabs>
            <w:rPr/>
          </w:pPr>
          <w:hyperlink w:anchor="__RefHeading___Toc11006822_73709187">
            <w:r>
              <w:rPr>
                <w:webHidden/>
                <w:rStyle w:val="IndexLink"/>
                <w:rtl w:val="true"/>
              </w:rPr>
              <w:t>حكم ما لو أوصى إلى اثنين</w:t>
            </w:r>
            <w:r>
              <w:rPr>
                <w:rStyle w:val="IndexLink"/>
                <w:rtl w:val="true"/>
              </w:rPr>
              <w:tab/>
            </w:r>
            <w:r>
              <w:rPr>
                <w:rStyle w:val="IndexLink"/>
              </w:rPr>
              <w:t>386</w:t>
            </w:r>
          </w:hyperlink>
        </w:p>
        <w:p>
          <w:pPr>
            <w:pStyle w:val="Contents3"/>
            <w:tabs>
              <w:tab w:val="clear" w:pos="8459"/>
              <w:tab w:val="right" w:pos="9026" w:leader="dot"/>
            </w:tabs>
            <w:rPr/>
          </w:pPr>
          <w:hyperlink w:anchor="__RefHeading___Toc11006824_73709187">
            <w:r>
              <w:rPr>
                <w:webHidden/>
                <w:rStyle w:val="IndexLink"/>
                <w:rtl w:val="true"/>
              </w:rPr>
              <w:t>حكم رَدّ الوصيّة</w:t>
            </w:r>
            <w:r>
              <w:rPr>
                <w:rStyle w:val="IndexLink"/>
                <w:rtl w:val="true"/>
              </w:rPr>
              <w:tab/>
            </w:r>
            <w:r>
              <w:rPr>
                <w:rStyle w:val="IndexLink"/>
              </w:rPr>
              <w:t>392</w:t>
            </w:r>
          </w:hyperlink>
        </w:p>
        <w:p>
          <w:pPr>
            <w:pStyle w:val="Contents3"/>
            <w:tabs>
              <w:tab w:val="clear" w:pos="8459"/>
              <w:tab w:val="right" w:pos="9026" w:leader="dot"/>
            </w:tabs>
            <w:rPr/>
          </w:pPr>
          <w:hyperlink w:anchor="__RefHeading___Toc11006826_73709187">
            <w:r>
              <w:rPr>
                <w:webHidden/>
                <w:rStyle w:val="IndexLink"/>
                <w:rtl w:val="true"/>
              </w:rPr>
              <w:t>الوصيّة تبطل بخيانة الوصي</w:t>
            </w:r>
            <w:r>
              <w:rPr>
                <w:rStyle w:val="IndexLink"/>
                <w:rtl w:val="true"/>
              </w:rPr>
              <w:tab/>
            </w:r>
            <w:r>
              <w:rPr>
                <w:rStyle w:val="IndexLink"/>
              </w:rPr>
              <w:t>397</w:t>
            </w:r>
          </w:hyperlink>
        </w:p>
        <w:p>
          <w:pPr>
            <w:pStyle w:val="Contents3"/>
            <w:tabs>
              <w:tab w:val="clear" w:pos="8459"/>
              <w:tab w:val="right" w:pos="9026" w:leader="dot"/>
            </w:tabs>
            <w:rPr/>
          </w:pPr>
          <w:hyperlink w:anchor="__RefHeading___Toc11006828_73709187">
            <w:r>
              <w:rPr>
                <w:webHidden/>
                <w:rStyle w:val="IndexLink"/>
                <w:rtl w:val="true"/>
              </w:rPr>
              <w:t>استيفاء الوصيّ دَينه من مال الميّت</w:t>
            </w:r>
            <w:r>
              <w:rPr>
                <w:rStyle w:val="IndexLink"/>
                <w:rtl w:val="true"/>
              </w:rPr>
              <w:tab/>
            </w:r>
            <w:r>
              <w:rPr>
                <w:rStyle w:val="IndexLink"/>
              </w:rPr>
              <w:t>400</w:t>
            </w:r>
          </w:hyperlink>
        </w:p>
        <w:p>
          <w:pPr>
            <w:pStyle w:val="Contents3"/>
            <w:tabs>
              <w:tab w:val="clear" w:pos="8459"/>
              <w:tab w:val="right" w:pos="9026" w:leader="dot"/>
            </w:tabs>
            <w:rPr/>
          </w:pPr>
          <w:hyperlink w:anchor="__RefHeading___Toc11006830_73709187">
            <w:r>
              <w:rPr>
                <w:webHidden/>
                <w:rStyle w:val="IndexLink"/>
                <w:rtl w:val="true"/>
              </w:rPr>
              <w:t>أخذ الوصيّ اُجرة عمله</w:t>
            </w:r>
            <w:r>
              <w:rPr>
                <w:rStyle w:val="IndexLink"/>
                <w:rtl w:val="true"/>
              </w:rPr>
              <w:tab/>
            </w:r>
            <w:r>
              <w:rPr>
                <w:rStyle w:val="IndexLink"/>
              </w:rPr>
              <w:t>403</w:t>
            </w:r>
          </w:hyperlink>
        </w:p>
        <w:p>
          <w:pPr>
            <w:pStyle w:val="Contents3"/>
            <w:tabs>
              <w:tab w:val="clear" w:pos="8459"/>
              <w:tab w:val="right" w:pos="9026" w:leader="dot"/>
            </w:tabs>
            <w:rPr/>
          </w:pPr>
          <w:hyperlink w:anchor="__RefHeading___Toc11006832_73709187">
            <w:r>
              <w:rPr>
                <w:webHidden/>
                <w:rStyle w:val="IndexLink"/>
                <w:rtl w:val="true"/>
              </w:rPr>
              <w:t>حكم إيصاء الوصي</w:t>
            </w:r>
            <w:r>
              <w:rPr>
                <w:rStyle w:val="IndexLink"/>
                <w:rtl w:val="true"/>
              </w:rPr>
              <w:tab/>
            </w:r>
            <w:r>
              <w:rPr>
                <w:rStyle w:val="IndexLink"/>
              </w:rPr>
              <w:t>408</w:t>
            </w:r>
          </w:hyperlink>
        </w:p>
        <w:p>
          <w:pPr>
            <w:pStyle w:val="Contents3"/>
            <w:tabs>
              <w:tab w:val="clear" w:pos="8459"/>
              <w:tab w:val="right" w:pos="9026" w:leader="dot"/>
            </w:tabs>
            <w:rPr/>
          </w:pPr>
          <w:hyperlink w:anchor="__RefHeading___Toc11006834_73709187">
            <w:r>
              <w:rPr>
                <w:webHidden/>
                <w:rStyle w:val="IndexLink"/>
                <w:rtl w:val="true"/>
              </w:rPr>
              <w:t>حكم الوصيّة الزائدة على الثُّلث</w:t>
            </w:r>
            <w:r>
              <w:rPr>
                <w:rStyle w:val="IndexLink"/>
                <w:rtl w:val="true"/>
              </w:rPr>
              <w:tab/>
            </w:r>
            <w:r>
              <w:rPr>
                <w:rStyle w:val="IndexLink"/>
              </w:rPr>
              <w:t>412</w:t>
            </w:r>
          </w:hyperlink>
        </w:p>
        <w:p>
          <w:pPr>
            <w:pStyle w:val="Contents3"/>
            <w:tabs>
              <w:tab w:val="clear" w:pos="8459"/>
              <w:tab w:val="right" w:pos="9026" w:leader="dot"/>
            </w:tabs>
            <w:rPr/>
          </w:pPr>
          <w:hyperlink w:anchor="__RefHeading___Toc11006836_73709187">
            <w:r>
              <w:rPr>
                <w:webHidden/>
                <w:rStyle w:val="IndexLink"/>
                <w:rtl w:val="true"/>
              </w:rPr>
              <w:t>إجازة الوارث الوصيّة بما زاد على الثُّلث</w:t>
            </w:r>
            <w:r>
              <w:rPr>
                <w:rStyle w:val="IndexLink"/>
                <w:rtl w:val="true"/>
              </w:rPr>
              <w:tab/>
            </w:r>
            <w:r>
              <w:rPr>
                <w:rStyle w:val="IndexLink"/>
              </w:rPr>
              <w:t>414</w:t>
            </w:r>
          </w:hyperlink>
        </w:p>
        <w:p>
          <w:pPr>
            <w:pStyle w:val="Contents3"/>
            <w:tabs>
              <w:tab w:val="clear" w:pos="8459"/>
              <w:tab w:val="right" w:pos="9026" w:leader="dot"/>
            </w:tabs>
            <w:rPr/>
          </w:pPr>
          <w:hyperlink w:anchor="__RefHeading___Toc11006838_73709187">
            <w:r>
              <w:rPr>
                <w:webHidden/>
                <w:rStyle w:val="IndexLink"/>
                <w:rtl w:val="true"/>
              </w:rPr>
              <w:t>إجازه الوارث تنفيذٌ لعمل الموصي</w:t>
            </w:r>
            <w:r>
              <w:rPr>
                <w:rStyle w:val="IndexLink"/>
                <w:rtl w:val="true"/>
              </w:rPr>
              <w:tab/>
            </w:r>
            <w:r>
              <w:rPr>
                <w:rStyle w:val="IndexLink"/>
              </w:rPr>
              <w:t>418</w:t>
            </w:r>
          </w:hyperlink>
        </w:p>
        <w:p>
          <w:pPr>
            <w:pStyle w:val="Contents3"/>
            <w:tabs>
              <w:tab w:val="clear" w:pos="8459"/>
              <w:tab w:val="right" w:pos="9026" w:leader="dot"/>
            </w:tabs>
            <w:rPr/>
          </w:pPr>
          <w:hyperlink w:anchor="__RefHeading___Toc11006840_73709187">
            <w:r>
              <w:rPr>
                <w:webHidden/>
                <w:rStyle w:val="IndexLink"/>
                <w:rtl w:val="true"/>
              </w:rPr>
              <w:t>حكم الايصاء بالواجب وغيره</w:t>
            </w:r>
            <w:r>
              <w:rPr>
                <w:rStyle w:val="IndexLink"/>
                <w:rtl w:val="true"/>
              </w:rPr>
              <w:tab/>
            </w:r>
            <w:r>
              <w:rPr>
                <w:rStyle w:val="IndexLink"/>
              </w:rPr>
              <w:t>420</w:t>
            </w:r>
          </w:hyperlink>
        </w:p>
        <w:p>
          <w:pPr>
            <w:pStyle w:val="Contents3"/>
            <w:tabs>
              <w:tab w:val="clear" w:pos="8459"/>
              <w:tab w:val="right" w:pos="9026" w:leader="dot"/>
            </w:tabs>
            <w:rPr/>
          </w:pPr>
          <w:hyperlink w:anchor="__RefHeading___Toc11006842_73709187">
            <w:r>
              <w:rPr>
                <w:webHidden/>
                <w:rStyle w:val="IndexLink"/>
                <w:rtl w:val="true"/>
              </w:rPr>
              <w:t>إذا أجاز الورثة ثمّ ادّعوا الظنّ بقلّة المال</w:t>
            </w:r>
            <w:r>
              <w:rPr>
                <w:rStyle w:val="IndexLink"/>
                <w:rtl w:val="true"/>
              </w:rPr>
              <w:tab/>
            </w:r>
            <w:r>
              <w:rPr>
                <w:rStyle w:val="IndexLink"/>
              </w:rPr>
              <w:t>426</w:t>
            </w:r>
          </w:hyperlink>
        </w:p>
        <w:p>
          <w:pPr>
            <w:pStyle w:val="Contents3"/>
            <w:tabs>
              <w:tab w:val="clear" w:pos="8459"/>
              <w:tab w:val="right" w:pos="9026" w:leader="dot"/>
            </w:tabs>
            <w:rPr/>
          </w:pPr>
          <w:hyperlink w:anchor="__RefHeading___Toc11006844_73709187">
            <w:r>
              <w:rPr>
                <w:webHidden/>
                <w:rStyle w:val="IndexLink"/>
                <w:rtl w:val="true"/>
              </w:rPr>
              <w:t>المدار في استحقاق الثُّلث على حال الوفاة</w:t>
            </w:r>
            <w:r>
              <w:rPr>
                <w:rStyle w:val="IndexLink"/>
                <w:rtl w:val="true"/>
              </w:rPr>
              <w:tab/>
            </w:r>
            <w:r>
              <w:rPr>
                <w:rStyle w:val="IndexLink"/>
              </w:rPr>
              <w:t>428</w:t>
            </w:r>
          </w:hyperlink>
        </w:p>
        <w:p>
          <w:pPr>
            <w:pStyle w:val="Contents3"/>
            <w:tabs>
              <w:tab w:val="clear" w:pos="8459"/>
              <w:tab w:val="right" w:pos="9026" w:leader="dot"/>
            </w:tabs>
            <w:rPr/>
          </w:pPr>
          <w:hyperlink w:anchor="__RefHeading___Toc11006846_73709187">
            <w:r>
              <w:rPr>
                <w:webHidden/>
                <w:rStyle w:val="IndexLink"/>
                <w:rtl w:val="true"/>
              </w:rPr>
              <w:t>حكم الوصيّة المبهمة</w:t>
            </w:r>
            <w:r>
              <w:rPr>
                <w:rStyle w:val="IndexLink"/>
                <w:rtl w:val="true"/>
              </w:rPr>
              <w:tab/>
            </w:r>
            <w:r>
              <w:rPr>
                <w:rStyle w:val="IndexLink"/>
              </w:rPr>
              <w:t>432</w:t>
            </w:r>
          </w:hyperlink>
        </w:p>
        <w:p>
          <w:pPr>
            <w:pStyle w:val="Contents3"/>
            <w:tabs>
              <w:tab w:val="clear" w:pos="8459"/>
              <w:tab w:val="right" w:pos="9026" w:leader="dot"/>
            </w:tabs>
            <w:rPr/>
          </w:pPr>
          <w:hyperlink w:anchor="__RefHeading___Toc11006848_73709187">
            <w:r>
              <w:rPr>
                <w:webHidden/>
                <w:rStyle w:val="IndexLink"/>
                <w:rtl w:val="true"/>
              </w:rPr>
              <w:t>حكم نسيان مورد الوصيّة</w:t>
            </w:r>
            <w:r>
              <w:rPr>
                <w:rStyle w:val="IndexLink"/>
                <w:rtl w:val="true"/>
              </w:rPr>
              <w:tab/>
            </w:r>
            <w:r>
              <w:rPr>
                <w:rStyle w:val="IndexLink"/>
              </w:rPr>
              <w:t>437</w:t>
            </w:r>
          </w:hyperlink>
        </w:p>
        <w:p>
          <w:pPr>
            <w:pStyle w:val="Contents3"/>
            <w:tabs>
              <w:tab w:val="clear" w:pos="8459"/>
              <w:tab w:val="right" w:pos="9026" w:leader="dot"/>
            </w:tabs>
            <w:rPr/>
          </w:pPr>
          <w:hyperlink w:anchor="__RefHeading___Toc11006850_73709187">
            <w:r>
              <w:rPr>
                <w:webHidden/>
                <w:rStyle w:val="IndexLink"/>
                <w:rtl w:val="true"/>
              </w:rPr>
              <w:t>حكم الوصايا المضادّة</w:t>
            </w:r>
            <w:r>
              <w:rPr>
                <w:rStyle w:val="IndexLink"/>
                <w:rtl w:val="true"/>
              </w:rPr>
              <w:tab/>
            </w:r>
            <w:r>
              <w:rPr>
                <w:rStyle w:val="IndexLink"/>
              </w:rPr>
              <w:t>439</w:t>
            </w:r>
          </w:hyperlink>
        </w:p>
        <w:p>
          <w:pPr>
            <w:pStyle w:val="Contents3"/>
            <w:tabs>
              <w:tab w:val="clear" w:pos="8459"/>
              <w:tab w:val="right" w:pos="9026" w:leader="dot"/>
            </w:tabs>
            <w:rPr/>
          </w:pPr>
          <w:hyperlink w:anchor="__RefHeading___Toc11006852_73709187">
            <w:r>
              <w:rPr>
                <w:webHidden/>
                <w:rStyle w:val="IndexLink"/>
                <w:rtl w:val="true"/>
              </w:rPr>
              <w:t>ما يثبت به الوصيّة</w:t>
            </w:r>
            <w:r>
              <w:rPr>
                <w:rStyle w:val="IndexLink"/>
                <w:rtl w:val="true"/>
              </w:rPr>
              <w:tab/>
            </w:r>
            <w:r>
              <w:rPr>
                <w:rStyle w:val="IndexLink"/>
              </w:rPr>
              <w:t>441</w:t>
            </w:r>
          </w:hyperlink>
        </w:p>
        <w:p>
          <w:pPr>
            <w:pStyle w:val="Contents3"/>
            <w:tabs>
              <w:tab w:val="clear" w:pos="8459"/>
              <w:tab w:val="right" w:pos="9026" w:leader="dot"/>
            </w:tabs>
            <w:rPr/>
          </w:pPr>
          <w:hyperlink w:anchor="__RefHeading___Toc11006854_73709187">
            <w:r>
              <w:rPr>
                <w:webHidden/>
                <w:rStyle w:val="IndexLink"/>
                <w:rtl w:val="true"/>
              </w:rPr>
              <w:t>حكم إقرار المريض بالدين</w:t>
            </w:r>
            <w:r>
              <w:rPr>
                <w:rStyle w:val="IndexLink"/>
                <w:rtl w:val="true"/>
              </w:rPr>
              <w:tab/>
            </w:r>
            <w:r>
              <w:rPr>
                <w:rStyle w:val="IndexLink"/>
              </w:rPr>
              <w:t>442</w:t>
            </w:r>
          </w:hyperlink>
        </w:p>
        <w:p>
          <w:pPr>
            <w:pStyle w:val="Contents3"/>
            <w:tabs>
              <w:tab w:val="clear" w:pos="8459"/>
              <w:tab w:val="right" w:pos="9026" w:leader="dot"/>
            </w:tabs>
            <w:rPr/>
          </w:pPr>
          <w:hyperlink w:anchor="__RefHeading___Toc11006856_73709187">
            <w:r>
              <w:rPr>
                <w:webHidden/>
                <w:rStyle w:val="IndexLink"/>
                <w:rtl w:val="true"/>
              </w:rPr>
              <w:t>احتساب أرش الجناية والدية من التركة</w:t>
            </w:r>
            <w:r>
              <w:rPr>
                <w:rStyle w:val="IndexLink"/>
                <w:rtl w:val="true"/>
              </w:rPr>
              <w:tab/>
            </w:r>
            <w:r>
              <w:rPr>
                <w:rStyle w:val="IndexLink"/>
              </w:rPr>
              <w:t>448</w:t>
            </w:r>
          </w:hyperlink>
        </w:p>
        <w:p>
          <w:pPr>
            <w:pStyle w:val="Contents3"/>
            <w:tabs>
              <w:tab w:val="clear" w:pos="8459"/>
              <w:tab w:val="right" w:pos="9026" w:leader="dot"/>
            </w:tabs>
            <w:rPr/>
          </w:pPr>
          <w:hyperlink w:anchor="__RefHeading___Toc11006858_73709187">
            <w:r>
              <w:rPr>
                <w:webHidden/>
                <w:rStyle w:val="IndexLink"/>
                <w:rtl w:val="true"/>
              </w:rPr>
              <w:t>حكم الوصيّة باخراج الولد من الميراث</w:t>
            </w:r>
            <w:r>
              <w:rPr>
                <w:rStyle w:val="IndexLink"/>
                <w:rtl w:val="true"/>
              </w:rPr>
              <w:tab/>
            </w:r>
            <w:r>
              <w:rPr>
                <w:rStyle w:val="IndexLink"/>
              </w:rPr>
              <w:t>450</w:t>
            </w:r>
          </w:hyperlink>
        </w:p>
        <w:p>
          <w:pPr>
            <w:pStyle w:val="Contents2"/>
            <w:tabs>
              <w:tab w:val="clear" w:pos="8743"/>
              <w:tab w:val="right" w:pos="9026" w:leader="dot"/>
            </w:tabs>
            <w:rPr/>
          </w:pPr>
          <w:hyperlink w:anchor="__RefHeading___Toc11006860_73709187">
            <w:r>
              <w:rPr>
                <w:webHidden/>
                <w:rStyle w:val="IndexLink"/>
                <w:rtl w:val="true"/>
              </w:rPr>
              <w:t>فهرس الموضوعات</w:t>
            </w:r>
            <w:r>
              <w:rPr>
                <w:rStyle w:val="IndexLink"/>
                <w:rtl w:val="true"/>
              </w:rPr>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23_118639"/>
      <w:bookmarkStart w:id="1" w:name="pg11823_118639"/>
      <w:bookmarkEnd w:id="1"/>
    </w:p>
    <w:p>
      <w:pPr>
        <w:pStyle w:val="Heading2"/>
        <w:numPr>
          <w:ilvl w:val="1"/>
          <w:numId w:val="1"/>
        </w:numPr>
        <w:rPr/>
      </w:pPr>
      <w:bookmarkStart w:id="2" w:name="pg11823_118639"/>
      <w:bookmarkStart w:id="3" w:name="__RefHeading___Toc1100659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06594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الثلاثون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23_118645"/>
      <w:bookmarkStart w:id="8" w:name="pg11823_118645"/>
      <w:bookmarkEnd w:id="8"/>
    </w:p>
    <w:p>
      <w:pPr>
        <w:pStyle w:val="BookText"/>
        <w:rPr/>
      </w:pPr>
      <w:bookmarkStart w:id="9" w:name="pg11823_118645"/>
      <w:bookmarkEnd w:id="9"/>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w:t>
      </w:r>
    </w:p>
    <w:p>
      <w:pPr>
        <w:pStyle w:val="Heading2"/>
        <w:numPr>
          <w:ilvl w:val="1"/>
          <w:numId w:val="1"/>
        </w:numPr>
        <w:rPr/>
      </w:pPr>
      <w:bookmarkStart w:id="10" w:name="__RefHeading___Toc11006596_73709187"/>
      <w:bookmarkStart w:id="11" w:name="_Toc3"/>
      <w:bookmarkEnd w:id="10"/>
      <w:r>
        <w:rPr>
          <w:rtl w:val="true"/>
        </w:rPr>
        <w:t>(</w:t>
      </w:r>
      <w:r>
        <w:rPr>
          <w:rtl w:val="true"/>
        </w:rPr>
        <w:t>الفصل الرابع</w:t>
      </w:r>
      <w:r>
        <w:rPr>
          <w:rtl w:val="true"/>
        </w:rPr>
        <w:t xml:space="preserve">: </w:t>
      </w:r>
      <w:r>
        <w:rPr>
          <w:rtl w:val="true"/>
        </w:rPr>
        <w:t>في الضمان</w:t>
      </w:r>
      <w:r>
        <w:rPr>
          <w:rtl w:val="true"/>
        </w:rPr>
        <w:t>)</w:t>
      </w:r>
      <w:bookmarkEnd w:id="11"/>
    </w:p>
    <w:p>
      <w:pPr>
        <w:pStyle w:val="Heading3"/>
        <w:numPr>
          <w:ilvl w:val="2"/>
          <w:numId w:val="1"/>
        </w:numPr>
        <w:rPr/>
      </w:pPr>
      <w:bookmarkStart w:id="12" w:name="__RefHeading___Toc11006598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وهو التعهّد المالي الذي هو المراد منه في جميع موارد استعماله بل سائر موارد استعمال، مشتقّاته، وإليه يرجع ما قيل إنّه عبارة عن إدخال المضمون في عهدة الضامن، وله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اليد والتلف والإتلاف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هو الثاني، أمّا الأوّل فقد مرَّ البحث فيه في كتاب الغصب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الضمان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في مشروعيّته في الجملة نصّاً وفتوى كما ستعرف، وحيث أنّه من المعاملات وبناء العقلاء والشارع على عدم الاعتناء بالاعتبارات النفسانيّة ما لم تُبرز بمبرزٍ خارجي من لفظٍ أو فعل، فهو يتوقّف كسائر المعاملات على الإيجاب والقبول، أو الإيجاب بالخصوص، والكلام فيما يعتبر فيهما، هو الكلام فيما يعتبر في سائر العقود والإيقاعات التي لم يرد نصٌّ باعتبار شيء خاص فيما تُنشأ به، وقد أشبعنا الكلام فيه في كتاب البيع</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في الأحكام المختصّة بالضمان الإنشائي، وتنقيح القول فيه يتحقّق بالبحث في 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يصحّ إذا صدر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فيه يتمّ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صدر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البالغ العاقل المختار، فلا يصحّ ضمان الصبي والمجنون والمكره عليه، لما مرَّ في كتاب البيع وغيره من كتاب المعاملات</w:t>
      </w:r>
      <w:r>
        <w:rPr>
          <w:rStyle w:val="FootnoteAnchor"/>
          <w:rtl w:val="true"/>
        </w:rPr>
        <w:footnoteReference w:id="4"/>
      </w:r>
      <w:r>
        <w:rPr>
          <w:rFonts w:ascii="Amiri" w:hAnsi="Amiri" w:eastAsia="Amiri" w:cs="Amiri"/>
          <w:color w:val="111111"/>
          <w:sz w:val="28"/>
          <w:sz w:val="28"/>
          <w:szCs w:val="28"/>
          <w:rtl w:val="true"/>
          <w:lang w:bidi="ar-SA"/>
        </w:rPr>
        <w:t>، نعم هناك بحث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يعتبر كونه عالماً بالمضمون له والمضمون عنه، كما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والمقداد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يصحّ مع الجهل، كما هو المشهور بين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ضمن الضامن عمّن لا يعرفه، صَحّ ضمانه عند علمائنا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يعتبر معرفة المضمون عنه دون معرفة المضمون له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والأظهر هو القول الثاني، للعمومات السّالمة عن معارضة ما يقتضي ذلك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يُشترط معرفة المضمون له ليعرف هل هو سهل المعاملة أم لا، إذ مع انتفاء ذلك يتطرّق الغَرَر، ومعرفة المضمون عنه لينظر هلن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يستحقّ بذلك عليه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العلم بأنّه سهل المعاملة أم لا قطعاً، للإجماع على صحّة الضمان مع معرفة المضمون له، وإنْ لم يعلم كونه كذلك، كما لا يعتبر ذلك في شيء من المعاملات، فمثل هذا الغَرر لو سُمّي غرراً لا يكون مانعاً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لا يتوقّف على استحقاق المضمون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للثالث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المضمون عنه لابدّ وأن يتميّز عند الضامن، ويتخصّص عن غيره ليقع الضمان عنه، وذلك يستدعى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وبالمنقول من ضمان أمير المؤمنين عليه السلام عن ميّتٍ امتنع رسول اللّه صلى الله عليه و آله من الصَّلاة عليه</w:t>
      </w:r>
      <w:r>
        <w:rPr>
          <w:rStyle w:val="FootnoteAnchor"/>
          <w:rtl w:val="true"/>
        </w:rPr>
        <w:footnoteReference w:id="10"/>
      </w:r>
      <w:r>
        <w:rPr>
          <w:rFonts w:ascii="Amiri" w:hAnsi="Amiri" w:eastAsia="Amiri" w:cs="Amiri"/>
          <w:color w:val="111111"/>
          <w:sz w:val="28"/>
          <w:sz w:val="28"/>
          <w:szCs w:val="28"/>
          <w:rtl w:val="true"/>
          <w:lang w:bidi="ar-SA"/>
        </w:rPr>
        <w:t>، والمنقول من ضمان أبي قتادة الدينارين عن آخر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الأوّل مصادرة محضة، لأنّ هذا عين المُدّعى، وأمّا الخبران وإن ذكرهما الشيخ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الظاهر أنّهما عامّيان</w:t>
      </w:r>
      <w:r>
        <w:rPr>
          <w:rStyle w:val="FootnoteAnchor"/>
          <w:rtl w:val="true"/>
        </w:rPr>
        <w:footnoteReference w:id="12"/>
      </w:r>
      <w:r>
        <w:rPr>
          <w:rFonts w:ascii="Amiri" w:hAnsi="Amiri" w:eastAsia="Amiri" w:cs="Amiri"/>
          <w:color w:val="111111"/>
          <w:sz w:val="28"/>
          <w:sz w:val="28"/>
          <w:szCs w:val="28"/>
          <w:rtl w:val="true"/>
          <w:lang w:bidi="ar-SA"/>
        </w:rPr>
        <w:t>، وعلى فرض صحّة سندهما، فهما متضمّنان لقضيّتين في واقعتين، ولعلّهما كانا لا يعرفان المضمون عنه أيضاً، ولذا استدلّ بهما الشيخ رحمه الله للقول الأوّل، وإنْ كان الصحيح عدم دلالتهما على شيء من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عدم اعتبار العلم بالمضمون عنه ولا المضمون 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يعتبر أنْ يكون كلّ منهما معيّناً خارجيّاً، فلا يصحّ الضمان عن المردّد المبهم، ولا له لما مرّ مراراً من أنّ المردّد من حيث هو مردّدٌ لا حقيقة له ولا وجود</w:t>
      </w:r>
      <w:r>
        <w:rPr>
          <w:rFonts w:eastAsia="Amiri" w:cs="Amiri" w:ascii="Amiri" w:hAnsi="Amiri"/>
          <w:color w:val="111111"/>
          <w:sz w:val="28"/>
          <w:szCs w:val="28"/>
          <w:rtl w:val="true"/>
          <w:lang w:bidi="ar-SA"/>
        </w:rPr>
        <w:t>.</w:t>
      </w:r>
      <w:bookmarkStart w:id="14" w:name="pg11823_118649"/>
    </w:p>
    <w:p>
      <w:pPr>
        <w:pStyle w:val="BookText"/>
        <w:rPr/>
      </w:pPr>
      <w:bookmarkEnd w:id="14"/>
      <w:r>
        <w:rPr>
          <w:rFonts w:ascii="IRNazanin" w:hAnsi="IRNazanin" w:eastAsia="IRNazanin"/>
          <w:color w:val="111111"/>
          <w:sz w:val="28"/>
          <w:sz w:val="28"/>
          <w:szCs w:val="28"/>
          <w:rtl w:val="true"/>
          <w:lang w:bidi="fa-IR"/>
        </w:rPr>
        <w:t>ولابدَّ من رضا الضامن والمضمون له</w:t>
      </w:r>
      <w:r>
        <w:rPr>
          <w:rFonts w:eastAsia="IRNazanin" w:cs="IRNazanin"/>
          <w:color w:val="111111"/>
          <w:sz w:val="28"/>
          <w:szCs w:val="28"/>
          <w:rtl w:val="true"/>
          <w:lang w:bidi="fa-IR"/>
        </w:rPr>
        <w:t>.</w:t>
      </w:r>
    </w:p>
    <w:p>
      <w:pPr>
        <w:pStyle w:val="Heading3"/>
        <w:numPr>
          <w:ilvl w:val="2"/>
          <w:numId w:val="1"/>
        </w:numPr>
        <w:rPr/>
      </w:pPr>
      <w:bookmarkStart w:id="15" w:name="__RefHeading___Toc11006600_73709187"/>
      <w:bookmarkStart w:id="16" w:name="_Toc5"/>
      <w:bookmarkEnd w:id="15"/>
      <w:r>
        <w:rPr>
          <w:rtl w:val="true"/>
        </w:rPr>
        <w:t>اعتبار رضا المضمون له</w:t>
      </w:r>
      <w:bookmarkEnd w:id="1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من رضا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رضا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الواضحات، فإنّ اشتغال ذمّته بدينٍ بدون رضاه منافٍ لقاعدة السلطنة وغيرهما ممّا هو ثابتٌ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رضا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يستدلّ لاعتباره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ادّعاء كونه من قطعيّات الفقه وضرورياته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من العقود لا الإيقاعات، لأنّه مركّبٌ من نقل الضامن ما في ذمّة المضمون عنه إلى ذمّة نفسه، وقبول المضمون له تبديل ما يملكه من ما في ذمّة المضمون عنه إلى ذمّة الضامن، فكما أنّ نقل ملكه الخارجي متوقّفٌ على قبوله، كذلك نقل ما في الذمّة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والمحقّق الأردبيلي</w:t>
      </w:r>
      <w:r>
        <w:rPr>
          <w:rStyle w:val="FootnoteAnchor"/>
          <w:rtl w:val="true"/>
        </w:rPr>
        <w:footnoteReference w:id="16"/>
      </w:r>
      <w:r>
        <w:rPr>
          <w:rFonts w:ascii="IRNazanin" w:hAnsi="IRNazanin" w:eastAsia="IRNazanin"/>
          <w:color w:val="111111"/>
          <w:sz w:val="28"/>
          <w:sz w:val="28"/>
          <w:szCs w:val="28"/>
          <w:rtl w:val="true"/>
          <w:lang w:bidi="fa-IR"/>
        </w:rPr>
        <w:t xml:space="preserve">من عدم اعتبار القبول </w:t>
      </w:r>
    </w:p>
    <w:p>
      <w:pPr>
        <w:pStyle w:val="BookText"/>
        <w:rPr/>
      </w:pPr>
      <w:r>
        <w:rPr>
          <w:rFonts w:ascii="Amiri" w:hAnsi="Amiri" w:eastAsia="Amiri" w:cs="Amiri"/>
          <w:color w:val="111111"/>
          <w:sz w:val="28"/>
          <w:sz w:val="28"/>
          <w:szCs w:val="28"/>
          <w:rtl w:val="true"/>
          <w:lang w:bidi="ar-SA"/>
        </w:rPr>
        <w:t>العقدي، لأنّه التزامٌ وإعانة للمضمون عنه وتوثيقٌ للمضمون له، واضح الضعف، وعلى هذا فيعتبر رضاه باعتبار أنّه طرف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كونه من الإيقاعات دون العقود، لكن نفس انتقال ما يملكه المضمون له من ذمّةٍ إلى ذمّة اُخرى منافٍ لقاعدة السلطنة، ولذا أفاد العلمان اللّذان قالا بأنّه ليس من العقود باعتبار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كصحيح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وعليه دَين، فيضمنه ضامنٌ للغرماء؟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رضى به الغرماء فقد برئت ذمّة الميّت</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الشيخ رحمه الله</w:t>
      </w:r>
      <w:r>
        <w:rPr>
          <w:rStyle w:val="FootnoteAnchor"/>
          <w:rtl w:val="true"/>
        </w:rPr>
        <w:footnoteReference w:id="18"/>
      </w:r>
      <w:r>
        <w:rPr>
          <w:rFonts w:ascii="Amiri" w:hAnsi="Amiri" w:eastAsia="Amiri" w:cs="Amiri"/>
          <w:color w:val="111111"/>
          <w:sz w:val="28"/>
          <w:sz w:val="28"/>
          <w:szCs w:val="28"/>
          <w:rtl w:val="true"/>
          <w:lang w:bidi="ar-SA"/>
        </w:rPr>
        <w:t>قولٌ بعدم اعتبار رضاه، محتجّاً بأنّ عليّاً عليه السلام وأبا قتادة ضمنا الدَّين عن الميّت، ولم يسأل النبيّ صلى الله عليه و آله عن رضا المضمون له، وربما يستدلّ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إسحاق،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عليه دين فحضره الموت، فقال وليّه عليَّ دينك‌؟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يبرئه ذلك وإنْ لم يوفه وليّه بعده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ابن الجهم،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وله عليَّ دَينٌ وخلّف ولداً رجالاً ونساءً وصبياناً، فجاء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لأبي عليك من حصّتي، وأنتَ في حِلٍّ ممّا لإخوتي وأخواتي، وأنا ضامنٌ لرضاهم عنك‌؟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سعةٍ من ذلك 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يعطهم‌؟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الورثة عليَّ فقالوا أعطِنا حقّنا؟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ذلك في الحكم الظاهر، فأمّا بينك وبين اللّه تعالى فأنتَ في حِلٍّ منها إذا كان الذي مَلك يضمن لك عنهم رضاهم، الحديث</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الخثعمي،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عنده المال وديعةً يأخذ منه بغير إذن‌؟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إلّاأنْ يكون له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وجد من يضمنه، ولم يكن له وفاء، وأشهد على نفسه الذي يضمنه، يأخذ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من ضعف سند الخبرين المتضمّنين لتينك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يدلّان على وقوع الضمان خارجاً، الذي عرفت أنّه مركّبٌ من الإيجاب والقبول، فلا محالة كان المضمون له في كلّ من ذينك الموردين حاضراً وراضياً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كلّاً من الخبرين متضمّنٌ لقضيّة في واقعة، لا يظهر لنا حالها، مع الإغماض عمّا ذكرناه، وعليه فلا يصحّ الاستدلال بإطلاقهما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مطلقٌ يقيّد إطلاقه بما مرّ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موثّق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ما تضمّنه من الضمان المصطلح، لأنّه متضمّن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ويبرأ المضمون عنه وإنْ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لضمانه رضاهم عنه، وأنّ ذلك موجبٌ لحصول البراءة، وحيث أنّه مخالفٌ للإجماع والضرورة، فيتعيّن تأويله، وحينئذٍ يدور الأمر بين أن يُراد به الضمان المصطلح بدون رضا المضمون له، أو إرادة ذلك مع رضاه، ولكن لا بيّنة له على ذلك، وليس الأوّل أولى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جواز الأخذ من الوديعة إذا لم يكن له مال، وقد تعهّد له شخصٌ بوفاء ذلك عنه، ومن الواضح خروجه عن محلّ الكلام، وكونه محمولاً على إذن المودع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اعتبار رضاه، نعم لا يعتبر رضا المضمون عنه كما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للإجماع، ولما دلّ على صحّة الضمان عن الميّت</w:t>
      </w:r>
      <w:r>
        <w:rPr>
          <w:rStyle w:val="FootnoteAnchor"/>
          <w:rtl w:val="true"/>
        </w:rPr>
        <w:footnoteReference w:id="23"/>
      </w:r>
      <w:r>
        <w:rPr>
          <w:rFonts w:ascii="Amiri" w:hAnsi="Amiri" w:eastAsia="Amiri" w:cs="Amiri"/>
          <w:color w:val="111111"/>
          <w:sz w:val="28"/>
          <w:sz w:val="28"/>
          <w:szCs w:val="28"/>
          <w:rtl w:val="true"/>
          <w:lang w:bidi="ar-SA"/>
        </w:rPr>
        <w:t>، ولا يتصوّر رضاه، ولما دلّ على عدم اعتبار رضا المديون في أداء دينه، فإنّه يدلّ بالفحوى على عدم اعتباره هنا، وللأصل بعد عدم الدليل على اعتبار رضاه، ولا ينافي ذلك مع قاعدة السلطنة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يبرأ المضمون عنه وإنْ أنكره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لم يعتبر رضاه لم يكن لإنكاره أثر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عن الشيخ</w:t>
      </w:r>
      <w:r>
        <w:rPr>
          <w:rStyle w:val="FootnoteAnchor"/>
          <w:rtl w:val="true"/>
        </w:rPr>
        <w:footnoteReference w:id="24"/>
      </w:r>
      <w:r>
        <w:rPr>
          <w:rFonts w:ascii="Amiri" w:hAnsi="Amiri" w:eastAsia="Amiri" w:cs="Amiri"/>
          <w:color w:val="111111"/>
          <w:sz w:val="28"/>
          <w:sz w:val="28"/>
          <w:szCs w:val="28"/>
          <w:rtl w:val="true"/>
          <w:lang w:bidi="ar-SA"/>
        </w:rPr>
        <w:t>وجماعة</w:t>
      </w:r>
      <w:r>
        <w:rPr>
          <w:rStyle w:val="FootnoteAnchor"/>
          <w:rtl w:val="true"/>
        </w:rPr>
        <w:footnoteReference w:id="25"/>
      </w:r>
      <w:r>
        <w:rPr>
          <w:rFonts w:ascii="Amiri" w:hAnsi="Amiri" w:eastAsia="Amiri" w:cs="Amiri"/>
          <w:color w:val="111111"/>
          <w:sz w:val="28"/>
          <w:sz w:val="28"/>
          <w:szCs w:val="28"/>
          <w:rtl w:val="true"/>
          <w:lang w:bidi="ar-SA"/>
        </w:rPr>
        <w:t>من بطلانه بإنكاره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7" w:name="pg11823_118653"/>
    </w:p>
    <w:p>
      <w:pPr>
        <w:pStyle w:val="BookText"/>
        <w:rPr/>
      </w:pPr>
      <w:bookmarkEnd w:id="17"/>
      <w:r>
        <w:rPr>
          <w:rFonts w:ascii="Amiri" w:hAnsi="Amiri" w:eastAsia="Amiri" w:cs="Amiri"/>
          <w:color w:val="111111"/>
          <w:sz w:val="28"/>
          <w:sz w:val="28"/>
          <w:szCs w:val="28"/>
          <w:rtl w:val="true"/>
          <w:lang w:bidi="ar-SA"/>
        </w:rPr>
        <w:t xml:space="preserve">ولكن مع ذلك كلّه، الالتزام بصحّة الضمان عنه، وإنْ لم يرض، فيما إذا استلزم الضمان أو الوفاء عنه ضرراً عليه أو 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 تبرّع هذا الشخص لوفاء دينه منافياً لشأنه، كما إذا تبرّع وضيعٌ دين شريفٍ غنيّ قادرٍ على وفاء دينه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بل القول بعدم الصحّة قويّ لقاعدتي نفي الضرر والحَرج</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هو التفصيل</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1006602_73709187"/>
      <w:bookmarkStart w:id="19" w:name="_Toc6"/>
      <w:bookmarkEnd w:id="18"/>
      <w:r>
        <w:rPr>
          <w:rtl w:val="true"/>
        </w:rPr>
        <w:t>التعليق في الضمان</w:t>
      </w:r>
      <w:bookmarkEnd w:id="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اعتبار التنجيز في الضمان، فلو علّقه على شرطٍ كما لو قال الضامن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لما عليه إنْ أذن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إنْ لم يفِ المديون إلى زمان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على ذلك بما استدلّوا به على اعتبار التنجيز في العقود والإيقاعات مطلقاً، وذكرنا تلك الوجوه في كتاب البيع والإجارة</w:t>
      </w:r>
      <w:r>
        <w:rPr>
          <w:rStyle w:val="FootnoteAnchor"/>
          <w:rtl w:val="true"/>
        </w:rPr>
        <w:footnoteReference w:id="27"/>
      </w:r>
      <w:r>
        <w:rPr>
          <w:rFonts w:ascii="Amiri" w:hAnsi="Amiri" w:eastAsia="Amiri" w:cs="Amiri"/>
          <w:color w:val="111111"/>
          <w:sz w:val="28"/>
          <w:sz w:val="28"/>
          <w:szCs w:val="28"/>
          <w:rtl w:val="true"/>
          <w:lang w:bidi="ar-SA"/>
        </w:rPr>
        <w:t>، والجواب عنها، ويظهر ممّا ذكرناه أنّه لا دليل عليه سوى الإجماع وإنْ به يقيّد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الغرض من التعرّض لذلك في المقام أنّه ربما يقال إنّه لا يجوز تعليق الضمان، ولكن يجوز تعليق الوفاء على شرطٍ مع كون الضمان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الوفاء عين تعليق الضمان، ولايُعقل التفكيك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إنْ لم يفِ المديون إلى زمان كذا، يمكن أنْ </w:t>
      </w:r>
    </w:p>
    <w:p>
      <w:pPr>
        <w:pStyle w:val="BookText"/>
        <w:rPr/>
      </w:pPr>
      <w:r>
        <w:rPr>
          <w:rFonts w:ascii="Amiri" w:hAnsi="Amiri" w:eastAsia="Amiri" w:cs="Amiri"/>
          <w:color w:val="111111"/>
          <w:sz w:val="28"/>
          <w:sz w:val="28"/>
          <w:szCs w:val="28"/>
          <w:rtl w:val="true"/>
          <w:lang w:bidi="ar-SA"/>
        </w:rPr>
        <w:t>يقال بإمكان تحقّق الضمان منجزاً مع كون الوفاء معلّقاً على عدم وفاء المضمون له، لأنّه يصدق أنّه ضَمن الدَّين على نحو الضمان في الأعيان المضمونة، إذ حقيقته قضيّة تعليقيّة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على ما أفاده أخيراً جمع من المحشّين،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القول بعدم تعقل التفكيك بين التعليقين، كيف يصير ممكناً أو واقعاً في هذا المثال، وتصحيح الضمان فيه لا يتمّ على أصلنا، بل على قول العامّة من أنّه ضَمُّ ذمّةٍ إلى ذمّة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نظر السيّد رحمه الله إلى ما أفاده بعض الأساطين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الضمان في مورد تعليق الوفاء على عدم وفاء المديون، ليس بمعنى النقل إلى الذمّة، ليرجع تعليق الوفاء عليه إلى تعليق الضمان، بل هو بمعنى تعهّد ما في ذمّة الغير على حذو تعهّد العين الخارجيّة، وعليه فالضمان فعليّ‌، وأثره الانتقال إلى الذمّة على تقدير عدم وفاء المديون، كما أنّ أثره في ضمان العين الخارجيّة ذلك على تقدير تلفها، وعلى هذا فلا بأس بما أفاده، ولا يبعد أنْ يكون الضمان بالمعنى المزبور من المرتكزات العرفيّة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0" w:name="pg11823_118655"/>
    </w:p>
    <w:p>
      <w:pPr>
        <w:pStyle w:val="Heading3"/>
        <w:numPr>
          <w:ilvl w:val="2"/>
          <w:numId w:val="1"/>
        </w:numPr>
        <w:rPr/>
      </w:pPr>
      <w:bookmarkStart w:id="21" w:name="__RefHeading___Toc11006604_73709187"/>
      <w:bookmarkStart w:id="22" w:name="_Toc7"/>
      <w:bookmarkEnd w:id="20"/>
      <w:bookmarkEnd w:id="21"/>
      <w:r>
        <w:rPr>
          <w:rtl w:val="true"/>
        </w:rPr>
        <w:t>لا يعتبر العلم بمقدار الدين</w:t>
      </w:r>
      <w:bookmarkEnd w:id="2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جماعةٌ من جملة شرائط صحّة الضمان شرطين آخرين،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بمقدار الدِّين، ومالَ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إلى التفصيل بين الضمان التبرّعي فلا يعتبر، والإذني فيعتبر، واستدلّ للأوّل بما دلّ على نفي الغَرر</w:t>
      </w:r>
      <w:r>
        <w:rPr>
          <w:rStyle w:val="FootnoteAnchor"/>
          <w:rtl w:val="true"/>
        </w:rPr>
        <w:footnoteReference w:id="32"/>
      </w:r>
      <w:r>
        <w:rPr>
          <w:rFonts w:ascii="IRNazanin" w:hAnsi="IRNazanin" w:eastAsia="IRNazanin"/>
          <w:color w:val="111111"/>
          <w:sz w:val="28"/>
          <w:sz w:val="28"/>
          <w:szCs w:val="28"/>
          <w:rtl w:val="true"/>
          <w:lang w:bidi="fa-IR"/>
        </w:rPr>
        <w:t>والضرر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غَرر ولا خَطر، أمّا في الضمان التبرّعي فواضحٌ‌، وأمّا في الإذني فلأنّه لا يرجع إلى المضمون له قبل الأداء، وبعد الأداء يكون ما يرجع فيه معلوماً، فلا يلزم الغَرر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ضررٌ يقدّم عليه، ومثل ذلك لا يكون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 العلم به للعمومات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 xml:space="preserve">الاستدلال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ومراده منه العمومات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بِهِ زَعِيمٌ‌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مشيراً إلى حمل بعير، والأصل عدم تعيّنه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رواه عطاء،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عَليَّ دَيناً إذا ذكرته فسدَ عَليّ ما أنا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أوما بَلَغك أنّ رسول اللّه صلى الله عليه و آله كان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ضياعاً فعليَّ ضياعه، ومن ترك دَيناً فعليَّ دَينه، ومن ترك مالاً فآكله، فكفالة رسول اللّه صلى الله عليه و آله ميّتاً ككفالته حيّاً وكفالته حَيّاً ككفالته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عنّي جَعَلني اللّهُ فِداك</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يكن ضمان المجهول صحيحاً، لم يكن لهذا الضمان حكمٌ ولا اعتبار، إذ الباطل لا اعتبار به، فامتنع من الإمام عليه السلام الحكم بأنّ النبيّ صلى الله عليه و آله كافل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الآية الكريمة ليس ممّا نحن فيه، مع أنّه لم يظهر عدم معلوميّة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من طرقنا، بل قال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الثابت منها تكذيبه، والخبر ليس من الضمان المصطلح</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ضمان علي بن الحسين عليه السلام لدين عبد اللّه بن الحسن</w:t>
      </w:r>
      <w:r>
        <w:rPr>
          <w:rStyle w:val="FootnoteAnchor"/>
          <w:rtl w:val="true"/>
        </w:rPr>
        <w:footnoteReference w:id="39"/>
      </w:r>
      <w:r>
        <w:rPr>
          <w:rFonts w:ascii="Amiri" w:hAnsi="Amiri" w:eastAsia="Amiri" w:cs="Amiri"/>
          <w:color w:val="111111"/>
          <w:sz w:val="28"/>
          <w:sz w:val="28"/>
          <w:szCs w:val="28"/>
          <w:rtl w:val="true"/>
          <w:lang w:bidi="ar-SA"/>
        </w:rPr>
        <w:t>، وحديث ضمانه لدين محمّد بن اُسامة</w:t>
      </w:r>
      <w:r>
        <w:rPr>
          <w:rStyle w:val="FootnoteAnchor"/>
          <w:rtl w:val="true"/>
        </w:rPr>
        <w:footnoteReference w:id="40"/>
      </w:r>
      <w:r>
        <w:rPr>
          <w:rFonts w:ascii="Amiri" w:hAnsi="Amiri" w:eastAsia="Amiri" w:cs="Amiri"/>
          <w:color w:val="111111"/>
          <w:sz w:val="28"/>
          <w:sz w:val="28"/>
          <w:szCs w:val="28"/>
          <w:rtl w:val="true"/>
          <w:lang w:bidi="ar-SA"/>
        </w:rPr>
        <w:t>، بدعوى أنّهما ظاهران بل صريحان في عدم معلوميّة قدَر الدين وكمّيته وقت الضمان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ولكنّهما في الضمان التبرّعي، وعليه فالعمدة هي العمومات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ذكرناه من صحّة الضمان مع عدم العلم بمقدار الدين، إنّما هو إذا كان له واقعٌ معيّن، وإلّا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شيئاً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إذ المبهم من جميع الجهات لا تحقّق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 المصنّف بما أفاده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الصحّة فيما إذا كان يمكن العلم به بعد ذلك، كقوله أنا ضامن للدَّين الذي لك عليه، أمّا ما لا يمكن فيه العلم كضمنتُ لك شيئاً ممّا في ذمّته، فلا يصحّ قولاً واحداً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هو ذلك، فلا يرد عليه ما قيل من أنّه يصحّ وإنْ لم يمكن العلم به، فيأخذ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ذمّة الضامن مشغولة للمضمون عنه بمثل الدين الذي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أظفر بما يمكن أن يستدلّ به له إلّادعوى أنّه إذا كان ذمّته مشغولة بمثل ما للمضمون عنه، يكون ذلك من الحوالة التي هي قسيم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يحيل المضمون عنه مديونه على الضامن كي يكون حوالة، فهو داخل في الضمان، ويكون صحيحاً، وعليه فلا دليل على اعتبار هذا الشرط أيضاً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3" w:name="pg11823_118658"/>
    </w:p>
    <w:p>
      <w:pPr>
        <w:pStyle w:val="BookText"/>
        <w:rPr/>
      </w:pPr>
      <w:bookmarkEnd w:id="23"/>
      <w:r>
        <w:rPr>
          <w:rFonts w:ascii="Amiri" w:hAnsi="Amiri" w:eastAsia="Amiri" w:cs="Amiri"/>
          <w:color w:val="111111"/>
          <w:sz w:val="28"/>
          <w:sz w:val="28"/>
          <w:szCs w:val="28"/>
          <w:rtl w:val="true"/>
          <w:lang w:bidi="ar-SA"/>
        </w:rPr>
        <w:t>وينتقلُ المال إلى الضامن،</w:t>
      </w:r>
    </w:p>
    <w:p>
      <w:pPr>
        <w:pStyle w:val="Heading3"/>
        <w:numPr>
          <w:ilvl w:val="2"/>
          <w:numId w:val="1"/>
        </w:numPr>
        <w:rPr/>
      </w:pPr>
      <w:bookmarkStart w:id="24" w:name="__RefHeading___Toc11006606_73709187"/>
      <w:bookmarkStart w:id="25" w:name="_Toc8"/>
      <w:bookmarkEnd w:id="24"/>
      <w:r>
        <w:rPr>
          <w:rtl w:val="true"/>
        </w:rPr>
        <w:t>انتقال المال إلى ذمّة الضامن</w:t>
      </w:r>
      <w:bookmarkEnd w:id="2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إذا تحقّق الضمان على الوجه المعتبر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ذمّة المضمون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وتبرأ ذمّة المضمون عنه، وعليه الإجماع في كثيرٍ من الكلمات</w:t>
      </w:r>
      <w:r>
        <w:rPr>
          <w:rStyle w:val="FootnoteAnchor"/>
          <w:rtl w:val="true"/>
        </w:rPr>
        <w:footnoteReference w:id="4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من ضروريّات الفقه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الضمان على ما مرَّ ذلك، فالمعاملة العقلائيّة الممضاة شرعاً إنّما تكون بهذا النحو، وبرغم ذلك فإنّ نصوص الباب شاهدة به، منها صحيح عبد اللّه بن سنان، وموثّقي ابن عمّار والحسن بن الجهم المتقدّمة</w:t>
      </w:r>
      <w:r>
        <w:rPr>
          <w:rStyle w:val="FootnoteAnchor"/>
          <w:rtl w:val="true"/>
        </w:rPr>
        <w:footnoteReference w:id="44"/>
      </w:r>
      <w:r>
        <w:rPr>
          <w:rFonts w:ascii="Amiri" w:hAnsi="Amiri" w:eastAsia="Amiri" w:cs="Amiri"/>
          <w:color w:val="111111"/>
          <w:sz w:val="28"/>
          <w:sz w:val="28"/>
          <w:szCs w:val="28"/>
          <w:rtl w:val="true"/>
          <w:lang w:bidi="ar-SA"/>
        </w:rPr>
        <w:t>وغيرها، فإنّها 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يصحّ الاستدلال لصحّة ما عن الجمهور من ضَمّ الذمّة إلى الذمّة، مع التصريح بذلك بالعمومات العامّة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ويترتّب على ذلك أنّه لو أبرأ المضمون له ذمّة المضمون عنه، لم يفد شيئاً، لأنّ ذمّته 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أبرأ ذمّة الضامن برئا جميعاً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مشغول الذمّة له، فتبرأ ذمّته إذا برئه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مليّاً أو علم المضمون له بإعساره وقت الضمان صَحّ‌، وإلّا كان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الضامن إنّما يستحقّ الرجوع إليه بالأداء الذي قد انتفى محلّه بالإبراء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 الضمان لازمٌ من طرف المضمون له والضامن، فلا يجوز للضامن فسخه حتّى لو كان بإذن المضمون عنه، وتبيّن إعساره لعموم أدلّة لزوم العقد، وكذا لا يجوز للمضمون له فسخه والرجوع على المضمون عنه، ولكن يشترط في لزومه عليه ملائة الضامن حين الضمان، بأنْ يكون مالكاً لما يوفي به الدين فاضلاً عن المستثنيات في البيع للدين، أو علم المضمون له بإعساره،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 أو علم المضمون له بإعساره وقت الضمان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بالصحّة هو اللّزوم كما ينبّه عليه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كان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الخيار مع إعسار الضامن، وعدم علم المضمون 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الشرط الضمني الذي عليه بناء المتعاملين، من جهة أنّ عقد الضمان مبنيٌّ على تسهيل الامر، والقصد منه استيفاء الدين من الضامن، وإنّما يكون ذلك إذا أمكن الأداء منه بيساره، وهو كون الضامن موسراً، وقد حُقّق في محلّه أنّ الشروط الضمنيّة كالشروط المذكورة، يوجب تخلّفها الخيار، فيثبت له الخيار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يظهر ثبوت الخيار له لو تبيّن كونه مماطلاً مع يساره، سيّما مع عدم </w:t>
      </w:r>
    </w:p>
    <w:p>
      <w:pPr>
        <w:pStyle w:val="BookText"/>
        <w:rPr/>
      </w:pPr>
      <w:r>
        <w:rPr>
          <w:rFonts w:ascii="Amiri" w:hAnsi="Amiri" w:eastAsia="Amiri" w:cs="Amiri"/>
          <w:color w:val="111111"/>
          <w:sz w:val="28"/>
          <w:sz w:val="28"/>
          <w:szCs w:val="28"/>
          <w:rtl w:val="true"/>
          <w:lang w:bidi="ar-SA"/>
        </w:rPr>
        <w:t>إمكان إجباره ولو بالرجوع إلى الحاكم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موسراً ثمّ اُعسر، لا يجوز له ذلك لعدم الشرط الضمني، كما أنّه لو كان معسراً ثمّ أيسر، وكان العلم بعد حصول اليسار، لا يجوز له الفسخ، فإنّ الشرط الضمني هو اليسار وقت الأداء لا حين العقد</w:t>
      </w:r>
      <w:r>
        <w:rPr>
          <w:rFonts w:eastAsia="Amiri" w:cs="Amiri" w:ascii="Amiri" w:hAnsi="Amiri"/>
          <w:color w:val="111111"/>
          <w:sz w:val="28"/>
          <w:szCs w:val="28"/>
          <w:rtl w:val="true"/>
          <w:lang w:bidi="ar-SA"/>
        </w:rPr>
        <w:t>.</w:t>
      </w:r>
      <w:bookmarkStart w:id="26" w:name="pg11823_118661"/>
    </w:p>
    <w:p>
      <w:pPr>
        <w:pStyle w:val="BookText"/>
        <w:rPr/>
      </w:pPr>
      <w:bookmarkEnd w:id="26"/>
      <w:r>
        <w:rPr>
          <w:rFonts w:ascii="Amiri" w:hAnsi="Amiri" w:eastAsia="Amiri" w:cs="Amiri"/>
          <w:color w:val="111111"/>
          <w:sz w:val="28"/>
          <w:sz w:val="28"/>
          <w:szCs w:val="28"/>
          <w:rtl w:val="true"/>
          <w:lang w:bidi="ar-SA"/>
        </w:rPr>
        <w:t>ويصحّ مؤجّلاً، وإنْ كان الدَّين حالّاً وبالعكس</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1006608_73709187"/>
      <w:bookmarkStart w:id="28" w:name="_Toc9"/>
      <w:bookmarkEnd w:id="27"/>
      <w:r>
        <w:rPr>
          <w:rtl w:val="true"/>
        </w:rPr>
        <w:t>ضمان الحالّ والمؤجّل</w:t>
      </w:r>
      <w:bookmarkEnd w:id="28"/>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مؤجّلاً وإنْ كان الدين حالّاً،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القول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 المتصوّرة اثنتا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الضمان إمّا حالّ أو 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عن حالٍّ أو 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ضمان المؤجّل مؤجّلاً إمّا أنْ يكون الأجل الثاني مساوياً للأوّل، أو أنقص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الضمان تبرّعاً، أو بسؤال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وكلّها جائزة، إلّاأنّ موضع الخلاف فيها غير محرّر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محلّ الخلاف محرّرٌ و واضح، لأنّهم اختلفوا في موارد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المؤجّل حالّاً أو أنقص من أجله، فإنّ المحكيّ عن الفخر</w:t>
      </w:r>
      <w:r>
        <w:rPr>
          <w:rStyle w:val="FootnoteAnchor"/>
          <w:rtl w:val="true"/>
        </w:rPr>
        <w:footnoteReference w:id="47"/>
      </w:r>
      <w:r>
        <w:rPr>
          <w:rFonts w:ascii="Amiri" w:hAnsi="Amiri" w:eastAsia="Amiri" w:cs="Amiri"/>
          <w:color w:val="111111"/>
          <w:sz w:val="28"/>
          <w:sz w:val="28"/>
          <w:szCs w:val="28"/>
          <w:rtl w:val="true"/>
          <w:lang w:bidi="ar-SA"/>
        </w:rPr>
        <w:t>والكركي</w:t>
      </w:r>
      <w:r>
        <w:rPr>
          <w:rStyle w:val="FootnoteAnchor"/>
          <w:rtl w:val="true"/>
        </w:rPr>
        <w:footnoteReference w:id="48"/>
      </w:r>
      <w:r>
        <w:rPr>
          <w:rFonts w:ascii="IRNazanin" w:hAnsi="IRNazanin" w:eastAsia="IRNazanin"/>
          <w:color w:val="111111"/>
          <w:sz w:val="28"/>
          <w:sz w:val="28"/>
          <w:szCs w:val="28"/>
          <w:rtl w:val="true"/>
          <w:lang w:bidi="fa-IR"/>
        </w:rPr>
        <w:t>عدم جوازه، واستدلّ 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ضمان ما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الفرع لا يرجّح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مشروعيّة الضمان على نقل الدَّين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فمندفع بأنّ المضمون هو الدين نفسه، وهو ثابتٌ‌، والأجل إنّما هو من التوابع والحقوق، فمع الرضا بإسقاطه من الطرفين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قاعدة كليّة لم يدلّ دليلٌ عليها، مع أنّه في الأصل يمكن الحكم بصحّته أيضاً إذا تراضيا وأوقعا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بضمان الحال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الضمان حقيقة نقل الدين، أمّا اعتبار رعاية وصفه من التأجيل والتعجيل فلا دليل عليه، والإطلاقات تشهد بعدم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الأجل في الضمان على نحو اعتباره في السَّلم، حكي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بالإجماع الذي ادّعاه السيّد ابن زُهرة، ولكن المعروف من الأكثر عدم اعتباره، قال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يوجد في بعض الكتب لأصحابنا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ضمان مالٍ ولا نفسٍ إلّابأجل، والمراد بذلك إذا اتّفقا على التأخير والأجل فلابدّ من ذلك، ولا يصحّ إلّابأجلٍ محروس، فأمّا إذا اتّفقا على التعجيل، فيصحّ الضمان من دون أجل، وكذا إذا أطلقا العقد، وإلى هذا القول ذهب شيخنا في مبسوطه</w:t>
      </w:r>
      <w:r>
        <w:rPr>
          <w:rStyle w:val="FootnoteAnchor"/>
          <w:rtl w:val="true"/>
        </w:rPr>
        <w:footnoteReference w:id="52"/>
      </w:r>
      <w:r>
        <w:rPr>
          <w:rFonts w:ascii="Amiri" w:hAnsi="Amiri" w:eastAsia="Amiri" w:cs="Amiri"/>
          <w:color w:val="111111"/>
          <w:sz w:val="28"/>
          <w:sz w:val="28"/>
          <w:szCs w:val="28"/>
          <w:rtl w:val="true"/>
          <w:lang w:bidi="ar-SA"/>
        </w:rPr>
        <w:t>وهو حقّ اليقين،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لا يمنع منه مانع، ومن ادّعى خلافه يحتاج إلى دليل ولم نجده</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ومقتضى هذا الكلام اتّفاقهم على عدم اعتبار الأجل فيه بهذا المعنى، وعليه فالأظهر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الحال حالّاً، والمؤجّل بمثله مؤجّلاً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فيه نظراً إلى أنّ الضمان مبنيٌّ على الإرفاق، ولا إرفاق في هذين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فائدته بالإرفاق، مع أنّ كون الإرفاق معتبراً على وجهٍ يقتضي البطلان بدونه يحتاجُ إلى دليلٍ‌، مفقود في المقام، والإطلاقات 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ضمن المؤجّل حالّاً، أو أنقص بإذن المضمون عنه كذلك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يكون الدين على المضمون عنه كذلك،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أنّه لا رجوع للضامن عليه، وإنْ أدّى، إلّابعد انقضاء الأجل الأصلي للدَّين،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والشهيدالثاني</w:t>
      </w:r>
      <w:r>
        <w:rPr>
          <w:rStyle w:val="FootnoteAnchor"/>
          <w:rtl w:val="true"/>
        </w:rPr>
        <w:footnoteReference w:id="5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يفصّل بين الإطلاق والتصريح، فيحلّ أجله بالثاني دون الأوّل، كما عن بعض المتأخّرين</w:t>
      </w:r>
      <w:r>
        <w:rPr>
          <w:rStyle w:val="FootnoteAnchor"/>
          <w:rtl w:val="true"/>
        </w:rPr>
        <w:footnoteReference w:id="60"/>
      </w:r>
      <w:r>
        <w:rPr>
          <w:rFonts w:ascii="IRNazanin" w:hAnsi="IRNazanin" w:eastAsia="IRNazanin"/>
          <w:color w:val="111111"/>
          <w:sz w:val="28"/>
          <w:sz w:val="28"/>
          <w:szCs w:val="28"/>
          <w:rtl w:val="true"/>
          <w:lang w:bidi="fa-IR"/>
        </w:rPr>
        <w:t xml:space="preserve">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في حكم الأداء، ومتى اذن المديون لغيره في قضاء دينه معجّلاً فقضاه استحق مطالبته، وأنّ الضمان بالسؤال موجبٌ لاستحقاق الرجوع على وفق الإذن، وأمّا مع الإطلاق فلتناوله التعجيل الذي قد عرفت اقتضائه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حلول الأجل يتوقّف على سبب، والإذن في الضمان حالّاً فضلاً عن الإطلاق، يقتضي الحلول بالنسبة إلى ذمّة الضامن، وأمّا بالنسبة إلى ذمّة المضمون عنه، فهو أعمٌّ من ذلك، فلا يكون مقتضياً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وجهاً للثاني يتمّ مع الإطلاق، وأمّا مع التصريح بالتعجيل، فهو يقتضى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الثاني، لأنّ التصريح بالتعجيل إذنٌ في أداء الدين معجّلاً في استحقاق الدائن ذلك، حتّى يكون مقتضياً للتعجيل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 وجه الأوّل، فيرد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الضمان في حكم الأداء لا يقتضي ذلك، إذ أداء الدين المؤجّل لا يغيّر أجل الدَّين، ولا يصير سبباً لصيروته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مصادرة محضة، مع أنّه لو تمّ لاقتضى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فالمتحصّل أقوائيّة الثاني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ضمن الدين الحال مؤجّلاً، فهل الأجل للدين أو الضمان‌؟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وتظهر الثمرة لو أدّى الضامن قبل الأجل، فإنّه لا يستحقّ الرجوع على الأوّل بخلاف الثاني، والظاهر هو الأوّل، فإنّه إذا رضى المضمون له بتأخير الأداء فهو مؤجّل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الحال إنّما هو ما في ذمّة المضمون عنه، وقد انتقل عن ذمّته وبرأت ذمّته منه، وثبت في ذمّة الضامن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الضمان واسطة في ثبوت الأجل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حالّاً فضمنه مؤجّلاً، سقطت مطالبة المضمون عنه، ولا يحقّ أن يطالب الضامن إلّابعد الأجل إجماعاً</w:t>
      </w:r>
      <w:r>
        <w:rPr>
          <w:rStyle w:val="FootnoteAnchor"/>
          <w:rtl w:val="true"/>
        </w:rPr>
        <w:footnoteReference w:id="61"/>
      </w:r>
      <w:r>
        <w:rPr>
          <w:rFonts w:ascii="Amiri" w:hAnsi="Amiri" w:eastAsia="Amiri" w:cs="Amiri"/>
          <w:color w:val="111111"/>
          <w:sz w:val="28"/>
          <w:sz w:val="28"/>
          <w:szCs w:val="28"/>
          <w:rtl w:val="true"/>
          <w:lang w:bidi="ar-SA"/>
        </w:rPr>
        <w:t>، فلو مات الضامن حَلّ وأخذ من تركته، ورجع الورثة على المضمون عنه، كما لا يخفى‌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 w:name="pg11823_118666"/>
    </w:p>
    <w:p>
      <w:pPr>
        <w:pStyle w:val="BookText"/>
        <w:rPr/>
      </w:pPr>
      <w:bookmarkEnd w:id="29"/>
      <w:r>
        <w:rPr>
          <w:rFonts w:ascii="Amiri" w:hAnsi="Amiri" w:eastAsia="Amiri" w:cs="Amiri"/>
          <w:color w:val="111111"/>
          <w:sz w:val="28"/>
          <w:sz w:val="28"/>
          <w:szCs w:val="28"/>
          <w:rtl w:val="true"/>
          <w:lang w:bidi="ar-SA"/>
        </w:rPr>
        <w:t>ويرجعُ الضّامن على المضمون عنه بما أدّاه إنْ ضمن بسؤاله، وإلّا فلا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1006610_73709187"/>
      <w:bookmarkStart w:id="31" w:name="_Toc10"/>
      <w:bookmarkEnd w:id="30"/>
      <w:r>
        <w:rPr>
          <w:rtl w:val="true"/>
        </w:rPr>
        <w:t>رجوع الضامن على المضمون عنه</w:t>
      </w:r>
      <w:bookmarkEnd w:id="31"/>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الضامن على المضمون عنه بما أدّاه إنْ ضمن بسؤاله،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في المقام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الضمان بإذن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الأداء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الضمان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مع التصريح بالمجانيّة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الضمان بغير إذنه، والأداء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يصرّح بالرجوع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لا يصرّح بذلك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الضمان بإذنه لا مجّاناً يرجع الضامن إلى المضمون عنه، </w:t>
      </w:r>
    </w:p>
    <w:p>
      <w:pPr>
        <w:pStyle w:val="BookText"/>
        <w:rPr/>
      </w:pPr>
      <w:r>
        <w:rPr>
          <w:rFonts w:ascii="Amiri" w:hAnsi="Amiri" w:eastAsia="Amiri" w:cs="Amiri"/>
          <w:color w:val="111111"/>
          <w:sz w:val="28"/>
          <w:sz w:val="28"/>
          <w:szCs w:val="28"/>
          <w:rtl w:val="true"/>
          <w:lang w:bidi="ar-SA"/>
        </w:rPr>
        <w:t>سواءٌ أذنَ في الأداء أو لم يأذن، وذلك لأنّه وإنْ كان عقد الضمان لا اقتضاء بالنسبة إليه، وليس هناك يدٌ ولا إتلاف، إلّاأنّه قد مرّ في كتاب الإجارة</w:t>
      </w:r>
      <w:r>
        <w:rPr>
          <w:rStyle w:val="FootnoteAnchor"/>
          <w:rtl w:val="true"/>
        </w:rPr>
        <w:footnoteReference w:id="62"/>
      </w:r>
      <w:r>
        <w:rPr>
          <w:rFonts w:ascii="Amiri" w:hAnsi="Amiri" w:eastAsia="Amiri" w:cs="Amiri"/>
          <w:color w:val="111111"/>
          <w:sz w:val="28"/>
          <w:sz w:val="28"/>
          <w:szCs w:val="28"/>
          <w:rtl w:val="true"/>
          <w:lang w:bidi="ar-SA"/>
        </w:rPr>
        <w:t>أنّ الامر بالعمل أو الإذن فيه، واستيفاء المال أو العمل لا مجاناً من أسباب الضمان، وعليه فلو أذن في الضمان يكون ضامناً لما يؤدّيه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الضمان بغير إذنه، أو مع الإذن به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الأداء بغير إذنه، لا إشكال في أنّه لا يرجع إليه، لعدم الموجب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المسلم وعمله محترمان لا يذهبان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كتاب الغصب</w:t>
      </w:r>
      <w:r>
        <w:rPr>
          <w:rStyle w:val="FootnoteAnchor"/>
          <w:rtl w:val="true"/>
        </w:rPr>
        <w:footnoteReference w:id="63"/>
      </w:r>
      <w:r>
        <w:rPr>
          <w:rFonts w:ascii="Amiri" w:hAnsi="Amiri" w:eastAsia="Amiri" w:cs="Amiri"/>
          <w:color w:val="111111"/>
          <w:sz w:val="28"/>
          <w:sz w:val="28"/>
          <w:szCs w:val="28"/>
          <w:rtl w:val="true"/>
          <w:lang w:bidi="ar-SA"/>
        </w:rPr>
        <w:t>أنّ قاعدة الاحترام ليست من القواعد المضمّنة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الحسين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الضامن غارم‌؟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الضامن غُرم، الغُرم على من أكل المال</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بإطلاقه يدلّ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اتّفاق الأصحاب على عدم الضمان مع عدم الإذن في الضمان، ولا في الأداء، يوجبُ تقييد إطلاقه، فيحمل على صورة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الضمان بدون الإذن والأداء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يصرّح بالرجوع إليه، فلا كلام يعتدّ به في عدم الضمان أيضاً، إنّما البحث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ما ضمنتُ وراجعني فيه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ضامناً بالأداء، لأنّ مرجع القول المزبور إلى الوعد الذي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يجب الوفاء به، ولأنّ الضامن لما اشتغلت ذمّته بالضمان، وبرأت ذمّة المضمون عنه، فالأداء واجبٌ عليه ونفعه عائد إليه، فالأمر بالأداء لا يوجب الضمان لكونه أمراً بأداء ما على المؤدّى نفسه، والعائد نفعه إليه، وهذا لا يصلح لجعل عوضٍ بإزائه،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وراجعني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الوعد إنْ كان أمراً بالعمل، واستيفاءً للمال يوجبُ الضمان لا بما أنّه وعد، بل للكبرى الكليّة المتقدّمة المشار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العوض بإزاء ما يعود نفعه إلى الغير لا إشكال فيه، وليست حقيقة المعاوضة مقتضية لدخول العوض في كيس من خرج المعوّض عن كيسه، ولذا لو أباح المالك ماله لزيد بإزاء عوضٍ في مال بكر، كان ذلك إباحة معوّضة صحيحة، والمقام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الضامن إلى المضمون عنه لو كان الضمان بإذنه لا مجاناً مطلقاً، وما لو كان الضمان لا بإذنه والأداء بإذنه، بشرط التصريح بالرجوع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ما ذكرناه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للضامن الرجوع على المضمون عنه فيما له ذلك إلّابعد أداء مال الضمان،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إليه بمقدار ما أدّى، لأنّ ذمّة الضامن وإن اشتغلت حين الضمان، إلّاأنّ ذمّة المضمون عنه لا تشتغل إلّابعد الأداء وبمقداره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وللنصوص الخاصّة، لاحظ خبر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رجلٍ ضَمن عن رجلٍ ضماناً، ثمّ صالح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إلّاالذي صالح عليه</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المستفاد من هذه النصوص أنْ ليس للضامن إلّاما خَسر، وعلى هذا فإنْ أبرأ المضمون له ذمّة الضامن عن تمام الدَّين، ليس له الرجوع إلى المضمون عنه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وهبه ما في ذمّته، فهل هو كالإبراء أم لا؟</w:t>
      </w:r>
    </w:p>
    <w:p>
      <w:pPr>
        <w:pStyle w:val="BookText"/>
        <w:rPr/>
      </w:pPr>
      <w:r>
        <w:rPr>
          <w:rFonts w:ascii="Amiri" w:hAnsi="Amiri" w:eastAsia="Amiri" w:cs="Amiri"/>
          <w:color w:val="111111"/>
          <w:sz w:val="28"/>
          <w:sz w:val="28"/>
          <w:szCs w:val="28"/>
          <w:rtl w:val="true"/>
          <w:lang w:bidi="ar-SA"/>
        </w:rPr>
        <w:t>وجهان، أظهرهما الثاني، بناءً على صحّة هبة ما في الذمّة، وعدم رجوعها إلى الإبراء،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 الضامن المضمون عنه بأداء الدين فأدّاه، فذمّة المضمون عنه تصبح مشغولة للضامن بالأداء كما مرّ، والضامن تشتغل ذمّته للمضمون عنه بأمره إيّاه بالأداء، بل به، فيتهاتران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وإشكال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رحمه الله في اشتغال ذمّة الضامن بالقول المذكور في غير محلّه، كما يظهر ممّا أسلفناه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 w:name="pg11823_118670"/>
    </w:p>
    <w:p>
      <w:pPr>
        <w:pStyle w:val="BookText"/>
        <w:rPr/>
      </w:pPr>
      <w:bookmarkEnd w:id="32"/>
      <w:r>
        <w:rPr>
          <w:rFonts w:ascii="Amiri" w:hAnsi="Amiri" w:eastAsia="Amiri" w:cs="Amiri"/>
          <w:color w:val="111111"/>
          <w:sz w:val="28"/>
          <w:sz w:val="28"/>
          <w:szCs w:val="28"/>
          <w:rtl w:val="true"/>
          <w:lang w:bidi="ar-SA"/>
        </w:rPr>
        <w:t>ولا يُشترط العلم بقدر المضمون به، ويلزمه ما تقوم به البيّنة خاصّة</w:t>
      </w:r>
    </w:p>
    <w:p>
      <w:pPr>
        <w:pStyle w:val="Heading3"/>
        <w:numPr>
          <w:ilvl w:val="2"/>
          <w:numId w:val="1"/>
        </w:numPr>
        <w:rPr/>
      </w:pPr>
      <w:bookmarkStart w:id="33" w:name="__RefHeading___Toc11006612_73709187"/>
      <w:bookmarkStart w:id="34" w:name="_Toc11"/>
      <w:bookmarkEnd w:id="33"/>
      <w:r>
        <w:rPr>
          <w:rtl w:val="true"/>
        </w:rPr>
        <w:t>عدم اشتراط العلم بقَدر المضمون عنه</w:t>
      </w:r>
      <w:bookmarkEnd w:id="34"/>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العلم بقدر المضمون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عند ذكر شرائط صحّة الضمان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ضَمن ما على المضمون عنه مع الجهل به، وجب على الضامن أداء ما ثبت كونه عليه،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تقوم به البيّنة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لازماً للمضمون عنه وقت الضمان، لا ما يتجدّد، لعدم تعلّق الضمان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إقرار المضمون عنه، لأنّ إقراره على نفسه جائزٌ دون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يحلف المضمون له، لورد اليمين من المضمون عنه، لأنّ النزاع والخصومة حينئذٍ بين الضامن والمضمون له، فردّ اليمين من المضمون عنه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لوكان رَدّ الحلف من الضامن، يثبت عليه ما حَلف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ما في الأقوال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الصلاح</w:t>
      </w:r>
      <w:r>
        <w:rPr>
          <w:rStyle w:val="FootnoteAnchor"/>
          <w:rtl w:val="true"/>
        </w:rPr>
        <w:footnoteReference w:id="67"/>
      </w:r>
      <w:r>
        <w:rPr>
          <w:rFonts w:ascii="Amiri" w:hAnsi="Amiri" w:eastAsia="Amiri" w:cs="Amiri"/>
          <w:color w:val="111111"/>
          <w:sz w:val="28"/>
          <w:sz w:val="28"/>
          <w:szCs w:val="28"/>
          <w:rtl w:val="true"/>
          <w:lang w:bidi="ar-SA"/>
        </w:rPr>
        <w:t>وابن زُهرة</w:t>
      </w:r>
      <w:r>
        <w:rPr>
          <w:rStyle w:val="FootnoteAnchor"/>
          <w:rtl w:val="true"/>
        </w:rPr>
        <w:footnoteReference w:id="68"/>
      </w:r>
      <w:r>
        <w:rPr>
          <w:rFonts w:ascii="Amiri" w:hAnsi="Amiri" w:eastAsia="Amiri" w:cs="Amiri"/>
          <w:color w:val="111111"/>
          <w:sz w:val="28"/>
          <w:sz w:val="28"/>
          <w:szCs w:val="28"/>
          <w:rtl w:val="true"/>
          <w:lang w:bidi="ar-SA"/>
        </w:rPr>
        <w:t>من لزوم ما أقرَّ به الغريم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ما يحلف عليه المضمون له، من غير تقييدٍ كما عن المفيد رحمه الله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برضاء الضامن، وهو قول الشيخ</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35" w:name="pg11823_118671"/>
    </w:p>
    <w:p>
      <w:pPr>
        <w:pStyle w:val="BookText"/>
        <w:rPr/>
      </w:pPr>
      <w:bookmarkEnd w:id="35"/>
      <w:r>
        <w:rPr>
          <w:rFonts w:ascii="Amiri" w:hAnsi="Amiri" w:eastAsia="Amiri" w:cs="Amiri"/>
          <w:color w:val="111111"/>
          <w:sz w:val="28"/>
          <w:sz w:val="28"/>
          <w:szCs w:val="28"/>
          <w:rtl w:val="true"/>
          <w:lang w:bidi="ar-SA"/>
        </w:rPr>
        <w:t>ولابدّ في الحقّ من الثبوت، سواء كان لازماً أو آئلاً إليه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1006614_73709187"/>
      <w:bookmarkStart w:id="37" w:name="_Toc12"/>
      <w:bookmarkEnd w:id="36"/>
      <w:r>
        <w:rPr>
          <w:rtl w:val="true"/>
        </w:rPr>
        <w:t>ضمان الأعيان</w:t>
      </w:r>
      <w:bookmarkEnd w:id="37"/>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الثبوت، سواء كان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بعد القبض وانقضاء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آئلاً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الجعالة قبل فعل ما شرط عليه من العمل، وكمال السّبق والرماية، والثمن في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 المقام، بنحوٍ يظهر ما هو المختار، وما يرد على القوم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القدر المسلّم المتّفق عليه بينهم، هو ضمان ما في الذمّة، أي ضمان شخصٍ لما هو ثابتٌ في ذمّة آخر، وأمّا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الأعيان المضمونة، كما لو غصب شخصٌ مال آخر فيضمن بشخصٍ آخر عين ذلك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وضمان الأعيان غير المضمونة كالأمانة، كما لو ضمن شخصٌ الأمانة التي عند الشخص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 الخلاف فيهما بين الفقهاء، وهناك قسمٌ آخر لم يتعرّض له الفقهاء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الأعيان التي تكون عند أصحابها، كأموال الناس في متاجرهم، وحكم هذا القسم حكم القسمين الأخيرين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بطلان الضمان في القسمين الأخيرين، واختصاصه بما في الذمم وجوهٌ‌، وإنْ اختصّ بعض الوجوه بالأوّل، وبعضها بالثاني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لادليل على العموم، وأخبار باب الضمان كلّها واردة في ضمان ما في الذمّة، وواردة لبيان أحكام اُخر، وليس في شيء منها ماله إطلاقٌ أو عموم يمكن أن يُتمسّك به لمشروعيّة الضمان بقول مطلق، وما يروى عن النبيّ صلى الله عليه و آله من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قد عرفت أنّه ليس من أخبارنا، بل يظهر من بعض الأخبار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الضمان الإنشائي المختصّة به، وإنْ كان لا إطلاق له يتمسّك به، إلّا أنّ ما دلّ على نفوذ كلّ عقدٍ ومعاملة عقلائيّة، كآية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وغيرهما له إطلاقٌ يشمل هذه الأقسام من الضمان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مختصٌّ بالقسم الأوّل، وهو أنّ المضمون عنه كالغاصب مكلّفٌ بردّ العين أيضاً، فلو قلنا بمشروعيّة هذا الضمان، كان من قبيل ضَمّ ذمّةٍ إلى ذمّة، مع أنّ مذهبنا كون الضمان موجباً للانتقال من ذمّة المضمون عنه إلى ذمّة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المصطلح في ضمان ما في الذمّة هو الانتقال، وهذا لا يوجبُ المنع من الضمان بالمعنى الآخر في المقام، الثابت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مانع من الالتزام في المقام أيضاً بالانتقال، فيكون بقاء المال بيد الغاصب حينئذٍ أمانة، غاية الأمر يجب رَدّه فوراً إلى المالك، ولو لم يقصّر في الرّد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وتلف في أثناء ذلك، يكون ضمانه على الضامن دون الغاصب، ولو قصّر يكون يده بقاءً يدُ ضمانٍ‌، فيكون ضامناً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في الجواب عن الوجه السابق يظهر الجواب عن هذا الوجه، وهو أنّ الضمان نقل الحقّ من ذمّة إلى أُخرى‌، فلا ينطبق على الضمان بمعنى كون العين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الأعيان كان المراد به نقلها عن عهدة ذي اليد إلى عهدته، أو ضمّها إليها، يحتمل كونه من الأحكام الشرعيّة لا من الاُمور التي بيد الناس وضعاً ورفعاً، ومع هذا الاحتمال لا وجه للتمسّك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المراجعة إلى المرتكزات العقلائيّة تدفع هذا الاحتمال، فإنّ العهدة والذمّة من باب واحد، فكما أنّ ما في الذمّة قابلٌ للنقل وللضمّ‌، كذلك ما في العهدة من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ضمان ما لم يجب، فإنّ الملتزم به مثلها أو قيمتها في صورة التلف، وقد اشتهر في الألسن 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بكون العين في العهدة، ليس من ضمان ما لم يجب، مع أنّ ضمان مالم يجب إنّما يكون باطلاً إذا كان المُنشَأ هو اشتغال الذمّة بالبدل فعلاً، وأمّا إذا كان المُنشَأ هو الاشتغال به بعد التلف، فلا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أركان الضمان المضمون عنه، وهو المدين، وهو مفقودٌ في الضمان في الأمانة، بل وفي ضمان العين المغصوبة، لأنّه ضمانٌ ابتدائي لا عن الغاصب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الضمان وجود المضمون عنه، بل أركانه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 والمضمون له، والمضمون</w:t>
      </w:r>
      <w:r>
        <w:rPr>
          <w:rFonts w:eastAsia="Amiri" w:cs="Amiri" w:ascii="Amiri" w:hAnsi="Amiri"/>
          <w:color w:val="111111"/>
          <w:sz w:val="28"/>
          <w:szCs w:val="28"/>
          <w:rtl w:val="true"/>
          <w:lang w:bidi="ar-SA"/>
        </w:rPr>
        <w:t xml:space="preserve">. </w:t>
      </w:r>
      <w:bookmarkStart w:id="38" w:name="pg11823_118674"/>
    </w:p>
    <w:p>
      <w:pPr>
        <w:pStyle w:val="BookText"/>
        <w:rPr/>
      </w:pPr>
      <w:bookmarkEnd w:id="38"/>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العمومات جواز الضمان بجميع أقسامه حتّى ضمان العين التي بيد صاحبها، وليس هناك ما يمنع عنه، وعليه فالأظهر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ضمان ما عند صاحبه يتصوّر على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بلا 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مع العوض، كأن يقول الضامن لصاحب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أضمن لكَ العين سنةً على أن تعطيني عوضاً عن ذلك عشرة دراهم عن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صحّته بكلا قسميه، ويترتّب على ذلك عقد التأمين، فإنّه من قبيل ضمان الأعيان غير المضمونة، إذ المؤمِّن يَضمن، أي يتعهّد ويُدخل الشيء في عهدته وحيازته في عمليّة التأمين، سواءٌ كان ذلك من الأعيان الخارجيّة، أو النفوس الحُرّة أو المملوكة، غاية الأمر ليس ضماناً مجانيّاً، بل بعوضٍ معيّن يشترط على المؤمّن له أنْ يدفعه دفعةً أو أقساطاً، وقد أشبعنا الكلام في ذلك في الجزء الأوّل من كتابنا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1006616_73709187"/>
      <w:bookmarkStart w:id="40" w:name="_Toc13"/>
      <w:bookmarkEnd w:id="39"/>
      <w:r>
        <w:rPr>
          <w:rtl w:val="true"/>
        </w:rPr>
        <w:t>الضمان المُستَحدث</w:t>
      </w:r>
      <w:bookmarkEnd w:id="4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تعارف في هذا العصر نوعٌ من الضمان، وهو التعهّد بدفع مبلغٍ إلى من تعهّد لثالثٍ بعملٍ إذا تخلّف عنه، وقد يُعبّر عنه بالكفالة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يتعهّد شخصٌ لآخر ببناء دارٍ له مع خصوصيّات معيّنة مذكورة خلال شهرين مثلاً، ويتّفق الطرفان على أن يتعهّد ثالثٌ بدفع مبلغ معيّن لو تخلّف المتعهِّد الأوّل عمّا تعهده، وذلك الشخص الثالث يقبل ذلك ويأخذ عمولة بإزاء تعهّده، ولنعبّر عن المتعهّد الثاني بالضمان، وهذا الضمان ليس من الضمان المصطلح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فالكلام فيه يقع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مشروعيّة هذا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عليها أنّه وإنْ لم يكن داخلاً تحت عناوين العقود، إلّاأنّه قد عرفت أنّ مقتضى العمومات إمضاء كلّ معاملةٍ عقلائيّة، وكلّ تجارةٍ ناشئة عن تراضٍ ما لم تكن ممّا دلّت الأدلّة الشرعيّة على فسادها، وعليه فبما أنّ هذا الضمان عقدٌ عقلائي وتجارة عن تراض، وله أركان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 والمضمون عنه وهو المتعهّد، والمضمون له وهو المتعهّد له، وكلّ منهم يستفيد من هذه المعاملة، أمّا الضامن فبأخذه العمولة، وأمّا المضمون له فلضمان حقّه، وأمّا المضمون عنه فواضح، فيشمله دليل التجارة عن تراضٍ وغيره، ويترتّب عليه أنّه يجوز للضامن أخذ العمولة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في المورد السابق يظهر الحال في المورد الثاني وهو وجه أخذ المضمون له المبلغ الذي تعهّده الضامن لو تأخّر المضمون عنه عن القيام بما توافق عليه مع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رجوع الضامن على المضمون عنه فيما دفعه عنه، ويمكن أن يذكر له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تنزيل ذلك على الشرط الضمني، بتقريب أنّ بناء المتعاملين على ذلك، وبما أنّ هذا البناء ارتكازي، فهو بحكم المذكور في ضمن العقد، فيرجع إليه بحكم الشرط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أسباب الضمان الامر المعاملي على ما حُقّق في محلّه، وفي المقام بما أنّ ضمان الضامن إنّما يكون بأمرٍ ولو ضمني من المضمون عنه، فهو ضامنٌ لما يخسره الضامن، ويدفعه بمقتضى العقد إلى المضمون له</w:t>
      </w:r>
      <w:r>
        <w:rPr>
          <w:rFonts w:eastAsia="Amiri" w:cs="Amiri" w:ascii="Amiri" w:hAnsi="Amiri"/>
          <w:color w:val="111111"/>
          <w:sz w:val="28"/>
          <w:szCs w:val="28"/>
          <w:rtl w:val="true"/>
          <w:lang w:bidi="ar-SA"/>
        </w:rPr>
        <w:t xml:space="preserve">. </w:t>
      </w:r>
      <w:bookmarkStart w:id="41" w:name="pg11823_118676"/>
    </w:p>
    <w:p>
      <w:pPr>
        <w:pStyle w:val="BookText"/>
        <w:rPr/>
      </w:pPr>
      <w:bookmarkEnd w:id="4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الأصحاب يصرّحون في ابتداء عنوان المسألة بأنّه يعتبر أنْ يكون المضمون ثابتاً في الذمّة، ويختلفون في أنّه هل يشمل ذلك العمل في الذمّة، أو المنفعة فيها، وأنّه هل يختصّ ذلك بالثبوت اللّزومي، أم يعمّ غيره كالثمن في زمان الخيار، وفي أواخر المسألة يذهب جماعة منهم إلى صحّة ضمان الأعيان المضمونة، ولم يتعرّض أحد للجمع بين الكلامين المتهافتين</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1006618_73709187"/>
      <w:bookmarkStart w:id="43" w:name="_Toc14"/>
      <w:bookmarkEnd w:id="42"/>
      <w:r>
        <w:rPr>
          <w:rtl w:val="true"/>
        </w:rPr>
        <w:t>ضمان العُهدة</w:t>
      </w:r>
      <w:bookmarkEnd w:id="43"/>
    </w:p>
    <w:p>
      <w:pPr>
        <w:pStyle w:val="BookText"/>
        <w:rPr/>
      </w:pPr>
      <w:r>
        <w:rPr>
          <w:rFonts w:ascii="Amiri" w:hAnsi="Amiri" w:eastAsia="Amiri" w:cs="Amiri"/>
          <w:color w:val="111111"/>
          <w:sz w:val="28"/>
          <w:sz w:val="28"/>
          <w:szCs w:val="28"/>
          <w:rtl w:val="true"/>
          <w:lang w:bidi="ar-SA"/>
        </w:rPr>
        <w:t>الظاهر عدم الخلاف بين الأصحاب في جواز ضمان العُهدة، وهو أن يضمن عهدة الثمن ودركه للمشتري، إذا ظهر كون المبيع مستحقّاً للغير، أو ظهر بطلان البيع لفقد شرطٍ من شروط صحّته مطلقاً، كما عن جماعة، أو إذا كان ذلك بعد قبض الثمن كما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أنّه من قبيل ضمان الأعيان، فقد اُشكل الأمر على جماعةٍ فلم يروا بُدّاً من التمسّك لصحّة خصوص ذلك واستثنائه من ضمان الأعيان بما أفاده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الضمان عندنا صحيحٌ إنْ كان البائع قد قبض الثمن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لإطباق النّاس عليه في جميع الأعصار، ولأنّ الحاجة تمسّ إلى معاملة من لايعرف ولا يوثَق بيده ومِلْكه، ويخاف عدم الظفر به لو خرج مستحقّاً للغير</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ضَمِن عُهدة الثمن لزمه مع بطلان العقد، لا تجدّد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الإجماع موهونٌ بقلّة تعرّض الفقهاء له، والحاجة وإنْ مسّت إلى معاملة من لا يعرف، إلّاأنّ المعاملة معه صحيحة بمقتضى اليد، وانكشاف استحقاق الغير ليس بتلك الكثرة الموجبة لاستفادة جعل الشارع هذا الحكم، ولكنّا في فُسحةٍ من ذلك لما عرفت من صحّة ضمان الأعيان، بل بناءً على ما مرّ يصحّ ضمان درك الثمن للمشتري إذا حصل الفسخ بالخيار أو التقايل، أو تلف المبيع قبل القبض، وإنْ كان المشهور بين الأصحاب عدم صحّة هذا الضمان لعدم ثبوت الحقّ وقت الضمان، فيكون من ضمان ما لم يجب وقد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اختلفوا في الفسخ بالعيب السابق أو اللّاحق، في أنّه هل يدخل في العُهدة ويصحّ الضمان، أم لا؟</w:t>
      </w:r>
    </w:p>
    <w:p>
      <w:pPr>
        <w:pStyle w:val="BookText"/>
        <w:rPr/>
      </w:pPr>
      <w:r>
        <w:rPr>
          <w:rFonts w:ascii="Amiri" w:hAnsi="Amiri" w:eastAsia="Amiri" w:cs="Amiri"/>
          <w:color w:val="111111"/>
          <w:sz w:val="28"/>
          <w:sz w:val="28"/>
          <w:szCs w:val="28"/>
          <w:rtl w:val="true"/>
          <w:lang w:bidi="ar-SA"/>
        </w:rPr>
        <w:t xml:space="preserve">فالمشهور بينهم هو الثاني، لكن ظهر ممّا ذكرناه أنّ الأظهر هو الأوّل، فعلى ما أفادوه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عليه من صحّة ضمان دَرَك الثمن فيما إذا ظهر المبيع مستحقّاً للغير، أو كان العقد باطلاً دون ما لو فسخ بخيار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ضمن عُهدة الثمن لزمه مع بطلان العقد لا تجدّد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مبناهم متينٌ‌، ولا يتمّ على ما قوّيناه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ذكرناه حال كثيرٍ من الفروع، فلا حاجة للتعرّض إليها</w:t>
      </w:r>
      <w:r>
        <w:rPr>
          <w:rFonts w:eastAsia="Amiri" w:cs="Amiri" w:ascii="Amiri" w:hAnsi="Amiri"/>
          <w:color w:val="111111"/>
          <w:sz w:val="28"/>
          <w:szCs w:val="28"/>
          <w:rtl w:val="true"/>
          <w:lang w:bidi="ar-SA"/>
        </w:rPr>
        <w:t>.</w:t>
      </w:r>
      <w:bookmarkStart w:id="44" w:name="pg11823_118678"/>
    </w:p>
    <w:p>
      <w:pPr>
        <w:pStyle w:val="BookText"/>
        <w:rPr/>
      </w:pPr>
      <w:bookmarkEnd w:id="44"/>
      <w:r>
        <w:rPr>
          <w:rFonts w:ascii="Amiri" w:hAnsi="Amiri" w:eastAsia="Amiri" w:cs="Amiri"/>
          <w:color w:val="111111"/>
          <w:sz w:val="28"/>
          <w:sz w:val="28"/>
          <w:szCs w:val="28"/>
          <w:rtl w:val="true"/>
          <w:lang w:bidi="ar-SA"/>
        </w:rPr>
        <w:t>وأمّا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فيها رضا الثلاثة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1006620_73709187"/>
      <w:bookmarkStart w:id="46" w:name="_Toc15"/>
      <w:bookmarkEnd w:id="45"/>
      <w:r>
        <w:rPr>
          <w:rtl w:val="true"/>
        </w:rPr>
        <w:t>الحوالة</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إحالة المديون دائنه إلى غيره، أو إحالة المديون ما في ذمّته إلى ذمّة غيره، وعلى هذا فلا ينقض بالضمان لأنّه لا إحالة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أفاده المشهور من أنّها تحويل المال من ذمّةٍ إلى ذمّةٍ مشغولة بمثلة، فينتقض طرده بالضمان، مع أنّ اعتبار شُغل الذمّة ينافي ما يصرّح به جماعة منهم من صحّة الحوالة على البريء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فيها رضا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المُحيل، والمُحتال، والمُحال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الأردبيلي</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بالنسبة إلى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المحكيّ منهما مستفيضٌ أو متواتر</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رضا المحيل، فيشهد لاعتباره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المديون ومن عليه الحقّ مخيّرٌ في جهات القضاء، فلا يتعيّن عليه بعض الجهات قهراً، فلو اُكره على أن يحيل فأحال بالإكراه، لم تقع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للتذكرة</w:t>
      </w:r>
      <w:r>
        <w:rPr>
          <w:rStyle w:val="FootnoteAnchor"/>
          <w:rtl w:val="true"/>
        </w:rPr>
        <w:footnoteReference w:id="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ويستثنى من اعتبار رضا المحيل ما لو تبرّع المُحال عليه بالوفاء، فإنّه لا يعتبر رضا المحيل قطعاً، لأنّه وفاء دينه وضمانه بغير إذنه، والعبارة عنه حينئذٍ أن يقول المُحال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بالدين الذي لكَ على فلانٍ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فيُشترط هنا رضا المحتال والمحال عليه</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فرضه ليس من الحوالة، بل هو من قبيل الضمان، وقد مرّ عدم اعتبار رضا المضمون عنه إلّافي بعض الفروض النادرة، وبه يظهر ما في مناقشة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2"/>
      </w:r>
      <w:r>
        <w:rPr>
          <w:rFonts w:ascii="Amiri" w:hAnsi="Amiri" w:eastAsia="Amiri" w:cs="Amiri"/>
          <w:color w:val="111111"/>
          <w:sz w:val="28"/>
          <w:sz w:val="28"/>
          <w:szCs w:val="28"/>
          <w:rtl w:val="true"/>
          <w:lang w:bidi="ar-SA"/>
        </w:rPr>
        <w:t>في صحّة ذلك بالإجماع، على اعتبار رضا المحيل، وبعدم الإطلاق لدليل صحّة الحوالة بنحوٍ يشمل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اعتبار رضاه هو أنّ حقّه ثابت في ذمّة المحيل، وانتقال ذلك إلى ذمّة المحال عليه بدون رضاه منافٍ لعدم جواز التصرّف في مال الغير بلا رضا صاحبه، ولقاعده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w:t>
      </w:r>
      <w:r>
        <w:rPr>
          <w:rStyle w:val="FootnoteAnchor"/>
          <w:rtl w:val="true"/>
        </w:rPr>
        <w:footnoteReference w:id="83"/>
      </w:r>
      <w:r>
        <w:rPr>
          <w:rFonts w:ascii="Amiri" w:hAnsi="Amiri" w:eastAsia="Amiri" w:cs="Amiri"/>
          <w:color w:val="111111"/>
          <w:sz w:val="28"/>
          <w:sz w:val="28"/>
          <w:szCs w:val="28"/>
          <w:rtl w:val="true"/>
          <w:lang w:bidi="ar-SA"/>
        </w:rPr>
        <w:t>بينهم اعتبار رضاه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رضاه، قيل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الميل إليه، بل هو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المقتصر</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أن يحوّله بغير جنس ما عليه فيعتبر رضاه، وبين ما لو حوّله بمثل ما عليه فلا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ما لو كانت الحوالة بمثل ما عليه بين أن يحوّله عليه بماله عليه، وبين أن يحوّله عليه من غير نظرٍ إلى الحقّ الذي له عليه، على نحو الحوالة على البريء، فيعتبر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كانت الحوالة على البريء، فلا إشكال في اعتبار رضاه، وهذا من الوضوح بمكان،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بنائه على عدم اعتبار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يستثنى من القول بعدم اعتبار رضاه ما لو كان بريئاً من حقّ المحيل، فإنّ رضاه معتبرٌ 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الحوالة على مشغول الذمّة بغير جنس ما عليه، فالظاهر اعتبار رضاه، إذ ذلك حينئذٍ بمنزلة المعاوضة الجديدة، فيعتبر فيها رضا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الحوالة على مشغول الذمّة بمثل ما عليه، فقد استدلّ لاعتبار رضاه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الإجماع واقعٌ على صحّة الحوالة مع رضا المحال عليه، ولا دليل على صحّتها من غير رضاه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إثبات المال في ذمّة الغير مع اختلاف الغرماء في شدّة الاقتضاء وسهولته تابعٌ لرضاه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وباستصحاب بقاء المال في ذمّة المحال عليه للمُحيل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صحّة الحوالة لو كان منحصراً في الإجماع، كان ما اُفيد تامّاً، وحيث أنّ أدلّة أُخرى من العمومات وخصوص إطلاق ما دلّ على الحوالة تدلّ عليها، ومعها لا وجه للأخذ بالمتيقّن، فلا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يثبت المال في ذمّة الغير، بل يتصرّف فيما يملكه وينقله إلى غيره، ففي الحقيقة يكون التبديل المالكين، وليس هناك 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يرجع إلى الاستصحاب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لعدم اعتبار رضاه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المحتال يقام مقام المحيل في القبض بالحوالة، فلا وجه لا حتياجه إلى رضا من عليه الحقّ‌، كما لو وكّله في القبض منه أو باع دَينه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في الذمّة ليس من قبيل العين الخارجيّة لا يتغيّر بتغيّر طرف الإضافة والاعتبار، بل هو متخصّصٌ بطرفيه، فلا محالة بالحوالة يتبدّل شخصُ ما في الذمّة إلى شخصٍ آخر في ذمّته مضاف إلى المحتال، ومن الواضح أنّ تبدّل ما في ذمّة الإنسان متوقّفٌ على رضاه، ولا وجه لقياس ذلك بالتوكيل في القبض الذي ليس فيه تصرّف فيما في الذمّة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تامٌّ بالدقّة العقليّة، إلّاأنّه بنظر العرف لا يعدّ ذلك تصرّفاً في ذمّة الغير، بل أهل العرف يرون أنّ ما كان يملكه في ذمّته ملكه لآخر، فكأنّ شخصُ ما في الذمّة قد تبدّل طرف إضافته، فلو قايسنا الملكيّة بالخيط الذي أحد </w:t>
      </w:r>
      <w:bookmarkStart w:id="47" w:name="pg11823_118682"/>
    </w:p>
    <w:p>
      <w:pPr>
        <w:pStyle w:val="BookText"/>
        <w:rPr/>
      </w:pPr>
      <w:bookmarkEnd w:id="47"/>
      <w:r>
        <w:rPr>
          <w:rFonts w:ascii="Amiri" w:hAnsi="Amiri" w:eastAsia="Amiri" w:cs="Amiri"/>
          <w:color w:val="111111"/>
          <w:sz w:val="28"/>
          <w:sz w:val="28"/>
          <w:szCs w:val="28"/>
          <w:rtl w:val="true"/>
          <w:lang w:bidi="ar-SA"/>
        </w:rPr>
        <w:t>ولا يجبُ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طرفيها مرتبط بالمالك، والآخر بالمملوك، يكون التمليك بالغير حقيقته عندهم حَلّ ذلك الخيط من مالك وشدّه بمالكٍ آخر من دون أن يتصرّف في المملوك، من غير فرق بين العين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المحيل عند العرف لا يتصرّف إلّافي ملكه فله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مَلك في ذمّة الغير، كان من آثار الملكيّة ولوازمها التصرّف فيه كيف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أو بالتوكيل فيه، أو بنقله إلى الغير ببيعٍ أو غيره، أو بالإبراء، وكلّ واحدٍ من هذه من التصرّفات التي جوازها من آثار كونه مالكاً له، فلا إشكال في عدم اعتبار رضا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كلّه في النفس شيئاً، سيّما بعد فتوى الأكثر باعتبار رضاه، فرعايته أحوط</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1006622_73709187"/>
      <w:bookmarkStart w:id="49" w:name="_Toc16"/>
      <w:bookmarkEnd w:id="48"/>
      <w:r>
        <w:rPr>
          <w:rtl w:val="true"/>
        </w:rPr>
        <w:t>الحوالة من العقود</w:t>
      </w:r>
      <w:bookmarkEnd w:id="4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أنّ الحوالة من الإيقاعات أو من العقود؟</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مركّبٌ من إيجابٍ من المُحيل وقبولٍ من المحتال، أو مركّب من إيجابٍ وقبولين، والقبول الثاني من المحال عليه‌؟</w:t>
      </w:r>
    </w:p>
    <w:p>
      <w:pPr>
        <w:pStyle w:val="BookText"/>
        <w:rPr/>
      </w:pPr>
      <w:r>
        <w:rPr>
          <w:rFonts w:ascii="Amiri" w:hAnsi="Amiri" w:eastAsia="Amiri" w:cs="Amiri"/>
          <w:color w:val="111111"/>
          <w:sz w:val="28"/>
          <w:sz w:val="28"/>
          <w:szCs w:val="28"/>
          <w:rtl w:val="true"/>
          <w:lang w:bidi="ar-SA"/>
        </w:rPr>
        <w:t>ظاهر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وإنْ كان من الجائز أنْ يكون مراده بذلك أنّه لا يجبُ قبول الحوالة على المحال عليه لاعتبار رضاه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ذهب إلى كلّ من الأقوال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لاينبغي التوقّف في اعتبار القبول من المُحتال، لأنّ المُحيل إنّما ينقل مال الغير من ذمّةٍ إلى ذمّةٍ أُخرى بلا سلطنة منه عليهما، فلا يصحّ بدون قبوله كنقل ماله الخارجي، ولا وجه لقياسه بالوفاء، بل دعوى أنّه نوعٌ من الوفاء بعد ثبوت الفرق الواضح بينهما، حيث أنّه في الوفاء ليس نقل وانتقال، وفي الحوالة انتقال الدين من ذمّة إلى ذمّة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اندفاع ما قيل في وجه كونه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القبول من المُحال عليه، فقد ظهر ممّا ذكرناه في وجه اعتبار رضاه ما يمكن أن يستدلّ به له،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ما يعتبر في الإيجاب والقبول، والمُحيل والمحال والمحال عليه، فهو الكلام في ما تقدّم في كتاب الضمان</w:t>
      </w:r>
      <w:r>
        <w:rPr>
          <w:rStyle w:val="FootnoteAnchor"/>
          <w:rtl w:val="true"/>
        </w:rPr>
        <w:footnoteReference w:id="91"/>
      </w:r>
      <w:r>
        <w:rPr>
          <w:rFonts w:ascii="Amiri" w:hAnsi="Amiri" w:eastAsia="Amiri" w:cs="Amiri"/>
          <w:color w:val="111111"/>
          <w:sz w:val="28"/>
          <w:sz w:val="28"/>
          <w:szCs w:val="28"/>
          <w:rtl w:val="true"/>
          <w:lang w:bidi="ar-SA"/>
        </w:rPr>
        <w:t>من ما يعتبر في عقده، وفي الضامن والمضمون له والمضمون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الكلام في أنّه هل تتوقّف صحّة الحوالة على أنْ يكون المال المحال به ثابتاً في ذمّة المحيل مستقرّاً أو متزلزلاً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تصحّ في غير المستقرّ، سواءٌ وجد سببه، كمال الجُعالة قبل العمل، أو لم يوجد سببه كالحوالة بما يستقرضه كما هو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يكفي ثبوت سببه وإنْ لم يكن هو ثابتاً، أم لا يعتبر ذلك أيضاً، فتصحّ الحوالة بما يستقرضه على نحو كون الحوالة بعد القرض، هو الكلام في اعتبار ذلك وعدمه في الضمان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في الحوالة كون المال المحال به معلوماًجنساً وقدراً للمحيل والمحتال، فلا تصحّ الحوالة بالمجهول كما هو المشهور، أم لا يعتبر ذلك‌؟د</w:t>
      </w:r>
      <w:r>
        <w:rPr>
          <w:rFonts w:eastAsia="Amiri" w:cs="Amiri" w:ascii="Amiri" w:hAnsi="Amiri"/>
          <w:color w:val="111111"/>
          <w:sz w:val="28"/>
          <w:szCs w:val="28"/>
          <w:rtl w:val="true"/>
          <w:lang w:bidi="ar-SA"/>
        </w:rPr>
        <w:t xml:space="preserve">. </w:t>
      </w:r>
      <w:bookmarkStart w:id="50" w:name="pg11823_118684"/>
    </w:p>
    <w:p>
      <w:pPr>
        <w:pStyle w:val="BookText"/>
        <w:rPr/>
      </w:pPr>
      <w:bookmarkEnd w:id="50"/>
      <w:r>
        <w:rPr>
          <w:rFonts w:ascii="Amiri" w:hAnsi="Amiri" w:eastAsia="Amiri" w:cs="Amiri"/>
          <w:color w:val="111111"/>
          <w:sz w:val="28"/>
          <w:sz w:val="28"/>
          <w:szCs w:val="28"/>
          <w:rtl w:val="true"/>
          <w:lang w:bidi="ar-SA"/>
        </w:rPr>
        <w:t>وجهان تقدّما في الضمان</w:t>
      </w:r>
      <w:r>
        <w:rPr>
          <w:rStyle w:val="FootnoteAnchor"/>
          <w:rtl w:val="true"/>
        </w:rPr>
        <w:footnoteReference w:id="92"/>
      </w:r>
      <w:r>
        <w:rPr>
          <w:rFonts w:ascii="Amiri" w:hAnsi="Amiri" w:eastAsia="Amiri" w:cs="Amiri"/>
          <w:color w:val="111111"/>
          <w:sz w:val="28"/>
          <w:sz w:val="28"/>
          <w:szCs w:val="28"/>
          <w:rtl w:val="true"/>
          <w:lang w:bidi="ar-SA"/>
        </w:rPr>
        <w:t>، ومن ما ذكرناه هناك تعرف عدم اعتباره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تساوى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المحال به وما على 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 ونوعاً ووصفاً في صحّة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ونخبة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ليس ما لو أحال المديون دائنه إلى من عليه غير ما هو له بما عليه، كما لو أحال من له عليه الدراهم إلى من عليه الدنانير، بأنْ يدفع إليه الدنانير من باب الوفاء بغير الجنس، فإنّ الظاهر أنّه لا كلام في الصحّة في ذلك، وعدم اعتبار التساوي، كما يظهر من استدلالهم له، بل الدين وإنْ كان حينئذٍ غير ما على المحال عليه، إلّاأنّ المحال به مساوٍ له، بل الكلام فيما لو أحاله عليه بما في ذمّته وهو الدراهم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لعدم صحّتها واعتبار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المُحيل لا يكون مسلّطاً على المُحال عليه بما لم يشتغل ذمّته به، إذ لايجب عليه إلّادفع مثل 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الحكم على خلاف القاعدة، فيقتصر فيه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مردودٌ بأنّه وإنْ لم يكن مسلّطاً عليه، إلّاأنّه إذا رضي المحال عليه بذلك يرتفع المحذور، ويكون من قبيل وفاء الدين بغير الجنس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يردّ بإطلاق الأدلّة وعمومها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1006624_73709187"/>
      <w:bookmarkStart w:id="52" w:name="_Toc17"/>
      <w:bookmarkEnd w:id="51"/>
      <w:r>
        <w:rPr>
          <w:rtl w:val="true"/>
        </w:rPr>
        <w:t>الحوالة لازمة</w:t>
      </w:r>
      <w:bookmarkEnd w:id="5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واستقصاء الكلام في هذا الباب يتحقّق في ضمن 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ومعه يلزم، ويَبرأُ المُحيل، وينتقل المال إلى ذمّة المُحال عليه إنْ كان مليّاً أو علم بإعساره، وإلّا فله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تحقّق عقد الحوالة بشرائطه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مرّ في الضمان من أنّ الأدلّة العامّة تدلّ على لزومها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ويبرأ المحيل، وينتقل المال إلى ذمّة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مليّاً، أو علم بإعساره، وإلّا فله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حذو ما تقدّم في الضمان، لاتّحاد المدرك لجميع ذلك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تشهد بها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أيّوب،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يحيل الرّجل بالمال أيرجع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عليه أبداً إلّاأنْ يكون قد أفلس قبل ذلك</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عقبة،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يحيل الرّجل بالمال على الصيرفي ثمّ يتغيّر حال الصيرفي، أيرجع على صاحبه إذا احتال ورضي‌؟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بن حازم،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يحيل على الرّجل بالدّراهم أيرجع عليه‌؟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لايرجع عليه أبداً إلّاأنْ يكون قد أفلس قبل ذلك</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المحكيّ عن أبي عليّ‌</w:t>
      </w:r>
      <w:r>
        <w:rPr>
          <w:rStyle w:val="FootnoteAnchor"/>
          <w:rtl w:val="true"/>
        </w:rPr>
        <w:footnoteReference w:id="96"/>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وأبي الصلاح</w:t>
      </w:r>
      <w:r>
        <w:rPr>
          <w:rStyle w:val="FootnoteAnchor"/>
          <w:rtl w:val="true"/>
        </w:rPr>
        <w:footnoteReference w:id="98"/>
      </w:r>
      <w:r>
        <w:rPr>
          <w:rFonts w:ascii="Amiri" w:hAnsi="Amiri" w:eastAsia="Amiri" w:cs="Amiri"/>
          <w:color w:val="111111"/>
          <w:sz w:val="28"/>
          <w:sz w:val="28"/>
          <w:szCs w:val="28"/>
          <w:rtl w:val="true"/>
          <w:lang w:bidi="ar-SA"/>
        </w:rPr>
        <w:t>، والقاضي</w:t>
      </w:r>
      <w:r>
        <w:rPr>
          <w:rStyle w:val="FootnoteAnchor"/>
          <w:rtl w:val="true"/>
        </w:rPr>
        <w:footnoteReference w:id="99"/>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براءة ذمّة المحيل الإبراء زيادةً على الحوالة، واستدلّ له بصحيح زرارة، عن أحدهما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يحيل الرّجل بمال كان له على رجلٍ آخر، فيقول له الذي احتال برئتُ من مالي عليك‌؟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أبرأه فليس له أنْ يرجع عليه، وإنْ لم يبرأه فله أنْ يرجع على الذي أحاله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وللقوم تأويلات للخبر، أحسنها ما هو مختار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الإبراء في الخبر كناية عن قبول المحتال الحوالة،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برئتُ من مالي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رضيتُ بالحوالة الموجبة للتحويل، فبرئتَ أنت، فكنّى عن الملزوم باللّازم، وهكذا القول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يبرأه فله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العقد بدون قبوله ورضاه غير لازم، فله أنْ يرجع فيه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يتمّ ذلك ولا غيره من التأويلات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كحمله على ما إذا ظهر إعسار المُحال عليه حال الحوالة، مع جهل المحتال بحاله، أو على ما إذا شرط المحيل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التعارض بينه وبين النصوص المتقدّمة، والنسبة عمومٌ من وجه،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لاختصاصها بغير صورة الإفلاس، واختصاص هذا الخبر بما إذا لم يبرأه، ومورد التعارض هو ما لو لم يبرأه ولم يظهر الإفلاس، والترجيح لها للشهرة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الحوالة على البريء كما هو المشهور، بل الظاهر عدم الخلاف فيه إلّاعن الشيخ في آخر الباب</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التنقيح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2/191</w:t>
      </w:r>
      <w:r>
        <w:rPr>
          <w:rFonts w:ascii="Amiri" w:hAnsi="Amiri" w:eastAsia="Amiri" w:cs="Amiri"/>
          <w:color w:val="111111"/>
          <w:sz w:val="28"/>
          <w:sz w:val="28"/>
          <w:szCs w:val="28"/>
          <w:rtl w:val="true"/>
          <w:lang w:bidi="ar-SA"/>
        </w:rPr>
        <w:t>، وأيضاً في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وربما ينسب الخلاف إلى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يثبت، بل عن الشيخ في أوّل الباب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موافقة المشهور، ولذا 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المتقدّمة، وعموم أدلّة الإمضاء العامّة، وربما يبنى الخلاف على القول بأنّها استيفاء أو اعتياض، فعلى الأوّل يجوز، وعلى الثاني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الحوالة معاملة مستقلّة وإنْ لحقها حكم الوفاء تارةً وحكم الاعتياض أُخرى‌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ممّا ذكرناه في تعريفها وتعريف الضمان يظهر أنّ ذلك حوالة لا ضمان،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بالضمان أشبه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وعن الكاشاني</w:t>
      </w:r>
      <w:r>
        <w:rPr>
          <w:rStyle w:val="FootnoteAnchor"/>
          <w:rtl w:val="true"/>
        </w:rPr>
        <w:footnoteReference w:id="1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أنّها 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طالب المُحال عليه بما أدّاه، فادّعى المُحيل ثبوته في ذمّته، فالقولُ قول المُحال عليه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المُحال عليه بما أدّاه، فادّعى المُحيل ثبوته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من صحّة الحوالة على البريء، لا 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المحال عليه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فهو منكرٌ يقدّم قوله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المحال عليه، لأنّ أصل البراءة عن الدين يعارض أصالة الصحّة، المقتضية لكون قول المحيل موافقاً للأصل وهو منكر، فيبقى مع المحال عليه أداء دين المحيل بإذنه، فيرجع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الصحّة مع اعتراف المحال عليه بالحوالة مقدّمٌ على أصل البراءة، لأنّه يقدم على الاُصول التنزيليّة فضلاً عن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اعتراف المحال عليه بالحوالة، اعترافٌ منه باشتغال الذمّة، ومعه لا مورد للرجوع إلى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القول قول المحيل على 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المحال عليه أنّه أذن له في أداء دَينه، ولم يكن حوالة يقدّم قوله لأصالة البراءة من شُغل ذمّته، فبإذنه في أداء دينه له مطالبة عوضه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موارد جريان أصالة البراءة المقتضية لتقديم قول المحال عليه،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3" w:name="pg11823_118689"/>
    </w:p>
    <w:p>
      <w:pPr>
        <w:pStyle w:val="BookText"/>
        <w:rPr/>
      </w:pPr>
      <w:bookmarkEnd w:id="53"/>
      <w:r>
        <w:rPr>
          <w:rFonts w:ascii="Amiri" w:hAnsi="Amiri" w:eastAsia="Amiri" w:cs="Amiri"/>
          <w:color w:val="111111"/>
          <w:sz w:val="28"/>
          <w:sz w:val="28"/>
          <w:szCs w:val="28"/>
          <w:rtl w:val="true"/>
          <w:lang w:bidi="ar-SA"/>
        </w:rPr>
        <w:t>ولو أحال المشتري بالثمن ثمّ فَسَخ، بطلت الحوالة،</w:t>
      </w:r>
    </w:p>
    <w:p>
      <w:pPr>
        <w:pStyle w:val="BookText"/>
        <w:rPr/>
      </w:pPr>
      <w:r>
        <w:rPr>
          <w:rFonts w:ascii="Amiri" w:hAnsi="Amiri" w:eastAsia="Amiri" w:cs="Amiri"/>
          <w:color w:val="111111"/>
          <w:sz w:val="28"/>
          <w:sz w:val="28"/>
          <w:szCs w:val="28"/>
          <w:rtl w:val="true"/>
          <w:lang w:bidi="ar-SA"/>
        </w:rPr>
        <w:t>يجري أصلٌ آخر يعارض تلك، وهو أصالة عدم اشتغال ذمّة المحيل بعوض ما أدّاه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اشتغال ذمّته مسبّبٌ عن الشكّ في اشتغال ذمّة المحال عليه، فأصل البراءة عن اشتغال ذمّته حاكمٌ على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المستفاد من عنوان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أحال المحيل ثمّ طالب المحال عليه بما أدّاه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الحوالة حال الضمان في عدم شغل الذمّة بالعوض إلّا بعد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ذلك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يحصل بالحوالة الوفاء بالنسبة إلى دين المحيل، فكذا بالنسبة إلى دين المحال عليه للمحيل إذا كان مديوناً، وحصول شغل ذمّة المحيل له إذا كان بريئاً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مبحث الضمان</w:t>
      </w:r>
      <w:r>
        <w:rPr>
          <w:rStyle w:val="FootnoteAnchor"/>
          <w:rtl w:val="true"/>
        </w:rPr>
        <w:footnoteReference w:id="109"/>
      </w:r>
      <w:r>
        <w:rPr>
          <w:rFonts w:ascii="Amiri" w:hAnsi="Amiri" w:eastAsia="Amiri" w:cs="Amiri"/>
          <w:color w:val="111111"/>
          <w:sz w:val="28"/>
          <w:sz w:val="28"/>
          <w:szCs w:val="28"/>
          <w:rtl w:val="true"/>
          <w:lang w:bidi="ar-SA"/>
        </w:rPr>
        <w:t>من أنّ ما أفادوه ممّا تقتضيه القاعدة، وإجمال ما مرَّ أنّ الحوالة على البريء مثلاً إنّما توجب الضمان من جهة استيفاء مال المحال عليه بأمره، ومن المعلوم أنّ قضيّة ذلك هو الاشتغال بعد الأداء وبمقداره، فراجع ما حقّقناه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1006626_73709187"/>
      <w:bookmarkStart w:id="55" w:name="_Toc18"/>
      <w:bookmarkEnd w:id="54"/>
      <w:r>
        <w:rPr>
          <w:rtl w:val="true"/>
        </w:rPr>
        <w:t>إذا أحال المشتري بالثمن رَدّ البيع</w:t>
      </w:r>
      <w:bookmarkEnd w:id="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بالثَّمن ثمّ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بالعيب أو بغيره ممّا يقتضي الفسخ من حينه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بطلت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الشيخ في محكي </w:t>
      </w:r>
    </w:p>
    <w:p>
      <w:pPr>
        <w:pStyle w:val="BookText"/>
        <w:rPr/>
      </w:pP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والفخر</w:t>
      </w:r>
      <w:r>
        <w:rPr>
          <w:rStyle w:val="FootnoteAnchor"/>
          <w:rtl w:val="true"/>
        </w:rPr>
        <w:footnoteReference w:id="111"/>
      </w:r>
      <w:r>
        <w:rPr>
          <w:rFonts w:ascii="Amiri" w:hAnsi="Amiri" w:eastAsia="Amiri" w:cs="Amiri"/>
          <w:color w:val="111111"/>
          <w:sz w:val="28"/>
          <w:sz w:val="28"/>
          <w:szCs w:val="28"/>
          <w:rtl w:val="true"/>
          <w:lang w:bidi="ar-SA"/>
        </w:rPr>
        <w:t>، والمحقّق الثاني</w:t>
      </w:r>
      <w:r>
        <w:rPr>
          <w:rStyle w:val="FootnoteAnchor"/>
          <w:rtl w:val="true"/>
        </w:rPr>
        <w:footnoteReference w:id="112"/>
      </w:r>
      <w:r>
        <w:rPr>
          <w:rFonts w:ascii="Amiri" w:hAnsi="Amiri" w:eastAsia="Amiri" w:cs="Amiri"/>
          <w:color w:val="111111"/>
          <w:sz w:val="28"/>
          <w:sz w:val="28"/>
          <w:szCs w:val="28"/>
          <w:rtl w:val="true"/>
          <w:lang w:bidi="ar-SA"/>
        </w:rPr>
        <w:t>، والمقدّس الأردبيلي</w:t>
      </w:r>
      <w:r>
        <w:rPr>
          <w:rStyle w:val="FootnoteAnchor"/>
          <w:rtl w:val="true"/>
        </w:rPr>
        <w:footnoteReference w:id="113"/>
      </w:r>
      <w:r>
        <w:rPr>
          <w:rFonts w:ascii="Amiri" w:hAnsi="Amiri" w:eastAsia="Amiri" w:cs="Amiri"/>
          <w:color w:val="111111"/>
          <w:sz w:val="28"/>
          <w:sz w:val="28"/>
          <w:szCs w:val="28"/>
          <w:rtl w:val="true"/>
          <w:lang w:bidi="ar-SA"/>
        </w:rPr>
        <w:t>، لأنّها تتبع البيع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بطلت إنْ قلنا إنّها استيفاء، فإذا بطل الأصل بطلت هيئة الإرفاق، وإنْ قلنا إنّها اعتياضٌ لم تبطل</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ولعلّه قال المصنّف رحمه الله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علّلوا به بطلان الحوالة عليلٌ‌، إذ الحوالة حين ما وقعت كانت صحيحة لازمة لوجود شرائط الصحّة واللّزوم، ولا وجه لبطلانها بفسخ البيع، لأنّ الحوالة وإنْ تتبع البيع لوقوعها على الثمن، إلّاأنّ فسخها ليس تابعاً لفسخ البيع، بل هي حينئذٍ من قبيل تصرّف أحد المتبايعين فيما انتقل إليه ثمّ حصل الفسخ، والكلام فيه بفروعه تقدّم في مبحث الخيارات</w:t>
      </w:r>
      <w:r>
        <w:rPr>
          <w:rStyle w:val="FootnoteAnchor"/>
          <w:rtl w:val="true"/>
        </w:rPr>
        <w:footnoteReference w:id="119"/>
      </w:r>
      <w:r>
        <w:rPr>
          <w:rFonts w:ascii="Amiri" w:hAnsi="Amiri" w:eastAsia="Amiri" w:cs="Amiri"/>
          <w:color w:val="111111"/>
          <w:sz w:val="28"/>
          <w:sz w:val="28"/>
          <w:szCs w:val="28"/>
          <w:rtl w:val="true"/>
          <w:lang w:bidi="ar-SA"/>
        </w:rPr>
        <w:t>، وعرفت أنّه في بعض الموارد يوجب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ويرجعُ المشتريُ على البائع مع قبضه، ولو أحالَ البائعُ أجنبيّاً ثمّ فَسَخ لم تبطل الحوالة، ولو بطل البيعُ بطلت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الخيار، وفي بعض آخر لا يسقط، وينتقل إلى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فيردّه ما مرّ من أنّ الحوالة معاملة مستقلّة، وليس حالها حال ما ذكره، ونظيراً له وهو ما إذا اشترى شيئاً بدراهم مكسورة فدفع إلى البائع الصحاح، أو دفع بدلها شيئاً آخر وفاءً‌، حيث أنّه إذا انفسخ البيع يرجع إليه ما دفع من الصحاح أو الشيء الآخر لا الدراهم المكسورة، لأنّ الوفاء بهذا النحو ليس معاملة لازمة، بل يتبع البيع في الانفساخ بخلاف الحوالة التي هي معاملة مستقلّة لازمة لاتنفسخ بانفساخ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بطلانها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المشتري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قد قبضه، فهو باقٍ في ذمّة المحال عليه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أحال البائع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 دينٌ بالثمن على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بما يقتضى الفسخ من حينه،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تبطل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عن الفخر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ظاهر، لأنّ الحوالة غير متعلّقة بالمتبايعين، فلا موهم لرفع اليد عن أصالة اللّزوم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الحوالة إنّما هي على 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6" w:name="pg11823_118692"/>
    </w:p>
    <w:p>
      <w:pPr>
        <w:pStyle w:val="BookText"/>
        <w:rPr/>
      </w:pPr>
      <w:bookmarkEnd w:id="56"/>
      <w:r>
        <w:rPr>
          <w:rFonts w:ascii="Amiri" w:hAnsi="Amiri" w:eastAsia="Amiri" w:cs="Amiri"/>
          <w:color w:val="111111"/>
          <w:sz w:val="28"/>
          <w:sz w:val="28"/>
          <w:szCs w:val="28"/>
          <w:rtl w:val="true"/>
          <w:lang w:bidi="ar-SA"/>
        </w:rPr>
        <w:t>في ذمّته، وانكشف بذلك عدم اشتغال ذمّة المحال عليه، فهي حينئذٍ نظير ما لو أحال شخصٌ على من يراه مديوناً ثمّ ظهر عدم الدَّين</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1006628_73709187"/>
      <w:bookmarkStart w:id="58" w:name="_Toc19"/>
      <w:bookmarkEnd w:id="57"/>
      <w:r>
        <w:rPr>
          <w:rtl w:val="true"/>
        </w:rPr>
        <w:t>حكم الحوالة المستحدثة</w:t>
      </w:r>
      <w:bookmarkEnd w:id="5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تداول أخيراً بين التّجار أخذ الزيادة وإعطائها، في الحوالات المسمّاة عندهم بصرف البرات، ويطلقون عليه بيع الحوالة وشرائها، وهي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الشخص إلى التاجر مبلغاً، ويأخذ ذلك المبلغ بعينه من طرفه 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الحكم فيه خالٍ عن الإشكال، سواءٌ كان ذلك بعنوان البيع بأنْ يبيع المبلغ المعيّن مثلاً مائة دينار بمبلغ يساويها يدفعه في بلد آخر، أو بعنوان القرض بأنْ يقترض منه أو يقرضه ذلك المبلغ ليسلّمه في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بعنوان البيع فواضح، وأمّا إذا كان بعنوان القرض فلعدم الزيادة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فيه بعض الأساطين، مع كون المصلحة للمُقرِض لجرّ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ضعيفٌ‌، لأنّ الممنوع عنه هي الزيادة في القرض عيناً أو صفةً‌، وليس هذا واحداً منهما، مع أنّ جملة من النصوص تدلّ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يعقوب بن شعيب،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يسلّف الرّجل الوَرِق على أن ينقدها إيّاه بأرضٍ أُخرى‌، ويشترط عليه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عنه عليه السلام، عن أمير المؤمنين عليه 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يأخذالرّجل الدراهم بمكّة، ويكتب لهم سفاتج أن يعطوها بالكوفة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الصباح،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يبعث بمالٍ إلى أرضٍ‌، فقال للذي يريد أن يبعث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أقرضنيه وأنا أُوفيك إذا قَدِمت الأرض‌؟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 الرّجل الدراهم فأشترط عليه أن يدفعها بأرضٍ أُخرى سوداء بوزنها، وأشترط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إمّا ظاهرة في القرض، أو القرض أظهر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الشخص مبلغاً للتاجر ويأخذ الحوالة من المدفوع إليه بالأقلّ منه، والظاهر أنّه لا إشكال فيه أيضاً، كان ذلك منزّلاً على البيع أو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تتحقّق الرِّبا البيعي في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الربا في القرض هو أن يأخذ الدائن من المدين الزيادة مع الشرط، وأمّا لو كان الشرط نفعاً للمستقرض كما في الفرض، فلا يكون رباً، بل هو جائزٌ كما مرّ في كتاب القرض</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التاجر مبلغاً كمائة دينار لشخصٍ في بلدٍ ليأخذه في بلدٍ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مع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بعنوان البيع صَحّ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بعنوان القرض، واشترط ذلك في ضمن القرض بطل، لأنّه من الرّبا الممنوع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وللفرار من الرّبا لابدّ من إعمال بعض الحيل الشرعيّة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يقرض منه بلا شرطٍ، وبعد تماميّته يحوّله المقترض لأنْ يأخذ المبلغ مع الزيادة من شخصٍ ثالثٍ في بلدٍ آخر</w:t>
      </w:r>
      <w:r>
        <w:rPr>
          <w:rFonts w:eastAsia="Amiri" w:cs="Amiri" w:ascii="Amiri" w:hAnsi="Amiri"/>
          <w:color w:val="111111"/>
          <w:sz w:val="28"/>
          <w:szCs w:val="28"/>
          <w:rtl w:val="true"/>
          <w:lang w:bidi="ar-SA"/>
        </w:rPr>
        <w:t>.</w:t>
      </w:r>
      <w:bookmarkStart w:id="59" w:name="pg11823_118695"/>
    </w:p>
    <w:p>
      <w:pPr>
        <w:pStyle w:val="BookText"/>
        <w:rPr/>
      </w:pPr>
      <w:bookmarkEnd w:id="59"/>
      <w:r>
        <w:rPr>
          <w:rFonts w:ascii="Amiri" w:hAnsi="Amiri" w:eastAsia="Amiri" w:cs="Amiri"/>
          <w:color w:val="111111"/>
          <w:sz w:val="28"/>
          <w:sz w:val="28"/>
          <w:szCs w:val="28"/>
          <w:rtl w:val="true"/>
          <w:lang w:bidi="ar-SA"/>
        </w:rPr>
        <w:t>وأمّا الكفالة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1006630_73709187"/>
      <w:bookmarkStart w:id="61" w:name="_Toc20"/>
      <w:bookmarkEnd w:id="60"/>
      <w:r>
        <w:rPr>
          <w:rtl w:val="true"/>
        </w:rPr>
        <w:t>الكفالة</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فلا ريب في أنّها من العقود الصحيحة،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أنّها كذلك عند عامّة أهل العلم، والإجماع، وبناء العقلاء، والنصوص الآتي طرفٌ منها تشهد به، ولكنّها مكروهة لصحيح حفص بن البُختري</w:t>
      </w:r>
      <w:r>
        <w:rPr>
          <w:rStyle w:val="FootnoteAnchor"/>
          <w:rtl w:val="true"/>
        </w:rPr>
        <w:footnoteReference w:id="127"/>
      </w:r>
      <w:r>
        <w:rPr>
          <w:rFonts w:ascii="Amiri" w:hAnsi="Amiri" w:eastAsia="Amiri" w:cs="Amiri"/>
          <w:color w:val="111111"/>
          <w:sz w:val="28"/>
          <w:sz w:val="28"/>
          <w:szCs w:val="28"/>
          <w:rtl w:val="true"/>
          <w:lang w:bidi="ar-SA"/>
        </w:rPr>
        <w:t>، وخبر الحَذّاء</w:t>
      </w:r>
      <w:r>
        <w:rPr>
          <w:rStyle w:val="FootnoteAnchor"/>
          <w:rtl w:val="true"/>
        </w:rPr>
        <w:footnoteReference w:id="128"/>
      </w:r>
      <w:r>
        <w:rPr>
          <w:rFonts w:ascii="IRNazanin" w:hAnsi="IRNazanin" w:eastAsia="IRNazanin"/>
          <w:color w:val="111111"/>
          <w:sz w:val="28"/>
          <w:sz w:val="28"/>
          <w:szCs w:val="28"/>
          <w:rtl w:val="true"/>
          <w:lang w:bidi="fa-IR"/>
        </w:rPr>
        <w:t>، ومرسل الصدوق</w:t>
      </w:r>
      <w:r>
        <w:rPr>
          <w:rStyle w:val="FootnoteAnchor"/>
          <w:rtl w:val="true"/>
        </w:rPr>
        <w:footnoteReference w:id="129"/>
      </w:r>
      <w:r>
        <w:rPr>
          <w:rFonts w:ascii="Amiri" w:hAnsi="Amiri" w:eastAsia="Amiri" w:cs="Amiri"/>
          <w:color w:val="111111"/>
          <w:sz w:val="28"/>
          <w:sz w:val="28"/>
          <w:szCs w:val="28"/>
          <w:rtl w:val="true"/>
          <w:lang w:bidi="ar-SA"/>
        </w:rPr>
        <w:t>، وخبري داود الرّقي</w:t>
      </w:r>
      <w:r>
        <w:rPr>
          <w:rStyle w:val="FootnoteAnchor"/>
          <w:rtl w:val="true"/>
        </w:rPr>
        <w:footnoteReference w:id="130"/>
      </w:r>
      <w:r>
        <w:rPr>
          <w:rFonts w:ascii="Amiri" w:hAnsi="Amiri" w:eastAsia="Amiri" w:cs="Amiri"/>
          <w:color w:val="111111"/>
          <w:sz w:val="28"/>
          <w:sz w:val="28"/>
          <w:szCs w:val="28"/>
          <w:rtl w:val="true"/>
          <w:lang w:bidi="ar-SA"/>
        </w:rPr>
        <w:t>وإسماعيل بن جابر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الكلام فيما يعتبر في عقده وفي المتعاقدين فكما مرّ في اُختيها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التعهّد بإحضار النفس المستحقّ عليها ذلك لسبب حقٍّ‌، ولو دعوى للمكفول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بعضٍ من صحّة كفالة الأعيان المضمونة عنده، أو الأعيان التي يُراد الشهادة عليها، فتجوز كفالة الدابّة والكتاب وغيرهما للشهادة على أعيانها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غيرتامّ‌، إذ الكفالة عند العرف ليست إلّاما تقدّم، وما ذُكر داخلٌ في الضمان كما مرَّ، والمحكيّ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تخصيصها بما إذا كان النفس ممّن يجب عليه حضور مجلس الحكم، وعليه فلا يصحّ كفالة الصبيّ والمجنون</w:t>
      </w:r>
      <w:r>
        <w:rPr>
          <w:rFonts w:eastAsia="Amiri" w:cs="Amiri" w:ascii="Amiri" w:hAnsi="Amiri"/>
          <w:color w:val="111111"/>
          <w:sz w:val="28"/>
          <w:szCs w:val="28"/>
          <w:rtl w:val="true"/>
          <w:lang w:bidi="ar-SA"/>
        </w:rPr>
        <w:t xml:space="preserve">. </w:t>
      </w:r>
      <w:bookmarkStart w:id="62" w:name="pg11823_118696"/>
    </w:p>
    <w:p>
      <w:pPr>
        <w:pStyle w:val="BookText"/>
        <w:rPr/>
      </w:pPr>
      <w:bookmarkEnd w:id="62"/>
      <w:r>
        <w:rPr>
          <w:rFonts w:ascii="Amiri" w:hAnsi="Amiri" w:eastAsia="Amiri" w:cs="Amiri"/>
          <w:color w:val="111111"/>
          <w:sz w:val="28"/>
          <w:sz w:val="28"/>
          <w:szCs w:val="28"/>
          <w:rtl w:val="true"/>
          <w:lang w:bidi="ar-SA"/>
        </w:rPr>
        <w:t>فيشترط فيها رضا الكفيل، والمكفول 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كما أفاده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أعمّيتها من ذلك وممّن يجبُ إحضاره للشهادة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تصحّ الكفالة على حَدّ من حدود اللّه تعالى بلا خلافٍ‌، لقوله صلى الله عليه و آله في المرويّ من طرق الخاصّة والعامّة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كفالة في حَدّ</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في هذا المقام في طيّ مسائل</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1006632_73709187"/>
      <w:bookmarkStart w:id="64" w:name="_Toc21"/>
      <w:bookmarkEnd w:id="63"/>
      <w:r>
        <w:rPr>
          <w:rtl w:val="true"/>
        </w:rPr>
        <w:t>شرائط الكفالة</w:t>
      </w:r>
      <w:bookmarkEnd w:id="64"/>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من العقود، لأنّ الكفيل يلتزم إحضار المكفول متى طلبه المكفول له، والمكفول له يقبل ذلك، وعليه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فيُشترط فيها رضا الكفيل، والمكفول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دعوى الإجماع عليه، أضف إلى ذلك أنّ من المعلوم عدم الالتزام بحقٍّ بدون رضا الطرفين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المكفول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عدم اعتبار رضاه، وإليه أشار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الحضور عليه، أو إحضاره متى طلب صاحب الحقّ وإنْ لم يكن ثمّة كفالة، وعليه فالكفيل بمنزلة الوكيل، حيث طلب منه المكفول له بإحضاره، 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من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37"/>
      </w:r>
      <w:r>
        <w:rPr>
          <w:rFonts w:ascii="Amiri" w:hAnsi="Amiri" w:eastAsia="Amiri" w:cs="Amiri"/>
          <w:color w:val="111111"/>
          <w:sz w:val="28"/>
          <w:sz w:val="28"/>
          <w:szCs w:val="28"/>
          <w:rtl w:val="true"/>
          <w:lang w:bidi="ar-SA"/>
        </w:rPr>
        <w:t>، والقاضي</w:t>
      </w:r>
      <w:r>
        <w:rPr>
          <w:rStyle w:val="FootnoteAnchor"/>
          <w:rtl w:val="true"/>
        </w:rPr>
        <w:footnoteReference w:id="138"/>
      </w:r>
      <w:r>
        <w:rPr>
          <w:rFonts w:ascii="Amiri" w:hAnsi="Amiri" w:eastAsia="Amiri" w:cs="Amiri"/>
          <w:color w:val="111111"/>
          <w:sz w:val="28"/>
          <w:sz w:val="28"/>
          <w:szCs w:val="28"/>
          <w:rtl w:val="true"/>
          <w:lang w:bidi="ar-SA"/>
        </w:rPr>
        <w:t>، والحِلّي</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رضاه، وقوّاه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Style w:val="FootnoteAnchor"/>
          <w:rtl w:val="true"/>
        </w:rPr>
        <w:footnoteReference w:id="141"/>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إذا لم يرض المكفول عنه بها، لم يلزمه الحضور مع الكفيل، فلم يتمكن من إحضاره، فلا تصحّ كفالته، لأنّها كفالة بغير المقدور، ولا تقاس بالضمان لإمكان وفاء دينه من مال غيره بغير إذنه، ولا يمكن أن ينوب عنه في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وباحتمال اعتبار رضا المكفول عنه في تحقّق مسمّاها، فيشكّ بدونه في صدقها، فلا يصحّ التمسّك بإطلاق دليل الكفالة، والأصل عدم ترتّب أثر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مصادرة محضة، إذ مع تحقّق الكفالة وشمول أدلّتها لها، يلحقها حكمها، وهو وجوب الإحضار الملازم لوجوب الحضور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الكفالة إنّما هو فيما لو كان المكفول له مستحقّاً على المكفول عنه حضوره متى طلبه، وعليه فيجبُ عليه الحضور وإنْ لم يكن مكفولاً، وفائدة الكفالة راجعة إلى التزام الكفيل بالإحضار حيث يطلبه المكفول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اشتراط الأجل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الكفالة يثبتُ حقٌّ زائدٌ على الوكالة، لأنّه متى تعلّق حقّ الكفالة كان له إحضاره، لإرادة البراءة من عهدته من دون طلب المكفول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وإنْ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بل عن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بعد تحقّق الكفالة، يكون إحضار الكفيل وطلبه حضور المكفول بمنزلة طلب المكفول له، فكأنّه بالكفالة يوكّله في الإحضار متى أراد، وعليه فيجبُ على المكفول الحضور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فيتوجّه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رضا المكفول ولا قبوله في صدق الكفالة عرفاً، كيف والكفالة من الاعتباريّات العقلائيّة، ولا شكّ عندهم في صدقها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في صدقها يكفي في صحّة هذا القسم عموم أدلّة إمضاء المعاملات، فلا ينبغي الإشكال في عدم اعتبار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يظهر عدم اعتبار قبوله أيضاً، فهي كالحوالة والضمان من العقود المركّبة من إيجابٍ وقبول، وليست إيقاعاً ولا عقداً مركّباً من إيجاب وقبولين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اشتراط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عدم الاشتراط، فتصحّ الكفالة حالّة، كما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تصحّ مؤجّلة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وابن حمزة</w:t>
      </w:r>
      <w:r>
        <w:rPr>
          <w:rStyle w:val="FootnoteAnchor"/>
          <w:rtl w:val="true"/>
        </w:rPr>
        <w:footnoteReference w:id="147"/>
      </w:r>
      <w:r>
        <w:rPr>
          <w:rFonts w:ascii="Amiri" w:hAnsi="Amiri" w:eastAsia="Amiri" w:cs="Amiri"/>
          <w:color w:val="111111"/>
          <w:sz w:val="28"/>
          <w:sz w:val="28"/>
          <w:szCs w:val="28"/>
          <w:rtl w:val="true"/>
          <w:lang w:bidi="ar-SA"/>
        </w:rPr>
        <w:t>وسلّار</w:t>
      </w:r>
      <w:r>
        <w:rPr>
          <w:rStyle w:val="FootnoteAnchor"/>
          <w:rtl w:val="true"/>
        </w:rPr>
        <w:footnoteReference w:id="148"/>
      </w:r>
      <w:r>
        <w:rPr>
          <w:rFonts w:ascii="Amiri" w:hAnsi="Amiri" w:eastAsia="Amiri" w:cs="Amiri"/>
          <w:color w:val="111111"/>
          <w:sz w:val="28"/>
          <w:sz w:val="28"/>
          <w:szCs w:val="28"/>
          <w:rtl w:val="true"/>
          <w:lang w:bidi="ar-SA"/>
        </w:rPr>
        <w:t>والقاضي</w:t>
      </w:r>
      <w:r>
        <w:rPr>
          <w:rStyle w:val="FootnoteAnchor"/>
          <w:rtl w:val="true"/>
        </w:rPr>
        <w:footnoteReference w:id="149"/>
      </w:r>
      <w:r>
        <w:rPr>
          <w:rFonts w:ascii="Amiri" w:hAnsi="Amiri" w:eastAsia="Amiri" w:cs="Amiri"/>
          <w:color w:val="111111"/>
          <w:sz w:val="28"/>
          <w:sz w:val="28"/>
          <w:szCs w:val="28"/>
          <w:rtl w:val="true"/>
          <w:lang w:bidi="ar-SA"/>
        </w:rPr>
        <w:t>في أحد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الأجل فيها، فلا تصحّ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لهم سوى الاقتصار على المتيقّن، وعدم الفائدة في الحالّة، وهما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فالأظهر عدم اعتباره لإطلاق الأدلّة، فللمكفول له أنْ يطالب من الكفيل إحضاره المكفول وقت وقوع الكفالة، ومع التأجيل لا فرق بين الكفالة إلى مدّة الشهر، فيلزم الإحضار بعد الشهر، وبين الكفالة في مدّةٍ بمعنى التعهّد به في ضمن الشهر مثلاً، وإنْ شئتَ سمِّ الثانية بالمؤقّتة، والأُولى بالمؤجّلة كما صنعة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مع التأجيل تعيين الأجل، كما هو المشهور،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وهو الحجّة مع عموم نفي الغَرر</w:t>
      </w:r>
      <w:r>
        <w:rPr>
          <w:rStyle w:val="FootnoteAnchor"/>
          <w:rtl w:val="true"/>
        </w:rPr>
        <w:footnoteReference w:id="152"/>
      </w:r>
      <w:r>
        <w:rPr>
          <w:rFonts w:ascii="Amiri" w:hAnsi="Amiri" w:eastAsia="Amiri" w:cs="Amiri"/>
          <w:color w:val="111111"/>
          <w:sz w:val="28"/>
          <w:sz w:val="28"/>
          <w:szCs w:val="28"/>
          <w:rtl w:val="true"/>
          <w:lang w:bidi="ar-SA"/>
        </w:rPr>
        <w:t>، بناءً على عدم اختصاصه بالبيع كما هو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وتعيين المكفول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الكفالة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بينهم في وجوب كون المكفول معيّناً، فلو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كفلتُ أحد هذين، لم يصحّ‌،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بزيدٍ أو فلان،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بزيدٍ فإنْ لم آتِ به فبعمرو، لاشتراك الجميع في الجهالة وإبهام المكفول</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ذلك بعد الإجماع، أنّه حيث يختلف الأشخاص في الإحضار سهولةً وعدمها، فمع الجهل به لا محالة يلزم الغَرر، وقد مرّ أنّ دليل نفي الغَرر لا يختصّ بالبيع، هذا مع التعيّن واقعاً، وأمّا مع الإبهام الواقعي فالأمر أوضح، لأنّ المبهم لا تحقّق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تعلّقت الكفالة بأحد شخصين بنحو التخيير، لا بنحو أحدهما المعيّن واقعاً غير المعيّن عندهما، فهل تصحّ أم لا؟</w:t>
      </w:r>
    </w:p>
    <w:p>
      <w:pPr>
        <w:pStyle w:val="BookText"/>
        <w:rPr/>
      </w:pPr>
      <w:r>
        <w:rPr>
          <w:rFonts w:ascii="Amiri" w:hAnsi="Amiri" w:eastAsia="Amiri" w:cs="Amiri"/>
          <w:color w:val="111111"/>
          <w:sz w:val="28"/>
          <w:sz w:val="28"/>
          <w:szCs w:val="28"/>
          <w:rtl w:val="true"/>
          <w:lang w:bidi="ar-SA"/>
        </w:rPr>
        <w:t>الظاهر عدم الصحّة، لا لما قيل من الجهالة لعدم الجهل، ولا لما قيل من أنّ حقّ الكفالة من قبيل الملك الذي لا يقبل مثل هذا، فإنّه في الملك أيضاً يمكن الالتزام به، ثمّ التعيين بالقرعة، أو اختيار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ملك الكلّي في المعيّن، كذلك ملك أحد فردين بنحو التخيير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لأنّ متعلّق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5" w:name="pg11823_118701"/>
    </w:p>
    <w:p>
      <w:pPr>
        <w:pStyle w:val="BookText"/>
        <w:rPr/>
      </w:pPr>
      <w:bookmarkEnd w:id="65"/>
      <w:r>
        <w:rPr>
          <w:rFonts w:ascii="Amiri" w:hAnsi="Amiri" w:eastAsia="Amiri" w:cs="Amiri"/>
          <w:color w:val="111111"/>
          <w:sz w:val="28"/>
          <w:sz w:val="28"/>
          <w:szCs w:val="28"/>
          <w:rtl w:val="true"/>
          <w:lang w:bidi="ar-SA"/>
        </w:rPr>
        <w:t>وعلى الكافل دفع المكفول، أو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كانا هما معاً كما في الواجب التخييري، فتكون كفالة كلّ منهما مقيّدة بعدم الإتيان بالآخر، فتكون الكفالة حينئذٍ معلّقة، والتعليق موجبٌ لبطلان كلّ عقدٍ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المتعلّق أحدهما بنحو الكلّي في المعيّن، فتبطل للغرر إنْ لم يتساوى الشخصان في الإحضار سهولةً وصعوبةً‌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1006634_73709187"/>
      <w:bookmarkStart w:id="67" w:name="_Toc22"/>
      <w:bookmarkEnd w:id="66"/>
      <w:r>
        <w:rPr>
          <w:rtl w:val="true"/>
        </w:rPr>
        <w:t>الكفيل مخيَّر بين دفع المكفول أو ما عليه</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تحقّقت الكفالة، 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مطالبة المكفول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عاجلاً إذا كانت الكفالة مطلقة، أو معجّلة، وبعد الأجل إنْ كانت مؤجّلة، فإنْ سلّمه فقد بَرئ من ما كان عليه، وإنْ لم يتسلّمه، لأنّ متعلّق الحقّ تسليمه لا تسلّمه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امتنع الكفيل من ذلك، أجبره الحاكم، وإنْ امتنع حبسه حتّى يحضره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به غير واحد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لجواز حبسه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أمير المؤمنين عليه السلام برجلٍ قد تكفّل بنفس رجلٍ فحبسه،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صاحبك</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الأصبغ بن نُباتة،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تكفّل بنفس رجلٍ أن يُحبس، وقال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صاحبك</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إسحاق بن عمّار، عن جعفر،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أتى برجلٍ كفل برجلٍ بعينه، فأخذ بالمكفول،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حتّى يأتي بصاحبه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التخيير بينه وبين دفع ما عليه،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عليه، بل ظاهر النصوص المتقدّمة تعيّن الأوّل، ومن هنا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وغيرها إنّه لا يجب القبول على المكفول له لو بذل الكفيل له الحقّ‌، لعدم انحصار الغرض فيه، إذ قد يكون له غرضٌ لا يتعلّق بالأداء، أو بالأداء من الغريم لا من غيره، فله حينئذٍ إلزامه بالإحضار، خصوصاً ممّا لا بدل له كحقّ الدعوى، أو في ذي البدل الاضطراري كالدية عوض القتل، ومهر المثل عوض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يُذكر لوجوب القبول، ولتخيير الكفيل بين دفع المكفول أو ما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الكفالة بنفسها مقتضية لذلك، لأنّ مبناها عرفاً على ذلك، وهو المقصود بين المتعاملين بها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دفع ما عليه إنْ لم يحضره من قبيل الشرط الضمني</w:t>
      </w:r>
      <w:r>
        <w:rPr>
          <w:rFonts w:eastAsia="Amiri" w:cs="Amiri" w:ascii="Amiri" w:hAnsi="Amiri"/>
          <w:color w:val="111111"/>
          <w:sz w:val="28"/>
          <w:szCs w:val="28"/>
          <w:rtl w:val="true"/>
          <w:lang w:bidi="ar-SA"/>
        </w:rPr>
        <w:t xml:space="preserve">). </w:t>
      </w:r>
      <w:bookmarkStart w:id="68" w:name="pg11823_118703"/>
    </w:p>
    <w:p>
      <w:pPr>
        <w:pStyle w:val="BookText"/>
        <w:rPr/>
      </w:pPr>
      <w:bookmarkEnd w:id="68"/>
      <w:r>
        <w:rPr>
          <w:rFonts w:ascii="Amiri" w:hAnsi="Amiri" w:eastAsia="Amiri" w:cs="Amiri"/>
          <w:color w:val="111111"/>
          <w:sz w:val="28"/>
          <w:sz w:val="28"/>
          <w:szCs w:val="28"/>
          <w:rtl w:val="true"/>
          <w:lang w:bidi="ar-SA"/>
        </w:rPr>
        <w:t>ومَنْ أطلق غريماً عن يد صاحبه قهراً، لزومه إعادته أو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الطرفين، فيجوز للمكفول مطالبة ما على الكفيل إنْ لم يحضره، وللكفيل أن يدفعه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وفاء ما على الشخص يجوز وإنْ لم يرض الدائن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خسارة، غرامة، ندامة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الرّقي،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كفالة ندامة غرامة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فإنْ أدّى ما عليه، يرجع به على المكفول إنْ كان الأداء بإذنه أو كانت الكفالة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الكفالة إذا اقتضت تخيير الكفيل بين إحضار المكفول أو دفع ما عليه، كان الإذن فيها إذناً في الدفع فيضمن، لاستيفاء مال الغير بالإذن</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1006636_73709187"/>
      <w:bookmarkStart w:id="70" w:name="_Toc23"/>
      <w:bookmarkEnd w:id="69"/>
      <w:r>
        <w:rPr>
          <w:rtl w:val="true"/>
        </w:rPr>
        <w:t>إطلاق الغريم من يد صاحب الحقّ‌</w:t>
      </w:r>
      <w:bookmarkEnd w:id="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أطلق غريماً عن يد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قهراً لزمه إعادته أو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وعليه الإجماع كماعن الصيمري</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لزوم إعادته، فقد استدلّ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بإطلاقه الغريم قهراً غاصبٌ‌، فعليه ضمان ماغَصَبه بإحضاره، لأنّ اليد المستولية يد شرعيّة مستحقّة، وبه يتحقّق الغصب، ويبتني عليه الضمان بالإحضار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لا ضَرر ولا ضِرار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شمول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صدق الغاصب عليه، سيّما وهو غير داخل تحت استيلائه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حديث لا ضرر نافٍ للحكم، ولا يكون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الإطلاق غير الاستيلاء على الشيء، مع أنّه مختصٌّ بالأعيان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أن يستدلّ له بفحوى ما سيمرّ عليه في القاتل معتضدةً بالإجماع المُدّعى، وبه يظهر حال وجوب أداء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تفويتٌ لمال الغير فيضمن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الإتلاف موجبٌ للضمان، وأمّا التفويت فلم يدلّ دليلٌ على كونه من موجبات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الإتلاف للتفويت، لأنّه أعمٌّ من اعدام الموجود والمنع من الوجود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بحسب المفهوم العرفي مختصٌّ بالأوّل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قاتلاً دفعه أو الدية، ولو ماتَ المكفول أو دفعة الكفيل أو سلَّم نفسه أو أبرأه المكفول له، يبرأ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قاتلاً دفعه أو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يجب عليه دفعه، وإنْ لم يتمكّن فالدية، كما يشهد بذلك صحيح حريز،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رجلاً عمداً، فرفع إلى الوالي، فدفعه الوالي الى أولياء المقتول ليقتلوه، فوثبَ عليهم قومٌ فخلّصوا القاتل من أيدي الأولياء؟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يُحبس الذي خلّص القاتل من أيدي الأولياء حتّى يأتوا بالقاتل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القاتل وهم في السجن‌؟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فعليهم الدّية يؤدّونها جميعاً إلى أولياء المقتول</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صريح جماعةٍ‌</w:t>
      </w:r>
      <w:r>
        <w:rPr>
          <w:rStyle w:val="FootnoteAnchor"/>
          <w:rtl w:val="true"/>
        </w:rPr>
        <w:footnoteReference w:id="166"/>
      </w:r>
      <w:r>
        <w:rPr>
          <w:rFonts w:ascii="Amiri" w:hAnsi="Amiri" w:eastAsia="Amiri" w:cs="Amiri"/>
          <w:color w:val="111111"/>
          <w:sz w:val="28"/>
          <w:sz w:val="28"/>
          <w:szCs w:val="28"/>
          <w:rtl w:val="true"/>
          <w:lang w:bidi="ar-SA"/>
        </w:rPr>
        <w:t>وظاهر آخرين من التخيير من الأوّل بين دفعه أو الدية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كان على المطلق قهراً الدّية، اتّجه تخييره كما مرّ في تخيير الكفيل بين دفع المكفول أو أداء ما عليه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المكفول، أو دفعة الكفيل، أو سَلّم نفسه، أو أبرأه المكفول له، يبرأ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تلكم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عيّنا موضع التسليم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فلتعلّق الكفالة بالنفس، وقد فاتت بالموت، والإحضار المذكور في الكفالة إنّما ينصرف إلى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فيه، نعم قال الشهيد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إذا لم يكن الغرض الشهادة على صورته، وإلّا وجب إحضاره ميّتاً مطلقاً، حيث يمكن الشهادة عليه</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به إنْ كانت الكفالة شاملة له،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فلحصول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تقييده بما إذا سَلّم نفسه من جهة الكفيل،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يُسلمه نفسه من جهته لم يبرأ الكفيل، لأنّه لم يُسملّه إليه ولا أحدٍ من جهته</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حكم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عيّنا موضع التسليم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بالشرط، ولا يبرأ بالدفع في غيره، إنْ كان تعيين موضع التسليم مأخوذاً قيداً في العقد، وإنْ أُخذ شرطاً، فغاية ما هناك تخلّف الشرط، وإلّا فقد عمل بمقتضى الكفالة فتسقط ويبرأ</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يمكن التصالح بين الشيخ وابن البرّاج وبين المشهور، حيث أنّ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انصرف إلى بلد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قائلون بعدم البراءة لو دفع غير ما عُيّن للتسليم، وذهب الشيخ رحمه الله</w:t>
      </w:r>
      <w:r>
        <w:rPr>
          <w:rStyle w:val="FootnoteAnchor"/>
          <w:rtl w:val="true"/>
        </w:rPr>
        <w:footnoteReference w:id="169"/>
      </w:r>
      <w:r>
        <w:rPr>
          <w:rFonts w:ascii="IRNazanin" w:hAnsi="IRNazanin" w:eastAsia="IRNazanin"/>
          <w:color w:val="111111"/>
          <w:sz w:val="28"/>
          <w:sz w:val="28"/>
          <w:szCs w:val="28"/>
          <w:rtl w:val="true"/>
          <w:lang w:bidi="fa-IR"/>
        </w:rPr>
        <w:t>وابن البرّاج</w:t>
      </w:r>
      <w:r>
        <w:rPr>
          <w:rStyle w:val="FootnoteAnchor"/>
          <w:rtl w:val="true"/>
        </w:rPr>
        <w:footnoteReference w:id="170"/>
      </w:r>
      <w:r>
        <w:rPr>
          <w:rFonts w:ascii="Amiri" w:hAnsi="Amiri" w:eastAsia="Amiri" w:cs="Amiri"/>
          <w:color w:val="111111"/>
          <w:sz w:val="28"/>
          <w:sz w:val="28"/>
          <w:szCs w:val="28"/>
          <w:rtl w:val="true"/>
          <w:lang w:bidi="ar-SA"/>
        </w:rPr>
        <w:t>إليحصول البراءة لو لم يكن عليه مؤونة في حمله إلى موضع التسليم ولا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لا يجبُ عليه القبول لو دفعه في غير موضع التسليم، بل يجوز له إجباره بالتسليم في الموضع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عيّنا موضعاً للتسليم،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إلى بلد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يلزمه التسليم في دار الحاكم، أو موضع لا يقدر على الامتناع</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الكلام في ذلك في فصل السَّلَم من كتاب البيع</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1" w:name="pg11823_118708"/>
    </w:p>
    <w:p>
      <w:pPr>
        <w:pStyle w:val="BookText"/>
        <w:rPr/>
      </w:pPr>
      <w:bookmarkEnd w:id="71"/>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الصُّلح، وهو جائزٌ</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11006638_73709187"/>
      <w:bookmarkStart w:id="73" w:name="_Toc24"/>
      <w:bookmarkEnd w:id="72"/>
      <w:r>
        <w:rPr>
          <w:rtl w:val="true"/>
        </w:rPr>
        <w:t>(</w:t>
      </w:r>
      <w:r>
        <w:rPr>
          <w:rtl w:val="true"/>
        </w:rPr>
        <w:t>الفصل الخامس</w:t>
      </w:r>
      <w:r>
        <w:rPr>
          <w:rtl w:val="true"/>
        </w:rPr>
        <w:t xml:space="preserve">: </w:t>
      </w:r>
      <w:r>
        <w:rPr>
          <w:rtl w:val="true"/>
        </w:rPr>
        <w:t>في الصُّلح</w:t>
      </w:r>
      <w:r>
        <w:rPr>
          <w:rtl w:val="true"/>
        </w:rPr>
        <w:t>)</w:t>
      </w:r>
      <w:bookmarkEnd w:id="73"/>
    </w:p>
    <w:p>
      <w:pPr>
        <w:pStyle w:val="Heading3"/>
        <w:numPr>
          <w:ilvl w:val="2"/>
          <w:numId w:val="1"/>
        </w:numPr>
        <w:rPr/>
      </w:pPr>
      <w:bookmarkStart w:id="74" w:name="__RefHeading___Toc11006640_73709187"/>
      <w:bookmarkStart w:id="75" w:name="_Toc25"/>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وهو التسالم على أمرٍ من تمليك عينٍ أو منفعةٍ‌، أو إسقاط دينٍ أو حقٍّ‌، أو غير تلكم، وهو في جميع هذه الموارد شيءٌ واحد يُنشأ مستقلّاً، ولا يكون تابعاً للعقود الاُخر كما قيل من إنّه فرع البيع إذا أفاد نقل المِلك بعوض معلوم، وفرع الإجارة إذا وقع على المنفعة، وفرع الهبة إذا أفاد مِلْك العين بغير عوض، وفرع العارية إذا تضمّن إباحة منفعةٍ بغير عوض، وفرع الإبراء إذا تضمّن إسقاط الدين، وإلّا لزم كون الصُّلح مشتركاً لفظيّاً، وهو واضح البطلان، فيتعيّن كون مفهومه معنى آخر غير كلّ واحدٍ من الاُمور المذكورة، وذاك المعنى ليس إلّاالتسالم الإنشائي، فيفيد في كلّ موردٍ فائدةً من الفوائد بحسب ما يقتضيه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ما في جملةٍ من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كلام الشيخ الأعظم رحمه الله</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الصُّلح إذا تعلّق بالعين بعوضٍ يتضمّن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مسامحة واضحة، إذ الصُّلح لا يتعلّق بالعين ولا بالمنفعة، بل هو نظير الالتزأم لا يعقل تعلّقه إلّابفعلٍ أو نتيجة كالملكيّة، ولذا لا يصحّ جعل العين مفعوله الثاني كما لا يخفى‌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ففي صحيح حفص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 بين المسلمين، إلّا صلحاً أحلَّ حراماً أو حرّم حلالاً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مسعدة بن صدقة، عن الإمام الصادق عليه السلام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هشام،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أصلح بين اثنين أحبّ إليَّ من أن أتصدّق بدينارين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التي سيمرّ عليك طرفٌ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 بها لمشروعيّته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 وَ اَلصُّلْحُ خَيْرٌ</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أَصْلِحُوا ذاتَ بَيْنِكُمْ‌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تلكم من الآيات، ففي دلالة ما عدا الأولى منها على الصُّلح العقدي الذي هو محلّ الكلام تأمّلٌ‌، بل قيل في الأوّل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6" w:name="pg11823_118710"/>
    </w:p>
    <w:p>
      <w:pPr>
        <w:pStyle w:val="BookText"/>
        <w:rPr/>
      </w:pPr>
      <w:bookmarkEnd w:id="76"/>
      <w:r>
        <w:rPr>
          <w:rFonts w:ascii="Amiri" w:hAnsi="Amiri" w:eastAsia="Amiri" w:cs="Amiri"/>
          <w:color w:val="111111"/>
          <w:sz w:val="28"/>
          <w:sz w:val="28"/>
          <w:szCs w:val="28"/>
          <w:rtl w:val="true"/>
          <w:lang w:bidi="ar-SA"/>
        </w:rPr>
        <w:t>مع الإقرار والإنكار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لازمٌ من الطرفين مع تحقّق شرائطه بلا خلافٍ‌، لعموم ما دلَّ على لزوم العقد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1006642_73709187"/>
      <w:bookmarkStart w:id="78" w:name="_Toc26"/>
      <w:bookmarkEnd w:id="77"/>
      <w:r>
        <w:rPr>
          <w:rtl w:val="true"/>
        </w:rPr>
        <w:t>حكم الصُّلح مع الإنكار</w:t>
      </w:r>
      <w:bookmarkEnd w:id="7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البحث يتحقّق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الإقرار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وموضع وفاقٍ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 إطلاق النصوص الدالّة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الصّلح مع الإقرار ظاهرة لا إشكال فيها، وصورته مع الإنكار أن يدّعي شخصٌ على غيره ديناً أو عيناً فينكر المدّعى عليه، فتقع المصالحة بينهما إمّا بمالٍ آخر أو ببعض المدّعى به أو غير ذلك من منفعةٍ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غير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بالصحّة، هي الصحّة الظاهريّة، وأمّا بحسب نفس الأمر فلا يستبيح كلّ منهما ما وصل إليه بالصُّلح، وهو غير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المصالح بأنّه محقّ‌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بأنّه غير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شاكّاً في ذلك أو في مقدار 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الصُّلح في الصورة الأولى وإنْ علم بعدم محقيّة مدّعيه، إذ المال له، فكلّ ما وصل إليه منه فهو حقّه، كما لا ريب في صحّته في الصورة الثالثة، بل مبنى شرعيّة الصُّلح وأساسها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جملةٍ من النصوص عدم صحّته، بمعنى أنّه لا يحلّ له ما صُولح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لرجلٍ على رجلٍ دَينٌ فمطله حتّى مات، ثمّ صالح ورثته على شيء، فالذي أخذ الورثة لهم وما بقي فهو للميّت يستوفيه منه في الآخرة، وإنْ هو لم يصالحهم على شيء حتّى مات، ولم يقض عنه، فهو كلّه للميّت يأخذه به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يهودي أو نصراني كانت له عندي أربعة آلاف درهم، مات أَلِيَ أن اُصالح ورثته ولا اُعلمهم كم كان‌؟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تخبرهم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في ما يستفاد من هذه النصوص يتحقّق بالبحث في جهات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الدعوى مستندة إلى قرينةٍ تجوّزها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لو وجد المدّعي بخطّ مورّثه أنّ له حقّاً على أحدٍ، أو شهد له من لا يثبت بشهادته الحقّ‌، ولم يكن المدّعي عالماً بالحال، وتوجّهت له اليمين على المنكر، فصالحه على إسقاطها بمالٍ أو على قطع المنازعة، فالمتّجه صحّة الصُّلح في نفس الأمر، لأنّ اليمين حقٌّ يصحّ الصُّلح على إسقاطها</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واحتمل المحقّق الثاني رحمه الله</w:t>
      </w:r>
      <w:r>
        <w:rPr>
          <w:rStyle w:val="FootnoteAnchor"/>
          <w:rtl w:val="true"/>
        </w:rPr>
        <w:footnoteReference w:id="187"/>
      </w:r>
      <w:r>
        <w:rPr>
          <w:rFonts w:ascii="Amiri" w:hAnsi="Amiri" w:eastAsia="Amiri" w:cs="Amiri"/>
          <w:color w:val="111111"/>
          <w:sz w:val="28"/>
          <w:sz w:val="28"/>
          <w:szCs w:val="28"/>
          <w:rtl w:val="true"/>
          <w:lang w:bidi="ar-SA"/>
        </w:rPr>
        <w:t>الصحّة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 ينبغي القطع بالصحّة، وهو خارجٌ عن محلّ الكلام، لأنّ مورد النزاع الصُّلح على ما ليس له، وفي الفرض الصُّلح إنّما يكون على ماله، وهو إسقاط حقّ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ممّا نحن فيه ما لو صالح في المثال على المال نفسه، وهو لا يجوز، وإنْ كان يحتمل استحقاقه واقعاً، إذ الأمارة القائمة لكون المُدّعى به للطرف تقومُ مقام العلم، فهو كالعالم بأنّه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على هذا بأنّه على هذا لا يصحّ للحاكم أن يصالح بتنصيف المال بين مدّعيين له، مع العلم بعدم كونه إلّالأحدهما، مع أنّه لا إشكال في صحّته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القطع بالواقع في الجملة لاينافي إجراء الحكم في الظاهر تبعاً لمؤثّريته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مع القطع بمخالفته للواقع لا مورد له، لأنّه في ظرف احتمال الموافقة، و إلّاخرج عن كونه ظاهريّاً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9" w:name="pg11823_118713"/>
    </w:p>
    <w:p>
      <w:pPr>
        <w:pStyle w:val="BookText"/>
        <w:rPr/>
      </w:pPr>
      <w:bookmarkEnd w:id="79"/>
      <w:r>
        <w:rPr>
          <w:rFonts w:ascii="Amiri" w:hAnsi="Amiri" w:eastAsia="Amiri" w:cs="Amiri"/>
          <w:color w:val="111111"/>
          <w:sz w:val="28"/>
          <w:sz w:val="28"/>
          <w:szCs w:val="28"/>
          <w:rtl w:val="true"/>
          <w:lang w:bidi="ar-SA"/>
        </w:rPr>
        <w:t>إلّا ما حَلّل حراماً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شرعيّة الصُّلح على التسالم في مورد الاشتباه، وإنّما الذي لايصحّ هو الصُّلح مع القطع بعدم الاستحقاق، فكما أنّ للمتصالحين الصُّلح على التقسيم مع علمهما بأنّ المال لأحدهما، كذلك للحاكم ذلك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طرف العالِم بعدم الاستحقاق ربما يُصالح على المال مبنيّاً على دعوى المدّعي، ولا يكون راضياً بكون ما يأخذه له، وإنّما يستدفع بالصُّلح ضرراً عن نفسه أو عن ماله، فهو غير مبيحٍ للعالم بعدم الإستحقاق للنصوص المتقدّمة، ولعدم كون ذلك تراضياً مبيحاً لأكل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يصالح عليه على تقديري الاستحقاق وعدمه، ويرضى بكون مقدار من المال له وإنْ لم يكن مستحقّاً، ومثل ذلك معاملةٌ عن تراضٍ وتكون صحيحة، ولا تشملها النصوص المتقدّمة، لأنّها في غير هذا الفرض أو منصرفة عنه، ويشهد به الخبر الصحيح المرويّ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الشيء فيصالح‌؟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بطيبة نفس من صاحبه فلا بأس</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إرادة الصُّلح بالأنقص، كما هو الغالب مع عدم إعلامه بالحال</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1006644_73709187"/>
      <w:bookmarkStart w:id="81" w:name="_Toc27"/>
      <w:bookmarkEnd w:id="80"/>
      <w:r>
        <w:rPr>
          <w:rtl w:val="true"/>
        </w:rPr>
        <w:t>حكم الصُّلح المحلّل للحرام أو العكس</w:t>
      </w:r>
      <w:bookmarkEnd w:id="8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الصُّلح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حَلّل حراماً أو بالعكس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مرّت النصوص المتضمّنة لهذا الاستثناء، ومثل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تحليل الحرام وتحريم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مستثنى في عدّة موارد، كما في أدلّة لزوم الوفاء بالشرط، وأدلّة انعقاد اليمين، وقد اختلفت كلمات القوم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المحقّق القمّي</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تحليل الحرام وتحريم الحلال، هو أن يُحدث قاعدة كليّة ويبدع حكماً جديداً، وقد اُجيز في الشرع الصُّلح على كلّ شيء إلّا صلحاً أوجب إبداع حكم كلّي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وأفاد الشيخ الأعظم رحمه الله في ضابطه،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بالتحليل الترخيص، وبالتحريم المنع، ولكن المراد بالحلال والحرام هو ما كان كذلك، بحيث لا يتغيّر موضوعه بالصُّلح أو الشرط</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تفاسيرٌ أُخر، وقد أشبعنا الكلام في ذلك في مبحث الشروط</w:t>
      </w:r>
      <w:r>
        <w:rPr>
          <w:rStyle w:val="FootnoteAnchor"/>
          <w:rtl w:val="true"/>
        </w:rPr>
        <w:footnoteReference w:id="192"/>
      </w:r>
      <w:r>
        <w:rPr>
          <w:rFonts w:ascii="Amiri" w:hAnsi="Amiri" w:eastAsia="Amiri" w:cs="Amiri"/>
          <w:color w:val="111111"/>
          <w:sz w:val="28"/>
          <w:sz w:val="28"/>
          <w:szCs w:val="28"/>
          <w:rtl w:val="true"/>
          <w:lang w:bidi="ar-SA"/>
        </w:rPr>
        <w:t>، وبيّنا أنّ 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صلحاً أحلَّ حراماً أو حرّم حلالاً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هو الصُّلح، وهذا لا يتحقّق إلّابكون ما صولح عليه حرمة الحلال أو حليّة الحرام، وأمّا الصُّلح على ترك الحلال فهو صلحٌ على ترك التصرّف دون حرمة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الشيخ الأعظم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نقل ذلك عن المحقّق النراقي</w:t>
      </w:r>
      <w:r>
        <w:rPr>
          <w:rStyle w:val="FootnoteAnchor"/>
          <w:rtl w:val="true"/>
        </w:rPr>
        <w:footnoteReference w:id="194"/>
      </w:r>
      <w:r>
        <w:rPr>
          <w:rFonts w:ascii="Amiri" w:hAnsi="Amiri" w:eastAsia="Amiri" w:cs="Amiri"/>
          <w:color w:val="111111"/>
          <w:sz w:val="28"/>
          <w:sz w:val="28"/>
          <w:szCs w:val="28"/>
          <w:rtl w:val="true"/>
          <w:lang w:bidi="ar-SA"/>
        </w:rPr>
        <w:t xml:space="preserve">في باب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إيرادين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الحكم الشرعي أمره بيد الشارع، وغير مقدور للمكلّف،</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يدخل تحت الجعل، ولا معنى لاستثناءه عمّا يجب الوفاء به، لعدم إمكان الوفاء به عقلاً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النتيجة لا يعتبر فيه إلّاكونها واقعة بسبب الشرط، ولولا الاستثناء لكنّا ملتزمين بأنّ شرط حرمة الحلال نافذ، وكنّا نستفيد كونها ممّا يقع بالسبب من عموم دليل نفوذ الشرط</w:t>
      </w:r>
      <w:r>
        <w:rPr>
          <w:rStyle w:val="FootnoteAnchor"/>
          <w:rtl w:val="true"/>
        </w:rPr>
        <w:footnoteReference w:id="196"/>
      </w:r>
      <w:r>
        <w:rPr>
          <w:rFonts w:ascii="IRNazanin" w:hAnsi="IRNazanin" w:eastAsia="IRNazanin"/>
          <w:color w:val="111111"/>
          <w:sz w:val="28"/>
          <w:sz w:val="28"/>
          <w:szCs w:val="28"/>
          <w:rtl w:val="true"/>
          <w:lang w:bidi="fa-IR"/>
        </w:rPr>
        <w:t>الشامل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هذا الشرط من جهة أُخرى غير هذه الجهة لا يكون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المحرِّم للحلال لاينحصر بشرط حرمة ما يكون حلالاً تكليفاً، بل يشمل ما لو اشترط حرمة ما هو حلالٌ وضعاً، كعدم كون الطلاق بيد الزوج، ونحو ذلك من الاعتباريّات، ومن المعلوم أنّ المشروط حينئذٍ هو ذلك الأمر في اعتبار نفسه، ولولا هذا الاستثناء وما دلّ على أنّ الشرط المخالف للكتاب لا يكون نافذاً، لكنّا ملتزمين بنفوذه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استثناء الشرط المحرِّم إنّما يكون من الشرط الذي يجب الوفاء به، وليست الحرمة والحليّة من أفعال المكلّف كي يجبُ الوفاء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لا يختصُّ بشرط الفعل، لأنّه بمعنى الإنهاء وعدم النقض، وهذا موجودٌ في شرط النتيجة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تامٌّ‌، وما ذكر في الشرط يجري في الصُّلح طابق النعل بالنعل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الكلام في ذلك في مبحث الشروط</w:t>
      </w:r>
      <w:r>
        <w:rPr>
          <w:rStyle w:val="FootnoteAnchor"/>
          <w:rtl w:val="true"/>
        </w:rPr>
        <w:footnoteReference w:id="197"/>
      </w:r>
      <w:r>
        <w:rPr>
          <w:rFonts w:ascii="Amiri" w:hAnsi="Amiri" w:eastAsia="Amiri" w:cs="Amiri"/>
          <w:color w:val="111111"/>
          <w:sz w:val="28"/>
          <w:sz w:val="28"/>
          <w:szCs w:val="28"/>
          <w:rtl w:val="true"/>
          <w:lang w:bidi="ar-SA"/>
        </w:rPr>
        <w:t>، فراجع ما حقّقناه 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82" w:name="pg11823_118716"/>
    </w:p>
    <w:p>
      <w:pPr>
        <w:pStyle w:val="BookText"/>
        <w:rPr/>
      </w:pPr>
      <w:bookmarkEnd w:id="82"/>
      <w:r>
        <w:rPr>
          <w:rFonts w:ascii="Amiri" w:hAnsi="Amiri" w:eastAsia="Amiri" w:cs="Amiri"/>
          <w:color w:val="111111"/>
          <w:sz w:val="28"/>
          <w:sz w:val="28"/>
          <w:szCs w:val="28"/>
          <w:rtl w:val="true"/>
          <w:lang w:bidi="ar-SA"/>
        </w:rPr>
        <w:t>مع علم المُصطَلحين بالمقدار أو جهلهما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1006646_73709187"/>
      <w:bookmarkStart w:id="84" w:name="_Toc28"/>
      <w:bookmarkEnd w:id="83"/>
      <w:r>
        <w:rPr>
          <w:rtl w:val="true"/>
        </w:rPr>
        <w:t>عدم اعتبار العلم بالمقدار</w:t>
      </w:r>
      <w:bookmarkEnd w:id="8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 المصطلحين بالمقدار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المتنازع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جهلهما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خلافٍ فيه في الجملة، وادّعى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3268</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بصحيحي محمّد بن مسلم ومنصور، عن الإمامين الصادقين عليهما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كان لكلّ واحدٍ منهما طعامٌ عند صاحبه، ولا يدري كلّ واحدٍ منهما كم له عند صاحبه،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ولي ماعندي‌؟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تراضيا وطابت أنفسهما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ونحوهما الموثّق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شيء منها تصريحٌ بالصُّلح، ولعلّه أُريد الإبراء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لم يصرّح فيها بالصّلح، إلّاأنّه من جهة ظهورها في إرادة المعاوضة بين ما عند كلّ واحدٍ منهما وما عند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إلّاالصُّلح وفهم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ظاهرة في إرادة الصُّلح، مع أنّه يمكن أن يستدلّ لصحّة الصُّلح بأنّ مبنى شرعيّة الصُّلح والغرض المهمّ في شرعيّته هو تحصيل البراءة عند الجهل، فيكون إطلاق أدلّته غير مقيد بما دلَّ على نفي الغَرر</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ديناً أو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الصُّلح مع العلم بالمقدار أو الجهل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وسواءٌ كان إرشادٌ أو غيره، كما هو المشهور بين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علمائنا أجمع</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ولا فرق في صورة الجهل بالمقدار بين تعذّر العلم به وتيسّره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الإشكال في ما إذا كان عيناً وأمكن العلم بالمقدار، ومنشأه عموم الأدلّة بالجواز المعتضدة بإطلاق عبائر كثيرٍ من الأصحاب، وحصول الجهل والغَرر مع إمكان التحرّز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فرقٌ بين ما إذا كان ديناً أو عيناً، اللّهُمَّ إلّاأنْ يقال إنّ الإجماع على الصحّة في ما إذا كان ديناً هو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شمول دليل النهي عن الغَرر للفرض، فإنّه لا وجه لما أفاده من أنّ النسبة بينه وبين دليل جواز الصُّلح عمومٌ من وجه، فيتعارضان و يتساقطان، والمرجع إلى أصل الفساد، إذ دليل نفي الغَرر حاكمٌ على دليل الصُّلح كحكومته على أدلّة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دليل نفي الغَرر لا يشمل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هي الصحّة مطلقاً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فيما ذكرناه بين العلم في الجملة بالوصف أو المشاهدة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عن الأردبيلي رحمه الله من اعتبار العلم في الجملة وإنْ لم يعتبر المعلوميّة المعتبرة</w:t>
      </w:r>
      <w:r>
        <w:rPr>
          <w:rFonts w:eastAsia="Amiri" w:cs="Amiri" w:ascii="Amiri" w:hAnsi="Amiri"/>
          <w:color w:val="111111"/>
          <w:sz w:val="28"/>
          <w:szCs w:val="28"/>
          <w:rtl w:val="true"/>
          <w:lang w:bidi="ar-SA"/>
        </w:rPr>
        <w:t xml:space="preserve">). </w:t>
      </w:r>
      <w:bookmarkStart w:id="85" w:name="pg11823_118718"/>
    </w:p>
    <w:p>
      <w:pPr>
        <w:pStyle w:val="BookText"/>
        <w:rPr/>
      </w:pPr>
      <w:bookmarkEnd w:id="85"/>
      <w:r>
        <w:rPr>
          <w:rFonts w:ascii="Amiri" w:hAnsi="Amiri" w:eastAsia="Amiri" w:cs="Amiri"/>
          <w:color w:val="111111"/>
          <w:sz w:val="28"/>
          <w:sz w:val="28"/>
          <w:szCs w:val="28"/>
          <w:rtl w:val="true"/>
          <w:lang w:bidi="ar-SA"/>
        </w:rPr>
        <w:t>ولا يبطل إلّابرضاهما أو استحقاق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اصطلح الشريكان على أنّ لأحدهما الربح والخسران، وللآخر رأس المال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البيع ونحوه،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عدم الإبهام، لما مرّ من أنّ المبهم لا حقيقة له ولا تحقّق، لكنّه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برضاهما، أو استحقاق أحد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بطلان الصُّلح في غير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لزوم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بطلانه 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كتاب الإجارة</w:t>
      </w:r>
      <w:r>
        <w:rPr>
          <w:rStyle w:val="FootnoteAnchor"/>
          <w:rtl w:val="true"/>
        </w:rPr>
        <w:footnoteReference w:id="202"/>
      </w:r>
      <w:r>
        <w:rPr>
          <w:rFonts w:ascii="Amiri" w:hAnsi="Amiri" w:eastAsia="Amiri" w:cs="Amiri"/>
          <w:color w:val="111111"/>
          <w:sz w:val="28"/>
          <w:sz w:val="28"/>
          <w:szCs w:val="28"/>
          <w:rtl w:val="true"/>
          <w:lang w:bidi="ar-SA"/>
        </w:rPr>
        <w:t>من مشروعيّة الإقالة في جميع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البطلان في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1006648_73709187"/>
      <w:bookmarkStart w:id="87" w:name="_Toc29"/>
      <w:bookmarkEnd w:id="86"/>
      <w:r>
        <w:rPr>
          <w:rtl w:val="true"/>
        </w:rPr>
        <w:t>وقوع الصُّلح من الشريكين على كون الربح والخسران لأحدهما</w:t>
      </w:r>
      <w:bookmarkEnd w:id="8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اصطلح الشريكان على أنّ لأحدهما الربح والخُسران وللآخر رأس المال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الجملة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هذا الحكم، هو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الحلبي عن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عبد اللّه 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اشتركا في مالٍ وربحا فيه ربحاً، وكان المال ديناً عليهما، فقال </w:t>
      </w:r>
    </w:p>
    <w:p>
      <w:pPr>
        <w:pStyle w:val="BookText"/>
        <w:rPr/>
      </w:pPr>
      <w:r>
        <w:rPr>
          <w:rFonts w:ascii="Amiri" w:hAnsi="Amiri" w:eastAsia="Amiri" w:cs="Amiri"/>
          <w:color w:val="111111"/>
          <w:sz w:val="28"/>
          <w:sz w:val="28"/>
          <w:szCs w:val="28"/>
          <w:rtl w:val="true"/>
          <w:lang w:bidi="ar-SA"/>
        </w:rPr>
        <w:t>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 المال والربح لك وعليك ما توى‌</w:t>
      </w:r>
      <w:r>
        <w:rPr>
          <w:rStyle w:val="FootnoteAnchor"/>
          <w:rtl w:val="true"/>
        </w:rPr>
        <w:footnoteReference w:id="2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اشترط عليه، وإن كان شرطاً يخالف كتاب اللّه عزّ وجلّ فهو رَدّ إلى كتاب اللّه عزّ وجلّ‌</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المال دينٌ 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وعليهما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فيه</w:t>
      </w:r>
      <w:r>
        <w:rPr>
          <w:rStyle w:val="FootnoteAnchor"/>
          <w:rtl w:val="true"/>
        </w:rPr>
        <w:footnoteReference w:id="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المال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العين ولا عليهما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الخبر بسندٍ آخر</w:t>
      </w:r>
      <w:r>
        <w:rPr>
          <w:rStyle w:val="FootnoteAnchor"/>
          <w:rtl w:val="true"/>
        </w:rPr>
        <w:footnoteReference w:id="207"/>
      </w:r>
      <w:r>
        <w:rPr>
          <w:rFonts w:ascii="Amiri" w:hAnsi="Amiri" w:eastAsia="Amiri" w:cs="Amiri"/>
          <w:color w:val="111111"/>
          <w:sz w:val="28"/>
          <w:sz w:val="28"/>
          <w:szCs w:val="28"/>
          <w:rtl w:val="true"/>
          <w:lang w:bidi="ar-SA"/>
        </w:rPr>
        <w:t>،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المال ديناً وعيناً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أنّه ليس في شيء من هذه النصوص تصريحٌ بالصُّلح، بل بالشرط، إلّاأنّ الظاهر منها كون المعاملة واقعة ابتداءً لا في ضمن عقد الشركة، وتدلّ على صحّتها مع الاشتراط، وحيث أنّ الشرط الابتدائي لا يصحّ‌، وإطلاق الشرط على المعاملة من البيع والصُّلح وغيرهما شائعٌ‌، وليس هناك معاملة غير الصُّلح يمكن تطبيقها عليها، فلا محالة يكون المراد بها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القول المزبور بعنوان الصُّلح صَحّ‌، وإلّا فمجرّد الوعد لا يجب الوفاء به، ولا ينافي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شرطاً 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الصُّلح أيضاً مقيّد بأنْ لا يكون محلّلاً للحرام أو العكس</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 النصوص عدم الفرق في ذلك بين صورة وقوعه عند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إرادة فسخ الشركة، أو في أثنائها، أو عند ابتدائها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مزج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العمومات أيضاً صحّة ذلك في الموارد الثلاثة، ولاينافي مع مقتضى الشركة، ولا يكون صلحاً مخالفاً للشرع، لا الشركة إنّما تقتضي كون الربح بينهما والخسران عليهما، فكما أنّه لو وهب أحدهما ما ربحه للآخر وأبرأه من الخسران، ولا إشكال في صحّتهما، فكذلك لو أوقع الصُّلح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ذكرناه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عند انتهاء الشركة، وإرادة فسخها، لتكون الزيادة مع من هي معه بمنزلة الهبة والخسران على من هو عليه بمنزلة الإبراء، أمّا قبله فلا، لمنافاته لوضع الشركة شرعاً، والمستند صحيحة أبي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الخبر المتقدّم،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مشعرٌ بما شرطناه من كون الشرط عند الانتهاء، لا كما أطلق المصنّف رحمه الله</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وسبقه في ذلك المحقّق الشيخ علي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الصُّلح المذكور إنْ كان مخالفاً لوضع الشركة، الذي يقتضي المشاركة بينهما في الربح والخسران، مع عدم إيقاعِ عقدٍ أو إيقاع، أمّا معه فلا تكون الشركة مقتضية 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الصُّلح في الأثناء أو الابتداء بالنسبة إلى ما يتحقّق بعد من الربح والخسران إشكالٌ‌، من ناحية عدم المتعلّق، إلّاأنّه يندفع بالصُّلح المشروط، الذي لا إجماع على بطلانه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يظهر ما في كلمات القوم في المقام من الخلط والاشتباه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8" w:name="pg11823_118721"/>
    </w:p>
    <w:p>
      <w:pPr>
        <w:pStyle w:val="BookText"/>
        <w:rPr/>
      </w:pPr>
      <w:bookmarkEnd w:id="88"/>
      <w:r>
        <w:rPr>
          <w:rFonts w:ascii="Amiri" w:hAnsi="Amiri" w:eastAsia="Amiri" w:cs="Amiri"/>
          <w:color w:val="111111"/>
          <w:sz w:val="28"/>
          <w:sz w:val="28"/>
          <w:szCs w:val="28"/>
          <w:rtl w:val="true"/>
          <w:lang w:bidi="ar-SA"/>
        </w:rPr>
        <w:t>ولو ادّعى أحدهما درهمين في يدهما، والآخر أحدهما، اُعطي الآخر نصف درهمٍ‌</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1006650_73709187"/>
      <w:bookmarkStart w:id="90" w:name="_Toc30"/>
      <w:bookmarkEnd w:id="89"/>
      <w:r>
        <w:rPr>
          <w:rtl w:val="true"/>
        </w:rPr>
        <w:t>لو ادّعى أحدهما درهمين في يدهما والآخر في أحدهما</w:t>
      </w:r>
      <w:bookmarkEnd w:id="90"/>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أحدهما درهمين في يدهما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الدرهمين في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اُعطي الآخر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أحد الدرهمين لا نزاع بينهما فيه، فهو لمدّعي الدرهمين، وأمّا بالنسبة إلى الدرهم الآخر، فكلٌّ منهما يدّعيه، والمفروض كونه تحت يدهما، فلا محالة تكون يد كلّ منهما على النصف، وأمارة لملكيّته له، ويحكم بذلك، فيكون كلّ منهما مدّعياً بالنسبة إلى نصف الدرهم، ومنكراً بالنسبة إلى النصف الآخر، فتجري قاعدة المُدّعي والمنكر، وهو لزوم الحلف على كلّ منهما لنفي ما يدّعيه الآخر، فيعطى لكلّ منهما النصف مع الحلف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النصوص الخاصّة أيضاً ذلك، لكن بدون الحلف،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عبد اللّه بن المغيرة، عن غير واحدٍ من أصحابنا، عن أبي عبد اللّه 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كان معهما درهمان، فقال أحدهما الدرهمان لي، وقال الآخر هما </w:t>
      </w:r>
    </w:p>
    <w:p>
      <w:pPr>
        <w:pStyle w:val="BookText"/>
        <w:rPr/>
      </w:pPr>
      <w:r>
        <w:rPr>
          <w:rFonts w:ascii="Amiri" w:hAnsi="Amiri" w:eastAsia="Amiri" w:cs="Amiri"/>
          <w:color w:val="111111"/>
          <w:sz w:val="28"/>
          <w:sz w:val="28"/>
          <w:szCs w:val="28"/>
          <w:rtl w:val="true"/>
          <w:lang w:bidi="ar-SA"/>
        </w:rPr>
        <w:t>بيني وبينك‌؟</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قال هما بيني وبينك فقد أقرَّ بأنّ أحد الدرهمين ليس له، وأنّه لصاحبه، ويقسّم الآخر بينهما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محمّد بن أبي حمزة</w:t>
      </w:r>
      <w:r>
        <w:rPr>
          <w:rStyle w:val="FootnoteAnchor"/>
          <w:rtl w:val="true"/>
        </w:rPr>
        <w:footnoteReference w:id="211"/>
      </w:r>
      <w:r>
        <w:rPr>
          <w:rFonts w:ascii="Amiri" w:hAnsi="Amiri" w:eastAsia="Amiri" w:cs="Amiri"/>
          <w:color w:val="111111"/>
          <w:sz w:val="28"/>
          <w:sz w:val="28"/>
          <w:szCs w:val="28"/>
          <w:rtl w:val="true"/>
          <w:lang w:bidi="ar-SA"/>
        </w:rPr>
        <w:t>، الذي هو كالصحيح، لأنّ في سنده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كون الدرهمين معهما كونهما تحت يدهما، ومقتضى إطلاقهما عدم الفرق بين كون الدعوى فيهما بالنصف من كلّ منهما على الإشاعة، أو بواحدٍ منهما على التعيين، إنْ لم يكونا ظاهرين في خصوص صورة الإشاعة، وهما دالّان على التنصيف بدون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من لزوم الحلف في الصورتين،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من لزومه في صورة الإشاعة، غير 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 على الأوّل بأنّه لا يتمّ حلف كلّ منهما في صورة دعوى الإشاعة، لإختصاص الحلف حينئذٍ بالثاني والبيّنة بالأوّل، ومع ذلك يستحقّ بعد الحلف تمام الدرهم لا النصف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منكرٌ بالنسبة إلى نصف الدرهم الذي بيدهما ومدع بالنسبة إلى النصف الآخر، فله الحلف على النصف لا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1" w:name="pg11823_118723"/>
    </w:p>
    <w:p>
      <w:pPr>
        <w:pStyle w:val="BookText"/>
        <w:rPr/>
      </w:pPr>
      <w:bookmarkEnd w:id="91"/>
      <w:r>
        <w:rPr>
          <w:rFonts w:ascii="Amiri" w:hAnsi="Amiri" w:eastAsia="Amiri" w:cs="Amiri"/>
          <w:color w:val="111111"/>
          <w:sz w:val="28"/>
          <w:sz w:val="28"/>
          <w:szCs w:val="28"/>
          <w:rtl w:val="true"/>
          <w:lang w:bidi="ar-SA"/>
        </w:rPr>
        <w:t>وكذا لو أودع أحدهما درهمين والآخر ثلاثاً وتلف أحدهما بغير تفريطٍ فلصاحب الاثنين درهمٌ ونصف، وللآخر ما بقي</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1006652_73709187"/>
      <w:bookmarkStart w:id="93" w:name="_Toc31"/>
      <w:bookmarkEnd w:id="92"/>
      <w:r>
        <w:rPr>
          <w:rtl w:val="true"/>
        </w:rPr>
        <w:t>حكم من أودعه إنسانٌ درهمين وآخر درهماً</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بأنّ أحد الدرهمين لأحدهما والآخر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أودع أحدهما درهمين، والآخر ثلاثاً، وتلف أحدهما بغير 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لا إشكال في أنّ أحد الدرهمين الباقيين لصاحب الدرهمين، والآخر مردّدٌ بينهما يمكن أنْ يكون لكلّ واحدٍ منهما، فمقتضى القاعدة هو أن يقسّم 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فلصاحب الاثنين درهم ونصف، وللآخر 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 مضافاً إلى ذلك، خبر السكوني، عن الإمام الصادق،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استودع رجلاً دينارين، فاستودعه آخر ديناراً، فضاع دينارٌ منهما؟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صاحب الدينارين ديناراً، ويقسّم الآخر بينهما نصفين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إشكال، وهو</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لو انتقل نصفا الدرهم أو الدينار إلى ثالثٍ بهبةٍ أو نحوها، واشترى بمجموعهما ثوباً، يعلم تفصيلاً بعدم دخول الثوب بتمامه في ملكه، لأنّ بعض الثمن ملك الغير قطعاً، فلا يجوز الصَّلاة فيه ولا لبسه، لكن الأصحاب لم يلتزموا بذلك، وقد ذكروا في دفعه اُموراً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الامتزاج يوجب صيرورة كلٍّ من الدراهم أو الدنانير بينهما أثلاثاً، فما سُرق يكون من مالهما لا من مال أحدهما، فلا يلزم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الامتزاج في مثل المقام لا يوجبُ الشركة كما مرّ، مع أنّ لازم ذلك إعطاء درهم وثلث لصاحب الدرهمين، وثلثي الدرهم لصاحب الدرهم الواحد، كما نُسب إلى المصنّف رحمه الله في بعض كتبه</w:t>
      </w:r>
      <w:r>
        <w:rPr>
          <w:rStyle w:val="FootnoteAnchor"/>
          <w:rtl w:val="true"/>
        </w:rPr>
        <w:footnoteReference w:id="215"/>
      </w:r>
      <w:r>
        <w:rPr>
          <w:rFonts w:ascii="Amiri" w:hAnsi="Amiri" w:eastAsia="Amiri" w:cs="Amiri"/>
          <w:color w:val="111111"/>
          <w:sz w:val="28"/>
          <w:sz w:val="28"/>
          <w:szCs w:val="28"/>
          <w:rtl w:val="true"/>
          <w:lang w:bidi="ar-SA"/>
        </w:rPr>
        <w:t>أنّه ذهب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أوّل البحث من اقتضاء قاعدة العدل والإنصاف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القاعدة إنّما تقتضي جواز التصرّف لكلّ منهما فيما اُعطي له جوازاً ظاهريّاً، والكلام إنّما هو فيما لو اجتمعا عند ثالثٍ واشترى بهما ثوباً، وهو يعلم بعدم انتقاله إليه بتمامه، والحكم الظاهري لا يكون مع العلم التفصيلي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كون كلّ من النصفين ممّا يجوز تصرّف من هو تحت يده، فيه، لو انتقلا إلى ثالثٍ‌، يجوز تصرّف الثالث فيهما واقعاً، فإنّ جواز تصرّف ذي اليد في المال ظاهراً موضوعٌ لجواز تصرّف من انتقل إليه ذلك المال واقعاً، فلا يحصل العلم التفصيلي بعدم جواز التصرّف فيما انتقل إليه بإزائهما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اليد أيضاً من الأمارات، ولا تكون متكفّلة لبيان حكم واقعي، ولا توجب تبدّل الواقع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أنّ ذلك من باب الصُّلح القهري، فبالتعبّد الشرعي من باب الولاية يدخل كلّ من النصفين في ملك كلّ واحدٍ منهما، فكلّ منهما يملك النصف واقعاً، فلا يحصل العلم المزبور لو اجتمعا عند ثالث واشترى بهما شيئاً</w:t>
      </w:r>
      <w:r>
        <w:rPr>
          <w:rFonts w:eastAsia="Amiri" w:cs="Amiri" w:ascii="Amiri" w:hAnsi="Amiri"/>
          <w:color w:val="111111"/>
          <w:sz w:val="28"/>
          <w:szCs w:val="28"/>
          <w:rtl w:val="true"/>
          <w:lang w:bidi="ar-SA"/>
        </w:rPr>
        <w:t xml:space="preserve">.). </w:t>
      </w:r>
      <w:bookmarkStart w:id="94" w:name="pg11823_118725"/>
    </w:p>
    <w:p>
      <w:pPr>
        <w:pStyle w:val="BookText"/>
        <w:rPr/>
      </w:pPr>
      <w:bookmarkEnd w:id="94"/>
      <w:r>
        <w:rPr>
          <w:rFonts w:ascii="Amiri" w:hAnsi="Amiri" w:eastAsia="Amiri" w:cs="Amiri"/>
          <w:color w:val="111111"/>
          <w:sz w:val="28"/>
          <w:sz w:val="28"/>
          <w:szCs w:val="28"/>
          <w:rtl w:val="true"/>
          <w:lang w:bidi="ar-SA"/>
        </w:rPr>
        <w:t>ولو اشتبه الثوبان، بيعا، وقسّم الثمن على نسبة رأس 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يظهر اندفاع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التالف لا يحتمل كونه منهما، بل من أحدهما خاصّة، لامتناع الإشاعة هنا</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إيراده على الخبر بضعفه، فيردّه أنّ الخبر قويّ‌، ولو سُلّم ضعفه فهو 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قوّاه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من القول بالقرعة ضعيفٌ‌</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1006654_73709187"/>
      <w:bookmarkStart w:id="96" w:name="_Toc32"/>
      <w:bookmarkEnd w:id="95"/>
      <w:r>
        <w:rPr>
          <w:rtl w:val="true"/>
        </w:rPr>
        <w:t>حكم اشتباه الثوبين</w:t>
      </w:r>
      <w:bookmarkEnd w:id="96"/>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اشتبه الثوبان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لشخصين؛ أحدهما أقلّ قيمةً من الآخر، كما إذا كان لواحدٍ ثوبٌ بعشرين درهماً، وللآخر ثوبٌ بثلاثين، ثمّ اشتبها، فإنْ خيّر أحدهما صاحبه فقد أنصفه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تعاسرا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 وقُسّم الثمن على نسبة رأس مالهما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المثال يُعطى صاحب العشرين سهمين من خمسة، وللآخر ثلاثة كما هو المشهور</w:t>
      </w:r>
      <w:r>
        <w:rPr>
          <w:rStyle w:val="FootnoteAnchor"/>
          <w:rtl w:val="true"/>
        </w:rPr>
        <w:footnoteReference w:id="218"/>
      </w:r>
      <w:r>
        <w:rPr>
          <w:rFonts w:ascii="Amiri" w:hAnsi="Amiri" w:eastAsia="Amiri" w:cs="Amiri"/>
          <w:color w:val="111111"/>
          <w:sz w:val="28"/>
          <w:sz w:val="28"/>
          <w:szCs w:val="28"/>
          <w:rtl w:val="true"/>
          <w:lang w:bidi="ar-SA"/>
        </w:rPr>
        <w:t>بين الأصحاب، وفرض الاشتباه يتوقّف على عدم إحراز كون الأقلّ قيمةً في البيع هو الأقلّ في الشراء، وإلّا فلا اشتباه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فيشهد للحكم المذكور خبر إسحاق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يبضعه الرّجل ثلاثين درهماً في ثوب، وآخر عشرين درهماً في ثوب، فبعث الثوبين ولم يعرف هذا ثوبه ولا هذا ثوبه‌؟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الثوبان، فيعطى صاحب الثلاثين ثلاثة أخماس الثمن، والآخر خمسي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العشرين قال لصاحب الثلاثين اختر أيّهما شئت‌؟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المنجبر ضعفه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إليه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 صحّة سنده في طريق الصدوق بل الشيخ</w:t>
      </w:r>
      <w:r>
        <w:rPr>
          <w:rStyle w:val="FootnoteAnchor"/>
          <w:rtl w:val="true"/>
        </w:rPr>
        <w:footnoteReference w:id="220"/>
      </w:r>
      <w:r>
        <w:rPr>
          <w:rFonts w:ascii="Amiri" w:hAnsi="Amiri" w:eastAsia="Amiri" w:cs="Amiri"/>
          <w:color w:val="111111"/>
          <w:sz w:val="28"/>
          <w:sz w:val="28"/>
          <w:szCs w:val="28"/>
          <w:rtl w:val="true"/>
          <w:lang w:bidi="ar-SA"/>
        </w:rPr>
        <w:t xml:space="preserve">، واحتمال اختصاصه بمورده كما ترى‌،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من الميل إلى القرعة، بل عن الحِلّي رحمه الله</w:t>
      </w:r>
      <w:r>
        <w:rPr>
          <w:rStyle w:val="FootnoteAnchor"/>
          <w:rtl w:val="true"/>
        </w:rPr>
        <w:footnoteReference w:id="222"/>
      </w:r>
      <w:r>
        <w:rPr>
          <w:rFonts w:ascii="Amiri" w:hAnsi="Amiri" w:eastAsia="Amiri" w:cs="Amiri"/>
          <w:color w:val="111111"/>
          <w:sz w:val="28"/>
          <w:sz w:val="28"/>
          <w:szCs w:val="28"/>
          <w:rtl w:val="true"/>
          <w:lang w:bidi="ar-SA"/>
        </w:rPr>
        <w:t>الجزم بها في غير محلّه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وللمصنف قدس سره في المقام تفصيلٌ حيث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بيعا منفردين وتساويا في الثمن، فلكلّ واحدٍ ثمن ثوب، ولا إشكال، وإنْ اختلفا فالأكثر لصاحب الأكثر قيمةً‌، وكذا الأقلّ بناءً على الغالب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بيعا مجتمعين، صارا كالمال المشترك شركة إجباريّة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طلب الصُّلح إقراراً، بخلاف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أو ملّكني، أو هِبني، أو أجّلني، أو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الأكثر قيمةً معلوماً أنّه للأكثر، فما أفاده وإنْ تَمّ ولا يشمله الخبر، إلّا أنّه لا وجه لبيعهما مجتمعين، لفرض إمكان إحراز ما لكلّ منهما وإنْ لم يكن ذلك معلوماً، فلا وجه لجعل الأكثر قيمةً للأكثر، بل لعلّ الذي له هو الأقلّ‌، مع أنّ ذلك اجتهادٌ في مقابل النّص</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طلب الصُّلح 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لأنّ الصُّلح يصحّ مع الإنكار، فطلبه لايستلزم الإقرار، لأنّ طلبه يمكن أنْ يكون لأجل رفع المنازعة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أو ملّكني، أو هِبني، أو أجّلني، أو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شيئاً من تلكم لا يتمّ بدون الملك، فقوله هذا يعدّ إقراراً بملكيّة صاحبه، واللّه العالم</w:t>
      </w:r>
      <w:r>
        <w:rPr>
          <w:rFonts w:eastAsia="Amiri" w:cs="Amiri" w:ascii="Amiri" w:hAnsi="Amiri"/>
          <w:color w:val="111111"/>
          <w:sz w:val="28"/>
          <w:szCs w:val="28"/>
          <w:rtl w:val="true"/>
          <w:lang w:bidi="ar-SA"/>
        </w:rPr>
        <w:t>.</w:t>
      </w:r>
      <w:bookmarkStart w:id="97" w:name="pg11823_118728"/>
    </w:p>
    <w:p>
      <w:pPr>
        <w:pStyle w:val="BookText"/>
        <w:rPr/>
      </w:pPr>
      <w:bookmarkEnd w:id="97"/>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الإقرار، وهو إخبارٌ عن حقّ سابق</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11006656_73709187"/>
      <w:bookmarkStart w:id="99" w:name="_Toc33"/>
      <w:bookmarkEnd w:id="98"/>
      <w:r>
        <w:rPr>
          <w:rtl w:val="true"/>
        </w:rPr>
        <w:t>(</w:t>
      </w:r>
      <w:r>
        <w:rPr>
          <w:rtl w:val="true"/>
        </w:rPr>
        <w:t>الفصل السادس</w:t>
      </w:r>
      <w:r>
        <w:rPr>
          <w:rtl w:val="true"/>
        </w:rPr>
        <w:t xml:space="preserve">: </w:t>
      </w:r>
      <w:r>
        <w:rPr>
          <w:rtl w:val="true"/>
        </w:rPr>
        <w:t>في الإقرار</w:t>
      </w:r>
      <w:r>
        <w:rPr>
          <w:rtl w:val="true"/>
        </w:rPr>
        <w:t>)</w:t>
      </w:r>
      <w:bookmarkEnd w:id="99"/>
    </w:p>
    <w:p>
      <w:pPr>
        <w:pStyle w:val="Heading3"/>
        <w:numPr>
          <w:ilvl w:val="2"/>
          <w:numId w:val="1"/>
        </w:numPr>
        <w:rPr/>
      </w:pPr>
      <w:bookmarkStart w:id="100" w:name="__RefHeading___Toc11006658_73709187"/>
      <w:bookmarkStart w:id="101" w:name="_Toc34"/>
      <w:bookmarkEnd w:id="100"/>
      <w:r>
        <w:rPr>
          <w:rtl w:val="true"/>
        </w:rPr>
        <w:t>إقرار العاقل على نفسه جائز</w:t>
      </w:r>
      <w:bookmarkEnd w:id="10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الاعتراف، فليس هو من قبيل الإنشاء،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إخبارٌ عن حقّ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من غير فرقٍ بين الإثبات والنفي، كالإقرار بالإبراء ونحوه، وبين الأعيان والمنافع والحقوق، وفي الحقوق بين حقّ اللّه تعالى وحقّ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لجوازه على نفسه ومشروعيّته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أَقْرَرْتُمْ وَ أَخَذْتُمْ عَلى ذلِكُمْ إِصْرِي قالُوا أَقْرَرْنا</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 بِالْقِسْطِ شُهَداءَ لِلّهِ وَ لَوْ عَلى أَنْفُسِكُمْ‌</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وهي عديدة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جماعة من علمائنا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إقرار العقلاء على </w:t>
      </w:r>
      <w:bookmarkStart w:id="102" w:name="pg11823_118729"/>
    </w:p>
    <w:p>
      <w:pPr>
        <w:pStyle w:val="BookText"/>
        <w:rPr/>
      </w:pPr>
      <w:bookmarkEnd w:id="102"/>
      <w:r>
        <w:rPr>
          <w:rFonts w:ascii="IRNazanin" w:hAnsi="IRNazanin" w:eastAsia="IRNazanin"/>
          <w:color w:val="111111"/>
          <w:sz w:val="28"/>
          <w:sz w:val="28"/>
          <w:szCs w:val="28"/>
          <w:rtl w:val="true"/>
          <w:lang w:bidi="fa-IR"/>
        </w:rPr>
        <w:t>أنفسهم جائز</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العطّار، عن بعض أصحابه،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أصدق على نفسه من سبعين مؤمناً عليه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المدائني،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أقبل شهادة الفاسق إلّاعلى نفسه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تلكم، النصوص الواردة في الأبواب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يؤخذ به في الحَدّ بالزّنا وغيره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إنْ أقرّ بعض الورثة بالدين يلزمه ذلك في حصّته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إنْ أقرّ المريض بدينٍ يجوز ذلك</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إنْ أقرّ رجلٌ عند موته لواحدٍ من اثنين، فأيّهما أقام البيّنة فله المال، وإنْ لم يقم واحد منهم البيّنة، فالمال بينهما نصفان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تلكم</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1006660_73709187"/>
      <w:bookmarkStart w:id="104" w:name="_Toc35"/>
      <w:bookmarkEnd w:id="103"/>
      <w:r>
        <w:rPr>
          <w:rtl w:val="true"/>
        </w:rPr>
        <w:t>بيان ما به يتحقّق الإقرار</w:t>
      </w:r>
      <w:bookmarkEnd w:id="104"/>
    </w:p>
    <w:p>
      <w:pPr>
        <w:pStyle w:val="BookText"/>
        <w:rPr/>
      </w:pPr>
      <w:r>
        <w:rPr>
          <w:rFonts w:ascii="Amiri" w:hAnsi="Amiri" w:eastAsia="Amiri" w:cs="Amiri"/>
          <w:color w:val="111111"/>
          <w:sz w:val="28"/>
          <w:sz w:val="28"/>
          <w:szCs w:val="28"/>
          <w:rtl w:val="true"/>
          <w:lang w:bidi="ar-SA"/>
        </w:rPr>
        <w:t>وكيف كان، فالنظر فيه يكون في الأركان وفي 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أربعة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يختصُّ لفظاً،</w:t>
      </w:r>
    </w:p>
    <w:p>
      <w:pPr>
        <w:pStyle w:val="BookText"/>
        <w:rPr/>
      </w:pPr>
      <w:r>
        <w:rPr>
          <w:rFonts w:ascii="Amiri" w:hAnsi="Amiri" w:eastAsia="Amiri" w:cs="Amiri"/>
          <w:color w:val="111111"/>
          <w:sz w:val="28"/>
          <w:sz w:val="28"/>
          <w:szCs w:val="28"/>
          <w:rtl w:val="true"/>
          <w:lang w:bidi="ar-SA"/>
        </w:rPr>
        <w:t xml:space="preserve">لا خلاف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يختصّ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فيه كلّ لفظٍ يفيد الإخبار، بأيّ لغةٍ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وهو الحجّة فيه، مضافاً إلى إطلاق الأدلّة، فإنّ الموضوع هو الإقرار والاعتراف، وهما إنّما يصدقان بإبراز ثبوت حقّ سابقٍ‌، سواءٌ أكان المبرز عربيّاً أو غيره، والمعتبر هو كون اللّفظ كاشفاً في عرف المتكلّم عن المعنى المطلوب ثبوته، ولا عبرة باللّغة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يعتبر كون اللّفظ المتكلّم به بحسب قواعد اللّغة العربيّة في مادّته وهيئته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شهد فلانٌ لك عَليّ فهو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فالأقرب كما عن أكثر المتأخّرين</w:t>
      </w:r>
      <w:r>
        <w:rPr>
          <w:rStyle w:val="FootnoteAnchor"/>
          <w:rtl w:val="true"/>
        </w:rPr>
        <w:footnoteReference w:id="237"/>
      </w:r>
      <w:r>
        <w:rPr>
          <w:rFonts w:ascii="Amiri" w:hAnsi="Amiri" w:eastAsia="Amiri" w:cs="Amiri"/>
          <w:color w:val="111111"/>
          <w:sz w:val="28"/>
          <w:sz w:val="28"/>
          <w:szCs w:val="28"/>
          <w:rtl w:val="true"/>
          <w:lang w:bidi="ar-SA"/>
        </w:rPr>
        <w:t>أنّه لا يكون إقراراً، إذ المفهوم العرفي من هذه الجملة امتناع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عليه أحدٌ أنّه أقرضه،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مقترناً ذلك منه بما يكون في المتفاهم العرفي استهزاءً‌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تلكم من الموارد التي لا تندرج تحت ضابطة كليّة، فإنّ فهم العرف الذي يرجع إليه غير منضبط، وعليه فلابدّ في كلّ موردٍ من ملاحظة الكلام الصادر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ويصحّ بالإشارة المعلومة،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أجّل في جواب أعليك كذا؟ فهو 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المتكلّم، ورعاية القرائن الحاليّة والمقاليّة، فإنْ كان صريحاً أو ظاهراً في الأخبار عن ثبوت الحقّ بحسب المتفاهم العرفي فهو إقرارٌ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البيان يظهر عدم تعين اللّفظ،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بالإشارة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المفهمة، إذ المعيار هو الإعراب عمّا في الضمير، بلا دخلٍ لخصوصيّات المُعرب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التعذّر في الاكتفاء بالإشارة من جهة الشكّ في صدق الإقرار عليها، وإنْ عبّرت عمّا في الضمير، ولازم ذلك وإنْ كان عدم الاكتفاء بها حتّى مع التعذّر، إلّاأنّه يُكتفى بها في حال الضرورة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الإقرار والاعتراف وما يساوقهما من الألفاظ لم يؤخذ فيها اللّفظ، وهذا العرف ببابك، والتبادر عندهم، وعدم صحّة السلب علامتان للحقيقة، فاعرض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فهل يشك أحدهم في صدقه على المُعرِب عمّا في الضمير، وعدم صحّة سلب الإقرار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الشكّ في صدقه على الإشارة المُفهِمة والاكتفاء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أجل في جواب أعليك كذا؟ فهو 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فيهما ولا إشكال، لكون اللّفظين من كلمات التصديق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كان المتكلم ممّن يُحتمل في حقّه أن لا يعرف 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أنّه تخيّل كونه كلمة تكذيب أو استهزاء لا تصديق قُبل منه، ولكنّه خارجٌ عن محلّ الفرض، فإنّ هذا يجري في الألفاظ الصريحة إذا صدرت عن غير أهل ذلك اللّسان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بلى عقيب أليس عليكَ؟ بخلاف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إقراراً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عقيب أليس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لأنّها بمقتضى الوضع حرف تصديق، وأكثر ما تقع يكون بعد الاستفهام، وتختصّ بالإيجاب، سواءٌ كان ما قبلها مثبتاً أو منفيّاً، هكذا ذكره أهل اللّغة، والظاهر أنّها بحسب المتفاهم العرفي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وتسليم الشكّ في كونها في العرف كذلك، يستصحب قهقرائيّاً، ويثبت به ذلك على ما مرّ في محلّه من أنّ بناء العقلاء في المحاورات على إجراء هذا الاستصحاب، والظاهر أنّه لا خلاف بينهم فيما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جماعةٌ منهم الشيخ رحمه الله</w:t>
      </w:r>
      <w:r>
        <w:rPr>
          <w:rStyle w:val="FootnoteAnchor"/>
          <w:rtl w:val="true"/>
        </w:rPr>
        <w:footnoteReference w:id="238"/>
      </w:r>
      <w:r>
        <w:rPr>
          <w:rFonts w:ascii="Amiri" w:hAnsi="Amiri" w:eastAsia="Amiri" w:cs="Amiri"/>
          <w:color w:val="111111"/>
          <w:sz w:val="28"/>
          <w:sz w:val="28"/>
          <w:szCs w:val="28"/>
          <w:rtl w:val="true"/>
          <w:lang w:bidi="ar-SA"/>
        </w:rPr>
        <w:t>والماتن إلى أنّها ليست إقراراً، وعن الشهيد</w:t>
      </w:r>
      <w:r>
        <w:rPr>
          <w:rStyle w:val="FootnoteAnchor"/>
          <w:rtl w:val="true"/>
        </w:rPr>
        <w:footnoteReference w:id="239"/>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أنّها إقرارٌ، وتردّد المحقّق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وضعت في اللّغة لتقرير ما سبق من السؤال، فإذا كان نفياً، اقتضت تقرير النفي، فهي في المثال إنكارٌ لا إقرار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كونها في اللّغة كذلك، لكنّها بحسب الاستعمال الشائع عند العرف بلا قرينة بلى تكون إيجاباً مطلقاً، كان ما قبلها مثبتاً أو منفيّاً، مع أنّه صرّح جماعة بورودها في اللّغة كذلك، وفي المنجد أيضاً التصريح بمساواة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فليس بإقرارٍ، إلّاأن يقول به،</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ترجيح أحد الوجهين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تظهر أقوائيّة الثاني، إذ قد عرفت عدم العبرة باللّغة في مقابل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الاستعمال أعمٌّ من الحقيقة وإنْ كان شائعاً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أنّه لا يتوقّف صدق الإقرار على إثبات كون اللّفظ حقيقة في المستعمل فيه، بل يكفي كونه مجازاً مشهوراً لا تتوقّف دلالته عليه على ذكر قرينة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كذا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 فليس بإقرارٍ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يذكر المقرّ به، فمن الجائز أن يقدّر ما لا يطابق الدعوى، والعام لا يدلّ على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تدّعيه فيلزمه، خلافاً للشهيد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إقراراً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غايته الإقرار بالدعوى، وهو أعمّ من الإقرار به للمدّعي، وقد مرّ أنّه المعيار في هذا الباب، ولذلك قد يدّعي كونه إقراراً في الأوّل أيضاً، من جهة ظهور المحاورات العرفيّة في ذلك، فإنّ وقوعه بعد الدعوى يوجب عندهم صرفه إليها، كما يعلم ذلك من أنّه لو أقرَّ بشيء آخر صريحاً يعدّ هَذَراً، كما لو ادّعى عليه 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 بأنّ السماء فوقنا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الكريمة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أَقْرَرْتُمْ وَ أَخَذْتُمْ عَلى ذلِكُمْ إِصْرِي قالُوا أَقْرَرْنا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شاهدة به، وهو غير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5" w:name="pg11823_118734"/>
    </w:p>
    <w:p>
      <w:pPr>
        <w:pStyle w:val="BookText"/>
        <w:rPr/>
      </w:pPr>
      <w:bookmarkEnd w:id="105"/>
      <w:r>
        <w:rPr>
          <w:rFonts w:ascii="Amiri" w:hAnsi="Amiri" w:eastAsia="Amiri" w:cs="Amiri"/>
          <w:color w:val="111111"/>
          <w:sz w:val="28"/>
          <w:sz w:val="28"/>
          <w:szCs w:val="28"/>
          <w:rtl w:val="true"/>
          <w:lang w:bidi="ar-SA"/>
        </w:rPr>
        <w:t>ولو علّقه بشرطٍ بَطَل،</w:t>
      </w:r>
    </w:p>
    <w:p>
      <w:pPr>
        <w:pStyle w:val="Heading3"/>
        <w:numPr>
          <w:ilvl w:val="2"/>
          <w:numId w:val="1"/>
        </w:numPr>
        <w:rPr/>
      </w:pPr>
      <w:bookmarkStart w:id="106" w:name="__RefHeading___Toc11006662_73709187"/>
      <w:bookmarkStart w:id="107" w:name="_Toc36"/>
      <w:bookmarkEnd w:id="106"/>
      <w:r>
        <w:rPr>
          <w:rtl w:val="true"/>
        </w:rPr>
        <w:t>حكم تعلّق الإقرار بالشرط</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المقرّ 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أكثر المتأخّرين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ونخبة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كما مرّ في أنّ الإقرار عبارة عن الإخبار عن ثبوت حقّ على نفسه جزماً، فهل يعتبر فيه كونه عن ثبوت حقّ سابق، أم يكفي في صدقه الإخبار عن ثبوت حقّ في اللّاحق‌؟</w:t>
      </w:r>
    </w:p>
    <w:p>
      <w:pPr>
        <w:pStyle w:val="BookText"/>
        <w:rPr/>
      </w:pPr>
      <w:r>
        <w:rPr>
          <w:rFonts w:ascii="Amiri" w:hAnsi="Amiri" w:eastAsia="Amiri" w:cs="Amiri"/>
          <w:color w:val="111111"/>
          <w:sz w:val="28"/>
          <w:sz w:val="28"/>
          <w:szCs w:val="28"/>
          <w:rtl w:val="true"/>
          <w:lang w:bidi="ar-SA"/>
        </w:rPr>
        <w:t xml:space="preserve">قولان، اختار ثانيهما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إنكار صدق الإقرار على الحقوق المعلّقة بنذرٍ أو عهدٍ أو يمين على شيء متوقّع أو معلوم الحصول، فإذا أقرَّ مثلاً أنّ لزيدٍ عليَّ مائة درهم إذا عُوفي في مرضه بنذرٍ أو عهدٍ أو يمينٍ‌، كان ذلك إقراراًبالحقّ المعلّق بمقتضى السبب المتعلّق به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يكون إقراراً باعتبار كونه إخباراً عن السبب وهو النذر السابق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ما أفاده الأكثر من اعتبار كونه إخباراً عن حقّ ثابت في السابق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فلو علّقه بشرطٍ مستقبلي لا يكون إقراراً، وأمّا لو علّقه بشرطٍ مضى‌، فالظاهر أنّه إقرار، أمّا إذا علم بتحقّق الشرط، فلكونه إخباراً عن تحقّق التالي وثبوته لفرض العلم بتحقّق الشرط، وأمّا إذا لم يعلم به، فلأنّ الإخبار </w:t>
      </w:r>
      <w:bookmarkStart w:id="108" w:name="pg11823_118735"/>
    </w:p>
    <w:p>
      <w:pPr>
        <w:pStyle w:val="BookText"/>
        <w:rPr/>
      </w:pPr>
      <w:bookmarkEnd w:id="108"/>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فلانٌ فهو صادق، لزمه وإنْ لم يشهد</w:t>
      </w:r>
    </w:p>
    <w:p>
      <w:pPr>
        <w:pStyle w:val="BookText"/>
        <w:rPr/>
      </w:pPr>
      <w:r>
        <w:rPr>
          <w:rFonts w:ascii="Amiri" w:hAnsi="Amiri" w:eastAsia="Amiri" w:cs="Amiri"/>
          <w:color w:val="111111"/>
          <w:sz w:val="28"/>
          <w:sz w:val="28"/>
          <w:szCs w:val="28"/>
          <w:rtl w:val="true"/>
          <w:lang w:bidi="ar-SA"/>
        </w:rPr>
        <w:t>المشروط إخبارٌ عن الملازمة بين الشرط والجزاء جزماً، فإذا انضمّ إليه تحقّق الشرط خارجاً، كانت النتيجة كونه إخباراً عن حقّ ثابت،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مكتوباً في الدفتر أنّ لزيد عليَّ ألفاً كان كذلك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مكتوباً كان هذا إخباراً جزميّاً بثبوت الألف، فيصدق عليه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الشرط ممّا يتخيّل أنّه لم يقع خارجاً، لم يكن ذلك إقراراً، بل هو إنكارٌ عرفاً، والضابط هو الرجوع إلى العرف بحسب ما يفهمه من القرائن الحاليّة والمقاليّة لهذا الكلام، ولا يمكن جعل ميزان كلّي له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1006664_73709187"/>
      <w:bookmarkStart w:id="110" w:name="_Toc37"/>
      <w:bookmarkEnd w:id="109"/>
      <w:r>
        <w:rPr>
          <w:rtl w:val="true"/>
        </w:rPr>
        <w:t>حكم مالو قال</w:t>
      </w:r>
      <w:r>
        <w:rPr>
          <w:rtl w:val="true"/>
        </w:rPr>
        <w:t>: (</w:t>
      </w:r>
      <w:r>
        <w:rPr>
          <w:rtl w:val="true"/>
        </w:rPr>
        <w:t>إنْ شهد فلانٌ فهو صادق</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فلانٌ فهو صادق، لزمه وإنْ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وابن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والمصنّف رحمه الله في جملةٍ من كتبه</w:t>
      </w:r>
      <w:r>
        <w:rPr>
          <w:rStyle w:val="FootnoteAnchor"/>
          <w:rtl w:val="true"/>
        </w:rPr>
        <w:footnoteReference w:id="248"/>
      </w:r>
      <w:r>
        <w:rPr>
          <w:rFonts w:ascii="Amiri" w:hAnsi="Amiri" w:eastAsia="Amiri" w:cs="Amiri"/>
          <w:color w:val="111111"/>
          <w:sz w:val="28"/>
          <w:sz w:val="28"/>
          <w:szCs w:val="28"/>
          <w:rtl w:val="true"/>
          <w:lang w:bidi="ar-SA"/>
        </w:rPr>
        <w:t>، بل حُكي عنه نسبته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إذا صدق على تقدير الشهادة لزم الحقّ‌، لوجوب مطابقة الخبر الصادق لمخبره في الواقع، فيكون في ذمّته على ذلك التقدير، ومن المعلوم أنّه </w:t>
      </w:r>
    </w:p>
    <w:p>
      <w:pPr>
        <w:pStyle w:val="BookText"/>
        <w:rPr/>
      </w:pPr>
      <w:r>
        <w:rPr>
          <w:rFonts w:ascii="Amiri" w:hAnsi="Amiri" w:eastAsia="Amiri" w:cs="Amiri"/>
          <w:color w:val="111111"/>
          <w:sz w:val="28"/>
          <w:sz w:val="28"/>
          <w:szCs w:val="28"/>
          <w:rtl w:val="true"/>
          <w:lang w:bidi="ar-SA"/>
        </w:rPr>
        <w:t>لا دخل للشهادة في ثبوت المقرّ به في الذمّة في نفس الأمر، فيثبت حينئذٍ مطلوبه، إذ الصدق مطابقة نسبة الخبر للنسبة الخارجيّة في تحقّق الصدق عليتقدير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إمّا أنْ يكون ثابتاً في ذمّته أو لا، والتالي باطلٌ لاستلزامه كذب الشاهد عليتقدير الشهادة، لأنّه خبر غير مطابق، لكنّه حكم بصدقه على تقديرها فيتعيّن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يصدق كلّما لم يكن المال ثابتاً في ذمّته لم يكن صادقاً على تقدير الشهادة، وينعكس بعكس النقيض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صدقاً على تقدير الشهادة، كان المال ثابتاً في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المقدّم حقٌّ لإقراره، لأنّه حكم بصدقه على تقدير الشهادة، فالتالي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المفهوم من هذا الكلام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الشهادة ممتنعة الوقوع من الشخص المذكور، لامتناع الكذب عليه بحسب اعتقاد المتكلّم، والغرض أنّ هذا لا يصدر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يقع كثيراً في المحاورات العرفيّة، حتّى ادُّعي ظهور الكلام ولو بلا قرينة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إقراراً قطعاً، وإنْ كان المفهوم منه عرفاً أنّه بصدد الإخبار عن الحقّ مشروطاً، فإنْ شهد كان إقراراً لأنّ الإقرار بالملازمة إقرارٌ بالتالي مع فرض وجود المقدّم، ولا تعتبر الصراحة في الإقرار، وإنْ لم يشهد لم يكن إقراراً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الوجوه فيه مغالطات واضحة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وإنْ لم يكن دخلٌ للشهادة في ثبوت المقرّ به في الذمّة في نفس الأمر، لكنّها دخيلة في الإخبار بالثبوت، لأنّ الفرض أنّ الإخبار مشروط، فهو </w:t>
      </w:r>
    </w:p>
    <w:p>
      <w:pPr>
        <w:pStyle w:val="BookText"/>
        <w:rPr/>
      </w:pPr>
      <w:r>
        <w:rPr>
          <w:rFonts w:ascii="Amiri" w:hAnsi="Amiri" w:eastAsia="Amiri" w:cs="Amiri"/>
          <w:color w:val="111111"/>
          <w:sz w:val="28"/>
          <w:sz w:val="28"/>
          <w:szCs w:val="28"/>
          <w:rtl w:val="true"/>
          <w:lang w:bidi="ar-SA"/>
        </w:rPr>
        <w:t>كالإنشاء على تقدير، فكما أنّه مع عدم ذلك التقدير لا يكون المُنشأ فعليّاً كذلك في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الميزان ليس هو الثبوت النفس الأمري كي يتمّ الحصر المزبور، بل الإخبار بالثبوت، وهو إخبارٌ على تقديرٍ دون آخر، فالثبوت على تقدير الشهادة لا يستلزم ثبوته على تقدير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الثبوت في الذمّة ليس مناط الإقرار، بل الإخبار 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أنّه على تقدير عدم الشهادة لا إقرار، وبما ذكرناه يظهر ما في كلمات القوم في المقام</w:t>
      </w:r>
      <w:r>
        <w:rPr>
          <w:rFonts w:eastAsia="Amiri" w:cs="Amiri" w:ascii="Amiri" w:hAnsi="Amiri"/>
          <w:color w:val="111111"/>
          <w:sz w:val="28"/>
          <w:szCs w:val="28"/>
          <w:rtl w:val="true"/>
          <w:lang w:bidi="ar-SA"/>
        </w:rPr>
        <w:t>.</w:t>
      </w:r>
      <w:bookmarkStart w:id="111" w:name="pg11823_118738"/>
    </w:p>
    <w:p>
      <w:pPr>
        <w:pStyle w:val="BookText"/>
        <w:rPr/>
      </w:pPr>
      <w:bookmarkEnd w:id="111"/>
      <w:r>
        <w:rPr>
          <w:rFonts w:ascii="Amiri" w:hAnsi="Amiri" w:eastAsia="Amiri" w:cs="Amiri"/>
          <w:color w:val="111111"/>
          <w:sz w:val="28"/>
          <w:sz w:val="28"/>
          <w:szCs w:val="28"/>
          <w:rtl w:val="true"/>
          <w:lang w:bidi="ar-SA"/>
        </w:rPr>
        <w:t>ويُشترط في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والحريّة،</w:t>
      </w:r>
    </w:p>
    <w:p>
      <w:pPr>
        <w:pStyle w:val="Heading3"/>
        <w:numPr>
          <w:ilvl w:val="2"/>
          <w:numId w:val="1"/>
        </w:numPr>
        <w:rPr/>
      </w:pPr>
      <w:bookmarkStart w:id="112" w:name="__RefHeading___Toc11006666_73709187"/>
      <w:bookmarkStart w:id="113" w:name="_Toc38"/>
      <w:bookmarkEnd w:id="112"/>
      <w:r>
        <w:rPr>
          <w:rtl w:val="true"/>
        </w:rPr>
        <w:t>ما يعتبر في المُقرّ</w:t>
      </w:r>
      <w:bookmarkEnd w:id="113"/>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والاختيار، وجواز التصرّف، بلا خلافٍ في شيء من تلكم، بل عليها الإجماع 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رفع القلم</w:t>
      </w:r>
      <w:r>
        <w:rPr>
          <w:rStyle w:val="FootnoteAnchor"/>
          <w:rtl w:val="true"/>
        </w:rPr>
        <w:footnoteReference w:id="250"/>
      </w:r>
      <w:r>
        <w:rPr>
          <w:rFonts w:ascii="Amiri" w:hAnsi="Amiri" w:eastAsia="Amiri" w:cs="Amiri"/>
          <w:color w:val="111111"/>
          <w:sz w:val="28"/>
          <w:sz w:val="28"/>
          <w:szCs w:val="28"/>
          <w:rtl w:val="true"/>
          <w:lang w:bidi="ar-SA"/>
        </w:rPr>
        <w:t>المتقدّم في الأبواب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مالكيّة العبد</w:t>
      </w:r>
      <w:r>
        <w:rPr>
          <w:rStyle w:val="FootnoteAnchor"/>
          <w:rtl w:val="true"/>
        </w:rPr>
        <w:footnoteReference w:id="251"/>
      </w:r>
      <w:r>
        <w:rPr>
          <w:rFonts w:ascii="Amiri" w:hAnsi="Amiri" w:eastAsia="Amiri" w:cs="Amiri"/>
          <w:color w:val="111111"/>
          <w:sz w:val="28"/>
          <w:sz w:val="28"/>
          <w:szCs w:val="28"/>
          <w:rtl w:val="true"/>
          <w:lang w:bidi="ar-SA"/>
        </w:rPr>
        <w:t>، فإنّه حينئذٍ لا يكون إقراراً علينفسه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رفع ما استكره عليه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حَجره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فلا يقبل إقرار الصبي بمالٍ ولا عقوبةٍ وإنْ بلغ عشراً، إنْ لم يجز وصيّته ووقفه وصدقته، وإلّا قبل إقراره بها،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استند إليها الأصحاب لصحّة إقراره بما يصحّ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ويتبع العبد بإقراره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كونها قاعدة مستقلّة غير قاعدة الإقرار، ومدركها الإجماع وتسالم الأصحاب، بل وعليها بناء العقلاء، ولم يردع الشارع الأقدس عنها، وإنّما لا نقيّد إطلاقها بحديث رفع القلم عن الصبي، من جهة الإجماع على ذلك على فرض صحّة الوصيّة والعتق والوقف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إقرار المجنون إلّامن ذوي الدور وقت الوثوق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العبد بإقراره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من المكرَه، لأنّ حديث الرفع أسقط حكم إقراره، ولخبر أبي البُختري،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عند تجريدٍ أو حبسٍ أو تخويفٍ أو تهديد فلا حَدّ عليه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من السفيه في ماله لكونه محجوراً عن التصرّف في ماله، ولا من المفلّس لأنّه بعد تعلّق حقّ الغرماء بالمال يكون ذلك بالنسبة إلى المال من قبيل الإقرار على الغير فلا يكون نافذاً، ولكنّه إنّما لا يثبت في ماله، ويثبت في ذمّته كما مرّ في مبحث المفلّس</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14" w:name="pg11823_118740"/>
    </w:p>
    <w:p>
      <w:pPr>
        <w:pStyle w:val="BookText"/>
        <w:rPr/>
      </w:pPr>
      <w:bookmarkEnd w:id="114"/>
      <w:r>
        <w:rPr>
          <w:rFonts w:ascii="Amiri" w:hAnsi="Amiri" w:eastAsia="Amiri" w:cs="Amiri"/>
          <w:color w:val="111111"/>
          <w:sz w:val="28"/>
          <w:sz w:val="28"/>
          <w:szCs w:val="28"/>
          <w:rtl w:val="true"/>
          <w:lang w:bidi="ar-SA"/>
        </w:rPr>
        <w:t>وفي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التمليك،</w:t>
      </w:r>
    </w:p>
    <w:p>
      <w:pPr>
        <w:pStyle w:val="Heading3"/>
        <w:numPr>
          <w:ilvl w:val="2"/>
          <w:numId w:val="1"/>
        </w:numPr>
        <w:rPr/>
      </w:pPr>
      <w:bookmarkStart w:id="115" w:name="__RefHeading___Toc11006668_73709187"/>
      <w:bookmarkStart w:id="116" w:name="_Toc39"/>
      <w:bookmarkEnd w:id="115"/>
      <w:r>
        <w:rPr>
          <w:rtl w:val="true"/>
        </w:rPr>
        <w:t>بيان ما يعتبر في المُقرّ له</w:t>
      </w:r>
      <w:bookmarkEnd w:id="116"/>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كلماتهم بأنّه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المقرّ له أهليّة التملّك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 عدمها يلغو الإقرار، فلا عبرة به، فلو أقرَّ بشيء لجمادٍ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يقبل الإقرار للحمل أم لا؟ فيه تفصيل،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سبباً يفيد الملك له كوصيّةٍ أو إرث يمكن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سبباً لا يفيد الملك له كالجناية والمعاملة معه،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يبيّن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صحّة إقراره، لأنّه يملك وإنْ كان استقرار ملكه له مشروطاً بسقوطه حال حياته،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للحمل ديناً في ذمّتي لوصيّةٍ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الحمل ذلك بالفعل، وإنْ لم يكن مستقرّاً، وليس من قبيل الإقرار على حقّ ثابتٍ في المستقبل، لفرض مالكيّته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إقرارٌ بوصيّة أو سببٍ للإرث، وهما أمران سابقان على الإقرار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الصحّة عند المصنّف رحمه الله</w:t>
      </w:r>
      <w:r>
        <w:rPr>
          <w:rStyle w:val="FootnoteAnchor"/>
          <w:rtl w:val="true"/>
        </w:rPr>
        <w:footnoteReference w:id="256"/>
      </w:r>
      <w:r>
        <w:rPr>
          <w:rFonts w:ascii="Amiri" w:hAnsi="Amiri" w:eastAsia="Amiri" w:cs="Amiri"/>
          <w:color w:val="111111"/>
          <w:sz w:val="28"/>
          <w:sz w:val="28"/>
          <w:szCs w:val="28"/>
          <w:rtl w:val="true"/>
          <w:lang w:bidi="ar-SA"/>
        </w:rPr>
        <w:t>، والمحقّق</w:t>
      </w:r>
      <w:r>
        <w:rPr>
          <w:rStyle w:val="FootnoteAnchor"/>
          <w:rtl w:val="true"/>
        </w:rPr>
        <w:footnoteReference w:id="25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والشهيدين</w:t>
      </w:r>
      <w:r>
        <w:rPr>
          <w:rStyle w:val="FootnoteAnchor"/>
          <w:rtl w:val="true"/>
        </w:rPr>
        <w:footnoteReference w:id="258"/>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بل نسبه ثاني الشهيدين إلى الأكثر،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مبتدأ الإقرار، وإلغاء ما يبطله نحو غيره من صور تعقيب الإقرار بالمنافي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كالجملة الواحدة، ولايتمّ إلّابآخره، وقد نافى أوّله فلا عبرة به، كالإقرار المعلّق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الكلام كالجملة الواحدة، يتمّ فيما هو من متمّماته كالشرط والصفة، لا فيما لا تعلّق به، بل ينافيه، ومن ثمّ أجمعوا على بطلان المعلّق دون المعقب بالمنافي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مرّ أنّ الميزان في الإقرار هو الظهور العرفي للكلام، وعليه فما دام لم يتمّ المتكلّم كلامه، لاينعقد لكلامه ظهورٌ، لاحتمال ذكر القرينة الصارفة، وإذا تم كلامه يكون ما يستفاد منه هو المعيار والميزان، فإذا أقرَّ بملكيّته للحمل، وقرنه بذكر السبب غير المفيد للملك له، كان المقرّ به هو الملكيّة الخاصّة لا المطلقة، لأنّه لم يقرّ بها، بل بحصّة خاصّةٍ منها وهي الملكيّة المسبّبة عن سببٍ خاص، والمفروض عدم إمكان تحقّقها للحمل، فما أقرَّ به ممتنع الحصول، فلا يصحّ إقراره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هي الصحّة، كما هو المشهور بين الأصحاب، للاكتفاء في الإقرار بإمكان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ينزّل الإقرار على الاحتمال الصحيح</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نقل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عن بعضٍ‌الحكم بالبطلان، ولم يُعرف قائله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عن الفخر في إيضاحه</w:t>
      </w:r>
      <w:r>
        <w:rPr>
          <w:rStyle w:val="FootnoteAnchor"/>
          <w:rtl w:val="true"/>
        </w:rPr>
        <w:footnoteReference w:id="261"/>
      </w:r>
      <w:r>
        <w:rPr>
          <w:rFonts w:ascii="Amiri" w:hAnsi="Amiri" w:eastAsia="Amiri" w:cs="Amiri"/>
          <w:color w:val="111111"/>
          <w:sz w:val="28"/>
          <w:sz w:val="28"/>
          <w:szCs w:val="28"/>
          <w:rtl w:val="true"/>
          <w:lang w:bidi="ar-SA"/>
        </w:rPr>
        <w:t xml:space="preserve">البناء عليه، وإنْ حُكي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الصحّة إلى الأصحاب، مشعراً بدعوى الإجماع عليها،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الحمل لا يملك حقيقة، وإنّما يوجد سببٌ يصلح للتمليك، فإذا لم يقرّ به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المِلك في صورة صحّته مشروطٌ بسقوطه حَيّاً، فقبله لا يعلم الصحّة، بل هو مراعى، فكان جانب عدم الصحّة أولى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مالكيّة الحمل ملكيّة غير مستقرّة، مشروطاً استقراره بسقوطه حَيّاً، مع أنّ مقتضى حمل الإقرار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كحمل سائر أفعال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إرادة السبب الصالح للملك، فالإقرار بالملك إقرارٌ بالسبب الصحيح المملّك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سقوطه حَيّاً يعلم بالصحّة مراعاةً لسقوطه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الصحّة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17" w:name="pg11823_118743"/>
    </w:p>
    <w:p>
      <w:pPr>
        <w:pStyle w:val="BookText"/>
        <w:rPr/>
      </w:pPr>
      <w:bookmarkEnd w:id="117"/>
      <w:r>
        <w:rPr>
          <w:rFonts w:ascii="Amiri" w:hAnsi="Amiri" w:eastAsia="Amiri" w:cs="Amiri"/>
          <w:color w:val="111111"/>
          <w:sz w:val="28"/>
          <w:sz w:val="28"/>
          <w:szCs w:val="28"/>
          <w:rtl w:val="true"/>
          <w:lang w:bidi="ar-SA"/>
        </w:rPr>
        <w:t>ولو أقرّ للعبد فهو لمولاه،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مالٌ‌، وإنْ فسَّر المقرّ به بما يملك، قُبل وإن قَلّ‌، ولو لم يُفسّر حُبس عليه،</w:t>
      </w:r>
    </w:p>
    <w:p>
      <w:pPr>
        <w:pStyle w:val="Heading3"/>
        <w:numPr>
          <w:ilvl w:val="2"/>
          <w:numId w:val="1"/>
        </w:numPr>
        <w:rPr/>
      </w:pPr>
      <w:bookmarkStart w:id="118" w:name="__RefHeading___Toc11006670_73709187"/>
      <w:bookmarkStart w:id="119" w:name="_Toc40"/>
      <w:bookmarkEnd w:id="118"/>
      <w:r>
        <w:rPr>
          <w:rtl w:val="true"/>
        </w:rPr>
        <w:t>المقرّ به وما يشترط فيه</w:t>
      </w:r>
      <w:bookmarkEnd w:id="119"/>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به إمّا مالٌ‌، أو نسبٌ‌، أو حقٌّ‌، وقد مرّ أنّ الأظهر جواز الإقرار في الجميع لعموم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للعبد فهو لمولاه،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مالٌ‌، وإنْ فُسّر المقرّ به بما يملك قُبل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عليه الإجماع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وهو الحجّة، مضافاً إلى أصالة البراءة عن الزائد بعد صدق المال على القليل والكثير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امتنع عن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يبيّن، إلّاأن يدّعي النسيان فيُقبل على تفصيلٍ يأتي في كتاب القضاء مفصّلاً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ضعف ما قيل من عدم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فسّره بما لم تجر العادة بماليّته كقشر الجوز واللّوز وما شاكل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لعدم صدق المال عليه، فضلاً عن انصراف إطلاقه إليه على وجهٍ يثبت في الذمّة، بل نُسب ذلك إلى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 قُبل تفسيره في الألف، ولو قال ألفٌ وثلاثة دراهم، أو مائة وعشرون درهماً، فالجميعُ دراهم،</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 إذ المال أعمٌّ من غير المتموّل، لأنّ كلّ غير متموّلٍ مالٌ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المال غير الملك إشكال، إذ ربّ مالٍ ليس بملكٍ كالمباحات الأصليّة، وملكٍ ليس بمالٍ‌، مثل ما لا يصدق عليه المال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 بذلك لم يُقبل، وأمّا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 به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مورد كلام المصنّف رحمه الله هو الثاني، على ما يظهر من تعليله، وقد صرّح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بالدّرهم،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تفسيره في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مجملٌ لا خلاف فيه، وفي قبول تفسيره بما شاء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ألفٍ وثلاثة دراهم، أو مائة وعشرون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شاكلهما من الأعداد المتعاطفة المتخالفة في التمييز المتعقّبة لها بحسب الأفراد، والجمع والجَرّ والنصب،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فالجميعُ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 لأنّ المفسَّر لو وقع بين المبهمين وأكثر، يعود إلى الجميع، كما يظهر من ملاحظة موارده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درهماً فعشرون،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لَهُ تِسْعٌ وَ تِسْعُونَ نَعْجَةً‌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الخبر من أنّ رسول اللّه صلى الله عليه و آله توفّي وهو ابن ثلاث وستّين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إنّ‌المميّز في المثالين و نظائرهما كمايحتمل رجوعه إلى الجميع، كذلك يحتمل رجوعه إلى الأخير، وعليه فالمتيقّن الثابت هو الرجوع إلى الأخير، وفيما قبله يعامل معه معاملة المبهم، فله أنْ يفسّره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الأردبيلي</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يتوجّه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يحتمل ذلك بعد كون تعدّد التمييز، كما 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ألف درهمٍ‌، وعشرون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مستهجناً، ويعدّ التمييز الأوّل زائداً غير محتاج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لا ينافي الظهور العرفي، ولو بواسطة الإطلاق في الرجوع إلى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درهماً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وعن الشيخ رحمه الله</w:t>
      </w:r>
      <w:r>
        <w:rPr>
          <w:rStyle w:val="FootnoteAnchor"/>
          <w:rtl w:val="true"/>
        </w:rPr>
        <w:footnoteReference w:id="269"/>
      </w:r>
      <w:r>
        <w:rPr>
          <w:rFonts w:ascii="Amiri" w:hAnsi="Amiri" w:eastAsia="Amiri" w:cs="Amiri"/>
          <w:color w:val="111111"/>
          <w:sz w:val="28"/>
          <w:sz w:val="28"/>
          <w:szCs w:val="28"/>
          <w:rtl w:val="true"/>
          <w:lang w:bidi="ar-SA"/>
        </w:rPr>
        <w:t>وابن زُهرة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يلزمه مع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لأنّ أقلّ عدد مفرد ينصب مميّزه هو عشرون، إذ فوقه ثلاثون إلى تسعين، فيلزمه الأقلّ لأنّه المتيقّن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درهمٍ فمائة،</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على التمييز، كما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ادّعى إجماع الاُدباء على أنّه كناية عن العدد،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أنّه لم يوجد في كلام العرب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مدّعي الإجماع نفسه اعترف بأنّه يستعمل عرفاً في غير العدد، وقد مرّ أنّ العرف يقدّم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إذا كان المتكلِّم عارفاً بأنّ الاُدباء اتّفقوا على كونه كناية عن العدد، وإلّا فالأمر أوضح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درهم،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w:t>
      </w:r>
      <w:r>
        <w:rPr>
          <w:rStyle w:val="FootnoteAnchor"/>
          <w:rtl w:val="true"/>
        </w:rPr>
        <w:footnoteReference w:id="272"/>
      </w:r>
      <w:r>
        <w:rPr>
          <w:rFonts w:ascii="Amiri" w:hAnsi="Amiri" w:eastAsia="Amiri" w:cs="Amiri"/>
          <w:color w:val="111111"/>
          <w:sz w:val="28"/>
          <w:sz w:val="28"/>
          <w:szCs w:val="28"/>
          <w:rtl w:val="true"/>
          <w:lang w:bidi="ar-SA"/>
        </w:rPr>
        <w:t>والسيّد</w:t>
      </w:r>
      <w:r>
        <w:rPr>
          <w:rStyle w:val="FootnoteAnchor"/>
          <w:rtl w:val="true"/>
        </w:rPr>
        <w:footnoteReference w:id="273"/>
      </w:r>
      <w:r>
        <w:rPr>
          <w:rFonts w:ascii="Amiri" w:hAnsi="Amiri" w:eastAsia="Amiri" w:cs="Amiri"/>
          <w:color w:val="111111"/>
          <w:sz w:val="28"/>
          <w:sz w:val="28"/>
          <w:szCs w:val="28"/>
          <w:rtl w:val="true"/>
          <w:lang w:bidi="ar-SA"/>
        </w:rPr>
        <w:t>والمصنّف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إذاكان الدرهم مجروراً، لان أقلّ عددٍ مفردٍ مميّز مجرورٍ هو المائة، إذ فوقه الألف، فيحمل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يحصل بإضافة الجزء، فلا وجه لحمله على الدرهم الكامل، بل يثبت به جزء الدرهم، وإليه يرجع في تفسير الجزء، والتقدير جزء درهمٍ‌، وكذا كناية عن الجزء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فلا كلام ظاهراً في أنّه يلزمه درهمٌ بجعله بدلاً عن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درهماً، فأحد عشر، و كذا و كذا درهماً فإحدى وعشرون درهماً،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المتَّجه هو لزوم درهمٍ واحد، لأنّ الظاهر منه إرادة التأكيد، فيجري فيه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الجماعة المتقدّم ذكرهم ذهبوا إلى أنّ اللّازم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لان أقلّ عددٍ مركّب مع غيره ينتصب بعده المميّز أحد عشر، إذ فوقه الاثني عشر إلى تسعة عشر، فيلزمه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الجواب عنه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وكذا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كرّر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حرف العطف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تقدّموا أنّه 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وعشرون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أقلّ عددين عطف أحدهما على الآخر، وميّزا بدرهم منصوباً، إذ فوقه اثني وعشرون إلى تسعة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يضعف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لزوم أزيد من درهمٍ واحد، لأنّه ذكر شيئين حينئذٍ وميّزهما بدرهم،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هما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كلمة كذا حيث يحتمل لما هو أقلّ من درهم، فيجوز تفسير المتعدّد منه وإنْ كثر بالدرهم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قولان آخران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درهمين عليه، لأنّه ذكر جملتين كلّ واحدةٍ منهما تقع على الدرهم، ويكون كنايةً عنه، فيكون الدرهم تفسيراً لكلّ واحدٍ منهما</w:t>
      </w:r>
      <w:r>
        <w:rPr>
          <w:rFonts w:eastAsia="Amiri" w:cs="Amiri" w:ascii="Amiri" w:hAnsi="Amiri"/>
          <w:color w:val="111111"/>
          <w:sz w:val="28"/>
          <w:szCs w:val="28"/>
          <w:rtl w:val="true"/>
          <w:lang w:bidi="ar-SA"/>
        </w:rPr>
        <w:t xml:space="preserve">. </w:t>
      </w:r>
      <w:bookmarkStart w:id="120" w:name="pg11823_118748"/>
    </w:p>
    <w:p>
      <w:pPr>
        <w:pStyle w:val="BookText"/>
        <w:rPr/>
      </w:pPr>
      <w:bookmarkEnd w:id="120"/>
      <w:r>
        <w:rPr>
          <w:rFonts w:ascii="Amiri" w:hAnsi="Amiri" w:eastAsia="Amiri" w:cs="Amiri"/>
          <w:color w:val="111111"/>
          <w:sz w:val="28"/>
          <w:sz w:val="28"/>
          <w:szCs w:val="28"/>
          <w:rtl w:val="true"/>
          <w:lang w:bidi="ar-SA"/>
        </w:rPr>
        <w:t>هذا مع معرفته، وإلّا فله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مؤجّلة، أو من ثمن خمرٍ، أو مبيعٍ لم أقبضه، أو ابتعتُ بخيارٍ، فالقولُ قول الغريم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يلزمه درهمٌ وزيادة يرجع فيها إليه، لأنّ الدرهم فسّر الجملة الأخيرة، فتبقى الأُولى على إجمالها، فيفسّرها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أسلفناه ضعفهما، كما أنّه قد ظهر ممّا قدّمناه ما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معرفته، وإلّا فله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بيانه</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1006672_73709187"/>
      <w:bookmarkStart w:id="122" w:name="_Toc41"/>
      <w:bookmarkEnd w:id="121"/>
      <w:r>
        <w:rPr>
          <w:rtl w:val="true"/>
        </w:rPr>
        <w:t>تعقيب الإقرار بما ينافيه</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اللّواحق فثلاثة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الإقرار بما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مؤجّلة، أو من ثمن خمرٍ، أو مبيعٍ لم أقبضه، أو ابتعتُ بخيارٍ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منهم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الغريم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بالإقرار يلزمه المائة،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ينكر الغريم الأجل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أنكره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وصف التأجيل منفصلاً عن الكلام المتقدّم، ولو بسكوتٍ طويلٍ‌، فلا خلاف بينهم في أنّ الدَّين حالّ‌، وقول الغريم مقدّمٌ‌، لأنّ دعوى التأجيل دعوى </w:t>
      </w:r>
    </w:p>
    <w:p>
      <w:pPr>
        <w:pStyle w:val="BookText"/>
        <w:rPr/>
      </w:pPr>
      <w:r>
        <w:rPr>
          <w:rFonts w:ascii="Amiri" w:hAnsi="Amiri" w:eastAsia="Amiri" w:cs="Amiri"/>
          <w:color w:val="111111"/>
          <w:sz w:val="28"/>
          <w:sz w:val="28"/>
          <w:szCs w:val="28"/>
          <w:rtl w:val="true"/>
          <w:lang w:bidi="ar-SA"/>
        </w:rPr>
        <w:t>أُخرى‌، والمدين مدّعٍ فيها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وصله به، فظاهر العبارة وكذا عبارة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أنّه كذلك، وهو المحكيّ عن صريح الشيخ</w:t>
      </w:r>
      <w:r>
        <w:rPr>
          <w:rStyle w:val="FootnoteAnchor"/>
          <w:rtl w:val="true"/>
        </w:rPr>
        <w:footnoteReference w:id="275"/>
      </w:r>
      <w:r>
        <w:rPr>
          <w:rFonts w:ascii="Amiri" w:hAnsi="Amiri" w:eastAsia="Amiri" w:cs="Amiri"/>
          <w:color w:val="111111"/>
          <w:sz w:val="28"/>
          <w:sz w:val="28"/>
          <w:szCs w:val="28"/>
          <w:rtl w:val="true"/>
          <w:lang w:bidi="ar-SA"/>
        </w:rPr>
        <w:t>والقاضي</w:t>
      </w:r>
      <w:r>
        <w:rPr>
          <w:rStyle w:val="FootnoteAnchor"/>
          <w:rtl w:val="true"/>
        </w:rPr>
        <w:footnoteReference w:id="276"/>
      </w:r>
      <w:r>
        <w:rPr>
          <w:rFonts w:ascii="Amiri" w:hAnsi="Amiri" w:eastAsia="Amiri" w:cs="Amiri"/>
          <w:color w:val="111111"/>
          <w:sz w:val="28"/>
          <w:sz w:val="28"/>
          <w:szCs w:val="28"/>
          <w:rtl w:val="true"/>
          <w:lang w:bidi="ar-SA"/>
        </w:rPr>
        <w:t>، وعلّلوه بأنّ دعوى الأجل زائدة عن أصل الإقرار، فلا تسمع، كما لو أقرَّ بالمال ثمّ ادّعى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المتأخّرين</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يقبل قوله، ويقدّم على قول غريمه، فلا يكون الدَّين حالّاً، وهو الأظهر، لما مرّ من أنّ الإقرار إنّما هو بلحاظ ظهور الكلام، ومعلوم أنّه لا ينعقد للكلام ظهورٌ ما دام المتكلّم مشغولاً به، وله أنْ يلحق بكلامه ما شاء من 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المقرّ به بحسب ظهور الكلام، هو الدَّين المؤجّل، فلا تثبت به الحصّة الاُخرى من الدَّين، أي الدَّين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إنّه لولا قبول ذلك منه، لأدّى إلى إنسداد باب الإقرار بالحقّ المؤجّل، وأيضاً إذا كان على الإنسان دَينٌ مؤجّل، وأراد التخلّص، فإنْ لم يُسمع منه لزم الإضرار به، وربما كان الأجل طويلاً بحيث إذا علم عدم قبوله منه، لا يقرّ بأصل الحقّ‌، خوفاً من إلزامه حالّاً والإضرار، فيؤدّي تركه إلى الإضرار بالحقّ‌، وهذا غير موافق للحكمة الإلهيّة، وللصحيح الدالّ على أنّ أمير المؤمنين عليه السلام كان لا يأخذ بأوّل الكلام دون آخره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منفصلاً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ثمن خمرٍ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محترمة أو 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يقبل منه الثاني، ويثبت عليه المال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ووجهه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لو وصل القول المنفصل بكلامه الأوّل، فالمشهور بينهم أيضاً ذلك،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باقتضاء ذلك سقوط الأوّل، لعدم صلاحيّة الخمر وكذا الخنزير مبيعاً يستحقّ به الثمن في شرع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يتمّ مع عدم احتمال الجهل بذلك في حقّ المقرّ، وأمّا مع احتماله فلا، لأنّ الإقرار مبنيٌّ على اليقين، فكلّما لم يتيقّن لم يُلزم بشيء، ولا يخرج عنه بالظنّ وغيره، ويسمع فيه الاحتمال وإنْ كان نادراً كما أفاده المحقّق الأردبيلي رحمه الله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صَحّ ذلك لانسدّ باب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إنْ لم يكن له منشأ عقلائي لا يُعتنى به، ولا يلزم منه ماذكر، وإنْ كان له ذلك لا يلزم منه انسداد باب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مبيع لم أقبضه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وغيرها</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يقبل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المصنّف رحمه الله</w:t>
      </w:r>
      <w:r>
        <w:rPr>
          <w:rStyle w:val="FootnoteAnchor"/>
          <w:rtl w:val="true"/>
        </w:rPr>
        <w:footnoteReference w:id="288"/>
      </w:r>
      <w:r>
        <w:rPr>
          <w:rFonts w:ascii="Amiri" w:hAnsi="Amiri" w:eastAsia="Amiri" w:cs="Amiri"/>
          <w:color w:val="111111"/>
          <w:sz w:val="28"/>
          <w:sz w:val="28"/>
          <w:szCs w:val="28"/>
          <w:rtl w:val="true"/>
          <w:lang w:bidi="ar-SA"/>
        </w:rPr>
        <w:t>، والمحقّق</w:t>
      </w:r>
      <w:r>
        <w:rPr>
          <w:rStyle w:val="FootnoteAnchor"/>
          <w:rtl w:val="true"/>
        </w:rPr>
        <w:footnoteReference w:id="289"/>
      </w:r>
      <w:r>
        <w:rPr>
          <w:rFonts w:ascii="Amiri" w:hAnsi="Amiri" w:eastAsia="Amiri" w:cs="Amiri"/>
          <w:color w:val="111111"/>
          <w:sz w:val="28"/>
          <w:sz w:val="28"/>
          <w:szCs w:val="28"/>
          <w:rtl w:val="true"/>
          <w:lang w:bidi="ar-SA"/>
        </w:rPr>
        <w:t>، والشهيد</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يقدّم قول الغريم، وهو المحكيّ عن يحيى بن سعيد</w:t>
      </w:r>
      <w:r>
        <w:rPr>
          <w:rStyle w:val="FootnoteAnchor"/>
          <w:rtl w:val="true"/>
        </w:rPr>
        <w:footnoteReference w:id="291"/>
      </w:r>
      <w:r>
        <w:rPr>
          <w:rFonts w:ascii="Amiri" w:hAnsi="Amiri" w:eastAsia="Amiri" w:cs="Amiri"/>
          <w:color w:val="111111"/>
          <w:sz w:val="28"/>
          <w:sz w:val="28"/>
          <w:szCs w:val="28"/>
          <w:rtl w:val="true"/>
          <w:lang w:bidi="ar-SA"/>
        </w:rPr>
        <w:t>والحِلّي</w:t>
      </w:r>
      <w:r>
        <w:rPr>
          <w:rStyle w:val="FootnoteAnchor"/>
          <w:rtl w:val="true"/>
        </w:rPr>
        <w:footnoteReference w:id="292"/>
      </w:r>
      <w:r>
        <w:rPr>
          <w:rFonts w:ascii="Amiri" w:hAnsi="Amiri" w:eastAsia="Amiri" w:cs="Amiri"/>
          <w:color w:val="111111"/>
          <w:sz w:val="28"/>
          <w:sz w:val="28"/>
          <w:szCs w:val="28"/>
          <w:rtl w:val="true"/>
          <w:lang w:bidi="ar-SA"/>
        </w:rPr>
        <w:t>، وعن غير واحدٍ من المتأخّرين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بمنافاة الثاني للأوّل، وقد ظهر ضعفه ممّا قدّمناه، ومنه يظهر أقوائيّة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انفصل صَحّ ما ذكر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عليَّ مائة من مبيعٍ ابتعتُ بخيار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بالمائة، للتنافي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مقتضى الأوّل ثبوت الثمن في الذمّة، ووجوب أدائه إليه في جميع الأحوال، ومقتضى الثاني عدم استقراره فيها، لجواز الفسخ، وعدم وجوب أدائه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لا ينافي الأوّل، بل يبيّن كيفيّته، إذ لا منافاة بين ثبوته في الذمّة غير مستقرّ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فحيثُ أنّ المدار في باب الإقرار على الظهور العرفي، ولا ينعقد للكلام ظهورٌ مادام للمتكلّم أن يلحق بكلامه ما شاء من اللّواحق، فالأظهر قبول قوله، كما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23" w:name="pg11823_118752"/>
    </w:p>
    <w:p>
      <w:pPr>
        <w:pStyle w:val="BookText"/>
        <w:rPr/>
      </w:pPr>
      <w:bookmarkEnd w:id="123"/>
      <w:r>
        <w:rPr>
          <w:rFonts w:ascii="Amiri" w:hAnsi="Amiri" w:eastAsia="Amiri" w:cs="Amiri"/>
          <w:color w:val="111111"/>
          <w:sz w:val="28"/>
          <w:sz w:val="28"/>
          <w:szCs w:val="28"/>
          <w:rtl w:val="true"/>
          <w:lang w:bidi="ar-SA"/>
        </w:rPr>
        <w:t>ويُحكم بما بعد الاستثناء</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 والقاضي</w:t>
      </w:r>
      <w:r>
        <w:rPr>
          <w:rStyle w:val="FootnoteAnchor"/>
          <w:rtl w:val="true"/>
        </w:rPr>
        <w:footnoteReference w:id="2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والمحقّق الأردبيلي</w:t>
      </w:r>
      <w:r>
        <w:rPr>
          <w:rStyle w:val="FootnoteAnchor"/>
          <w:rtl w:val="true"/>
        </w:rPr>
        <w:footnoteReference w:id="300"/>
      </w:r>
      <w:r>
        <w:rPr>
          <w:rFonts w:ascii="Amiri" w:hAnsi="Amiri" w:eastAsia="Amiri" w:cs="Amiri"/>
          <w:color w:val="111111"/>
          <w:sz w:val="28"/>
          <w:sz w:val="28"/>
          <w:szCs w:val="28"/>
          <w:rtl w:val="true"/>
          <w:lang w:bidi="ar-SA"/>
        </w:rPr>
        <w:t>وغيرهم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1006674_73709187"/>
      <w:bookmarkStart w:id="125" w:name="_Toc42"/>
      <w:bookmarkEnd w:id="124"/>
      <w:r>
        <w:rPr>
          <w:rtl w:val="true"/>
        </w:rPr>
        <w:t>الاستثناء المتعقّب للإقرار</w:t>
      </w:r>
      <w:bookmarkEnd w:id="125"/>
    </w:p>
    <w:p>
      <w:pPr>
        <w:pStyle w:val="BookText"/>
        <w:rPr/>
      </w:pPr>
      <w:r>
        <w:rPr>
          <w:rFonts w:ascii="Amiri" w:hAnsi="Amiri" w:eastAsia="Amiri" w:cs="Amiri"/>
          <w:color w:val="111111"/>
          <w:sz w:val="28"/>
          <w:sz w:val="28"/>
          <w:szCs w:val="28"/>
          <w:rtl w:val="true"/>
          <w:lang w:bidi="ar-SA"/>
        </w:rPr>
        <w:t>الملحق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الاستثناء المتعقّب للإقرار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عندنا في جريان الاستثناء في الإقرار،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بما بعد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عندنا الاتّصال العادي، بأنْ يصحّ في الاستعمال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والحِلّي</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تجويزه إلى شهرٍ، وحملاه على قبول خبره إلى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فقواعده وإنْ كانت كثيرة، إلّاأنّه تعارف بينهم ذكر قواعد ثلاث في هذا المقام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المتّصل والمنفصل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الاستثناء من الإثبات نفيٌ‌، ومن النفي إثباتٌ‌،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الأوّل موضع وفاق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ناقش فيه بعضهم نظراً إلى أنّ بين الإثبات والنفي واسطة، فلا يلزم من انتفاء النفي إثبات الإثبات لجواز التوقّف، وينتقض ذلك بالاستثناء من الإثبات، وتمام الكلام فيه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جواز الاستثناء من الجنس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غير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والمنقطع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 وقوعه في الكتاب وفصيح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فَسَجَدُوا إِلاّ إِبْلِيسَ كانَ مِنَ اَلْجِنِّ‌</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فِيها لَغْواً وَ لا تَأْثِيماً إِلاّ قِيلاً سَلاماً سَلاماً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ويَسقطُ بقدر قيمة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تلكم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حينئذٍ على وجه الحقيقة أو المجاز؟ فيه خلافٌ‌، لا يهمّنا في المقام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مرادهم من الجنس كون المستثنى داخلاً في المستثنى منه لولا الاستثناء، ومن غيره عدم دخوله، وبذلك اندفع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الاستثناء المنقطع على كونه من غير الجنس لا يخلو من مناقشة مشهورة، لأنّ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بنوك إلّابنو زيد منقطعٌ‌، مع أنّ الاستثناء من الجنس</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قيمة المنفصل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 درهم إلّاثوباً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يسقط بمقدار قيمة الثوب عن الألف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المحقّقون من الاُصوليّين والأكثر إلى أنّه يصحّ الاستثناء إذا بقى بقيّة قلّت أو كثُرت،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وذهب جماعة إلى اعتبار أنْ يكون الباقي من المستثنى منه أكثر 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أنّه يصحّ مطلقاً، وإنّما يستهجن استثناء الأكثر، وهذا لا يضرّ بالحمل عليه في باب الإقرار كما مرّ، وإنّما لا يفعل ذلك في كلام الشارع الأقدس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يندفع الإيراد على الاُصوليّين بأنّهم ذكروا في المقام أنّ الاستثناء يصحّ وإنْ كان الباقي قليلاً، وفي الاُصول بنوا على عدم صحّة استثناء الأكثر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إلّاثلاثة إلّاثلاثة، لزمه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بطلانُ الاستثناء في درهمٍ ودرهمٍ إلّادرهماً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يتفرّع على القاعدة الأُولى، أنّه إذا ذكر استثنائان، وكان الثاني بقدر الأوّل، رجعا جميعاً إلى المستثنى منه،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إلّاثلاثة إلّا ثلاثة، لزمه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في صورة تعدّد الاستثناء إذا كان متعاطفاً، أو كان الثاني مستغرقاً لما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زاد عليه أو ساواه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الجميع إلى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يحصل بالاستثناء المتعدّد استغراق المستثنى منه، وإلّا بطل ما يحصل به الاستغراق، كما لو قال في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عشرة إلّاثلاثة إلّاسبعة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فيبطل استثناء سبعة، وتثبت تلك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بطلان الاستثناء في درهم ودرهم إلّادرهماً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المختار عند جماعةٍ من المحقّقين رحمهم الله أنّ الاستثناء الواقع بعد جملٍ متعدّدة، يرجع إلى الجملة الأخيرة، وعليه فالا ستثناء مستغرقٌ فيكون باطلاً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 بأنّ الاستثناء الواقع بعد جُملٍ متعدّدة يرجعُ إلى الجميع، فهل يصحّ الاستثناء في المثال، ويثبت درهمٌ واحد، لأنّه حينئذٍ في قوّة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درهمان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أم يبطل أيضاً كما عن الشيخ</w:t>
      </w:r>
      <w:r>
        <w:rPr>
          <w:rStyle w:val="FootnoteAnchor"/>
          <w:rtl w:val="true"/>
        </w:rPr>
        <w:footnoteReference w:id="311"/>
      </w:r>
      <w:r>
        <w:rPr>
          <w:rFonts w:ascii="Amiri" w:hAnsi="Amiri" w:eastAsia="Amiri" w:cs="Amiri"/>
          <w:color w:val="111111"/>
          <w:sz w:val="28"/>
          <w:sz w:val="28"/>
          <w:szCs w:val="28"/>
          <w:rtl w:val="true"/>
          <w:lang w:bidi="ar-SA"/>
        </w:rPr>
        <w:t>، والحِلّي</w:t>
      </w:r>
      <w:r>
        <w:rPr>
          <w:rStyle w:val="FootnoteAnchor"/>
          <w:rtl w:val="true"/>
        </w:rPr>
        <w:footnoteReference w:id="312"/>
      </w:r>
      <w:r>
        <w:rPr>
          <w:rFonts w:ascii="Amiri" w:hAnsi="Amiri" w:eastAsia="Amiri" w:cs="Amiri"/>
          <w:color w:val="111111"/>
          <w:sz w:val="28"/>
          <w:sz w:val="28"/>
          <w:szCs w:val="28"/>
          <w:rtl w:val="true"/>
          <w:lang w:bidi="ar-SA"/>
        </w:rPr>
        <w:t>، والمصنّفً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إلّاخمسة إلّاثلاثة، لزمه ثمانية، ولوقال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ينقصُ واحداً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وغيره</w:t>
      </w:r>
      <w:r>
        <w:rPr>
          <w:rStyle w:val="FootnoteAnchor"/>
          <w:rtl w:val="true"/>
        </w:rPr>
        <w:footnoteReference w:id="313"/>
      </w:r>
      <w:r>
        <w:rPr>
          <w:rFonts w:ascii="Amiri" w:hAnsi="Amiri" w:eastAsia="Amiri" w:cs="Amiri"/>
          <w:color w:val="111111"/>
          <w:sz w:val="28"/>
          <w:sz w:val="28"/>
          <w:szCs w:val="28"/>
          <w:rtl w:val="true"/>
          <w:lang w:bidi="ar-SA"/>
        </w:rPr>
        <w:t>، وجماعة</w:t>
      </w:r>
      <w:r>
        <w:rPr>
          <w:rStyle w:val="FootnoteAnchor"/>
          <w:rtl w:val="true"/>
        </w:rPr>
        <w:footnoteReference w:id="314"/>
      </w:r>
      <w:r>
        <w:rPr>
          <w:rFonts w:ascii="Amiri" w:hAnsi="Amiri" w:eastAsia="Amiri" w:cs="Amiri"/>
          <w:color w:val="111111"/>
          <w:sz w:val="28"/>
          <w:sz w:val="28"/>
          <w:szCs w:val="28"/>
          <w:rtl w:val="true"/>
          <w:lang w:bidi="ar-SA"/>
        </w:rPr>
        <w:t>من جهة استلزام صحّة الاستثناء حينئذٍ التناقض والرجوع عن الاعتراف، لورود الإقرار على الدرهم بلفظٍ يفيد النصوصيّة، فلم يصحّ إخراج أحدهما بعد أن نصّ على ثبوته‌؟</w:t>
      </w:r>
    </w:p>
    <w:p>
      <w:pPr>
        <w:pStyle w:val="BookText"/>
        <w:rPr/>
      </w:pPr>
      <w:r>
        <w:rPr>
          <w:rFonts w:ascii="Amiri" w:hAnsi="Amiri" w:eastAsia="Amiri" w:cs="Amiri"/>
          <w:color w:val="111111"/>
          <w:sz w:val="28"/>
          <w:sz w:val="28"/>
          <w:szCs w:val="28"/>
          <w:rtl w:val="true"/>
          <w:lang w:bidi="ar-SA"/>
        </w:rPr>
        <w:t>وجهان، أظهرهما الأوّل، وذلك يظهر بعد ملاحظة أنّه لا خلاف ولا إشكال في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درهمٌ إلّانصفه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صحيحاً، ولعلّ سرّه أنّ التجوّز عن نصف درهمٍ نصفه، ونصفا درهم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 بصحّة الاستثناء حتّى على المسلك الأوّل، لأنّ رجوع الاستثناء إلى الجملة الأخيرة خاصّة دون الجميع، إنّما هو فيما إذا لم يستغرق، وأمّا معه فيجب العود إلى الجميع، فيجرى فيه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متفرّعات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إلّاخمسة إلّاثلاثة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الاستثناء الثاني غير معطوفٍ على الأوّل، وكان أقلّ من سابقه، فإنّه حينئذٍ يعود إلى متلوّه لا إلى المستثنى منه، ففي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ينقصُ واحداً لم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يُلزم بدفع العشرة على المشهور، واستدلّوا 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رجوعٌ عن الإقرار، وذكروا في وجه الفرق بينه وبين الاستثناء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26" w:name="pg11823_118757"/>
    </w:p>
    <w:p>
      <w:pPr>
        <w:pStyle w:val="BookText"/>
        <w:rPr/>
      </w:pPr>
      <w:bookmarkEnd w:id="126"/>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لفلان، بل لفلان، كان للأوّل، وغَرُم للثاني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 الاتّفاق على قبوله، لوقوعه في فصيح الكلام بخلاف غيره من الألفاظ المتضمّنة للرجوع عن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ينقص في المثال جملة أُخرى منفصلة عمّا سبقها، فيكون كالمنافي لها فلا يسمع، وهذا بخلاف الاستثناء، فإنّه مع المستثنى منه يعدّان جملة واحدة، يكون الاستثناء جزءً منها لا يمكن فصله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الاستثناء ليس للإجماع، بل من جهة أنّ الاستثناء من الإثبات نفيٌ‌، ولازم ذلك ظهور مجموع الكلام الملقى في كونه إقراراً بغير ما أخرجه به، وهذا يجري في المثال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بكون الجملتين واحدة أم متعدّدة، بل الميزان في باب الإقرار هو الظهور العرفي، ومن المعلوم أنّه لا ينعقد للكلام ظهورٌ ما دام كونه مشغولاً به، وله أنْ يذكر القرينة الصارفة ولو كانت بجملة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أنّه يقبل مع الاتّصال، ويلزمه التسعة، وعن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ذلك قويّ‌، لأنّ الكلام إنّما يتمّ بآخره</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1006676_73709187"/>
      <w:bookmarkStart w:id="128" w:name="_Toc43"/>
      <w:bookmarkEnd w:id="127"/>
      <w:r>
        <w:rPr>
          <w:rtl w:val="true"/>
        </w:rPr>
        <w:t>جملة من فروع الإقرار</w:t>
      </w:r>
      <w:bookmarkEnd w:id="128"/>
    </w:p>
    <w:p>
      <w:pPr>
        <w:pStyle w:val="BookText"/>
        <w:rPr/>
      </w:pPr>
      <w:r>
        <w:rPr>
          <w:rFonts w:ascii="Amiri" w:hAnsi="Amiri" w:eastAsia="Amiri" w:cs="Amiri"/>
          <w:color w:val="111111"/>
          <w:sz w:val="28"/>
          <w:sz w:val="28"/>
          <w:szCs w:val="28"/>
          <w:rtl w:val="true"/>
          <w:lang w:bidi="ar-SA"/>
        </w:rPr>
        <w:t>الملحق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فروع الإقرار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لفلانٍ بل لفلان، كان للأوّل، وغَرُم للثاني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صار لمن أقرَّ له أوّلاً، فبإقراره أتلف على الثاني ماله الذي أقرَّ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استدلّ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ويرجعُ في النقد والوزن والكيل إلى عادة البلد، ومع التعدّد إلى تفسيره، ولو أقرَّ بالمظروف لم يدخل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قفيزُ حنطةٍ‌، بل قفيزُ شعيرٍ، لزمه قفيزان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بما أنّ بل للاضراب، وأنّ الإنسان قد يسهو وقد يغلط فيستدرك بأداة بل، فالأظهر كونه للثاني خاصّة، لعدم انعقاد الظهور التامّ لإقراره للأوّل مادام كونه مشغولاً بالكلام، وبعد ذكر بل التي هي قرينة على الاشتباه والخطأ، فلا يصدّق على ما ذكره أوّلاً الإقرار بكونه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في النقد والوزن والكيل إلى عادة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الألفاظ في الإقرار تُحمل على ما يفهم منها بحسب المتفاهم العرفي في المحاورات، وليس إلّا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ولو تعذّر الرجوع إليه حُمل على الأقلّ لأنّه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أقرَّ بالمظروف لم يدخل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بالمتيقّن، فلو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لزيدٍ عندي ثوبٌ في 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 في 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حنطةٍ في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لم يكن إقراراً بالظروف المذكورة، لاحتمال أنْ يكون مراده في منديلٍ وجرّةٍوسفينةٍ لي، وكذا العكس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عندي غَمدٌ فيه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إقراراً بالظرف دون المظروف</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قفيز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قفيز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 قفيزان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ويجري فيه ما ذكرناه في الفرع الأوّل، وعليه فلا يلزمه إلّا قفيزُ شعيرٍ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قفيزُ حنطةٍ‌، بل قفيزان، لزمه اثنان، بل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فله عليَّ ألفٍ أو بالعكس، لزمه،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قفيزُ حنطةٍ‌، بل قفيزان، لزمه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بينهم، بل ولا إشكال على ما مرّ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ذكروه في الفرعين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الاضراب، فغاية ما يمكن أن يستدلّ به لهم ظهور اللّفظ في إرادة دخول الأقلّ في الأكثر، وهو وإنْ كان تامّاً إلّاأنّ لازمه البناء في الفرعين السابقين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فله عليَّ ألف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أخّر الشرط،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 إذا جاء رأس الشهر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المذكور، أمّا لزوم الألف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الإقرار لا يختصّ باخبار ثبوت حقّ عليه في السابق، فواضح بعد ما عرفت من أنّ التعليق لا يضرّ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علم من قصده، وعرف من كلامه إرادة وجود السبب الفعلي للاستحقاق له بعد مجيء رأس الشهر، بأنْ نذر له مثلاً، صدق عليه الإقرار، وشمله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منه أنّه يخبر عن تحقّق السبب في ذلك الوقت، بأنْ يكون بانياً على النذر له بذلك، فهو وعدٌ لا إقرار، فلا يشمله حكمه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أطلق ولم يُعلم أحدهما، فيقبل قوله فيه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 إنْ قَدِم زيدٌ، ولو أبهم الجمعُ حُمل على أقلّه،</w:t>
      </w:r>
    </w:p>
    <w:p>
      <w:pPr>
        <w:pStyle w:val="BookText"/>
        <w:rPr/>
      </w:pPr>
      <w:r>
        <w:rPr>
          <w:rFonts w:ascii="Amiri" w:hAnsi="Amiri" w:eastAsia="Amiri" w:cs="Amiri"/>
          <w:color w:val="111111"/>
          <w:sz w:val="28"/>
          <w:sz w:val="28"/>
          <w:szCs w:val="28"/>
          <w:rtl w:val="true"/>
          <w:lang w:bidi="ar-SA"/>
        </w:rPr>
        <w:t>وأمّاعدم الفرق بين تقديم الشرط و تأخيره، فهوالمشهور بين الأصحاب، ووجهه أنّه لا فرق بينهما في العرف واللّغة، وأنّ الشرط وإنْ تأخّر لفظاً، فهو متقدّم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من الفرق بينهما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ظهر ممّا ذكرناه ضعف 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وغيرها</w:t>
      </w:r>
      <w:r>
        <w:rPr>
          <w:rStyle w:val="FootnoteAnchor"/>
          <w:rtl w:val="true"/>
        </w:rPr>
        <w:footnoteReference w:id="317"/>
      </w:r>
      <w:r>
        <w:rPr>
          <w:rFonts w:ascii="Amiri" w:hAnsi="Amiri" w:eastAsia="Amiri" w:cs="Amiri"/>
          <w:color w:val="111111"/>
          <w:sz w:val="28"/>
          <w:sz w:val="28"/>
          <w:szCs w:val="28"/>
          <w:rtl w:val="true"/>
          <w:lang w:bidi="ar-SA"/>
        </w:rPr>
        <w:t>، والشهيد</w:t>
      </w:r>
      <w:r>
        <w:rPr>
          <w:rStyle w:val="FootnoteAnchor"/>
          <w:rtl w:val="true"/>
        </w:rPr>
        <w:footnoteReference w:id="318"/>
      </w:r>
      <w:r>
        <w:rPr>
          <w:rFonts w:ascii="Amiri" w:hAnsi="Amiri" w:eastAsia="Amiri" w:cs="Amiri"/>
          <w:color w:val="111111"/>
          <w:sz w:val="28"/>
          <w:sz w:val="28"/>
          <w:szCs w:val="28"/>
          <w:rtl w:val="true"/>
          <w:lang w:bidi="ar-SA"/>
        </w:rPr>
        <w:t>، والكركي</w:t>
      </w:r>
      <w:r>
        <w:rPr>
          <w:rStyle w:val="FootnoteAnchor"/>
          <w:rtl w:val="true"/>
        </w:rPr>
        <w:footnoteReference w:id="319"/>
      </w:r>
      <w:r>
        <w:rPr>
          <w:rFonts w:ascii="Amiri" w:hAnsi="Amiri" w:eastAsia="Amiri" w:cs="Amiri"/>
          <w:color w:val="111111"/>
          <w:sz w:val="28"/>
          <w:sz w:val="28"/>
          <w:szCs w:val="28"/>
          <w:rtl w:val="true"/>
          <w:lang w:bidi="ar-SA"/>
        </w:rPr>
        <w:t>وغيرهم</w:t>
      </w:r>
      <w:r>
        <w:rPr>
          <w:rStyle w:val="FootnoteAnchor"/>
          <w:rtl w:val="true"/>
        </w:rPr>
        <w:footnoteReference w:id="320"/>
      </w:r>
      <w:r>
        <w:rPr>
          <w:rFonts w:ascii="Amiri" w:hAnsi="Amiri" w:eastAsia="Amiri" w:cs="Amiri"/>
          <w:color w:val="111111"/>
          <w:sz w:val="28"/>
          <w:sz w:val="28"/>
          <w:szCs w:val="28"/>
          <w:rtl w:val="true"/>
          <w:lang w:bidi="ar-SA"/>
        </w:rPr>
        <w:t>من ابتناء المسألة على ظهور اللّفظ في كونه تعليقاً أو تأجيلاً، فعلى الأوّل يبطل، وعلى الثاني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أنّه لا فرق بين التعليق على رأس الشهر، أو قدوم زيد مثلاً، ولم يخالفهم أحد إلّاالمصنّف رحمه الله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إنْ قَدِم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لأنّ التعليق على قدوم زيد صريحٌ في التعليق، بخلاف التعليق على مجيء رأس الشهر، فإنّه ظاهرٌ في التأجيل، ولا أقلّ من احتماله، وهو كما ترى‌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اُبهم الجمع حُمل على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القدر المتيقّن الثابت، وفي الزائد عليه يرجع إلى أصالة البراءة،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حُملت على الثلاثة بناءً على أنّها أقلّ 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أبهم المُقرّ له، أُلزم البيان، فإنْ عيّن قُبل، ولو ادّعاه الآخر كانا خصمين، ولهما اليمين على عدم العلم، ولو أُبهم المقرّ به ثمّ عَيّن، فإنْ أنكره المقرّ له، انتزعه الحاكم،</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أنّ القوم قد اختلفوا في أنّ أقلّ الجمع هو الثلاثة أو الاثنان، ويحتمل أنْ يكون المقرّ ممّن يرى كونه اثنين، فتُقبل دعواه، فإنّه المتيقّن الثابت، والزائد مشكوكٌ فيه يرتفع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أبهم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لأحدِ هذين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منه، إذ كما يُسمع الإقرار بالمجهول، كذلك يُسمع الإقرار للمجهول،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بالبيان، فإنْ عيّن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مرّ في الركن الرابع، فإنّه حينئذٍ ذو يدٍ، ولو للأصل، وينفذ إقراره،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ادّعاه الآخر كانا خصمين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من أقرَّ بها له ذو يدٍ، فيكون داخلاً والآخر خارجاً، فيترتّب عليهما حكم دعوى الداخل والخارج الآتي في كتاب القضاء مفصّلاً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الآخر، علم المقرّ بأنّها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اليمين على عدم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ادّعى لأنّه لو أقرَّ له تبعه بالغُرم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أبهم المقرّ به ثمّ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كما عرفت مفصّلاً، وحينئذٍ يجب أن نلاحظ الحالة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أنكره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انتزعه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المقرّ إلى أن يظهر مالكه، لأنّه وليُّ من لا وليّ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29" w:name="pg11823_118762"/>
    </w:p>
    <w:p>
      <w:pPr>
        <w:pStyle w:val="BookText"/>
        <w:rPr/>
      </w:pPr>
      <w:bookmarkEnd w:id="129"/>
      <w:r>
        <w:rPr>
          <w:rFonts w:ascii="Amiri" w:hAnsi="Amiri" w:eastAsia="Amiri" w:cs="Amiri"/>
          <w:color w:val="111111"/>
          <w:sz w:val="28"/>
          <w:sz w:val="28"/>
          <w:szCs w:val="28"/>
          <w:rtl w:val="true"/>
          <w:lang w:bidi="ar-SA"/>
        </w:rPr>
        <w:t>وأقرّه في يده بعد يمينه، ولو أنكر المقرّ له بالعبد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المواطاة على الإشهاد، كان له الإحلاف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الإقرار بالولد إمكان البنوّة، والجهالة، وعدم المنازع،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وأقرَّه في يده بعد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مكلّفٌ بإيصاله إلى مالكه بدسٍّ ونحوه، وبالحلف تسقط دعوى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أنكر المقرّ له بالعبد، قال الشيخ رحمه الله</w:t>
      </w:r>
      <w:r>
        <w:rPr>
          <w:rStyle w:val="FootnoteAnchor"/>
          <w:rtl w:val="true"/>
        </w:rPr>
        <w:footnoteReference w:id="322"/>
      </w:r>
      <w:r>
        <w:rPr>
          <w:rFonts w:ascii="Amiri" w:hAnsi="Amiri" w:eastAsia="Amiri" w:cs="Amiri"/>
          <w:color w:val="111111"/>
          <w:sz w:val="28"/>
          <w:sz w:val="28"/>
          <w:szCs w:val="28"/>
          <w:rtl w:val="true"/>
          <w:lang w:bidi="ar-SA"/>
        </w:rPr>
        <w:t>يُعتق،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المواطاة على الإشهاد، كان له الإحلاف</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1006678_73709187"/>
      <w:bookmarkStart w:id="131" w:name="_Toc44"/>
      <w:bookmarkEnd w:id="130"/>
      <w:r>
        <w:rPr>
          <w:rtl w:val="true"/>
        </w:rPr>
        <w:t>الإقرار بالولد</w:t>
      </w:r>
      <w:bookmarkEnd w:id="1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البحث عن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الإقرار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اعتباره، اُمورٌ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البنوّة، والجهالة، وعدم المنازع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تلكم، وإنْ اختلفت تعبيرات القوم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الواردة في ثبوت النسب بالإقرار، وإنْ هي مطلقة، لاحظ</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السكوني، عن جعفر عليه السلام، عن أبيه عليه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الرّجل بالولد ساعة لم ينف عنه أبداً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يُشترط تصديق الصغير، ولا يُلتفت إلى إنكاره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الكبير،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الرحمن 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تُسبى من أرضها ومعها الولد الصغير،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والرّجل يُسبى فيلقى أخاه،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أخي، وليس لهم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جاءت بابنها أو ابنتها ولم تزل مقرّة، وإذا أخاه وكان ذلك في صحّة منهما، ولم يزالا مقرّين، ورث بعضهم من بعض</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القيدين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مدرك اعتبارهما مع عدم الإمكان أو المعلوميّة تكون مخالفة الإقرار للواقع معلومة، فلا يكون مثبتاً، لأنّ طريق الإثبات إنّما يكون طريقاً مع احتمال المصادفة، وأمّا مع القطع بالخلاف فلا مورد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كان هناك مدّعٍ آخر، فلا محالة يتعارض الإقراران، فيتعين الرجوع إلى القرعة، إنْ لم يكن لأحدهما بيّنة، والنصوص</w:t>
      </w:r>
      <w:r>
        <w:rPr>
          <w:rStyle w:val="FootnoteAnchor"/>
          <w:rtl w:val="true"/>
        </w:rPr>
        <w:footnoteReference w:id="325"/>
      </w:r>
      <w:r>
        <w:rPr>
          <w:rFonts w:ascii="Amiri" w:hAnsi="Amiri" w:eastAsia="Amiri" w:cs="Amiri"/>
          <w:color w:val="111111"/>
          <w:sz w:val="28"/>
          <w:sz w:val="28"/>
          <w:szCs w:val="28"/>
          <w:rtl w:val="true"/>
          <w:lang w:bidi="ar-SA"/>
        </w:rPr>
        <w:t>الواردة في وطء الشركاء الأمَة المشتركة مع تداعيهم جميعاً في ولدها شاهدة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تصديق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يُلتفت إلى‌إنكاره بعدالبلوغ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النسب قبل البلوغ، ولاينتفي بإنكاره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وجميع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غير الولد، ومع تصديق غير الولد، ولا وارث يتوارثان،</w:t>
      </w:r>
    </w:p>
    <w:p>
      <w:pPr>
        <w:pStyle w:val="BookText"/>
        <w:rPr/>
      </w:pPr>
      <w:r>
        <w:rPr>
          <w:rFonts w:ascii="Amiri" w:hAnsi="Amiri" w:eastAsia="Amiri" w:cs="Amiri"/>
          <w:color w:val="111111"/>
          <w:sz w:val="28"/>
          <w:sz w:val="28"/>
          <w:szCs w:val="28"/>
          <w:rtl w:val="true"/>
          <w:lang w:bidi="ar-SA"/>
        </w:rPr>
        <w:t>تأخّر عنه</w:t>
      </w:r>
      <w:r>
        <w:rPr>
          <w:rStyle w:val="FootnoteAnchor"/>
          <w:rtl w:val="true"/>
        </w:rPr>
        <w:footnoteReference w:id="328"/>
      </w:r>
      <w:r>
        <w:rPr>
          <w:rFonts w:ascii="Amiri" w:hAnsi="Amiri" w:eastAsia="Amiri" w:cs="Amiri"/>
          <w:color w:val="111111"/>
          <w:sz w:val="28"/>
          <w:sz w:val="28"/>
          <w:szCs w:val="28"/>
          <w:rtl w:val="true"/>
          <w:lang w:bidi="ar-SA"/>
        </w:rPr>
        <w:t>، فإنّ ما دلّ على ثبوت البنوّة بالإقرار مختصٌّ بالولد الصغير، وفي الكبير لابدّ من الرجوع إلى عمومات الإقرار، وهي تقتضي ثبوت النسب من جهة المقرّ خاصّة، وأمّا من جهة الولد فهو إقرارٌ في حقّ الغير، ولا يكون جائزاً فيعتبر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تصديقه، إنّما يثبت بالإقرارين خصوص البنوّة والأبوّة دون حواشيهما، لكونهما من قبيل الإقرار في حقّ الغير، إلّاأنْ يكون قولهما واجداً لشرائط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يقتضي عدم ثبوت حواشي البنوّة والأبوّة كالجدودة والعمومة وما شا كل في الإقرار بالولد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خارج بالإجماع والنصوص الدالّة على ثبوت البنوّة بالإقرار التي من متفرّعاتها العناوين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الإقرار بالولد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اعتبار تصديق الآخر، وإلّا لزم نفوذ الإقرار في حقّ الغير، بلا دليل خاص دالّ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تصديق غير الولد ولا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وتشهد به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الأعرج،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حميلين جيء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يتعدّى التوارث إلى غيرهما، ولو كان له ورثة مشهورون لم يُقبل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الوارث بأولى منه، دفع ما في يده إليه،</w:t>
      </w:r>
    </w:p>
    <w:p>
      <w:pPr>
        <w:pStyle w:val="BookText"/>
        <w:rPr/>
      </w:pPr>
      <w:r>
        <w:rPr>
          <w:rFonts w:ascii="Amiri" w:hAnsi="Amiri" w:eastAsia="Amiri" w:cs="Amiri"/>
          <w:color w:val="111111"/>
          <w:sz w:val="28"/>
          <w:sz w:val="28"/>
          <w:szCs w:val="28"/>
          <w:rtl w:val="true"/>
          <w:lang w:bidi="ar-SA"/>
        </w:rPr>
        <w:t>بهما من أرض الشرك،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فعرفا بذلك ثمّ اُعتقا ومكثا مقرّين بالإخاء، ثمّ إنّ أحدهما مات‌؟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للأخ يصدقان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يتعدّى التوارث إلى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جواز الإقرار في حقّ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مشهورون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يُقبل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تصادقا، لأنّ الإرث ثابتٌ شرعاً للورثة المعروفين بنسبهم، فإقراره بوارثٍ آخر، وتصديقه له يقتضي منعهم عن جميع المال أو بعضه، فهو إقرارٌ على الغير، ولا يكون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الولد ممّا لا كلام فيه ولا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الولد صغيراً، فلا خلاف في قبوله فيه، وإطلاق النصوص وإجماع فقهاء الاُمّة شاهدان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الولد الكبير، ومنشأه الإجماع عليثبوت النَسَب مع التصادق، وأنّ منشأه دليلُ الإقرار غير الشامل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معقد الإجماع غير الفرض، والأظهر هو الثاني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الوارث بأولى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أقرَّ الأخ بولدٍ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ما في يده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لإقراره بأنّه أولى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مساوياً دفع بنسبة نصيبه من الأصل، ولو أقرّ باثنين فتناكرا، لم يلتفت إلى تناكرهما، ولو أقرّ بأولى منه ثمّ بأولى من المقرّ له، فإنْ صدّقه دفع إلى الثالث،</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الإقرار إنّما يثبت به عدم كون المال له، فما المُثبت لكونه للمقرّ 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مدركه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قاعدة عقلائيّة ومجمعٌ عليها، أو ما دلّ على أنّه يقبل إخبار ذي اليد عمّا تحت يده</w:t>
      </w:r>
      <w:r>
        <w:rPr>
          <w:rStyle w:val="FootnoteAnchor"/>
          <w:rtl w:val="true"/>
        </w:rPr>
        <w:footnoteReference w:id="330"/>
      </w:r>
      <w:r>
        <w:rPr>
          <w:rFonts w:ascii="Amiri" w:hAnsi="Amiri" w:eastAsia="Amiri" w:cs="Amiri"/>
          <w:color w:val="111111"/>
          <w:sz w:val="28"/>
          <w:sz w:val="28"/>
          <w:szCs w:val="28"/>
          <w:rtl w:val="true"/>
          <w:lang w:bidi="ar-SA"/>
        </w:rPr>
        <w:t>، أو أنّه إذا ادّعى المقرّ له المال، كانت دعواه من قبيل دعوى لا معارض لها، فيشملها ما دلّ على أنّها تُسمع</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الميراث، كما لو أقرَّ الابن بابنٍ آخر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بنسبة نصيبه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فتناكرا، لم يلتفت إلى تناكرهما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استحقاقهما للإرث إنّما ثبت في حالة واحدة، ونسبة السبب إليهما على حَدّ سواء، ويثبت لكلّ منهما بنسبة نصيبه من الأصل، وإنكار الآخر 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أقرَّ العمّ مثلاً بالأخ،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بأولى من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كالولد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له بالأوّل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المقرّان عدلين أم لم يكونا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إلى الثاني، ويُغرم للثالث،</w:t>
      </w:r>
    </w:p>
    <w:p>
      <w:pPr>
        <w:pStyle w:val="BookText"/>
        <w:rPr/>
      </w:pPr>
      <w:r>
        <w:rPr>
          <w:rFonts w:ascii="Amiri" w:hAnsi="Amiri" w:eastAsia="Amiri" w:cs="Amiri"/>
          <w:color w:val="111111"/>
          <w:sz w:val="28"/>
          <w:sz w:val="28"/>
          <w:szCs w:val="28"/>
          <w:rtl w:val="true"/>
          <w:lang w:bidi="ar-SA"/>
        </w:rPr>
        <w:t xml:space="preserve">نعم، إنْ كانا عدلين، يثبت بإقرارهما النَسَب، ويترتّب عليه جميع أحكامه ولوازمه وملازماته،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أكذب الأخ العمّ في كون المقرّ به ثانياً ولد الميّت، لم يدفع المال إلى الثالث قطعاً، فإنّ الثاني استحقّ المال بالإقرار الأوّل، ولا يقبل الإقرار الثاني في حقّه، لأنّه إقرارٌ في حقّ الغير، بل يدفع المال بمقتضى الإقرار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ما ذكروه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يُغرم للثالث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وذكروا في وجهه أنّه بالإقرار الثاني يجبُ عليه دفع المال إلى الثالث، ولكن بما أنّه أتلفه عليه قبل ذلك بالإقرار الأوّل، يصبح ضامناً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الإقرار الثاني وقع بعد تعلّق حقّ الغير به، فلا ينفذ فيه في نفس العين، لكن إنّ ذلك لما كان من جهة إقراره الأوّل، صار هو السبب للحيلولة، فيغرم للثالث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بحوث ينبغي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ذلك لابدّ وأن يقيّد بما إذا كان بعد دفع المال إلى الثاني، أو مع نفي الوارث غيره، وإلّا فلو أقرَّ باخوّة شخصٍ للميّت، ولم يدفع المال إليه، ثمّ أقرَّ بولديّة شخصٍ آخر، فلا تنافي بين الإقرارين، ولا يجبُ عليه إلّادفع المال إلى الثالث حينئذٍ، ووجهه واضح</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بوارثيّة شخصٍ‌، فقد خرج المال عن تحت تصرّفه سواءٌ دفع إليه المال أم لا، فالإقرار الثاني بكونه لشخصٍ آخر وأنّه الوارث دون الأوّل، </w:t>
      </w:r>
    </w:p>
    <w:p>
      <w:pPr>
        <w:pStyle w:val="BookText"/>
        <w:rPr/>
      </w:pPr>
      <w:r>
        <w:rPr>
          <w:rFonts w:ascii="Amiri" w:hAnsi="Amiri" w:eastAsia="Amiri" w:cs="Amiri"/>
          <w:color w:val="111111"/>
          <w:sz w:val="28"/>
          <w:sz w:val="28"/>
          <w:szCs w:val="28"/>
          <w:rtl w:val="true"/>
          <w:lang w:bidi="ar-SA"/>
        </w:rPr>
        <w:t>ولو أقرّ الولد بآخر، ثمّ أقرّا بثالثٍ‌، وأنكر</w:t>
      </w:r>
    </w:p>
    <w:p>
      <w:pPr>
        <w:pStyle w:val="BookText"/>
        <w:rPr/>
      </w:pPr>
      <w:r>
        <w:rPr>
          <w:rFonts w:ascii="Amiri" w:hAnsi="Amiri" w:eastAsia="Amiri" w:cs="Amiri"/>
          <w:color w:val="111111"/>
          <w:sz w:val="28"/>
          <w:sz w:val="28"/>
          <w:szCs w:val="28"/>
          <w:rtl w:val="true"/>
          <w:lang w:bidi="ar-SA"/>
        </w:rPr>
        <w:t>ليس إقراراً على نفسه، ولا فيما يملك التصرّف فيه، فما الوجه في ثبوت الحقّ للثالث ولزوم الغرامة‌؟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يختلج بالبال عاجلاً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وإنْكان يحتاج إلى تأمّل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بعد زوال ملك التصرّف، إنْ كان إقرارٌ بشيء في حال ملك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اختلاف الوليّ والمولى عليه بعد الكمال، حيث رجح قول الوليّ‌،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الأقوى على كلّ من يلزم فعله غيره يمضي إقراره بذلك الفعل عليه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ظاهر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حيث صرّح بعدم إرث الزوجة في مسألة إقرار المريض في حال مرضه بالطلاق في حال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أنّه لا مستند له سوى عموم نفوذ إقرار المقرّ على ما ملكه، ولو في الزمان الماضي، وعليه فمقتضى هذه القاعدة أنّه يمكن الإقرار بكون المال للثالث، وإذا ثبت ذلك حيث أنّه أتلفه عليه بإقراره الأوّل فهو الضامن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بالإقرار الثاني حيث أنّه إنّما يكون في حين ما تلف المال إنّما يقر باشتغال ذمّته ببدل المال، وهذا إقرارٌ على نفسه فيؤخذ 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الولد بآخر، ثم أقرَّا بثالثٍ‌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شاركهما في الإرث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الثاني، كان للثالث النصف، وللثاني السُّدس، ولو كانا معلومي النَسب لم يلتفت إلى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النَسَب بشهادة عدلين، لا برجلٍ وامرأتين، ولا برجلٍ ويمين،</w:t>
      </w:r>
    </w:p>
    <w:p>
      <w:pPr>
        <w:pStyle w:val="BookText"/>
        <w:rPr/>
      </w:pPr>
      <w:r>
        <w:rPr>
          <w:rFonts w:ascii="Amiri" w:hAnsi="Amiri" w:eastAsia="Amiri" w:cs="Amiri"/>
          <w:color w:val="111111"/>
          <w:sz w:val="28"/>
          <w:sz w:val="28"/>
          <w:szCs w:val="28"/>
          <w:rtl w:val="true"/>
          <w:lang w:bidi="ar-SA"/>
        </w:rPr>
        <w:t>الثالث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للثالث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إرثه ثابتٌ باعتراف الأولين، فهو أحد الاثنين المتّفق عليهما، فيكون له النصف، وللأوّل الثُّلث، لأنّه باعترافه يعدّ أحد الثلاثة، فليس له إلّاثُلث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للثاني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يثبت له باعتراف الأوّل، ولا ادّعاء للثالث بالإضافة إليه، لأنّه يعترف بأنّه لا يستحقّ أكثر 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يناقش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والثاني معترفان بأنّ الثالث غاصبٌ لسدس المال، فكما أنّه لو غصب شيئاً من المال المشترك كان على الشريكين، فكذلك في المقام، فلابدّ من تقسيم النصف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بقسمة المال بينهم أثلاثاً، لأنّ إقرار الأولين بثالث ليس إلّا إقراراً باستحقاقه ثلث المال، فلا يستحقّ إلّابهذا المقدار، ولا أثر لإنكاره نَسَب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الأظهر، فكما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كانا معلومي النسب لم يلتفت إلى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مع عدم معلوميّته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النسب 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لعموم ما دلّ على حجيّة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برجلٍ وامرأتين، ولا برجلٍ ويمين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وسيأتي الكلام فيه مفصّلاً في كتاب الشهادات</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شهد الأخوان بابنٍ للميّت، وكانا عدلين، كان أولى منهما، ويثبت النَسب، ولو كانا فاسقين ثبت الميراث دون النسب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 الأخوان بابنٍ للميّت، وكانا عدلين، كان أولى منهما، ويثبت النسب، ولو كانا فاسقين ثبت الميراث دون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وجه الجميع ممّا تقدّم آنفاً</w:t>
      </w:r>
      <w:r>
        <w:rPr>
          <w:rFonts w:eastAsia="Amiri" w:cs="Amiri" w:ascii="Amiri" w:hAnsi="Amiri"/>
          <w:color w:val="111111"/>
          <w:sz w:val="28"/>
          <w:szCs w:val="28"/>
          <w:rtl w:val="true"/>
          <w:lang w:bidi="ar-SA"/>
        </w:rPr>
        <w:t>.</w:t>
      </w:r>
      <w:bookmarkStart w:id="132" w:name="pg11823_118771"/>
    </w:p>
    <w:p>
      <w:pPr>
        <w:pStyle w:val="BookText"/>
        <w:rPr/>
      </w:pPr>
      <w:bookmarkEnd w:id="132"/>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الوكالة</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11006680_73709187"/>
      <w:bookmarkStart w:id="134" w:name="_Toc45"/>
      <w:bookmarkEnd w:id="133"/>
      <w:r>
        <w:rPr>
          <w:rtl w:val="true"/>
        </w:rPr>
        <w:t>(</w:t>
      </w:r>
      <w:r>
        <w:rPr>
          <w:rtl w:val="true"/>
        </w:rPr>
        <w:t>الفصل السابع</w:t>
      </w:r>
      <w:r>
        <w:rPr>
          <w:rtl w:val="true"/>
        </w:rPr>
        <w:t xml:space="preserve">: </w:t>
      </w:r>
      <w:r>
        <w:rPr>
          <w:rtl w:val="true"/>
        </w:rPr>
        <w:t>في الوكالة</w:t>
      </w:r>
      <w:r>
        <w:rPr>
          <w:rtl w:val="true"/>
        </w:rPr>
        <w:t>)</w:t>
      </w:r>
      <w:bookmarkEnd w:id="134"/>
    </w:p>
    <w:p>
      <w:pPr>
        <w:pStyle w:val="Heading3"/>
        <w:numPr>
          <w:ilvl w:val="2"/>
          <w:numId w:val="1"/>
        </w:numPr>
        <w:rPr/>
      </w:pPr>
      <w:bookmarkStart w:id="135" w:name="__RefHeading___Toc11006682_73709187"/>
      <w:bookmarkStart w:id="136" w:name="_Toc46"/>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وهي استنابة في التصرّف في أمرٍ من الاُمور في حال حياته، ويخرج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فإنّها استنابة في الحفظ، وبقيد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الوصاية، فإنّها استنابة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من الفرق بين الوكالة والوصاية، بأنّ الوصاية إعطاء ولاية، ففيه تأمّلٌ يأتي الكلام عليه في كتاب الوصاية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الفرق بينها وبين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في العارية ليس استنابة في التصرّف، ولا يتصرّف المستعير في العين نيابةً عن مالكها،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المضاربة و المزارعة و المساقاة، فإنّحقيقتها ليست استنابة كما مرّ في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مشروعيّتها،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من ضرورة الدِّين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لها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أَحَدَكُمْ بِوَرِقِكُمْ هذِهِ إِلَى اَلْمَدِينَةِ فَلْيَنْظُرْ أَيُّها أَزْكى طَعاماً فَلْيَأْتِكُمْ بِرِزْقٍ مِنْهُ وَ لْيَتَلَطَّفْ‌</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فإنّ هذه وكالة، واحتمال كونه من الإذن لا من الوكالة يدفعه أنّ ظاهره توكيل أحدهم في الشراء بمالهم للجميع، ولكنّه مختصٌّ بالاُمم السابقة، ومع ذلك فليس في الآية ما يشهد بأنّها كانت مشروعة في مذهبهم كي يُستصحب</w:t>
      </w:r>
      <w:r>
        <w:rPr>
          <w:rFonts w:eastAsia="Amiri" w:cs="Amiri" w:ascii="Amiri" w:hAnsi="Amiri"/>
          <w:color w:val="111111"/>
          <w:sz w:val="28"/>
          <w:szCs w:val="28"/>
          <w:rtl w:val="true"/>
          <w:lang w:bidi="ar-SA"/>
        </w:rPr>
        <w:t xml:space="preserve">. </w:t>
      </w:r>
      <w:bookmarkStart w:id="137" w:name="pg11823_118772"/>
    </w:p>
    <w:p>
      <w:pPr>
        <w:pStyle w:val="BookText"/>
        <w:rPr/>
      </w:pPr>
      <w:bookmarkEnd w:id="137"/>
      <w:r>
        <w:rPr>
          <w:rFonts w:ascii="Amiri" w:hAnsi="Amiri" w:eastAsia="Amiri" w:cs="Amiri"/>
          <w:color w:val="111111"/>
          <w:sz w:val="28"/>
          <w:sz w:val="28"/>
          <w:szCs w:val="28"/>
          <w:rtl w:val="true"/>
          <w:lang w:bidi="ar-SA"/>
        </w:rPr>
        <w:t>ولابدَّ فيها من الإيجاب والقبول، وإنْ كان فعلاً أو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فعدم كونه وكالة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لها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به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جوّز العمل، وذلك بحكم النيابة عن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فمشروعيّتها من الواضحات، وعليها بناء العقلاء، والنصوص الدالّة عليها متواترة، ستأتي الإشارة إلى جملةٍ منها</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1006684_73709187"/>
      <w:bookmarkStart w:id="139" w:name="_Toc47"/>
      <w:bookmarkEnd w:id="138"/>
      <w:r>
        <w:rPr>
          <w:rtl w:val="true"/>
        </w:rPr>
        <w:t>الوكالة من العقود</w:t>
      </w:r>
      <w:bookmarkEnd w:id="13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وما يلحق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الوكالة من العقود،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فيها من الإيجاب والقبول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ويتحقّق إيجابها بكلّ مايدلّ على الاستنابة، وقبولها بكلّ ما دلّ على الرّضا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فعلاً أو متأخّراً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عليهم 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بيع داري، فباعه صَحّ بيعه، والظاهر ذلك وإنْ غَفل عن قصد النيابة، وعن كونه قبولاً لإيجابه، مع أنّها لو كانت من العقود لزم عدم صحّة بيعه، لعدم تماميّة الوكالة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الوكالة من العقود، لزم مقارنة القبول لإيجابها، مع أنّه يجوز توكيل من ليس حاضراً ويبلغه الخبر بعد 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كتاب البيع في مبحث الفضولي</w:t>
      </w:r>
      <w:r>
        <w:rPr>
          <w:rStyle w:val="FootnoteAnchor"/>
          <w:rtl w:val="true"/>
        </w:rPr>
        <w:footnoteReference w:id="342"/>
      </w:r>
      <w:r>
        <w:rPr>
          <w:rFonts w:ascii="Amiri" w:hAnsi="Amiri" w:eastAsia="Amiri" w:cs="Amiri"/>
          <w:color w:val="111111"/>
          <w:sz w:val="28"/>
          <w:sz w:val="28"/>
          <w:szCs w:val="28"/>
          <w:rtl w:val="true"/>
          <w:lang w:bidi="ar-SA"/>
        </w:rPr>
        <w:t>من أنّ العقد المقرّون برضا المالك لا يكون فضوليّاً، كما ذهب إليه الشيخ الأعظم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بإيجاب الوكالة وإنْ لم تتمّ الوكالة، إلّاأنّ الإذن المتحقّق في ضمنه يكفي في جواز العقد وخروجه عن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كتاب البيع</w:t>
      </w:r>
      <w:r>
        <w:rPr>
          <w:rStyle w:val="FootnoteAnchor"/>
          <w:rtl w:val="true"/>
        </w:rPr>
        <w:footnoteReference w:id="343"/>
      </w:r>
      <w:r>
        <w:rPr>
          <w:rFonts w:ascii="Amiri" w:hAnsi="Amiri" w:eastAsia="Amiri" w:cs="Amiri"/>
          <w:color w:val="111111"/>
          <w:sz w:val="28"/>
          <w:sz w:val="28"/>
          <w:szCs w:val="28"/>
          <w:rtl w:val="true"/>
          <w:lang w:bidi="ar-SA"/>
        </w:rPr>
        <w:t>من أنّ الأظهر عدم مضرّية الفصل الطويل بين الإيجاب والقبول، إذا كان الالتزام من الموجب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الوكالة كما عرفت هي الاستنابة في التصرّف، فهي توجب صيرورة الوكيل نائباً، وانطباق هذا العنوان على الوكيل من دون رضاه منافٍ لسلطنة الإنسان على نفسه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كما أفاده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الوكالة من العقود، غاية الأمر أنّها نظير العقود الاُخر التي لم يدلّ دليلٌ خاص على اعتبار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لفظ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ويكتفي في إيجابها وقبولها بكلّ لفظٍ أو فعلٍ دالّ عليهما، ويصحّ أنْ يكون الإيجاب بالقول، والقبول بالفعل، فلو وكّله في بيع داره مثلاً فباعها قاصداً به قبول الوكالة،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40" w:name="pg11823_118774"/>
    </w:p>
    <w:p>
      <w:pPr>
        <w:pStyle w:val="BookText"/>
        <w:rPr/>
      </w:pPr>
      <w:bookmarkEnd w:id="140"/>
      <w:r>
        <w:rPr>
          <w:rFonts w:ascii="Amiri" w:hAnsi="Amiri" w:eastAsia="Amiri" w:cs="Amiri"/>
          <w:color w:val="111111"/>
          <w:sz w:val="28"/>
          <w:sz w:val="28"/>
          <w:szCs w:val="28"/>
          <w:rtl w:val="true"/>
          <w:lang w:bidi="ar-SA"/>
        </w:rPr>
        <w:t>والتنجيز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وتتحقّق الوكالة بالبيع، وحيث أنّ حصول البيع والوكالة يكون في زمان واحد، يصدق عليه بيع الوكيل ويترتّب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ما ذكرناه أنّه لا يكفي في تحقّق الوكالة الرضا الباطني في التصرّف، بل لابدّ له من مظهر لما أشرنا إليه مراراً من أنّ بناء العقلاء والشارع على عدم الاعتناء بالالتزامات النفسانيّة مالم تُبرز، نعم يكفي في جواز التصرّف العلم بالرضا الباطني</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1006686_73709187"/>
      <w:bookmarkStart w:id="142" w:name="_Toc48"/>
      <w:bookmarkEnd w:id="141"/>
      <w:r>
        <w:rPr>
          <w:rtl w:val="true"/>
        </w:rPr>
        <w:t>اعتبار التنجيز في الوكالة</w:t>
      </w:r>
      <w:bookmarkEnd w:id="14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الوكالة، فلا تصحّ معلّقة على شرطٍ متوقع كقدوم الحاجّ‌، أو صفة مترقّبة كطلوع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الوكالة وقوعها منجزة عند علمائنا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علّله بعضهم بما علّلوا به لاعتبار التنجيز في جميع العقود، وقد ذكرناه والجواب عنه في كتاب البيع</w:t>
      </w:r>
      <w:r>
        <w:rPr>
          <w:rStyle w:val="FootnoteAnchor"/>
          <w:rtl w:val="true"/>
        </w:rPr>
        <w:footnoteReference w:id="347"/>
      </w:r>
      <w:r>
        <w:rPr>
          <w:rFonts w:ascii="Amiri" w:hAnsi="Amiri" w:eastAsia="Amiri" w:cs="Amiri"/>
          <w:color w:val="111111"/>
          <w:sz w:val="28"/>
          <w:sz w:val="28"/>
          <w:szCs w:val="28"/>
          <w:rtl w:val="true"/>
          <w:lang w:bidi="ar-SA"/>
        </w:rPr>
        <w:t xml:space="preserve">، وعرفت هناك أنّه لا دليل على اعتباره فيها سوى </w:t>
      </w:r>
    </w:p>
    <w:p>
      <w:pPr>
        <w:pStyle w:val="BookText"/>
        <w:rPr/>
      </w:pPr>
      <w:r>
        <w:rPr>
          <w:rFonts w:ascii="Amiri" w:hAnsi="Amiri" w:eastAsia="Amiri" w:cs="Amiri"/>
          <w:color w:val="111111"/>
          <w:sz w:val="28"/>
          <w:sz w:val="28"/>
          <w:szCs w:val="28"/>
          <w:rtl w:val="true"/>
          <w:lang w:bidi="ar-SA"/>
        </w:rPr>
        <w:t>الإجماع، ونفس ذلك يقتضي اعتباره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الأقوى صحّتها لعدم الدليل على بطلانها، وشمول الإجماع على اشتراط التنجيز في العقود لمثل المقام، غير معلوم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تامّ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كونها من العقود يشملها معقد ذلك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أنّ الإجماع قائمٌ على اعتباره في المقام بالخصوص،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أنّه يجوز تنجيزها وتعليق التصرّف على شرطٍ أو صفةٍ أو اشتراط تأخير التصرّف إلى زمان كذا، كما هو المشهور بين الأصحاب، بل عليه 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أنّه إذا علّق الوكالة على شرطٍ وبطلت، فهل يجوز التصرّف بعد حصول الشرط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أم لا يجوز كما عن جماعةٍ‌</w:t>
      </w:r>
      <w:r>
        <w:rPr>
          <w:rStyle w:val="FootnoteAnchor"/>
          <w:rtl w:val="true"/>
        </w:rPr>
        <w:footnoteReference w:id="3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الفاسد بمثل ذلك هو العقد، وأمّا الإذن الموجود في ضمنه فهو 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الوكالة أخصّ من الإذن، وعدم الأخصّ لا يلازم عدم الأعمّ‌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الموجود إنّما هو الإذن بتصرّف الوكيل لا غيره، فمع بطلان الوكالة ينتفي الإذن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وإنْ كان أعمّ من الوكالة، إلّاأنّ الإذن الخاص الموجود في ضمن التوكيل ليس 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مدرك القول الثاني،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 والوكالة يشتركان في النيابة، ولا فرق بينهما سوى أنّه إنْ أدّى بصورة العقد، كانت وكالة، وإلّا كان إذناً، فبطلان الوكالة لايوجبُ بطلان الإذن، وحاصلُ ذلك يرجع إلى أنّ العقد بالمعنى الأخصّ أو الأعمّ هنا من مشخّصات الفرد التي مع انتفائها لا تنتفي الحقيقة، ضرورة أنّ مشخّصات زيد مثلاً لو ارتفعت لم ترتفع الإنسانيّة عنه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أفاده عبارة أُخرى عن أعميّة الإذن، بمعنى أنّه نظير الفرد بالإضافة إلى المشخّصات والخصوصيّات، وحيث أنّ الموجودات الخارجيّة غير الأفعال النفسانيّة، والأُولى لا تقبل التقييد بخلاف الثانية، فكما له أنْ يأذن مع اشتراط شيء، ولازمه أنّه مع عدم الشرط لا إذن كما اعترف به قبيل ذلك، فكذلك له أنْ يقيّد الإذن باقترانه مع الوكالة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يقاس ذلك بالموجود الخارجي غير القابل للتقييد، وحيث أنّ المتيقّن هو الإذن مع 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الحصّة الخاصّة من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فثبوت الإذن مع انتفاء الخصوصيّة يحتاج إلى كاشفٍ آخر، وإلى ذلك نظر فخر المحقّقين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الكلّي لايوجد إلّافي أحد الجزئيّات، وليس هذا إلّاالوكالة وقد ارتفعت</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43" w:name="pg11823_118777"/>
    </w:p>
    <w:p>
      <w:pPr>
        <w:pStyle w:val="BookText"/>
        <w:rPr/>
      </w:pPr>
      <w:bookmarkEnd w:id="143"/>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عدم صحّة الوكالة، لا يجوز التصرّف استناداً إلى الإذن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أحرز وجود الرّضا جاز التصرّف، لكنّه خارجٌ عن محلّ النزاع</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1006688_73709187"/>
      <w:bookmarkStart w:id="145" w:name="_Toc49"/>
      <w:bookmarkEnd w:id="144"/>
      <w:r>
        <w:rPr>
          <w:rtl w:val="true"/>
        </w:rPr>
        <w:t>اعتبار العلم في الوكالة</w:t>
      </w:r>
      <w:bookmarkEnd w:id="14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غير واحدٍ باعتبار العلم في الوكالة، ومنهم الشيخ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وكّله في شراء عبدٍ وجب وصفه، ولو أطلق لم يصحّ‌</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وتبعه جماعة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المعلوميّة لها إطلاقان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مايقابل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بالإطلاق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فاعتبارها عقلي، إذ المردّد لا ثبوت له ولا يتعلّق 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بالإطلاق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اعتبارها إلّافيما إذا أوجب نفيها الوقوع في الغَرر والخطر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فإنْ وكّله في شراء شيء وأطلق، كان معنى ذلك كونه وكيلاً في كلّ واحدٍ من تلك الاُمور المختلفة، لا أنّه وكيلٌ في أحدها، وعليه فلا إشكال في الصحّة إذ لا غَرر ولا خطر</w:t>
      </w:r>
      <w:r>
        <w:rPr>
          <w:rFonts w:eastAsia="Amiri" w:cs="Amiri" w:ascii="Amiri" w:hAnsi="Amiri"/>
          <w:color w:val="111111"/>
          <w:sz w:val="28"/>
          <w:szCs w:val="28"/>
          <w:rtl w:val="true"/>
          <w:lang w:bidi="ar-SA"/>
        </w:rPr>
        <w:t xml:space="preserve">. </w:t>
      </w:r>
      <w:bookmarkStart w:id="146" w:name="pg11823_118778"/>
    </w:p>
    <w:p>
      <w:pPr>
        <w:pStyle w:val="BookText"/>
        <w:rPr/>
      </w:pPr>
      <w:bookmarkEnd w:id="146"/>
      <w:r>
        <w:rPr>
          <w:rFonts w:ascii="Amiri" w:hAnsi="Amiri" w:eastAsia="Amiri" w:cs="Amiri"/>
          <w:color w:val="111111"/>
          <w:sz w:val="28"/>
          <w:sz w:val="28"/>
          <w:szCs w:val="28"/>
          <w:rtl w:val="true"/>
          <w:lang w:bidi="ar-SA"/>
        </w:rPr>
        <w:t>وهي جائزة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وكّله في أحد شيئين 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كانا متساويين في جميع الجهات، فلا خَطر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مختلفين، فالظاهر أيضاً صحّته، من جهة أنّ الجهل في المقام لا يوجب الغَرر، إذ كون الشخص جائز التصرّف في أحد مالي المالك مثلاً المعيّن واقعاً غير المعلوم للموكّل، لا خطر فيه عليه، وأمّا التصرّف المعاملي الواقع على ذلك الشيء، فهو وإنْ كان غير معلومٍ للموكّل، لكن المدار في تلك المعاملة هو ملاحظة حال الوكيل، فإنْ كان عالماً كفى في رفع الغَرر، ولا يلاحظ حال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في الوكالة لا توجبُ الغَرر من حيث نفسها، وأمّا من حيث المعاملة الواقعة بعدها، فالميزان فيها حال الوكيل لا الموكّل، وعليه فالأظهر عدم اعتبار المعلوميّة إلّابالمعنى المساوق للتعيين المقابل للترديد</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1006690_73709187"/>
      <w:bookmarkStart w:id="148" w:name="_Toc50"/>
      <w:bookmarkEnd w:id="147"/>
      <w:r>
        <w:rPr>
          <w:rtl w:val="true"/>
        </w:rPr>
        <w:t>الوكالة جائزة من الطرفين</w:t>
      </w:r>
      <w:bookmarkEnd w:id="14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جائزة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وإجماعاً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فلكلّ منهما 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عزل الوكيل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فالمشهور بيهنم أنّه ينعزل بمجرّد العزل، وأنّه لا فرق في بطلان الوكالة بذلك بين إعلام الموكّل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جماعة منهم</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يحتمل توقّف انعزاله على علم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عدم البطلان بعزله إنْ لم يكن إجماع</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وسبقه في ذلك المحدِّث البحراني رحمه الله</w:t>
      </w:r>
      <w:r>
        <w:rPr>
          <w:rStyle w:val="FootnoteAnchor"/>
          <w:rtl w:val="true"/>
        </w:rPr>
        <w:footnoteReference w:id="359"/>
      </w:r>
      <w:r>
        <w:rPr>
          <w:rFonts w:ascii="Amiri" w:hAnsi="Amiri" w:eastAsia="Amiri" w:cs="Amiri"/>
          <w:color w:val="111111"/>
          <w:sz w:val="28"/>
          <w:sz w:val="28"/>
          <w:szCs w:val="28"/>
          <w:rtl w:val="true"/>
          <w:lang w:bidi="ar-SA"/>
        </w:rPr>
        <w:t>، ولم يذكروا لبطلانها بعزل الوكيل نفسه وجهاً يمكن الاستناد إليه بعد كون الوكالة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 أدلّة لزوم العقد لزومها أيضاً، وكونها جائزة من طرف الوكيل، فإنّ العقد اللّازم من طرفٍ والجائز من الطرف الآخر لا محذور في ثبوته، بل هو موجودٌ كالرهن، فإنّه لازمٌ من طرف الراهن جائزٌ من طرف المرتهن، والكتابة عند الشيخ</w:t>
      </w:r>
      <w:r>
        <w:rPr>
          <w:rStyle w:val="FootnoteAnchor"/>
          <w:rtl w:val="true"/>
        </w:rPr>
        <w:footnoteReference w:id="360"/>
      </w:r>
      <w:r>
        <w:rPr>
          <w:rFonts w:ascii="Amiri" w:hAnsi="Amiri" w:eastAsia="Amiri" w:cs="Amiri"/>
          <w:color w:val="111111"/>
          <w:sz w:val="28"/>
          <w:sz w:val="28"/>
          <w:szCs w:val="28"/>
          <w:rtl w:val="true"/>
          <w:lang w:bidi="ar-SA"/>
        </w:rPr>
        <w:t>جائزة من طرف العبد ولازمة من طرف المولى، وعلى ذلك فإنْ كان هناك إجماعٌ‌، وإلّا فالأظهر عدم البطلان مطلقاً، بل ظاهر النصوص الآتية الحاصرة لبطلان الوكالة بما لو أعلمه بالخروج، عدم البطلان بعزل الوكيل نفسه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الكلام في صحّة التصرّف بالإذن الضمني على فرض القول بالبطلان، هو الكلام فيها المتقدّم في المسألة الثانية، وقد عرفت في تلك المسألة أنّ الأظهر عدم الصحّة، فكذلك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عزله الموكّل بطلَ تصرّفه مع علمه بالعزل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وللمصنف رحمه الله في المسألتين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جزم في هذه المسألة بصحّة التصرّف، وفي تلك المسألة جعل الصحّة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عكس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إطلاق القول بالبطلان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ما به يظهر أنّ الحقّ هو عدم الصحّة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عزل الموكّل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عزله الموكّل بطل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وكالته، والأخبار شاهدة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أنّه هل يُحكم بالبطلان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 بالعزل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كما هو المشهور، فلاينعزل الوكيل بعزل الموكّل إيّاه إلّامع إعلامه به، فلوتصرّف قبل ذلك نفذ على الموكّل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يحكم به بعد إعلامه به إنْ أمكن، وإلّا فمع الإشهاد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وأبي الصلاح</w:t>
      </w:r>
      <w:r>
        <w:rPr>
          <w:rStyle w:val="FootnoteAnchor"/>
          <w:rtl w:val="true"/>
        </w:rPr>
        <w:footnoteReference w:id="366"/>
      </w:r>
      <w:r>
        <w:rPr>
          <w:rFonts w:ascii="Amiri" w:hAnsi="Amiri" w:eastAsia="Amiri" w:cs="Amiri"/>
          <w:color w:val="111111"/>
          <w:sz w:val="28"/>
          <w:sz w:val="28"/>
          <w:szCs w:val="28"/>
          <w:rtl w:val="true"/>
          <w:lang w:bidi="ar-SA"/>
        </w:rPr>
        <w:t>، وابني البرّاج</w:t>
      </w:r>
      <w:r>
        <w:rPr>
          <w:rStyle w:val="FootnoteAnchor"/>
          <w:rtl w:val="true"/>
        </w:rPr>
        <w:footnoteReference w:id="367"/>
      </w:r>
      <w:r>
        <w:rPr>
          <w:rFonts w:ascii="Amiri" w:hAnsi="Amiri" w:eastAsia="Amiri" w:cs="Amiri"/>
          <w:color w:val="111111"/>
          <w:sz w:val="28"/>
          <w:sz w:val="28"/>
          <w:szCs w:val="28"/>
          <w:rtl w:val="true"/>
          <w:lang w:bidi="ar-SA"/>
        </w:rPr>
        <w:t>وحمزة</w:t>
      </w:r>
      <w:r>
        <w:rPr>
          <w:rStyle w:val="FootnoteAnchor"/>
          <w:rtl w:val="true"/>
        </w:rPr>
        <w:footnoteReference w:id="368"/>
      </w:r>
      <w:r>
        <w:rPr>
          <w:rFonts w:ascii="Amiri" w:hAnsi="Amiri" w:eastAsia="Amiri" w:cs="Amiri"/>
          <w:color w:val="111111"/>
          <w:sz w:val="28"/>
          <w:sz w:val="28"/>
          <w:szCs w:val="28"/>
          <w:rtl w:val="true"/>
          <w:lang w:bidi="ar-SA"/>
        </w:rPr>
        <w:t>والحِلّي</w:t>
      </w:r>
      <w:r>
        <w:rPr>
          <w:rStyle w:val="FootnoteAnchor"/>
          <w:rtl w:val="true"/>
        </w:rPr>
        <w:footnoteReference w:id="36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ينعزل بعزله مطلقاً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وكّل آخر على وكالةٍ في أمرٍ من الاُمور، وأشهد بذلك شاهدين، فقام الوكيل فخرج لإمضاء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إنّي قد عزلتُ فلاناً عن الوكالة‌؟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الوكيل أمضى الأمر الذي وكّل فيه قبل العزل، فإنّ الأمر واقعٌ ماضٍ على ما أمضاه الوكيل، كره الموكّل أم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الوكيل أمضى الأمر قبل أن يعلم العزل أو يبلغه أنّه قد عُزل عن الوكالة، فالأمر على ما أمضاه‌؟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بلغه العزل قبل أن يمضي الأمر، ثمّ ذهب حتّى أمضاه، لم يكن ذلك بشيء؟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الوكيل إذا وكّل ثمّ قام عن المجلس فأمره ماضٍ أبداً، والوكالة ثابتة حتّى يبلغه العزل عن الوكالة بثقة يبلغه أو يشافهه بالعزل عن الوكالة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وكّل رجلاً على إمضاء أمرٍ من الاُمور، فالوكالة ثابتة أبداً حتّى يُعلمه بالخروج كما أعلمه بالدخول فيها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هلال الرازي القريب من الصحّة لتضمّن سنده على جماعةٍ جملة من أصحاب الإجماع،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49" w:name="pg11823_118782"/>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 رجلاً يطلّق امرأته إذا حاضت وطهرت، وخرج الرّجل، فبدا له فأشهد أنّه قد أبطل ما كان أمَرَهُ به، وأنّه بدا له في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أهله وليُعلم الوكيل</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العلاء بن سيّابة الطويل المتضمّن للإنكار على من فرّق في هذا الحكم بين النكاح وغيره، وأنّه ينعزل في الأوّل بالاشهاد دون الثاني، ولحكم أمير المؤمنين عليه السلام بذلك مع الإشهاد وعدم الإعلام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أظفر بما يمكن أن يستدلّ به له سوى الإجماع الذي ادّعاه ابن زُهرة</w:t>
      </w:r>
      <w:r>
        <w:rPr>
          <w:rStyle w:val="FootnoteAnchor"/>
          <w:rtl w:val="true"/>
        </w:rPr>
        <w:footnoteReference w:id="375"/>
      </w:r>
      <w:r>
        <w:rPr>
          <w:rFonts w:ascii="Amiri" w:hAnsi="Amiri" w:eastAsia="Amiri" w:cs="Amiri"/>
          <w:color w:val="111111"/>
          <w:sz w:val="28"/>
          <w:sz w:val="28"/>
          <w:szCs w:val="28"/>
          <w:rtl w:val="true"/>
          <w:lang w:bidi="ar-SA"/>
        </w:rPr>
        <w:t xml:space="preserve">وهو كما ترى‌، بل إطلاق الخبرين يدلّ على عدم تماميّة هذا القول، كما أنّ جميع النصوص تدلّ عليخلاف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لايُصغى إلى ما استدلّ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الوكالة جائزة من الطرفين، فلابدّ وأن تبطل بالعزل وإنْ لم يعمله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روايةٍ بذلك، التي لم تصل إلينا، وغايته كونها رواية مرسلة لم يَعمل بها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يتوقّف بطلان الوكالة على إعلامه بالعزل، وإلّا فهي ثابتة أبداً كما ورد التصريح به في النصوص</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1006692_73709187"/>
      <w:bookmarkStart w:id="151" w:name="_Toc51"/>
      <w:bookmarkEnd w:id="150"/>
      <w:r>
        <w:rPr>
          <w:rtl w:val="true"/>
        </w:rPr>
        <w:t>اشتراط الوكالة في عقد لازم</w:t>
      </w:r>
      <w:bookmarkEnd w:id="15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الوكالة على نحو شرط النتيجة في ضمن عقدٍ لازم، فالمشهور أنّها 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الوكالة وإنْ كانت جائزة، إلّاأنّها تصبح لازمة إذا جائت من قبل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ما أفادوه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دلّ على أنّ عقد الوكالة من العقود الجائزة التي يجوز فسخها، فالجواز من آثار العقد لا من أحكام الوكالة من حيث هي، وعليه فإذا شرط الوكالة على نحو شرط النتيجة، بناء على صحّة شرط النتيجة، كما هو الحقّ‌، يكون السبب حينئذٍ هو الشرط، وهو لازم بمقتضى أدلّة لزوم الشرط</w:t>
      </w:r>
      <w:r>
        <w:rPr>
          <w:rStyle w:val="FootnoteAnchor"/>
          <w:rtl w:val="true"/>
        </w:rPr>
        <w:footnoteReference w:id="376"/>
      </w:r>
      <w:r>
        <w:rPr>
          <w:rFonts w:ascii="Amiri" w:hAnsi="Amiri" w:eastAsia="Amiri" w:cs="Amiri"/>
          <w:color w:val="111111"/>
          <w:sz w:val="28"/>
          <w:sz w:val="28"/>
          <w:szCs w:val="28"/>
          <w:rtl w:val="true"/>
          <w:lang w:bidi="ar-SA"/>
        </w:rPr>
        <w:t xml:space="preserve">، ونظير ذلك أنّ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التمليك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يجوز للواهب الرجوع فيها، ولكن لو شرط في ضمن عقدٍ لازم ملكيّة شيء مجّاناً، ليس له أنْ يرجع فيها، فكذلك في المقام، والظاهر أنّ الحكم كذلك فيما لو شرطها في عقدٍ جائز بناءً على أنّ الشرط في ضمنه لازم الوفاء ما دام 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أنْ يفسخ العقد فيبطل الشرط، ولعلّه يكون هذا هو مراد المشهور حيث ذهبوا إلى أنّ الوكالة المشترطة في ضمن عقد جائز تكون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في ضمن عقد الوكالة أن لا يعزله، فالظاهر أنّه يجب عليه عدم العزل، فهل ينعزل لو عزله أم لا؟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الإنعزال، لكن لا من جهة حرمة العزل، لأنّ حرمة العقد والإيقاع لا تستلزم الفساد وكذا الفسخ، ولا لما قيل من إنّه خلاف مقتضى الشرط، لأنّه إنْ كان الشرط عدم الانعزال بالعزل، كان شرطاً مخالفاً للكتاب والسُنّة، وإنْ كان عدم العزل، فغاية مقتضاه وجوب ذلك فلا يجوز العزل، أمّا عدم تأثير العزل، فهو خارجٌ عن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152" w:name="pg11823_118784"/>
    </w:p>
    <w:p>
      <w:pPr>
        <w:pStyle w:val="BookText"/>
        <w:rPr/>
      </w:pPr>
      <w:bookmarkEnd w:id="152"/>
      <w:r>
        <w:rPr>
          <w:rFonts w:ascii="Amiri" w:hAnsi="Amiri" w:eastAsia="Amiri" w:cs="Amiri"/>
          <w:color w:val="111111"/>
          <w:sz w:val="28"/>
          <w:sz w:val="28"/>
          <w:szCs w:val="28"/>
          <w:rtl w:val="true"/>
          <w:lang w:bidi="ar-SA"/>
        </w:rPr>
        <w:t>وتبطلُ بالموتِ والجنونِ والإغماء وتلف متعلّقها، وفعل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مقتضى العمومات كون الوكالة كسائر العقود لازمة، خرج عنها ما لو لم يشترط عدم العزل بمقتضى النصوص الخاصّة المتقدّمة، فتبقى صورة الاشتراط داخلة تحت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ما أُورد على لزوم الوكالة حينئذٍ بالدّور، بدعوى أنّ لزوم الشرط موقوف على بقاء الوكالة، وبقاء الوكالة موقوف على لزومه، وإنْ كان هو غير واردٍ حتّى على الوجهين الأولين، فإنّ لزومه ليس موقوفاً على بقاء الوكالة، بل على إيقاع عقدها، وقد حصل</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1006694_73709187"/>
      <w:bookmarkStart w:id="154" w:name="_Toc52"/>
      <w:bookmarkEnd w:id="153"/>
      <w:r>
        <w:rPr>
          <w:rtl w:val="true"/>
        </w:rPr>
        <w:t>موارد بطلان الوكالة</w:t>
      </w:r>
      <w:bookmarkEnd w:id="15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 والجنون، والإغماء، وتلف متعلّقها وفعل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موت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فالبطلان ظاهر، لأنّ الوكالة قائمة به ومجعولة له، فبموته ترتفع قهراً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الوكالة من الحقوق، فتنتقل إلى الورثة من حيث كونها حقّ تركه الميّت فلوارثه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القابل للبقاء ينتقل إلى الوارث، وهذا الحقّ الذي قوامه بالوكيل نفسه غير قابل للبقاء، حتّى لو كانت مشروطة في ضمن عقدٍ لازم، اذ الشرط هو وكالة الوكيل نفسه لا مطلق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اشتراط وكالة وارثه بعد موته صَحّ‌، وإنْ كان الشرط في ضمن عقد الوكالة، فيصير الوارث وكيلاً لا لبقاء الوكالة بل للشرط، ولا يضرّ مثل هذا التعليق، لعدم اشتراط التنجيز في الشرط، ولعدم شمول معقد الإجماع لما كان مفاد العقد المنجز مع الشرط المعلّق في ضمنه واحداً،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موت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لبطلان الوكالة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على بطلان العقود الجائزة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وبالإجماع على بطلان الوكالة بموته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مناط جواز تصرّف الوكيل هو الإذن وينقطع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المال بعد موته ينتقل إلى الورثة، فيتوقّف التصرّف على إذنهم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ابن بكير، عن بعض أصحابنا،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أرسل يخطب عليه امرأة وهو غائب، فأنكحوا الغائب، وفرض الصداق، ثمّ جاء خبره أنّه توفى بعد ما سَبق الصداق‌؟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أملك بعد ما توفى، فليس لها صداقٌ ولا ميراث، وإنْ كان قد أملك قبل أن يتوفّى، فلها نصف الصداق، وهي وارثة وعليها العدّة</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صحيح أبي ولّاد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الإجماع التعبّدي، مع أنّه قد عرفت عدم كون الوكالة من العقود الجائزة بقول مطلق، بل هي لازمة من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يعتبر في جواز تصرّف الوكيل بقاء الإذن والرّضا، ولذا لو وكّله ثمّ سهى عن توكيله بالمرّة، بحيث لم يبق في خزانة النفس نفذ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مع العزل والإشهاد على عدم الإذن والرضا، لا تبطل الوكالة ما لم يُعلمه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اعتبار بقاء الإذن في بقاء الوكالة الثابتة بالعقد، وليست هي من قبيل الإذن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لايتمّ لوكانت الوكالة متعلّقة بالثّلث الراجع أمره إليه، مع أنّه سيجيء في كتاب الوصيّة</w:t>
      </w:r>
      <w:r>
        <w:rPr>
          <w:rStyle w:val="FootnoteAnchor"/>
          <w:rtl w:val="true"/>
        </w:rPr>
        <w:footnoteReference w:id="379"/>
      </w:r>
      <w:r>
        <w:rPr>
          <w:rFonts w:ascii="Amiri" w:hAnsi="Amiri" w:eastAsia="Amiri" w:cs="Amiri"/>
          <w:color w:val="111111"/>
          <w:sz w:val="28"/>
          <w:sz w:val="28"/>
          <w:szCs w:val="28"/>
          <w:rtl w:val="true"/>
          <w:lang w:bidi="ar-SA"/>
        </w:rPr>
        <w:t>أنّ له أنْ يتصرّف في ماله بعد موته بأزيد من الثُّلث بمثل البيع بثمن المثل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قد لاتكون الوكالة متعلّقة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 البطلان فيهما من جهة عدم صحّة تزويج الميّت لا من جهة بطلان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بطلانها بموت الموكّل، بل النصوص المتقدّمة تُشعر بعدم البطلان، لاحظ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فالوكالة ثابتة أبداً حتّى يعلمه بالخروج</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البطلان، نعم إذا كان التوكيل ظاهراً أو منصرفاً إلى حالء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الوكالة بموته، لانتهاء امدها، ولعلّه إلى ذلك نظر الأصحاب،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الجنون والإغماء، وقد تكرّر في كلماتهم دعوى الإجماع على بطلان الوكالة بالجنون أو الإغماء من أحدهما، من غير فرقٍ بين كون الجنون إطباقيّاً أو أدواريّاً، وكون مدّة الإغماء قصيرة أو طويلة، علم الموكّل بذلك أم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بانقطاع الإذن في جنون الموكّل، وقد ظهر ضعفه من ما قدّمناه، بل قد يقال إنّ له أنْ يوكّل في حال عقله وإفاقته من يتصدّى اُموره إذا جَنّ أو اُغمي عليه، فيكون الوكيل أولى من الحاكم الشرعي والوليّ الإجباري، لأنّه أولى بنفسه وقد جعله لنفسه متصدّياً لاُموره، فالصحيح أنّ لا مدرك له الا الإجماع إنْ ثبت وكان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تلف المتعلّق، كموت المرأة الموكلة في تزويجها أو طلاقها، وتلف ما وكّل في بيعه ونحو ذلك، فالوجه في بطلان الوكالة حينئذٍ ظاهر، لأنّ الوكالة كما مرّ استنابة في التصرّف، فمع تلف المتعلّق لا تصرّف، فلا معنى للاستنابة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وكّله في شراء شيء، ودَفع إليه ديناراً ثمناً له، ولم يقم القرينة على التقييد بما دفعه، تبقى الوكالة، ولكنّه خارجٌ عن محلّ البحث لعدم تلف المتعلّق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 الموكّل نفسه، كما لو وكّله في بيع داره ثمّ باعها مباشرة، ووجه بطلان الوكالة في هذا المورد ظاهر ممّا مرّ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تبطل الوكالة بالنوم، ولا بعروض النسيان لأحدهما، ولا بالسُّكر، ولا بالفسق إنْ لم تُعلّق الوكالة على العدالة، بل ولا بالحَجْر، أمّا على الوكيل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فواضحٌ‌، وأمّا على الموكّل فلأنّ الحجر وإنْ كان موجباً لعدم جواز تصرّف الوكيل في مال الموكّل مادام بقاء المحجوريّة، ولكن لايوجب بطلانها بحيث لا يصحّ تصرّفه بعد رفع الحجر، إلّاأنْ يكون هناك إجماع</w:t>
      </w:r>
      <w:r>
        <w:rPr>
          <w:rFonts w:eastAsia="Amiri" w:cs="Amiri" w:ascii="Amiri" w:hAnsi="Amiri"/>
          <w:color w:val="111111"/>
          <w:sz w:val="28"/>
          <w:szCs w:val="28"/>
          <w:rtl w:val="true"/>
          <w:lang w:bidi="ar-SA"/>
        </w:rPr>
        <w:t>.</w:t>
      </w:r>
      <w:bookmarkStart w:id="155" w:name="pg11823_118789"/>
    </w:p>
    <w:p>
      <w:pPr>
        <w:pStyle w:val="BookText"/>
        <w:rPr/>
      </w:pPr>
      <w:bookmarkEnd w:id="155"/>
      <w:r>
        <w:rPr>
          <w:rFonts w:ascii="Amiri" w:hAnsi="Amiri" w:eastAsia="Amiri" w:cs="Amiri"/>
          <w:color w:val="111111"/>
          <w:sz w:val="28"/>
          <w:sz w:val="28"/>
          <w:szCs w:val="28"/>
          <w:rtl w:val="true"/>
          <w:lang w:bidi="ar-SA"/>
        </w:rPr>
        <w:t>وتصحّ فيما لم يتعلّق غرض الشارع بإيقاعه مباشرةً‌</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1006696_73709187"/>
      <w:bookmarkStart w:id="157" w:name="_Toc53"/>
      <w:bookmarkEnd w:id="156"/>
      <w:r>
        <w:rPr>
          <w:rtl w:val="true"/>
        </w:rPr>
        <w:t>ما تصحّ فيه الوكالة</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فيه شرطان غير ما مرّ من المعلوميّة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مملوكاً للموكّل، بمعنى كون مباشرته له ممكنة بحسب العقل والشرع، فلا تجوز الوكالة في الاُمور المستحيلة عقلاً، أو الممنوعة شرعاً كالغصب والسرفة والقتل، فلو غصب أو سرق أو قتل بوكالةٍ كان آثماً، وعليه الضمان دون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يتعلّق غرض الشارع بإيقاعه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فكلّما كان يدخل فيه النيابة تصحّ فيه الوكالة لأنّهما زوجان، وهذا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الموارد المشكوك فيها، التي لم يدلّ دليلٌ خاص على جريان النيابة فيها كالنكاح والطلاق وما شاكل، ولا على عدم جريانها فيها كالواجبات من الصَّلاة والصيام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صحّة النيابة، ولذا استقرّ بناء الفقهاء على طلب الدليل على عدم الصحّة واعتبار المباشرة في موارد الشكّ‌، وقد استدلّ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عدم اشتراط المباشرة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وبالأخبار المتقدّمة الدالّة على عدم انعزال الوكيل إلّابإعلامه بالعزل، إذ </w:t>
      </w:r>
    </w:p>
    <w:p>
      <w:pPr>
        <w:pStyle w:val="BookText"/>
        <w:rPr/>
      </w:pPr>
      <w:r>
        <w:rPr>
          <w:rFonts w:ascii="Amiri" w:hAnsi="Amiri" w:eastAsia="Amiri" w:cs="Amiri"/>
          <w:color w:val="111111"/>
          <w:sz w:val="28"/>
          <w:sz w:val="28"/>
          <w:szCs w:val="28"/>
          <w:rtl w:val="true"/>
          <w:lang w:bidi="ar-SA"/>
        </w:rPr>
        <w:t>مقتضى إطلاقها صحّة الوكالة في كلّ أمر، لاحظ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وكّل رجلاً على إمضاء أمرٍ من الاُمور، فالوكالة ثابتة أبداً حتّى يعلمه بالخروج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بدعوى شموله للوكالة ومعاملاته على ما مرّ في كتاب الحَجر</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على الأصل أنّ البناء على الصحّة يتوقّف على عموم يدلّ عليها، وأصالة عدم الاشتراط لا تكفي ولا يثبت بها العموم، بل الأصل هو عدم ترتّب الأثر على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حكم آخر، فلا إطلاق لها من جهة صحّة الوكالة في كلّ أمرٍ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دليلُ اللّزوم لا الصحّة، أضف إليه أنّ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دلالتها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تمسّكٌ بالعام في الشبهة المصداقيّة، إذ لاريب في أنّه خرج عنه ما يعتبر فيه المباشرة، فمع الشكّ في اشتراطها لا يصحّ التمسّك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أنّه في ما تعلّق به التكليف أعمٌّ من الوجوب والاستحباب، ومقتضى إطلاق دليله اعتبار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ذلك من الموارد كباب العقود والإيقاعات فيمكن البناء على عدم اعتبار المباشرة بوجهين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دليل الوكالة المقامي، بتقريب أنّ الشارع الأقدس شرّع الوكالة ولم يبيِّن ما تصحّ فيه وما لا تصحّ‌، فيستكشف إيكاله ذلك إلى العرف،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58" w:name="pg11823_118791"/>
    </w:p>
    <w:p>
      <w:pPr>
        <w:pStyle w:val="BookText"/>
        <w:rPr/>
      </w:pPr>
      <w:bookmarkEnd w:id="158"/>
      <w:r>
        <w:rPr>
          <w:rFonts w:ascii="Amiri" w:hAnsi="Amiri" w:eastAsia="Amiri" w:cs="Amiri"/>
          <w:color w:val="111111"/>
          <w:sz w:val="28"/>
          <w:sz w:val="28"/>
          <w:szCs w:val="28"/>
          <w:rtl w:val="true"/>
          <w:lang w:bidi="ar-SA"/>
        </w:rPr>
        <w:t>ولا يتعدّى الوكيلُ المأذونَ‌،</w:t>
      </w:r>
    </w:p>
    <w:p>
      <w:pPr>
        <w:pStyle w:val="BookText"/>
        <w:rPr/>
      </w:pPr>
      <w:r>
        <w:rPr>
          <w:rFonts w:ascii="Amiri" w:hAnsi="Amiri" w:eastAsia="Amiri" w:cs="Amiri"/>
          <w:color w:val="111111"/>
          <w:sz w:val="28"/>
          <w:sz w:val="28"/>
          <w:szCs w:val="28"/>
          <w:rtl w:val="true"/>
          <w:lang w:bidi="ar-SA"/>
        </w:rPr>
        <w:t>ومن المعلوم أنّه لا يشترط المباشرة عند العقلاء في شيء من العقود والإيقاعات، فتصحّ الوكالة فيها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العقود والإيقاعات، إذ لا تدلّ أدلّتها إلّاعلى اعتبار انتساب العقد أو الإيقاع إلى من يكون موضوع الأثر المترقّب منه، ومن الواضح أنّه بإذن الموكّل ينتسب العقد أو الإيقاع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وإنْكان اعتبار استناد عناوين العقود و الإيقاعات إلى الموكّل، إلّاأنّه لمّا كان هي أسامي للمسبّبات لا الأسباب، والمسبّبات تستند إليه بالإذن، وإنْ كان السبب غير منتسبٍ إليه ومستنداً إلى فاعله بالمباشرة، فمتضى إطلاق تلك الأدلّة صحّة الوكالة والنيابة في الجميع إلّاما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على ذلك بالسيرة العقلائيّة، بل والمتشرّعيّة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الحال في جميع الموارد المشكوك فيها كما لا يخفى‌</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1006698_73709187"/>
      <w:bookmarkStart w:id="160" w:name="_Toc54"/>
      <w:bookmarkEnd w:id="159"/>
      <w:r>
        <w:rPr>
          <w:rtl w:val="true"/>
        </w:rPr>
        <w:t>عدم جواز تعدّي الوكيل المأذون</w:t>
      </w:r>
      <w:bookmarkEnd w:id="160"/>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وظيفة الوكيل بالنسبة إلى العمل بما وكّل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يتعدّى الوكيل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حيث الجنس والنوع والشخص والوصف والقدر والعين والذّمة والنقد والنسيئة ونوع المعاملة والزمان والمكان وما شاكل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في تخصيص السوق،</w:t>
      </w:r>
    </w:p>
    <w:p>
      <w:pPr>
        <w:pStyle w:val="BookText"/>
        <w:rPr/>
      </w:pPr>
      <w:r>
        <w:rPr>
          <w:rFonts w:ascii="Amiri" w:hAnsi="Amiri" w:eastAsia="Amiri" w:cs="Amiri"/>
          <w:color w:val="111111"/>
          <w:sz w:val="28"/>
          <w:sz w:val="28"/>
          <w:szCs w:val="28"/>
          <w:rtl w:val="true"/>
          <w:lang w:bidi="ar-SA"/>
        </w:rPr>
        <w:t>ولو خالف توقّف على الإجازة فيما يقبلها وبطل فيما لا يقبلها، واستثنى من ذلك ما لو علم عرفاً كون التعيين من باب المثال،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بثمن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 أنّ لا غرض له في خصوص ذلك المقدار، وإنّما الغرض في عدم الأقلّ‌، فيجوز بيعه بالأزيد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الاستثناء المذكور في المتن، حيث قال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تخصيص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معنى ذلك صحّة المعاملة حينئذٍ لو باعه في سوقٍ آخر، مع أنّ جماعة حكموا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بالضمان يتمّ مع عدم الإذن، والصحّة إنّما تكون في صورة الإذن، فكيف يجتمع الحكم بالصحّة مع الحكم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ذلك بأنّ الإذن المفهوم غايته الدلالة على صحّة المعاملة خاصّة، دون نقل العين عن مواردها المعيّنة، ولا تلازم بينهما بالبديهة، فإنّ الإذن المفهوم ليس إلّامن حيث الأولويّة، ولاتحصل إلّاحين جريان المعاملة لا قبلة، إذ منشأ الأولويّة ليس إلّازيادة الثمن عمّا عينه، وهي قبل المعاملة غير حاصلة، وحينئذٍ فتكون اليد عادية عليها ضمان ما أخذته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في الشيء إذنٌ في مقدّماته، ولذا يحكم بعدم الضمان فيما لو وكّله في بيعه في أيّ سوق شاء، مع أنّ هذا البرهان يقتضي الضمان فيه، فإنّه لم يأذن له في نقله إلى السوق، وإنّما المأذون هو البيع في السوق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عَمّم التصرّف صَحّ‌،</w:t>
      </w:r>
    </w:p>
    <w:p>
      <w:pPr>
        <w:pStyle w:val="BookText"/>
        <w:rPr/>
      </w:pPr>
      <w:r>
        <w:rPr>
          <w:rFonts w:ascii="Amiri" w:hAnsi="Amiri" w:eastAsia="Amiri" w:cs="Amiri"/>
          <w:color w:val="111111"/>
          <w:sz w:val="28"/>
          <w:sz w:val="28"/>
          <w:szCs w:val="28"/>
          <w:rtl w:val="true"/>
          <w:lang w:bidi="ar-SA"/>
        </w:rPr>
        <w:t>والحلّ ما أشرنا إليه، من أنّه لو سُلّم شمول الإذن له، لا محالة يكون ذلك إذناً في مقدّماته، ولا أقلّ من عدم كون يده في طريق نقله إلى السوق ليباع فيه يداً عادية مشمولة للحديث</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التفصيل بين كون المحلّ المعيّن سوقاً فَعَدل إلى سوقٍ آخر، فحكم بعدم الضمان، وبين كونه بلدة معيّنة فعدل عنها إلى بلدةٍ أُخرى‌، فحكم الضمان مع الصحّة لو نقله إليها، وأجرى المعاملة عليه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سؤال وجه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نظره الشريف إلى أنّه مع تعيين سوق خاص، يكون ذلك بحسب الغالب من باب المثال، فيستفاد الإذن في المعاملة في سوقٍ آخر، والإذن في الشيء إذنٌ في مقدّماته، فلا ضمان عليه لو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تعيين البلدة فبحسب المتفاهم العرفي يعلم أنّه لا نظر له إلى بلدة خاصّة، إنّما عيّنها حفظاً للمال عن التلف في السفر، فيستفاد الإذن منه في المعاملة في بلدٍ آخر على تقدير لا مطلقاً، وهو وصول المال سالماً تلك البلدة، فالنقل إليها ليس مأذوناً فيه، والمعاملة مأذونٌ فيها على تقدير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نظر من جمع بين الحكمين في السوق أيضاً إلى ما ذكرناه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عمّم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كماإذا وكّله في كلّقليلٍ و كثيرممّا له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المصلحة، إلّافي الإقرار،</w:t>
      </w:r>
    </w:p>
    <w:p>
      <w:pPr>
        <w:pStyle w:val="BookText"/>
        <w:rPr/>
      </w:pPr>
      <w:r>
        <w:rPr>
          <w:rFonts w:ascii="Amiri" w:hAnsi="Amiri" w:eastAsia="Amiri" w:cs="Amiri"/>
          <w:color w:val="111111"/>
          <w:sz w:val="28"/>
          <w:sz w:val="28"/>
          <w:szCs w:val="28"/>
          <w:rtl w:val="true"/>
          <w:lang w:bidi="ar-SA"/>
        </w:rPr>
        <w:t>وفاقا للشيخين</w:t>
      </w:r>
      <w:r>
        <w:rPr>
          <w:rStyle w:val="FootnoteAnchor"/>
          <w:rtl w:val="true"/>
        </w:rPr>
        <w:footnoteReference w:id="385"/>
      </w:r>
      <w:r>
        <w:rPr>
          <w:rFonts w:ascii="Amiri" w:hAnsi="Amiri" w:eastAsia="Amiri" w:cs="Amiri"/>
          <w:color w:val="111111"/>
          <w:sz w:val="28"/>
          <w:sz w:val="28"/>
          <w:szCs w:val="28"/>
          <w:rtl w:val="true"/>
          <w:lang w:bidi="ar-SA"/>
        </w:rPr>
        <w:t>، والحِلّي</w:t>
      </w:r>
      <w:r>
        <w:rPr>
          <w:rStyle w:val="FootnoteAnchor"/>
          <w:rtl w:val="true"/>
        </w:rPr>
        <w:footnoteReference w:id="386"/>
      </w:r>
      <w:r>
        <w:rPr>
          <w:rFonts w:ascii="Amiri" w:hAnsi="Amiri" w:eastAsia="Amiri" w:cs="Amiri"/>
          <w:color w:val="111111"/>
          <w:sz w:val="28"/>
          <w:sz w:val="28"/>
          <w:szCs w:val="28"/>
          <w:rtl w:val="true"/>
          <w:lang w:bidi="ar-SA"/>
        </w:rPr>
        <w:t>، والقاضي</w:t>
      </w:r>
      <w:r>
        <w:rPr>
          <w:rStyle w:val="FootnoteAnchor"/>
          <w:rtl w:val="true"/>
        </w:rPr>
        <w:footnoteReference w:id="387"/>
      </w:r>
      <w:r>
        <w:rPr>
          <w:rFonts w:ascii="Amiri" w:hAnsi="Amiri" w:eastAsia="Amiri" w:cs="Amiri"/>
          <w:color w:val="111111"/>
          <w:sz w:val="28"/>
          <w:sz w:val="28"/>
          <w:szCs w:val="28"/>
          <w:rtl w:val="true"/>
          <w:lang w:bidi="ar-SA"/>
        </w:rPr>
        <w:t>، والديلمي</w:t>
      </w:r>
      <w:r>
        <w:rPr>
          <w:rStyle w:val="FootnoteAnchor"/>
          <w:rtl w:val="true"/>
        </w:rPr>
        <w:footnoteReference w:id="388"/>
      </w:r>
      <w:r>
        <w:rPr>
          <w:rFonts w:ascii="Amiri" w:hAnsi="Amiri" w:eastAsia="Amiri" w:cs="Amiri"/>
          <w:color w:val="111111"/>
          <w:sz w:val="28"/>
          <w:sz w:val="28"/>
          <w:szCs w:val="28"/>
          <w:rtl w:val="true"/>
          <w:lang w:bidi="ar-SA"/>
        </w:rPr>
        <w:t>، وعامّة المتأخّرين</w:t>
      </w:r>
      <w:r>
        <w:rPr>
          <w:rStyle w:val="FootnoteAnchor"/>
          <w:rtl w:val="true"/>
        </w:rPr>
        <w:footnoteReference w:id="389"/>
      </w:r>
      <w:r>
        <w:rPr>
          <w:rFonts w:ascii="Amiri" w:hAnsi="Amiri" w:eastAsia="Amiri" w:cs="Amiri"/>
          <w:color w:val="111111"/>
          <w:sz w:val="28"/>
          <w:sz w:val="28"/>
          <w:szCs w:val="28"/>
          <w:rtl w:val="true"/>
          <w:lang w:bidi="ar-SA"/>
        </w:rPr>
        <w:t>عدا قليل منهم لإطلاق الأدلّة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وفخر المحقّقين</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لأنّ فيه غَرراً عظيماً، لأنّه ربما ألزمه بالعقود ما لا يمكنه الوفاء أو ما يؤدّي إلى ذهاب ماله، كأن يزوّجه بأربع حرائر ثمّ يُطلّقهنّ قبل الدخول، فيلزمه نصف مهورهنّ‌، ثمّ يزوّجه بأربع اُخرٍ وهكذا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اتّفقت كلماتهم عليه من أنّه يشترط في صحّة تصرّفات الوكيل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إشكال في أنّه يمضي تصرّفاته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 إمّا لأنّه لا تدخله النيابة، لاختصاص حكمه بالمتكلّم إذا أنبأ عن نفسه، لظهور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والإطلاق يقتضي البيع حالّاً بثمن المثل، بنقد البلد، وابتياع الصحيح، وتسليم المبيع في البيع، وتسليم الثمن في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مقولة اللّفظ والمبرِز، لا من مقولة المعنى، فإقرار الوكيل غير إقرار الموكّل، ودليل الجواز مختصٌّ بإقرار الإنسان نفسه، أو لأنّه خلاف المصلحة المشترطة في تعميم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أطلق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يقيّده بقيدٍ ولا عمّمه كما لو أطلق البيع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يعيّن ثمناً ولا نقداً ولا حلولاً ولا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لزوم رعاية ما ينصرف إليه الإطلاق، ولذا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والإطلاق يقتضي البيع حالّاً بثمن المثل بنقد البلد، وابتياع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بأقلّ من ثمن المثل بما لايتسامح فيه وقف على الإجازة، وكذا لو باع نسيئةً مع إمكان النقد، وقف على الإجازة، إلّاإذا كانت المصلحة في النسيئة، وكذا الحال في البيع بغير نقد البلد وفي شراء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العيب خفيّاً يصحّ البيع، ويكون للموكّل خيار العيب، إذ المأذون فيه هو المعاملة على النحو المتعارف، فيكون الشراء من الوكيل غير مخالفٍ لمقتضى الوكالة فتصحّ‌، غاية الأمر يثبت الخيار للموكّل بمقتضى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الشراء بغير ثمن المثل أيضاً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كون المعاملة على المتعارف أو خلافه، ففي الأوّل تصحّ مع الخيار بخلاف الثاني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إطلاق التوكيل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المبيع في البيع، وتسليم الثمن في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الوكيل هو </w:t>
      </w:r>
    </w:p>
    <w:p>
      <w:pPr>
        <w:pStyle w:val="BookText"/>
        <w:rPr/>
      </w:pPr>
      <w:r>
        <w:rPr>
          <w:rFonts w:ascii="Amiri" w:hAnsi="Amiri" w:eastAsia="Amiri" w:cs="Amiri"/>
          <w:color w:val="111111"/>
          <w:sz w:val="28"/>
          <w:sz w:val="28"/>
          <w:szCs w:val="28"/>
          <w:rtl w:val="true"/>
          <w:lang w:bidi="ar-SA"/>
        </w:rPr>
        <w:t>والرّد بالعيب،</w:t>
      </w:r>
    </w:p>
    <w:p>
      <w:pPr>
        <w:pStyle w:val="BookText"/>
        <w:rPr/>
      </w:pPr>
      <w:r>
        <w:rPr>
          <w:rFonts w:ascii="Amiri" w:hAnsi="Amiri" w:eastAsia="Amiri" w:cs="Amiri"/>
          <w:color w:val="111111"/>
          <w:sz w:val="28"/>
          <w:sz w:val="28"/>
          <w:szCs w:val="28"/>
          <w:rtl w:val="true"/>
          <w:lang w:bidi="ar-SA"/>
        </w:rPr>
        <w:t>المملّك فيجبُ عليه تسليم ما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 ومحلّ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كلام المشهور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تحقّق البيع بإذن الموكّل، فقد انتقل مال الموكّل إلى طرف المعاملة، فما في يد الوكيل ليس للموكّل بل للطرف، ويجبُ رَدّ المال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اشتراط عليه عدم التسليم بَطَل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اشترط عليه ذلك، لابدّ وأن يُعامل عليه مع الطرف مع هذا الشرط، وعليه فلا يجبُ التسليم، بل لايجوز بمقتضى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المعاملين على تسليم المبيع والثمن، فالإذن في البيع بمقتضى الظهور العرفي إذنٌ في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أفادوه متينٌ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إطلاق التوكيل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يقتضي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بالعيب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مرادهم ما لو كان وكيلاً في التصرّف من غير أنْ يكون مستقلّاً ووكيلاً مفوّضاً، ولم يكن في إجراء الصيغة، وإلّا فلا إشكال في أنّ له ذلك مع الاستقلال، وأنّه ليس له لو كان وكيلاً في إجراء الصيغة خاصّة، فمرادهم صورة إطلاق الوكالة دون الوكالة المطلقة، بمعنى جعل الأمر بيده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يقتضي وكالة الحكومة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ذلك وفي سائر الخيارات، في مبحث الخيارات من كتاب البيع، فراجع</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بينهم أنّ إطلاق الوكالة في الشراء لا يقتضي الإذن بقبض المبيع، كما أنّ إطلاقها في البيع لا يقتضي الإذن بقبض الثمن، وعلّلوه بأنّه قد لا يستأمن على المبيع والثمن من يُستأمن على البيع والشراء، وهو حسنٌ‌، إلّاأنّه لابدّ وأن يقيّد بما إذا لم تدلّ القرائن على الإذن في القبض، وإلّا فهو مأذونٌ فيه، كما لو وكّله في شراء عين من مكان بعيد يخاف مع عدم قبض الوكيل ذهابها، أو وكّله في البيع في موضعٍ يضيع الثمن بترك قبضه كسوق غائبٍ عن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المرافعة لإثبات حقّ‌، ليس له قبضه بعد إثباته، إلّا مع القرينة على إذنه في 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وكالة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61" w:name="pg11823_118798"/>
    </w:p>
    <w:p>
      <w:pPr>
        <w:pStyle w:val="BookText"/>
        <w:rPr/>
      </w:pPr>
      <w:bookmarkEnd w:id="161"/>
      <w:r>
        <w:rPr>
          <w:rFonts w:ascii="Amiri" w:hAnsi="Amiri" w:eastAsia="Amiri" w:cs="Amiri"/>
          <w:color w:val="111111"/>
          <w:sz w:val="28"/>
          <w:sz w:val="28"/>
          <w:szCs w:val="28"/>
          <w:rtl w:val="true"/>
          <w:lang w:bidi="ar-SA"/>
        </w:rPr>
        <w:t>ويشترط أهليّة التصرّف فيهما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1006700_73709187"/>
      <w:bookmarkStart w:id="163" w:name="_Toc55"/>
      <w:bookmarkEnd w:id="162"/>
      <w:r>
        <w:rPr>
          <w:rtl w:val="true"/>
        </w:rPr>
        <w:t>اعتبار أهليّة التصرّف في الموكّل والوكيل</w:t>
      </w:r>
      <w:bookmarkEnd w:id="163"/>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مايعتبر في الموكّل والوكيل،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أهليّة التصرّف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وتنقيح القول في طيّ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فيهما البلوغ، فلا يصحّ توكيل الصبي ولا 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دلّ على رفع القلم عن الصبي، وعدم جواز أمره، مع أنّه لايجوز تصرّفه بنفسه فيما يوكّل فيه، وقد مرّ اعتبار ذلك في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توكيله بإذن الوليّ كسائر تصرّفاته ومعاملاته على ما مرّ في كتاب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يستثنى من ذلك ما لو وكّل البالغُ عشر سنين فيما له أنْ يتصرّف فيه كالوصيّة للأرحام، بل في مطلق المعروف والصدقة والطلاق، بدعوى أنّه إذا جازت تلكم الاُمور له، يجوز له التوكيل فيها أيضاً، لما عرفت من أنّه الضابط لما يجوز فيه التوكيل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اعتبار البلوغ لو كان هو الوجه الثاني خاصّة، كان ما اُفيد تامّاً، وأمّا لو كان هو الوجه الأوّل أيضاً فلايتمّ‌، لأنّ مقتضى إطلاق تلكم الأخبار كون غير البالغ ممنوعاً من جميع التصرّفات والمعاملات، إلّامع إذن الوليّ ومن جملتها التوكيل، فجواز تلكم الاُمور إنْ ثبت لا يستلزم جواز توكيله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صحّة أنْ يكون الصبي وكيلاً في التصرّفات، فلا إشكال ولا كلام فيه بالنسبة إلى الوكالة المستقلّة، بأنْ يكون وكيلاً مستقلّاً في التصرّف، لعموم ما دلّ على عدم جواز أمر الصبي، ورفع القلم عنه، إنّما الكلام في أنّه هل يصحّ أن يوكّل الصبي في خصوص إجراء الصيغة أم لا؟</w:t>
      </w:r>
    </w:p>
    <w:p>
      <w:pPr>
        <w:pStyle w:val="BookText"/>
        <w:rPr/>
      </w:pPr>
      <w:r>
        <w:rPr>
          <w:rFonts w:ascii="Amiri" w:hAnsi="Amiri" w:eastAsia="Amiri" w:cs="Amiri"/>
          <w:color w:val="111111"/>
          <w:sz w:val="28"/>
          <w:sz w:val="28"/>
          <w:szCs w:val="28"/>
          <w:rtl w:val="true"/>
          <w:lang w:bidi="ar-SA"/>
        </w:rPr>
        <w:t>ومنشأ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أدلّة الحَجر هل تدلّ على سلب عبارة الصبي، أم لا تدلّ على ذلك‌؟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وقد مرّ تفصيل القول في ذلك في كتاب الحجر</w:t>
      </w:r>
      <w:r>
        <w:rPr>
          <w:rStyle w:val="FootnoteAnchor"/>
          <w:rtl w:val="true"/>
        </w:rPr>
        <w:footnoteReference w:id="396"/>
      </w:r>
      <w:r>
        <w:rPr>
          <w:rFonts w:ascii="Amiri" w:hAnsi="Amiri" w:eastAsia="Amiri" w:cs="Amiri"/>
          <w:color w:val="111111"/>
          <w:sz w:val="28"/>
          <w:sz w:val="28"/>
          <w:szCs w:val="28"/>
          <w:rtl w:val="true"/>
          <w:lang w:bidi="ar-SA"/>
        </w:rPr>
        <w:t xml:space="preserve">، وعرفت أنّها لا تدلّ على ذلك، وأنّه تصحّ معاملاته مع إذن الوليّ‌، ويصحّ تصدّيه لإجراء الصيغة، حيث لا يعدّ ذلك أمر الصبي، ولا يشمله حديث رفع القلم، ويُشعر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أبي يحيى،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رسول اللّه صلى الله عليه و آله اُمّ سلمة، زوّجها إيّاه عمر بن أبي سلمة وهو صغير لم يبلغ الحلم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فيهما العقل، فلا يصحّ توكيل المجنون ولو أدواريّاً في حال جنونه لحديث رفع القلم عنه</w:t>
      </w:r>
      <w:r>
        <w:rPr>
          <w:rStyle w:val="FootnoteAnchor"/>
          <w:rtl w:val="true"/>
        </w:rPr>
        <w:footnoteReference w:id="398"/>
      </w:r>
      <w:r>
        <w:rPr>
          <w:rFonts w:ascii="Amiri" w:hAnsi="Amiri" w:eastAsia="Amiri" w:cs="Amiri"/>
          <w:color w:val="111111"/>
          <w:sz w:val="28"/>
          <w:sz w:val="28"/>
          <w:szCs w:val="28"/>
          <w:rtl w:val="true"/>
          <w:lang w:bidi="ar-SA"/>
        </w:rPr>
        <w:t>، ولأنّه لا يجوز تصرّفه بنفسه فيما يوكّل فيه كما مرّ، فلا يصحّ توكيله، وقد مرّ أنّ المشهور بين الأصحاب بطلان الوكالة بعروض الجنون على الموكّل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عرفت ضعفه،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الابتداء دون الاستدامة، ولا يصحّ أن يوكّل المجنون في المعاملات لحديث الرفع، وفي صحّة إجرائه الصيغة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4" w:name="pg11823_118800"/>
    </w:p>
    <w:p>
      <w:pPr>
        <w:pStyle w:val="BookText"/>
        <w:rPr/>
      </w:pPr>
      <w:bookmarkEnd w:id="164"/>
      <w:r>
        <w:rPr>
          <w:rFonts w:ascii="Amiri" w:hAnsi="Amiri" w:eastAsia="Amiri" w:cs="Amiri"/>
          <w:color w:val="111111"/>
          <w:sz w:val="28"/>
          <w:sz w:val="28"/>
          <w:szCs w:val="28"/>
          <w:rtl w:val="true"/>
          <w:lang w:bidi="ar-SA"/>
        </w:rPr>
        <w:t>مع إحراز كونه قاصداً غير لاغٍ وعدمها، الوجهان المتقدّمان في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الموكّل عدم السفه إذا كان التوكيل فيما يتعلّق بمال نفسه، لما عرفت في كتاب الحجر من أنّ السفيه ممنوعٌ عن التصرّف المالي للآية الكريمة</w:t>
      </w:r>
      <w:r>
        <w:rPr>
          <w:rStyle w:val="FootnoteAnchor"/>
          <w:rtl w:val="true"/>
        </w:rPr>
        <w:footnoteReference w:id="399"/>
      </w:r>
      <w:r>
        <w:rPr>
          <w:rFonts w:ascii="Amiri" w:hAnsi="Amiri" w:eastAsia="Amiri" w:cs="Amiri"/>
          <w:color w:val="111111"/>
          <w:sz w:val="28"/>
          <w:sz w:val="28"/>
          <w:szCs w:val="28"/>
          <w:rtl w:val="true"/>
          <w:lang w:bidi="ar-SA"/>
        </w:rPr>
        <w:t>وجملة من النصوص</w:t>
      </w:r>
      <w:r>
        <w:rPr>
          <w:rStyle w:val="FootnoteAnchor"/>
          <w:rtl w:val="true"/>
        </w:rPr>
        <w:footnoteReference w:id="400"/>
      </w:r>
      <w:r>
        <w:rPr>
          <w:rFonts w:ascii="Amiri" w:hAnsi="Amiri" w:eastAsia="Amiri" w:cs="Amiri"/>
          <w:color w:val="111111"/>
          <w:sz w:val="28"/>
          <w:sz w:val="28"/>
          <w:szCs w:val="28"/>
          <w:rtl w:val="true"/>
          <w:lang w:bidi="ar-SA"/>
        </w:rPr>
        <w:t>، وعليه فلا يصحّ توكيله، لأنّ ذلك ضابط ما لا يصحّ فيه التوكيل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توكيله فيما له التصرّف فيه، وكذا يجوز وكالته لاختصاص دليل المنع بالتصرّف في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حال توكيل المفلّس ووكالته، فإنّه يجري فيهما ما ذكرناه في السفيه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1006702_73709187"/>
      <w:bookmarkStart w:id="166" w:name="_Toc56"/>
      <w:bookmarkEnd w:id="165"/>
      <w:r>
        <w:rPr>
          <w:rtl w:val="true"/>
        </w:rPr>
        <w:t>حكم اكراه الوكيل والموكّل</w:t>
      </w:r>
      <w:bookmarkEnd w:id="166"/>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عدم صحّة توكيل المكرَه ولا 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لحديث رفع ما استكرهوا عليه</w:t>
      </w:r>
      <w:r>
        <w:rPr>
          <w:rStyle w:val="FootnoteAnchor"/>
          <w:rtl w:val="true"/>
        </w:rPr>
        <w:footnoteReference w:id="401"/>
      </w:r>
      <w:r>
        <w:rPr>
          <w:rFonts w:ascii="Amiri" w:hAnsi="Amiri" w:eastAsia="Amiri" w:cs="Amiri"/>
          <w:color w:val="111111"/>
          <w:sz w:val="28"/>
          <w:sz w:val="28"/>
          <w:szCs w:val="28"/>
          <w:rtl w:val="true"/>
          <w:lang w:bidi="ar-SA"/>
        </w:rPr>
        <w:t>، فلو اُكره المالك على التوكيل في بيع ماله، أو الزوج في طلاق زوجته، أو ما شاكل، بطلت الوكالة، فيقع البيع أو الطلاق فضوليّاً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 كان مورد الوكالة إيقاعاً دون العقد، كما في الإكراه على الطلاق، فإنْ أجاز الطلاق بعدذلك، فقد اتّفقوا على‌عدم صحّته، لعدم جريان الفضوليّة </w:t>
      </w:r>
    </w:p>
    <w:p>
      <w:pPr>
        <w:pStyle w:val="BookText"/>
        <w:rPr/>
      </w:pPr>
      <w:r>
        <w:rPr>
          <w:rFonts w:ascii="Amiri" w:hAnsi="Amiri" w:eastAsia="Amiri" w:cs="Amiri"/>
          <w:color w:val="111111"/>
          <w:sz w:val="28"/>
          <w:sz w:val="28"/>
          <w:szCs w:val="28"/>
          <w:rtl w:val="true"/>
          <w:lang w:bidi="ar-SA"/>
        </w:rPr>
        <w:t>فيه، ولكن إنْ أجاز بعد رفع إكراه التوكيل فهل يصحّ الطلاق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معقد الإجماع عدم صحّة الطلاق الذي تعلّق به الإجازة، ففي المقام بما أنّ الإجازة تعلّقت بالوكالة دون الطلاق، صحّ الطلاق، وإنْ كان المعقد أنّ الطلاق لايصحّ أنْ يكون معلّقاً على الإجازة، كما هو الظاهر منه، فلا يصحّ في المقام، فإنّ صحّة الطلاق موقوفة على صحّة الوكالة، المتوقّفة على الإجازة، والمتوقّفُ على المتوقّف على الشيء متوقّفٌ عليه، فتكون صحّة الطلاق موقوفة على الإجازة،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عدم صحّته، تعلّقت الإجازة بالطلاق أو تعلّقت بالوكالة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الوكيل على قبول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على التصرّف المعاملي الذي وكّل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حديث رفع الإكراه عدم صحّة الوكالة، لكنّه إنْ رضى بعد ذلك بها وقبلها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يكون المكرِه هو المالك، كما لو قال المالك للوكيل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زوجتي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الإكراه من الأجنبي، كما لو أُكره الوكيل على بيع دار موكّله أو طلاق زوجة موكّله، فقد ذهب جماعة منهم الشيخ الأعظم رحمه الله</w:t>
      </w:r>
      <w:r>
        <w:rPr>
          <w:rStyle w:val="FootnoteAnchor"/>
          <w:rtl w:val="true"/>
        </w:rPr>
        <w:footnoteReference w:id="402"/>
      </w:r>
      <w:r>
        <w:rPr>
          <w:rFonts w:ascii="Amiri" w:hAnsi="Amiri" w:eastAsia="Amiri" w:cs="Amiri"/>
          <w:color w:val="111111"/>
          <w:sz w:val="28"/>
          <w:sz w:val="28"/>
          <w:szCs w:val="28"/>
          <w:rtl w:val="true"/>
          <w:lang w:bidi="ar-SA"/>
        </w:rPr>
        <w:t>إلى الصحّة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الفرعين، وآخرون إلى البطلان فيهما، واختار المحقّق النائيني رحمه الله</w:t>
      </w:r>
      <w:r>
        <w:rPr>
          <w:rStyle w:val="FootnoteAnchor"/>
          <w:rtl w:val="true"/>
        </w:rPr>
        <w:footnoteReference w:id="403"/>
      </w:r>
      <w:r>
        <w:rPr>
          <w:rFonts w:ascii="Amiri" w:hAnsi="Amiri" w:eastAsia="Amiri" w:cs="Amiri"/>
          <w:color w:val="111111"/>
          <w:sz w:val="28"/>
          <w:sz w:val="28"/>
          <w:szCs w:val="28"/>
          <w:rtl w:val="true"/>
          <w:lang w:bidi="ar-SA"/>
        </w:rPr>
        <w:t>الصحّة في الفرع الأوّل والبطلان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للبطلان فيهما بوجوه عمدتها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حديث رفع الإكراه رفع أثر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لفعل الوكيل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قيامة بالوكيل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والإكراه لا يؤثّر في فقد عقد الوكيل لشيءٍ من الاُمور المعتبرة فيه من الجهة الأُولى من العربيّة ونحوها بعد فرض كونه مستجمعاً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 فغير دخيلة في ترتّب الأثر وحصول النقل والانتقال، لكون الوكيل أجنبيّاً عن المال، بل عقده إنّما يؤثّر من حيث انتسابه إلى المالك الموكّل، والمفروض عدم كونه مكرهاً فيما هو موضوع الأثر، ولم يتعلّق الإكراه به، وما تعلّق الإكراه به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إلى المعنى شرطٌ في صحّة العقد، ومع الشكّ في ذلك لا أصل يُحرز به كون المكرَه قاصداً له، إذ أصالة القصد الجارية في أفعال العقلاء إنّما هي في الأفعال الاختياريّة دون المكره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إنّما هو بعد إحراز القصد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القصد إنّما هي في مطلق الأفعال الاختياريّة في مقابل الاضطراريّة كحركة يد المرتعش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والحرّية، ولو توكّل العبد، أو وكّل بإذن مولاه صَحّ‌، ولايوكّل الوكيل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للبطلان في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المكرَه إذا كان غير المالك، فغاية ماهناك رضا المالك بالعقد، ومجرّد الرضا لا يصحّح الاستناد، كما أنّ الكراهة الباطنيّة ليست 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من كفايته، أنّ محلّ الكلام هو كون العاقد وكيلاً، وفعل الوكيل يستند إلى الموكّل من جهة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هي الصحّة في الفرعين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ولو توكّل العبد أو وكّل بإذن مولاه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يوكّل الوكيل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التوكيل صريحاً ولو بالتعميم، كاصنع ما شئتَ‌، أو فحوىً كاتّساع متعلّقها بحيث تدلّ القرائن على الإذن فيه، أو عجزه عن مباشرته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متّسعاً مع علم الموكّل بالعجز، أو ترفّع الوكيل عمّا وُكّل فيه عادةً‌، فإنّ توكيله حينئذٍ يدلّ بالفحوى على الإذن له في توكيل الغير مع علم الموكّل بترفّعه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في موارد جواز التوكيل هل يكون الوكيل الثاني وكيلاً عن الأوّل أو عن الموكّل، وتظهر الثمرة في أنّه على الأوّل ليس للموكّل عزله وللوكيل ذلك، وينعكس على الثاني‌؟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الأوّل، ولا أقلّ من الإطلاق، وأنّ للوكيل أن يوكّله عن نفسه أو </w:t>
      </w:r>
    </w:p>
    <w:p>
      <w:pPr>
        <w:pStyle w:val="BookText"/>
        <w:rPr/>
      </w:pPr>
      <w:r>
        <w:rPr>
          <w:rFonts w:ascii="Amiri" w:hAnsi="Amiri" w:eastAsia="Amiri" w:cs="Amiri"/>
          <w:color w:val="111111"/>
          <w:sz w:val="28"/>
          <w:sz w:val="28"/>
          <w:szCs w:val="28"/>
          <w:rtl w:val="true"/>
          <w:lang w:bidi="ar-SA"/>
        </w:rPr>
        <w:t>وللحاكم التوكيل عن السُّفهاء والبُلَه، ويستحبّ لذوي المروّات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موكّله، ولكن للوليّ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وللحاكم التوكيل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والمجنون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 والبُلَه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 ذلك، بل عليه 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والأردبيلي</w:t>
      </w:r>
      <w:r>
        <w:rPr>
          <w:rStyle w:val="FootnoteAnchor"/>
          <w:rtl w:val="true"/>
        </w:rPr>
        <w:footnoteReference w:id="405"/>
      </w:r>
      <w:r>
        <w:rPr>
          <w:rFonts w:ascii="Amiri" w:hAnsi="Amiri" w:eastAsia="Amiri" w:cs="Amiri"/>
          <w:color w:val="111111"/>
          <w:sz w:val="28"/>
          <w:sz w:val="28"/>
          <w:szCs w:val="28"/>
          <w:rtl w:val="true"/>
          <w:lang w:bidi="ar-SA"/>
        </w:rPr>
        <w:t>، وهو الحجّة فيه، مضافاً إلى إطلاقات الأدلّة، فلكلّ منهما المباشرة بنفسه، فكذلك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لذوي المروّات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المنازعة، وإنْ لا يتولّوها بأنفسهم، كما هو المشهور،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 ظاهر الأصحاب</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واستدلّوا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رووا في كتبهم الاستدلاليّة أنّ عليّاً عليه السلام وكّل عقيلاً في خصومة،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للخصومة قحماً، وأنّ الشيطان ليحضرها، وأنّي لأكره أن أحضرها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والقُحم بالضَّم المهلكة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سنده لا يضرّه بعد استناد الأصحاب إليه، وكون الحكم استحبابيّاً، ولكن عموم التعليل يقتضي عموم الحكم لغير ذوي المروّات أيضاً، لكن لم يلتزم به الأصحاب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بعضهم التأمّل في الحكم، لتحاكم النبيّ صلى الله عليه و آله مع صاحب الناقة</w:t>
      </w:r>
      <w:r>
        <w:rPr>
          <w:rStyle w:val="FootnoteAnchor"/>
          <w:rtl w:val="true"/>
        </w:rPr>
        <w:footnoteReference w:id="409"/>
      </w:r>
      <w:r>
        <w:rPr>
          <w:rFonts w:ascii="Amiri" w:hAnsi="Amiri" w:eastAsia="Amiri" w:cs="Amiri"/>
          <w:color w:val="111111"/>
          <w:sz w:val="28"/>
          <w:sz w:val="28"/>
          <w:szCs w:val="28"/>
          <w:rtl w:val="true"/>
          <w:lang w:bidi="ar-SA"/>
        </w:rPr>
        <w:t>، وتحاكم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67" w:name="pg11823_118805"/>
    </w:p>
    <w:p>
      <w:pPr>
        <w:pStyle w:val="BookText"/>
        <w:rPr/>
      </w:pPr>
      <w:bookmarkEnd w:id="167"/>
      <w:r>
        <w:rPr>
          <w:rFonts w:ascii="Amiri" w:hAnsi="Amiri" w:eastAsia="Amiri" w:cs="Amiri"/>
          <w:color w:val="111111"/>
          <w:sz w:val="28"/>
          <w:sz w:val="28"/>
          <w:szCs w:val="28"/>
          <w:rtl w:val="true"/>
          <w:lang w:bidi="ar-SA"/>
        </w:rPr>
        <w:t>ولا يتوكّل الذّمي على المسلم،</w:t>
      </w:r>
    </w:p>
    <w:p>
      <w:pPr>
        <w:pStyle w:val="BookText"/>
        <w:rPr/>
      </w:pPr>
      <w:r>
        <w:rPr>
          <w:rFonts w:ascii="Amiri" w:hAnsi="Amiri" w:eastAsia="Amiri" w:cs="Amiri"/>
          <w:color w:val="111111"/>
          <w:sz w:val="28"/>
          <w:sz w:val="28"/>
          <w:szCs w:val="28"/>
          <w:rtl w:val="true"/>
          <w:lang w:bidi="ar-SA"/>
        </w:rPr>
        <w:t>الوصيّ عليه السلام مع من رأى درع طلحة عنده</w:t>
      </w:r>
      <w:r>
        <w:rPr>
          <w:rStyle w:val="FootnoteAnchor"/>
          <w:rtl w:val="true"/>
        </w:rPr>
        <w:footnoteReference w:id="410"/>
      </w:r>
      <w:r>
        <w:rPr>
          <w:rFonts w:ascii="Amiri" w:hAnsi="Amiri" w:eastAsia="Amiri" w:cs="Amiri"/>
          <w:color w:val="111111"/>
          <w:sz w:val="28"/>
          <w:sz w:val="28"/>
          <w:szCs w:val="28"/>
          <w:rtl w:val="true"/>
          <w:lang w:bidi="ar-SA"/>
        </w:rPr>
        <w:t>مع زوجته الشيبانيّة، فكيف تولّوا سادات الأنام المنازعة مع كراهتها، إلّاأنّ احتمال الدّواعي والضرورات في مباشرتهم قائمٌ‌، فلا ترفع اليد من دليل استحباب التوكيل</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1006704_73709187"/>
      <w:bookmarkStart w:id="169" w:name="_Toc57"/>
      <w:bookmarkEnd w:id="168"/>
      <w:r>
        <w:rPr>
          <w:rtl w:val="true"/>
        </w:rPr>
        <w:t>وكالة الكافر عن المسلم</w:t>
      </w:r>
      <w:bookmarkEnd w:id="16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لا يجوز وكالة الكافر عن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يتوكّل الذّمي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باستيفاء حقّ له عليه، بل عليه الإجماع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وغيرها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بقرينة ما قبلها نفي الجعل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خبر الهروي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من الآية نفي سبيل الحجّة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السبيل ظاهره السلطنة، والوكيل لا سلطنة له على الموكّل لو لم يكن بالعكس، فالإنصاف أنّه لا دليل له سوى الإجماع وإنْ لم يتمّ‌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يضمن الوكيل إلّابتعدٍّ أو تفريط، ولا تبطل وكالته به،</w:t>
      </w:r>
    </w:p>
    <w:p>
      <w:pPr>
        <w:pStyle w:val="BookText"/>
        <w:rPr/>
      </w:pPr>
      <w:r>
        <w:rPr>
          <w:rFonts w:ascii="Amiri" w:hAnsi="Amiri" w:eastAsia="Amiri" w:cs="Amiri"/>
          <w:color w:val="111111"/>
          <w:sz w:val="28"/>
          <w:sz w:val="28"/>
          <w:szCs w:val="28"/>
          <w:rtl w:val="true"/>
          <w:lang w:bidi="ar-SA"/>
        </w:rPr>
        <w:t>وعليه، فالأظهر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بالمنع، فإنّ المتيقّن منه الحرمة التكليفيّة دون بطلان الوكالة، وأيضاً المتيقّن منه ما لو توقّف استيفاء الحقّ منه على المرافعة، كي يمكن دعوى صدق السلطنة والقهر عليه، وأمّا مجرّد استيفاء الحقّ منه أو له، فلايكون مشمولاً لدليل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القائلين بالمنع اختلفوا في وكالة المسلم عن الكافر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أكثر القدماء</w:t>
      </w:r>
      <w:r>
        <w:rPr>
          <w:rStyle w:val="FootnoteAnchor"/>
          <w:rtl w:val="true"/>
        </w:rPr>
        <w:footnoteReference w:id="415"/>
      </w:r>
      <w:r>
        <w:rPr>
          <w:rFonts w:ascii="Amiri" w:hAnsi="Amiri" w:eastAsia="Amiri" w:cs="Amiri"/>
          <w:color w:val="111111"/>
          <w:sz w:val="28"/>
          <w:sz w:val="28"/>
          <w:szCs w:val="28"/>
          <w:rtl w:val="true"/>
          <w:lang w:bidi="ar-SA"/>
        </w:rPr>
        <w:t>، وعامّة المتأخّرين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على كلٍّ من القولين الإجماع، ولا مدرك لهم سوى الآية الكريمة، وقد عرفت حالها، ولكن للإجماع على المرجوحيّة لا بأس بالالتزام بها، والمتيقّن الكراهة، وأمّا في باقي الصور المتصوّرة في المقام فالا ظهر هو الجواز بلاكراهة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يضمن الوكيل إلّابتعدٍّ أو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416"/>
      </w:r>
      <w:r>
        <w:rPr>
          <w:rFonts w:ascii="Amiri" w:hAnsi="Amiri" w:eastAsia="Amiri" w:cs="Amiri"/>
          <w:color w:val="111111"/>
          <w:sz w:val="28"/>
          <w:sz w:val="28"/>
          <w:szCs w:val="28"/>
          <w:rtl w:val="true"/>
          <w:lang w:bidi="ar-SA"/>
        </w:rPr>
        <w:t>، لأنّه أمين، وقد مرّ أنّ الأمين لا يضمن إلّامع التعدّي أو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 وكالته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بالتعدّي أو التفريط، لأنّ مبطليّته لها تحتاج إليدليلٍ مفقود، والأصل، وكذا العمومات تقتضي العدم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تعدّى ثمّ عاد نفذ تصرّفه بمقتضى الوكالة، فهل يبقى ضمانه أم لا؟</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الأصحاب هو الأوّل، والأظهر هو الثاني، إذ دليل الضمان مختصٌّ بحال التعدّي، وفي تلك الحال خرجت يده عن كونها أمانيّة وحكم بكونها مضمّنة لحديث على اليد، والمفروض عوده إلى الحالة الأُولى‌، فيكون المقام من مصاديق المسألة المعروفة، وهي أنّه لو خرج فرد عن تحت العام في زمان، ثم شكّ بعد مضيّ ذلك الزمان في بقاء حكم الخاص أو عود حكم العام، هل يتمسّك بعموم العام، أو يستصحب حكم الخاص‌؟ وحيث أنّ المختار هو الرجوع إلى عموم العام مطلقاً، فالمرجع في المقام إلى ما دلّ على عدم ضمان الأمين</w:t>
      </w:r>
      <w:r>
        <w:rPr>
          <w:rFonts w:eastAsia="Amiri" w:cs="Amiri" w:ascii="Amiri" w:hAnsi="Amiri"/>
          <w:color w:val="111111"/>
          <w:sz w:val="28"/>
          <w:szCs w:val="28"/>
          <w:rtl w:val="true"/>
          <w:lang w:bidi="ar-SA"/>
        </w:rPr>
        <w:t>.</w:t>
      </w:r>
      <w:bookmarkStart w:id="170" w:name="pg11823_118808"/>
    </w:p>
    <w:p>
      <w:pPr>
        <w:pStyle w:val="BookText"/>
        <w:rPr/>
      </w:pPr>
      <w:bookmarkEnd w:id="170"/>
      <w:r>
        <w:rPr>
          <w:rFonts w:ascii="Amiri" w:hAnsi="Amiri" w:eastAsia="Amiri" w:cs="Amiri"/>
          <w:color w:val="111111"/>
          <w:sz w:val="28"/>
          <w:sz w:val="28"/>
          <w:szCs w:val="28"/>
          <w:rtl w:val="true"/>
          <w:lang w:bidi="ar-SA"/>
        </w:rPr>
        <w:t>والقول قوله مع اليمين، وعدم البيّنة في عدمه، وفي العزل، والعلم به، والتلف،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الرَّد قولان</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1006706_73709187"/>
      <w:bookmarkStart w:id="172" w:name="_Toc58"/>
      <w:bookmarkEnd w:id="171"/>
      <w:r>
        <w:rPr>
          <w:rtl w:val="true"/>
        </w:rPr>
        <w:t>اختلاف الموكّل والوكيل</w:t>
      </w:r>
      <w:bookmarkEnd w:id="172"/>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مسائل اختلاف الموكّل والوكيل، وأحكامها تذكر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التعدّي أو التفريط، فادّعاه الموكّل وأنكره الوكيل،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قوله مع اليمين وعدم البيّنة في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الوكيل أمينٌ ولا يتّهم من ائتمن، ودعوى التفريط أو التعدّي اتّهامٌ‌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العزل،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عليه الإجماع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لأصالة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وكّلت أخاها ليزوّجها، ثمّ عزلته بمحضر الشهود، وادّعت إعلامه بالعزل، وأنكره الأخ، فأتيا أمير المؤمنين عليه السلام فطلب منها الشهود فأتت بالشهود الذين عزلته بمحضرهم، فشهدوا على العزل دون الإعلام، فلم يقبله، وأمضى تزويج الأخ وأحلفه</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لو اختلفا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بل عليه الإجماع في الأوّل، لأنّه أمينٌ لا يُتّهم، ولأنّ اليمين على المنكر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ادّعاه الوكيل و أنكره الموكّل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الموكّل مع يمينه، ذهب إليه الحِلّي</w:t>
      </w:r>
      <w:r>
        <w:rPr>
          <w:rStyle w:val="FootnoteAnchor"/>
          <w:rtl w:val="true"/>
        </w:rPr>
        <w:footnoteReference w:id="419"/>
      </w:r>
      <w:r>
        <w:rPr>
          <w:rFonts w:ascii="Amiri" w:hAnsi="Amiri" w:eastAsia="Amiri" w:cs="Amiri"/>
          <w:color w:val="111111"/>
          <w:sz w:val="28"/>
          <w:sz w:val="28"/>
          <w:szCs w:val="28"/>
          <w:rtl w:val="true"/>
          <w:lang w:bidi="ar-SA"/>
        </w:rPr>
        <w:t>والمحقّق</w:t>
      </w:r>
      <w:r>
        <w:rPr>
          <w:rStyle w:val="FootnoteAnchor"/>
          <w:rtl w:val="true"/>
        </w:rPr>
        <w:footnoteReference w:id="420"/>
      </w:r>
      <w:r>
        <w:rPr>
          <w:rFonts w:ascii="Amiri" w:hAnsi="Amiri" w:eastAsia="Amiri" w:cs="Amiri"/>
          <w:color w:val="111111"/>
          <w:sz w:val="28"/>
          <w:sz w:val="28"/>
          <w:szCs w:val="28"/>
          <w:rtl w:val="true"/>
          <w:lang w:bidi="ar-SA"/>
        </w:rPr>
        <w:t>والمصنّف</w:t>
      </w:r>
      <w:r>
        <w:rPr>
          <w:rStyle w:val="FootnoteAnchor"/>
          <w:rtl w:val="true"/>
        </w:rPr>
        <w:footnoteReference w:id="421"/>
      </w:r>
      <w:r>
        <w:rPr>
          <w:rFonts w:ascii="IRNazanin" w:hAnsi="IRNazanin" w:eastAsia="IRNazanin"/>
          <w:color w:val="111111"/>
          <w:sz w:val="28"/>
          <w:sz w:val="28"/>
          <w:szCs w:val="28"/>
          <w:rtl w:val="true"/>
          <w:lang w:bidi="fa-IR"/>
        </w:rPr>
        <w:t>وولده</w:t>
      </w:r>
      <w:r>
        <w:rPr>
          <w:rStyle w:val="FootnoteAnchor"/>
          <w:rtl w:val="true"/>
        </w:rPr>
        <w:footnoteReference w:id="422"/>
      </w:r>
      <w:r>
        <w:rPr>
          <w:rFonts w:ascii="Amiri" w:hAnsi="Amiri" w:eastAsia="Amiri" w:cs="Amiri"/>
          <w:color w:val="111111"/>
          <w:sz w:val="28"/>
          <w:sz w:val="28"/>
          <w:szCs w:val="28"/>
          <w:rtl w:val="true"/>
          <w:lang w:bidi="ar-SA"/>
        </w:rPr>
        <w:t>والشهيدان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الوكيل إنْ كان وكالته بجعل، نُسب إلى المشهور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يقبل قول الوكيل في التلف، كذلك يقبل قوله في الرّد، إذ لا وجه لقبوله في التلف سوى أنّ عدم تصديقه في دعوى التلف يندرج تحت عنوان اتّهام المؤتمن، وقد نهينا عن اتّهامه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يقال في دعوى الرّد، فإنّ عدم تصديقه فيه يندرجُتحت عنوان اتّهام المؤتمن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هو اتّهام المؤتمن بالتأمين العقدي، فيختصّ بالوديعة، لا وجه لها، سيّما وقد ورد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العارية مؤتمنٌ وصاحب البضاعة مؤتمن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هو قبول قوله مع يمينه، ولا فرق في ذلك بين كون الاختلاف في الرّد والوكالة باقية، أو بعد انقضائها، لأنّ العين بعد انقضائها بيد الوكيل أمانة مالكيّة إلى أن يردّها إليه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ما في كلمات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قولُ منكر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الموكّل لو ادّعى الوكيل الإذن في البيع بثمنٍ معيّن، فإنْ وجدت العين استُعيدت، وإنْ فُقدت أو تعذّرت فالمثل أو القيمة إن لم يكن مثليّاً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زوّجه فأنكر الموكّل، حلف، وعلى الوكيل المَهر،</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أصل الوكالة،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منكر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الحلف، سواءٌ كان هو المالك، كما إذا تصرّف في ماله بدعوى الوكالة، فأنكر توكيله، أو المدّعي عليه الوكالة، كما إذا اشترى شيئاً فادّعى واحدٌ أنّه اشتراه بوكالته عنه وأنّه له، وأنكر المشتري، وقال اشتريته لنفسي، والوجه في تقدّم قول المنكر عموم ما دلّ على أنّ اليمين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الموكّل لو ادّعى الوكيل الإذن في البيع بثمنٍ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الماتن وغيره، لأصالة عدم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الوكيل أمينٌ لا يُتّهم، فلو قيل بتقديم قول الوكيل كان أوجه، كمامرّ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قالوه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وجدت العين استعيدت، وإنْ فُقدت أو تعذّرت فالمثل أو القيمة إنْ لم يكن مثليّاً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مطلقاً أو مدّعياً وكالته على تزويجها،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يقدّم قوله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وللمرأة أن تتزوّج مع عدم علمها بصدق مدّعي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ثبوت المهر لها وعدمه على أقوال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الوكيل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والقاضي</w:t>
      </w:r>
      <w:r>
        <w:rPr>
          <w:rStyle w:val="FootnoteAnchor"/>
          <w:rtl w:val="true"/>
        </w:rPr>
        <w:footnoteReference w:id="42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وقيل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وقوّاه الحِلّي</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نقله المصنّف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جماعةٍ وهو عدم ثبوت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المهر يجب بالعقد كملاً، ولا ينتصف إلّابالطلاق المفقود في المقام، وقد فوّته الوكيل عليها بتقصيره في الإشهاد فيضمنه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 بإخراج بُضعها عن ملكها بعوضٍ لم يُسلّم إليها، وكان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يجبُ على الزوج لا على الوكيل، فإنْ ثبت عليه وفوّته الوكيل ضَمِن على إشكال في أنّ التفويت موجبٌ للضمان أو الضمان مختصٌّ بالإتلاف، وحيث أنّه لا يثبت عليه، فلا تفويت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 بإخراج بُضعها عن ملكها بعوضٍ في ذمّة الزوج لا في ذمّة نفسه، فلا تشمله أدلّة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يستدلّ له بالخبر الذي رواه محمّد بن مسلم،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زوّجته اُمّه وهو غائب‌؟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إنْ شاء المتزوّج قَبل، وإنْ شاءَ تَرَك، فإنْ ترك المتزوّج تزويجه فالمهر لازم لاُمّه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بناءً على تنزيله على دعوى الوكالة، إلّاأنّه يجب حمله على إرادة النصف، جمعاً بينه وبين صحيح أبي عبيدة،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أمر رجلاً أن يزوّجه امرأةً من أهل البصرة من بني تميم، فزوّجه امرأة من أهل الكوفة من بني تميم‌؟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أمره، وعلى المأمور نصف الصداق لأهل المرأة، ولا عدّة عليها ولا ميراث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أمره أن يزوّجه امرأة ولم يُسمّ أرضاً ولا قبيلة، ثمّ جَحد الآمر أنْ يكون أمرَه بذلك بعدما زوّجه‌؟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للمأمور بيّنة أنّه كان أمره أن يزوّجه، كان الصداق على الآمر، وإنْ لم يكن له بيّنة، كان الصداق على المأمور لأهل المرأة، ولا ميراث بينهما، ولا عدّة عليها، ولها نصف الصداق إنْ كان فَرَض لها صداقاً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عمربن حنظلة،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لي فلانة، فما فعلت من شيءٍ ممّا قاولت من صداقٍ أو ضمنت من شيء أو شرطت فذلك لي رضاً، وهو لازمٌ لي، ولم يشهد على ذلك، فذهب فخطبَ له، وبذل عنه الصداق، وغير ذلك ممّا طالبوه وسألوه، فلمّا رجع إليه أنكر ذلك كلّه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لها نصف الصداق عنه، وذلك أنّه هو الذي ضيّع حقّها، فلمّا لم يشهد لها عليه بذلك الذي قال له حَلّ لها أن تتزوّج ولا يحلّ للأوّل فيما بينه وبين اللّه عزّ وجلّ إلّاأن يطلّقها،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على الموكّل طلاقها مع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بِإِحْسانٍ‌</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فإنْ لم يفعل فإنّه مأثومٌ فيما بينه وبين اللّه عزّ وجلّ‌، وكان الحكم الظاهر حكم الإسلام، وقد أباح اللّه عزّ وجلّ لها أن تتزوّج</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فيهما بمخالفتهما للقواعد، لأنّه مع بطلان النكاح ظاهراً لا وجه لثبوت المهر،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الحذّاء يدلّ على ثبوت مهرٍ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نصف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لما أجمله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الصداق على المأمور لأهل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يعلم أنّ المراد بالأهل هي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موافقاً للقاعدة، إلّاأنّه لا يُصار إليه مع النّص الصحيح المعمول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فخير الأقوال أوسطها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خبر عمر بن حنظلة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الموكّل طلاقها مع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زوجتي فهي طالق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عليه أن يسوق إليها نصف المهر، كما عن المصنّف رحمه الله</w:t>
      </w:r>
      <w:r>
        <w:rPr>
          <w:rStyle w:val="FootnoteAnchor"/>
          <w:rtl w:val="true"/>
        </w:rPr>
        <w:footnoteReference w:id="434"/>
      </w:r>
      <w:r>
        <w:rPr>
          <w:rFonts w:ascii="IRNazanin" w:hAnsi="IRNazanin" w:eastAsia="IRNazanin"/>
          <w:color w:val="111111"/>
          <w:sz w:val="28"/>
          <w:sz w:val="28"/>
          <w:szCs w:val="28"/>
          <w:rtl w:val="true"/>
          <w:lang w:bidi="fa-IR"/>
        </w:rPr>
        <w:t>، وولده</w:t>
      </w:r>
      <w:r>
        <w:rPr>
          <w:rStyle w:val="FootnoteAnchor"/>
          <w:rtl w:val="true"/>
        </w:rPr>
        <w:footnoteReference w:id="435"/>
      </w:r>
      <w:r>
        <w:rPr>
          <w:rFonts w:ascii="Amiri" w:hAnsi="Amiri" w:eastAsia="Amiri" w:cs="Amiri"/>
          <w:color w:val="111111"/>
          <w:sz w:val="28"/>
          <w:sz w:val="28"/>
          <w:szCs w:val="28"/>
          <w:rtl w:val="true"/>
          <w:lang w:bidi="ar-SA"/>
        </w:rPr>
        <w:t>، والشهيد، والمحقّق الثانيين</w:t>
      </w:r>
      <w:r>
        <w:rPr>
          <w:rStyle w:val="FootnoteAnchor"/>
          <w:rtl w:val="true"/>
        </w:rPr>
        <w:footnoteReference w:id="436"/>
      </w:r>
      <w:r>
        <w:rPr>
          <w:rFonts w:ascii="Amiri" w:hAnsi="Amiri" w:eastAsia="Amiri" w:cs="Amiri"/>
          <w:color w:val="111111"/>
          <w:sz w:val="28"/>
          <w:sz w:val="28"/>
          <w:szCs w:val="28"/>
          <w:rtl w:val="true"/>
          <w:lang w:bidi="ar-SA"/>
        </w:rPr>
        <w:t>الميل إليه‌؟ر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لا يجب‌؟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القاعدة وإنْ كان هو الوجوب، إلّاأنّ الخبرين يدلّان على عدم وجوبه، سيّما الثاني منهما، حيث حكم عليه السلام بوجوب أن يطلّقها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علمت المرأة بصدقه في دعوى الوكالة، فقد يقال إنّه ليس لها أن تتزوّج مالم يُطلّقها، وحينئذٍ إنْ امتنع من الطلاق، فهل لها الفسخ‌؟ أو يجبر الحاكم الشرعي الزوج على الطلاق‌؟ أو يطلّق عنه‌؟ أم يجب عليها الصبر إلى موت ذلك الرّجل‌؟</w:t>
      </w:r>
    </w:p>
    <w:p>
      <w:pPr>
        <w:pStyle w:val="BookText"/>
        <w:rPr/>
      </w:pPr>
      <w:r>
        <w:rPr>
          <w:rFonts w:ascii="Amiri" w:hAnsi="Amiri" w:eastAsia="Amiri" w:cs="Amiri"/>
          <w:color w:val="111111"/>
          <w:sz w:val="28"/>
          <w:sz w:val="28"/>
          <w:szCs w:val="28"/>
          <w:rtl w:val="true"/>
          <w:lang w:bidi="ar-SA"/>
        </w:rPr>
        <w:t>وجوه، ولكن مقتضى إطلاق الأخبار جواز التزويج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لها أن تأخذ نصف المهر من الوكيل، لو ساق إليها الزوج نصف المهر بعد الطلاق، أم لا؟</w:t>
      </w:r>
    </w:p>
    <w:p>
      <w:pPr>
        <w:pStyle w:val="BookText"/>
        <w:rPr/>
      </w:pPr>
      <w:r>
        <w:rPr>
          <w:rFonts w:ascii="Amiri" w:hAnsi="Amiri" w:eastAsia="Amiri" w:cs="Amiri"/>
          <w:color w:val="111111"/>
          <w:sz w:val="28"/>
          <w:sz w:val="28"/>
          <w:szCs w:val="28"/>
          <w:rtl w:val="true"/>
          <w:lang w:bidi="ar-SA"/>
        </w:rPr>
        <w:t>الظاهر ذلك، بعدما عرفت من عدم وجوبه على الزوج</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بوجوبه عليه وأخذته، ليس لها أن تأخذ من الوكيل، للتعليل في خبر ابن حنظلة الذي يخصّص كما يُعمّم</w:t>
      </w:r>
      <w:r>
        <w:rPr>
          <w:rFonts w:eastAsia="Amiri" w:cs="Amiri" w:ascii="Amiri" w:hAnsi="Amiri"/>
          <w:color w:val="111111"/>
          <w:sz w:val="28"/>
          <w:szCs w:val="28"/>
          <w:rtl w:val="true"/>
          <w:lang w:bidi="ar-SA"/>
        </w:rPr>
        <w:t>.</w:t>
      </w:r>
      <w:bookmarkStart w:id="173" w:name="pg11823_118815"/>
    </w:p>
    <w:p>
      <w:pPr>
        <w:pStyle w:val="BookText"/>
        <w:rPr/>
      </w:pPr>
      <w:bookmarkEnd w:id="173"/>
      <w:r>
        <w:rPr>
          <w:rFonts w:ascii="Amiri" w:hAnsi="Amiri" w:eastAsia="Amiri" w:cs="Amiri"/>
          <w:color w:val="111111"/>
          <w:sz w:val="28"/>
          <w:sz w:val="28"/>
          <w:szCs w:val="28"/>
          <w:rtl w:val="true"/>
          <w:lang w:bidi="ar-SA"/>
        </w:rPr>
        <w:t>ولو وكّل اثنين، لم يكن لأحدهما التصرّف، إلّاأن يأذن لهما، ولا تثبت إلّا بشاهدين عدلين</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1006708_73709187"/>
      <w:bookmarkStart w:id="175" w:name="_Toc59"/>
      <w:bookmarkEnd w:id="174"/>
      <w:r>
        <w:rPr>
          <w:rtl w:val="true"/>
        </w:rPr>
        <w:t>بيان ما تثبت به الوكالة</w:t>
      </w:r>
      <w:bookmarkEnd w:id="175"/>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جملة من أحكام الوكالة، غير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وكّل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وكالةً واحدة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لأحدهما التصرّف إلّاأن يأذن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تثبت به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هناك منازعة وخصومة ويدّعى الوكالة مدّعٍ من دون أن ينكره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مقام 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فتثبت بكلّ ما تثبت به سائر الموضوعات من العلم، والبيّنة، وخبر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من حجيّته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إخباره بذلك إنْ كان ثقةً‌، بل يمكن قبول قوله مطلقاً بناءً على قبول كلّ دعوى لا معارض لها، وسيأتي الكلام في الكبرى الكليّة في كتاب القضاء</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بأنّه لا يكفي في ذلك المقام سوى شهادة عدلين، ولا بعلم الحاكم، ولا بشهادة رجل واحد مع اليمين، أو مع شهادة امرأتين في غير الحقوق الماليّة،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بشاهدين عدلين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أخّر الوكيل التسليم مع القدرة والمطالبة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المبنى موكولٌ إلى محلّه، وستعرف أنّ للحاكم أن يحكم بعلمه، وأنّ شهادة رجل واحد مع امرأتين تثبت بها الدعوى في غير الحقوق الماليّة أيضاً، وعلى الجملة لا خصوصيّة للوكالة، فالمتّبع فيها قواعد 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الوكيل تسليم ما كان بيده من مال الموكّل إليه عند مطالبته، كما في الوديعة والعارية وما شاكل، وتجبُ المبادرة إليه بحسب المتعارف، فلا يجبُ الإسراع في المشي في طريق الرّد، ولا رفع اليد عمّا يكون مشغولاً به من الأكل والشرب وما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أخّر الوكيل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القدرة والمطالبة،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على اليد</w:t>
      </w:r>
      <w:r>
        <w:rPr>
          <w:rStyle w:val="FootnoteAnchor"/>
          <w:rtl w:val="true"/>
        </w:rPr>
        <w:footnoteReference w:id="438"/>
      </w:r>
      <w:r>
        <w:rPr>
          <w:rFonts w:ascii="Amiri" w:hAnsi="Amiri" w:eastAsia="Amiri" w:cs="Amiri"/>
          <w:color w:val="111111"/>
          <w:sz w:val="28"/>
          <w:sz w:val="28"/>
          <w:szCs w:val="28"/>
          <w:rtl w:val="true"/>
          <w:lang w:bidi="ar-SA"/>
        </w:rPr>
        <w:t>فإنّه خرج عنه اليد المأذونة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اليد حين حدوثها لم توجب الضمان، وبعد خروجها عن كونها مأذونة، يشكّ في ذلك، والاستصحاب يقتضي بقائها على ما كانت عليه عن كونها موجبة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عندها هو الرجوع إلى عموم العام فيما بعد زمان التخصيص مطلقاً، ولا يرجع إلى الاستصحاب، سواءٌ أكان للعام عموم أزماني أم لم يكن، سيّما في مثل المقام ممّا كان خروج الفرد من أوّل زمان تحقّقه لا من الأثناء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76" w:name="pg11823_118817"/>
    </w:p>
    <w:p>
      <w:pPr>
        <w:pStyle w:val="BookText"/>
        <w:rPr/>
      </w:pPr>
      <w:bookmarkEnd w:id="176"/>
      <w:r>
        <w:rPr>
          <w:rFonts w:ascii="Amiri" w:hAnsi="Amiri" w:eastAsia="Amiri" w:cs="Amiri"/>
          <w:color w:val="111111"/>
          <w:sz w:val="28"/>
          <w:sz w:val="28"/>
          <w:szCs w:val="28"/>
          <w:rtl w:val="true"/>
          <w:lang w:bidi="ar-SA"/>
        </w:rPr>
        <w:t>كتاب الهبات وتوابعها،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w:t>
      </w:r>
    </w:p>
    <w:p>
      <w:pPr>
        <w:pStyle w:val="Heading3"/>
        <w:numPr>
          <w:ilvl w:val="2"/>
          <w:numId w:val="1"/>
        </w:numPr>
        <w:rPr/>
      </w:pPr>
      <w:bookmarkStart w:id="177" w:name="__RefHeading___Toc11006710_73709187"/>
      <w:bookmarkStart w:id="178" w:name="_Toc60"/>
      <w:bookmarkEnd w:id="177"/>
      <w:r>
        <w:rPr>
          <w:rtl w:val="true"/>
        </w:rPr>
        <w:t>(</w:t>
      </w:r>
      <w:r>
        <w:rPr>
          <w:rtl w:val="true"/>
        </w:rPr>
        <w:t>كتابُ الهبات وتوابعها</w:t>
      </w:r>
      <w:r>
        <w:rPr>
          <w:rtl w:val="true"/>
        </w:rPr>
        <w:t>)</w:t>
      </w:r>
      <w:bookmarkEnd w:id="178"/>
    </w:p>
    <w:p>
      <w:pPr>
        <w:pStyle w:val="Heading3"/>
        <w:numPr>
          <w:ilvl w:val="2"/>
          <w:numId w:val="1"/>
        </w:numPr>
        <w:rPr/>
      </w:pPr>
      <w:bookmarkStart w:id="179" w:name="__RefHeading___Toc11006712_73709187"/>
      <w:bookmarkStart w:id="180" w:name="_Toc61"/>
      <w:bookmarkEnd w:id="179"/>
      <w:r>
        <w:rPr>
          <w:rtl w:val="true"/>
        </w:rPr>
        <w:t>تعريف الهبة وبيان حقيقتها</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مالٍ بلا عوض، فتشمل الوصيّة والوقف والصدقة، وبهذا الاعتبار عبّر المصنّف بكتاب الهبات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تمليك مال طلقاً منجزاً بلا عوضٍ بإزاء الموهوب، من غير اشتراطٍ بقصد القربة، فيخرج الوقف لعدم كونه تمليكاً مطلقاً، والصدقة لاشتراط القربة فيها، والبيع لكونه تمليكاً لا مجاناً، والصُّلح لأنّه إنشاءُ التسالم، وليس حقيقته التمليك والوصيّة لأنّها ليست 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تعريف الهبة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ينتقض بالهبة المعوّضة ولو بالقربة، ويدفع بأنّ المراد من قوله بغير عوض ومجرّداً القربة عدم لزوم ذلك فيها، لا عدم اتّفاق حصوله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سبقه في ذلك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شرح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تبرّعاً مجرّداً عن القربة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دون اشتراطها بها، وإلّا لانتقض بالهبة المعوّض عنها، والمتقرّب بها إلى اللّه، فإنّهما هبة إجماعاً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أفاداه يتمّ بالنسبة إلى قصد القربة، دون الهبة المعوّضة، لأنّ التمليلك فيها بلا عوض بإزاء الموهوب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الهبة المعوّضة تتصوّر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المال ويشترط على المتّهب هبة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يهبه المال، ويكون داعيه هبة المتّهب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المال ويشترط النتيجة، أي كون ذلك المال الآخر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يهبه بإزاء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يهبه في مقابل هبته، بحيث تكون المقابلة بين الهبتين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الوجه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إعطاء المال إعطاءٌ لا بإزاء شيء بل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شرط النتيجة،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بصحّته، فذلك الشيء وإنْ كان يصير ملكاً له، إلّاأنّه للشرط لا لعقد الهبة، والمال الموهوب إنّما يعطى مجاناً لا بإزاء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الهبة المعوّضة، بل هو بيعٌ بلسان الهبة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فالمقابلة إنّما هي بين الهبتين لا بين المالين، وكلٍّ من المالين مجانيٌ ليس بإزاء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تصحّ في الأعيان المملوكة وإن كانت مشاعة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صحّة ذلك،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أُريد به تعليق هبته على هبة الآخر، فلو لم يهب الطرف لايكون هبة من هذا الطرف أيضاً، لتقيّدها بهبة الآخر، فهذا هو التعليق المُجمع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أنّه يملك هبته في مقابل تملّك هبة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الهبة التمليك إنّما يتعلّق بالمال، وليس هناك تمليكٌ متعلّقٌ بهذا العمل من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يصحّذلك فيما إذا وقع عقدٌ آخر على هذا العمل، بحيث صار مملوكاً بواسطة عقدٍ آخر، ولكنّه خارجٌ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تنحصر الهبة المعوّض عنها بالوجوه الثلاثة الاُول، وكونها فيها تمليكاً مجانيّاً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هبة مافي الذّمة، وتمام الكلام في هذا الفصل، يتحقّق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الأعيان المملوكة، وإنْ كانت مشاعة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 ناحية الإثبات، بل عليه الإجماع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جواز هبة الأعيان المقسومة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المتيقّن من معقد الإجماع على مشروعيّة الهبة، والأخبار المتواترة الدالّة على ذلك الآتية جملة منها في ضمن المسائل الآتية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جواز هبة المشاعة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الخاصّة،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الحلبي،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دار لم تقسّم فتصدّق بعض أهل الدار نصيبه من الدار؟ قال عليه السلام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كانت هبةً؟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يستفاد من مفهوم هذه الجملة، وهو عدم صحّة هبة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يوهب ما في الذمّة ثابتاً قبل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يهبه لغير 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في الذمّة ثابتاً قبل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يثبته في ذمّته بالهبة كما يملك ما في ذمّته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هبة ما في الذمّة لمن هو عليه، فالمشهور بين الأصحاب أنّها إبراء، وتصحّ بهذا العنوان، ولا تصحّ بعنوان الهبة، وعن جماعةٍ 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فلنا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صحّتها هبةً‌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إبراءً‌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بها أنّ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مجاني، والإنسان لا يملك مالاً على نفسه، لعدم ترتّب الأثر على هذه الملكيّة، فيكون اعتبارها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الشيخ الأعظم رحمه الله في كتاب البيع</w:t>
      </w:r>
      <w:r>
        <w:rPr>
          <w:rStyle w:val="FootnoteAnchor"/>
          <w:rtl w:val="true"/>
        </w:rPr>
        <w:footnoteReference w:id="445"/>
      </w:r>
      <w:r>
        <w:rPr>
          <w:rFonts w:ascii="Amiri" w:hAnsi="Amiri" w:eastAsia="Amiri" w:cs="Amiri"/>
          <w:color w:val="111111"/>
          <w:sz w:val="28"/>
          <w:sz w:val="28"/>
          <w:szCs w:val="28"/>
          <w:rtl w:val="true"/>
          <w:lang w:bidi="ar-SA"/>
        </w:rPr>
        <w:t xml:space="preserve">في مقام الجواب عن هذا الوجه، من تعقّل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الإنسان مالكاً لما في ذمّته ورجوعه إلى سقوطه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لأنّ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لأجل ما أشرنا إليه من لغويّة اعتبار الملكيّة، فهو مانعٌ عن الحدوث كالبقاء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لكونه أثر تلك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الشيء لا يُعقل أنْ يكون علّة لسقوطه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الأساطين</w:t>
      </w:r>
      <w:r>
        <w:rPr>
          <w:rStyle w:val="FootnoteAnchor"/>
          <w:rtl w:val="true"/>
        </w:rPr>
        <w:footnoteReference w:id="446"/>
      </w:r>
      <w:r>
        <w:rPr>
          <w:rFonts w:ascii="Amiri" w:hAnsi="Amiri" w:eastAsia="Amiri" w:cs="Amiri"/>
          <w:color w:val="111111"/>
          <w:sz w:val="28"/>
          <w:sz w:val="28"/>
          <w:szCs w:val="28"/>
          <w:rtl w:val="true"/>
          <w:lang w:bidi="ar-SA"/>
        </w:rPr>
        <w:t>، من أنّ الملكيّة لمّا كانت نحواً من السلطنة على من في ذمّته المال، فلا يعقل نقله إليه، لأنّ الإنسان لا يمكن أن يتسلّط على نفسه بالنحو الذي كان لطرفه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قيام طرفي السلطنة بشخصٍ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وشيّد بعض المحقّقين</w:t>
      </w:r>
      <w:r>
        <w:rPr>
          <w:rStyle w:val="FootnoteAnchor"/>
          <w:rtl w:val="true"/>
        </w:rPr>
        <w:footnoteReference w:id="447"/>
      </w:r>
      <w:r>
        <w:rPr>
          <w:rFonts w:ascii="Amiri" w:hAnsi="Amiri" w:eastAsia="Amiri" w:cs="Amiri"/>
          <w:color w:val="111111"/>
          <w:sz w:val="28"/>
          <w:sz w:val="28"/>
          <w:szCs w:val="28"/>
          <w:rtl w:val="true"/>
          <w:lang w:bidi="ar-SA"/>
        </w:rPr>
        <w:t>ذلك بأنّ المسلّط والمسلّط عليه متضائفان، والتضائف من أقسام التقابل، فكيف يُعقل اجتماعهما في واحد؟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أرى محذوراً في اجتماع المسلّط والمسلّط عليه في شخصٍ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كلّ ما هو من أقسام التضائف من أنحاء التقابل، بل ما كان بينهما تغاير في الوجود كالعلّية والمعلوليّة، وإلّا فالعالميّة والمعلوميّة، والمحبيّة والمحبوبيّة من أقسام التضائف، وليستا من أنحاء التقابل، وتجتمعان في شخصٍ واحد، ويُحبُّ الإنسان نفسه، ويعلم بنفسه، والسلطنة من هذا القبيل، فإنّ معناها كون الشخص قاهراً على شخص، وكون المسلّط عليه تحت إرادته واختياره، وهذا المعنى يمكن اجتماعه في شخصٍ واحد، بل سلطنة الإنسان على نفسه من أعلى مراتب السلطنة، وكيف وقد ورد أنّ الناس مسلّطون على أنفسهم، ولم يستشكل أحدٌ في معقوليّته، مع أنّ المسلّط عليه إنّما هو بمعنيين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بضرره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السلطنة، فمن سلطنة الإنسان على ما في ذمّته لا يلزم قيام طرفي السلطنة بشخصٍ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على الرّجل الدراهم فيهبها له، ألَهُ أن يرجع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يلائم مع الهبة المصطلحة، كذلك يلائم مع إرادة الإبراء منه،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على إرادة الإبراء منه، حيث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لم يجعل إبراءً بل هبة، لما أمكن إطلاق القول بجواز الرجوع كما سيأتي إنْ شاء اللّه تعالى من جوازه فيها في مواضع كثيرة بخلاف الإبراء فإنّه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لازمٌ مطلقاً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يرجع فيها من جهة سقوط ما في الذمّة وهو في حكم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يظهر وجه صحّتها إبراءً‌، ويشهد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وإلى ما دلّ على العفو عن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والقَرض</w:t>
      </w:r>
      <w:r>
        <w:rPr>
          <w:rStyle w:val="FootnoteAnchor"/>
          <w:rtl w:val="true"/>
        </w:rPr>
        <w:footnoteReference w:id="450"/>
      </w:r>
      <w:r>
        <w:rPr>
          <w:rFonts w:ascii="Amiri" w:hAnsi="Amiri" w:eastAsia="Amiri" w:cs="Amiri"/>
          <w:color w:val="111111"/>
          <w:sz w:val="28"/>
          <w:sz w:val="28"/>
          <w:szCs w:val="28"/>
          <w:rtl w:val="true"/>
          <w:lang w:bidi="ar-SA"/>
        </w:rPr>
        <w:t xml:space="preserve">، وغير تلكم من الموارد الخاصّة، إذ العفو في هذه الموارد إبراءٌ لما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عقدٌ أو إيقاع عقلائي، لم يردع الشارع الأقدس عنها، فتكون ممضاة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المطروح حينئذٍ هو أنّ الهبة هل هي عقدٌ أو إيقاع‌؟</w:t>
      </w:r>
    </w:p>
    <w:p>
      <w:pPr>
        <w:pStyle w:val="BookText"/>
        <w:rPr/>
      </w:pPr>
      <w:r>
        <w:rPr>
          <w:rFonts w:ascii="Amiri" w:hAnsi="Amiri" w:eastAsia="Amiri" w:cs="Amiri"/>
          <w:color w:val="111111"/>
          <w:sz w:val="28"/>
          <w:sz w:val="28"/>
          <w:szCs w:val="28"/>
          <w:rtl w:val="true"/>
          <w:lang w:bidi="ar-SA"/>
        </w:rPr>
        <w:t>الظاهر هو الثاني، إذ لا حقيقة لتلك الهبة غير الإسقاط لا نقل شيء إلى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الاستشهاد له بجملةٍ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يَعْفُوَا اَلَّذِي بِيَدِهِ عُقْدَةُ‌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اكتفى في سقوط الحقّ بمجرّد العفو، ولا دخل للقبول في مسمّاه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دِيَةٌ مُسَلَّمَةٌ إِلى أَهْلِهِ إِلاّ أَنْ يَصَّدَّقُوا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مرّ من عدم كون هبة ما على الشخص وصدقة إليه إلّاإبراء، وليس فيه اعتبار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إبراء الشخص من ما هو ثابتٌ في ذمّته منّةٌ فلا يُجبر عليتحمّلها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إسقاط الإنسان حقّه ابتداءً من دون أن يسأله من عليه الحقّض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لايظهر فيه منّة يثقل تحمّلها على من عليه الحقّ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 القبول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هبة الدين لغير 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بينهم عدم الصحّة،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المعظم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452"/>
      </w:r>
      <w:r>
        <w:rPr>
          <w:rFonts w:ascii="Amiri" w:hAnsi="Amiri" w:eastAsia="Amiri" w:cs="Amiri"/>
          <w:color w:val="111111"/>
          <w:sz w:val="28"/>
          <w:sz w:val="28"/>
          <w:szCs w:val="28"/>
          <w:rtl w:val="true"/>
          <w:lang w:bidi="ar-SA"/>
        </w:rPr>
        <w:t>والحِلّي</w:t>
      </w:r>
      <w:r>
        <w:rPr>
          <w:rStyle w:val="FootnoteAnchor"/>
          <w:rtl w:val="true"/>
        </w:rPr>
        <w:footnoteReference w:id="453"/>
      </w:r>
      <w:r>
        <w:rPr>
          <w:rFonts w:ascii="Amiri" w:hAnsi="Amiri" w:eastAsia="Amiri" w:cs="Amiri"/>
          <w:color w:val="111111"/>
          <w:sz w:val="28"/>
          <w:sz w:val="28"/>
          <w:szCs w:val="28"/>
          <w:rtl w:val="true"/>
          <w:lang w:bidi="ar-SA"/>
        </w:rPr>
        <w:t xml:space="preserve">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وجماعةٍ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القبض شرط في صحّة الهبة، وما في الذّمة يمتنع قبضه، لأنّه ماهيّة كليّة لا وجود لها في الخارج، والجزئيّات التي يتحقّق الحقّ في ضمنها ليست هي الماهيّة، بل بعض أفرادها، وأفرادها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الثابت في محلّه أنّ وجود الكلّي عين وجود أفراده، وعليه فقبض أحد أفراده قبضٌ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صفوان،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له على رجلٍ مال فوهبه لولده، فذكر له الرّجل المال الذي له عليه‌؟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عليك منه شيء في الدُّنيا والآخرة، يطيب ذلك منه، وقد كان وهبه لولدٍ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وهبه ثمّ نزعه فجعله لهذا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الهبة للولد لايجوز الرجوع فيها، وقد حكم فيه بجوازه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81" w:name="pg11823_118825"/>
    </w:p>
    <w:p>
      <w:pPr>
        <w:pStyle w:val="BookText"/>
        <w:rPr/>
      </w:pPr>
      <w:bookmarkEnd w:id="181"/>
      <w:r>
        <w:rPr>
          <w:rFonts w:ascii="Amiri" w:hAnsi="Amiri" w:eastAsia="Amiri" w:cs="Amiri"/>
          <w:color w:val="111111"/>
          <w:sz w:val="28"/>
          <w:sz w:val="28"/>
          <w:szCs w:val="28"/>
          <w:rtl w:val="true"/>
          <w:lang w:bidi="ar-SA"/>
        </w:rPr>
        <w:t>بإيجابٍ وقبول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جوّز الرجوع فيه، لأنّه لم يقبضه، وإطلاق النزع حينئذٍ بلحاظ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حكم ما لو وهبه كليّاً في ذمّته، من دون أنْ يكون ثابتاً قبل الهبة في ذمّته وأنّه يصحّ‌، وقبضه إنّما هو بقبض 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وهبه ديناً له على غيره، وكان المتّهب مديوناً لذلك الغير بقدره، فإنْ قبضه الواهب، وسلّمه إلى المتّهب، أو أذن له في القبض فَقَبَضه ثمّ رَدّه عليه عوضاً عمّا عليه فلا كلام، إنّما الكلام في أنّه هل له أنْ يحتسب عليه بإزاء ما عليه أم لا؟</w:t>
      </w:r>
    </w:p>
    <w:p>
      <w:pPr>
        <w:pStyle w:val="BookText"/>
        <w:rPr/>
      </w:pPr>
      <w:r>
        <w:rPr>
          <w:rFonts w:ascii="Amiri" w:hAnsi="Amiri" w:eastAsia="Amiri" w:cs="Amiri"/>
          <w:color w:val="111111"/>
          <w:sz w:val="28"/>
          <w:sz w:val="28"/>
          <w:szCs w:val="28"/>
          <w:rtl w:val="true"/>
          <w:lang w:bidi="ar-SA"/>
        </w:rPr>
        <w:t>الظاهر أنّ له ذلك، لأنّه حينئذٍ بحكم القبض، بل لا معنى للقبض إلّاجعله تحت سلطنته واختياره، فكأنّه بالاحتساب قد قبض الكلّي على كليّته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المتّهب يأذن لمن عليه الدَّين أن يقبض ما عليه للواهب من طرفه على وجه المعاوضة بينه وبين ماله على المتّهب،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جميع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هبة المنافع، وقبض المنفعة إنّما يكون بقبض العين، بل يصحّ هبة الحقوق القابلة للنقل وإنْ لم تكن من الهبة المصطلحة، ولم تشمله نصوص الباب، لكنّه تكفى العمومات في صحّتها</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1006714_73709187"/>
      <w:bookmarkStart w:id="183" w:name="_Toc62"/>
      <w:bookmarkEnd w:id="182"/>
      <w:r>
        <w:rPr>
          <w:rtl w:val="true"/>
        </w:rPr>
        <w:t>الهبة من العقود</w:t>
      </w:r>
      <w:bookmarkEnd w:id="18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تصحّ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بإيجابٍ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أنّها تمليك من طرف وتملّك من طرف آخر، وبعبارة أُخرى هي خلعٌ ولبس، فيعتبر رضا كلّ من الخالع واللّابس، والتزامه بذلك، وحيث أنّ مجرّد الالتزامات النفسانيّة لا عبرة بها ما لم </w:t>
      </w:r>
    </w:p>
    <w:p>
      <w:pPr>
        <w:pStyle w:val="BookText"/>
        <w:rPr/>
      </w:pPr>
      <w:r>
        <w:rPr>
          <w:rFonts w:ascii="Amiri" w:hAnsi="Amiri" w:eastAsia="Amiri" w:cs="Amiri"/>
          <w:color w:val="111111"/>
          <w:sz w:val="28"/>
          <w:sz w:val="28"/>
          <w:szCs w:val="28"/>
          <w:rtl w:val="true"/>
          <w:lang w:bidi="ar-SA"/>
        </w:rPr>
        <w:t>تُبرز، فلابدّ من مبرزٍ من طرف الواهب وهو الإيجاب، ومن طرف المتّهب وهو القبول، والقول في ما يعتبر فيهما شيءٌ سوى كون المبرِز كاشفاً عن الالتزام النفساني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فيهما عدم الفصل الطويل بينهما، ولا اللّفظ، بل تجري المعاطاة فيها،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الأصحاب الاتّفاق على افتقار الهبة مطلقاً إلى العقد القولي في الجملة</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وعليه فالإجماع دليلٌ على عدم صحّة الهبة المعاطاتيّة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المنقول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المجمعين معلومٌ‌، وهو ماذكروه في جميع العقود لعدم جريان المعاطاة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فتنحلّ العويصة التي في المقام، وهو أنّه قد تعارف بين الناس الهبة الفعليّة، ويعاملون مع الموهوب معاملة الملك، ويتصرّفون فيه التصرّفات المتوقّفة على الملك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الأصحاب لما بنوا على اعتبار الإيجاب والقبول اللّفظيين فيها، ورأوا أنّ المعهود من فعل النبيّ صلى الله عليه و آله والأئمّة رحمه الله المعاملة مع ما يهدى إليهم معاملة الملكيّة، إذ كانت الهدايا تحمل إليهم فيقبلون ويرتّبون آثار الملكيّة، فإنّ مارية القبطيّة قد أهداها بعض الملوك إلى النبيّ صلى الله عليه و آله</w:t>
      </w:r>
      <w:r>
        <w:rPr>
          <w:rStyle w:val="FootnoteAnchor"/>
          <w:rtl w:val="true"/>
        </w:rPr>
        <w:footnoteReference w:id="457"/>
      </w:r>
      <w:r>
        <w:rPr>
          <w:rFonts w:ascii="Amiri" w:hAnsi="Amiri" w:eastAsia="Amiri" w:cs="Amiri"/>
          <w:color w:val="111111"/>
          <w:sz w:val="28"/>
          <w:sz w:val="28"/>
          <w:szCs w:val="28"/>
          <w:rtl w:val="true"/>
          <w:lang w:bidi="ar-SA"/>
        </w:rPr>
        <w:t>وكانت اُمّ ولدٍ له، وأهدى المختار إلى علي بن الحسين عليهما السلام جاريةً فأولدها زيداً وهكذا، التجأوا إلى جعل الهديّة غير الهبة، وأنّ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إنّما هو في الهديّة المأخوذ في حقيقتها إرسال شيء إلى شخصٍ بقصد الإكرام والإعظام دون الهبة، وجعلوا المعهود من فعل المعصومين عليهم السلام، والسيرة المستمرّة، على ترتيب آثار المِلْكيّة عليها بمجرّد الإرسال من المُهدي دليلاً على عدم اعتبار الإيجاب والقبول اللّفظيين، بل والفعلين أيضاً في خصوص الهديّة دون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بناءً على ما قدّمناه من جريان المعاطاة فيها على القاعدة، لا حاجة إلى تكلّف الفرق بينهما بعد كون الهديّة في الحقيقة قسماً من الهبة، غاية الأمر أنّها هبة مقرونة بقصد الإكرام والإعظام، ويجعل ذلك كلّه دليلاً على المختار، إذ الفرق بين أقسام الهبة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لا معنى لها في الهبة أصلاً، بل فيها الإعطاء من جانبٍ والأخذ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المعاطاة لم يرد في آيةٍ ولا روايةٍ كي يدور الحكم بالنفوذ وعدمه مدار صدقه وعدمه، بل المراد بها هو الإنشاء الفعلي، وهو يشمل الاٍعطاء 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المتعارف في الهدايا الاكتفاء بالإرسال من المُهدي ووصولها إلى المُهدى إليه، والسيرة قائمة على المعاملة معه حينئذٍ معاملة الملك، فلامناص عن البناء على الفرق بين الهديّة وغيرها من أقسام الهبة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إنّما يقصد التمليك مجاناً، ويظهره بالإرسال إلى المُهدي إليه، فهو إنشاءٌ منه، وبعد الوصول إلى المُهدى إليه يقبل هو ذلك فيتمّ الإيجاب والقبول، ولا يضرّ الفصل الطويل بينهما كما مرّ في كتاب البيع</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84" w:name="pg11823_118828"/>
    </w:p>
    <w:p>
      <w:pPr>
        <w:pStyle w:val="BookText"/>
        <w:rPr/>
      </w:pPr>
      <w:bookmarkEnd w:id="184"/>
      <w:r>
        <w:rPr>
          <w:rFonts w:ascii="Amiri" w:hAnsi="Amiri" w:eastAsia="Amiri" w:cs="Amiri"/>
          <w:color w:val="111111"/>
          <w:sz w:val="28"/>
          <w:sz w:val="28"/>
          <w:szCs w:val="28"/>
          <w:rtl w:val="true"/>
          <w:lang w:bidi="ar-SA"/>
        </w:rPr>
        <w:t>وقبضٍ من المكلّف الحُرّ</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1006716_73709187"/>
      <w:bookmarkStart w:id="186" w:name="_Toc63"/>
      <w:bookmarkEnd w:id="185"/>
      <w:r>
        <w:rPr>
          <w:rtl w:val="true"/>
        </w:rPr>
        <w:t>القبض شرط في صحّة الهبة</w:t>
      </w:r>
      <w:bookmarkEnd w:id="18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يعتبر في صحّة 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من الملّكف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عليه 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فلا تفيد الملكيّة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461"/>
      </w:r>
      <w:r>
        <w:rPr>
          <w:rFonts w:ascii="IRNazanin" w:hAnsi="IRNazanin" w:eastAsia="IRNazanin"/>
          <w:color w:val="111111"/>
          <w:sz w:val="28"/>
          <w:sz w:val="28"/>
          <w:szCs w:val="28"/>
          <w:rtl w:val="true"/>
          <w:lang w:bidi="fa-IR"/>
        </w:rPr>
        <w:t>، وابن البرّاج</w:t>
      </w:r>
      <w:r>
        <w:rPr>
          <w:rStyle w:val="FootnoteAnchor"/>
          <w:rtl w:val="true"/>
        </w:rPr>
        <w:footnoteReference w:id="462"/>
      </w:r>
      <w:r>
        <w:rPr>
          <w:rFonts w:ascii="Amiri" w:hAnsi="Amiri" w:eastAsia="Amiri" w:cs="Amiri"/>
          <w:color w:val="111111"/>
          <w:sz w:val="28"/>
          <w:sz w:val="28"/>
          <w:szCs w:val="28"/>
          <w:rtl w:val="true"/>
          <w:lang w:bidi="ar-SA"/>
        </w:rPr>
        <w:t>، وابن حمزة</w:t>
      </w:r>
      <w:r>
        <w:rPr>
          <w:rStyle w:val="FootnoteAnchor"/>
          <w:rtl w:val="true"/>
        </w:rPr>
        <w:footnoteReference w:id="463"/>
      </w:r>
      <w:r>
        <w:rPr>
          <w:rFonts w:ascii="Amiri" w:hAnsi="Amiri" w:eastAsia="Amiri" w:cs="Amiri"/>
          <w:color w:val="111111"/>
          <w:sz w:val="28"/>
          <w:sz w:val="28"/>
          <w:szCs w:val="28"/>
          <w:rtl w:val="true"/>
          <w:lang w:bidi="ar-SA"/>
        </w:rPr>
        <w:t>، والحِلّي</w:t>
      </w:r>
      <w:r>
        <w:rPr>
          <w:rStyle w:val="FootnoteAnchor"/>
          <w:rtl w:val="true"/>
        </w:rPr>
        <w:footnoteReference w:id="464"/>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كونه شرطاً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أبان، عمّن أخبره،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 والهبة ما لم تقبض حتّى يموت صاحبها؟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بمنزلة الميراث، وإنْ كان لصبي في حجره وأشهد عليه فهو جائز</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الهبة مفيدة للملك بدون القبض لم ترجع ميراثاً، غاية الأمر أنّ </w:t>
      </w:r>
    </w:p>
    <w:p>
      <w:pPr>
        <w:pStyle w:val="BookText"/>
        <w:rPr/>
      </w:pPr>
      <w:r>
        <w:rPr>
          <w:rFonts w:ascii="Amiri" w:hAnsi="Amiri" w:eastAsia="Amiri" w:cs="Amiri"/>
          <w:color w:val="111111"/>
          <w:sz w:val="28"/>
          <w:sz w:val="28"/>
          <w:szCs w:val="28"/>
          <w:rtl w:val="true"/>
          <w:lang w:bidi="ar-SA"/>
        </w:rPr>
        <w:t>الوارث مخيّر في الرجوع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داود بن الحُصين،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والنحلة ما لم تقبض حتّى يموت صاحبها؟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ميراث، فإنْ كان لصبيّ في حجره فاشهد عليه فهو جائز</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 كما في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وقوي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لاتكون أبداً هبةً حتّى يقبضها، والصدقة جائز عليه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نفي الهبة بدون القبض، وظاهر النفي كونه نفياً تشريعيّا لا تكوينيّاً، ومعنى النفي التشريعي عدم ترتّب الأثر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فدلالة الخبر على نفي الصحّة بدون القبض، لو لم تكن بالصراحة، لا ريب في أنّها قريبة منها، ولا مجال للمناقشة فيها بما ذكروه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بالأمر بالوفاء بالعقود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جائزة قبضت أو لم تقبض، قسّمت أو لم تقسّم، والنحل لايجوز حتّى تقبض، وإنّما أراد الناس ذلك فاخطأوا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الرحمن بن سيابة،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تصدّق الرّجل بصدقةٍ أو هبة،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قبضها صاحبها أو لم يقبضها، علمت أو لم تعلم، فهي جائزة</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دليل اللّزوم لا الصحّة، مع أنّه لو كان دالّاً على صحّة كلّ عقد لزم تقييده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الجواز فيهما يحتمل اللّزوم، كما فهمه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لا الصحّة، ويؤيّده إطلاق الجواز عليه في روايات الهبة لذي الرّحم الآتية، وفي خبر الإقرار</w:t>
      </w:r>
      <w:r>
        <w:rPr>
          <w:rStyle w:val="FootnoteAnchor"/>
          <w:rtl w:val="true"/>
        </w:rPr>
        <w:footnoteReference w:id="473"/>
      </w:r>
      <w:r>
        <w:rPr>
          <w:rFonts w:ascii="Amiri" w:hAnsi="Amiri" w:eastAsia="Amiri" w:cs="Amiri"/>
          <w:color w:val="111111"/>
          <w:sz w:val="28"/>
          <w:sz w:val="28"/>
          <w:szCs w:val="28"/>
          <w:rtl w:val="true"/>
          <w:lang w:bidi="ar-SA"/>
        </w:rPr>
        <w:t>وغير ذلك من الموارد، وعلى هذا فلم يقل أحدٌ بمضمونهما لاتّفاق الأصحاب على عدم اللّزوم بدون القبض، مع أنّ أكثر أفراد الهبة جائزة حتّى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به النفوذ المترقّب منها جوازاً ولزوماً، فيرد عليهما أيضاً ما مرّ، إذ الهبة لذي الرّحم حكمها اللّزوم، ونفوذها إنّما يكون كذلك مع الاتّفاق على اشتراط لزومها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به الجواز المقابل للّزوم، فلا يدلّ الخبران حينئذٍ على اشتراط القبض في اللّزوم، بل يدلّان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يدلّان عليه حينئذٍ جواز الرجوع في الهبة قبل القبض، وهذا يلائم مع اشتراطالقبض في تأثيرها في الملكيّة، كمايلائم مع حصول الملكيّة قبل القبض</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حملهما على إرادة أنّ الهبة تؤثّر في حصول الملك وإنْ لم تُقبض، الذي هو مبنى الاستدلال، فهو يحتاجُ إلى قرينةٍ عليه مفقودة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وهبه ما في ذمّته كان إبراءً‌، ويُشترط في القبض إذن الواهب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وتسليم دلالتهما على ذلك، إنّهما لايصلحان للمقاومة مع النصوص المتقدّمة المشهورة بين الأصحاب، فإنّ الشهرة أوّل المرجّحات فتقدّم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القبض شرطٌ في صحّة الهبة، بمعنى أنّها لا تؤثّر في حصول الملكيّة إلّابعد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المصنّف على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وهبه ما في ذمّته، كان 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ذلك في المسألة الأُولى‌، وعرفت ماهو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القبض إذن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لا خلاف فيه عندنا</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فيه، بل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4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الإماميّة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واستدلّوا 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أن يهبه 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عدم ترتّب الأثر، وعدم الانتقال مع عدم إطلاقٍ يوثق به في تناول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ما دلّ على شرطيّته ظاهرٌ في غير القبض بدون إذن الواهب، 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الأفعال أو التفعيل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وبحرمة القبض بدون إذنه، بناءً على كونه شرطاً في حصول الملك، فإنّ المال قبل القبض ملكٌ للواهب، فلا يجوز التصرّف فيه بلا 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فلمعلوميّة مدرك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لا مورد له مع إطلاق الدليل، ومنع إطلاقٍ يوثق به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اشتراط الإقباض خلاف المتّفق عليه، لبنائهم على كفاية كون المال بيد المتّهب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إبقاء المال عنده 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المتيقّن من دليل الشرط اعتبار وصول المال إلى يد المتّهب، والزائد على ذلك اعتباره مشكوكٌ فيه يرتفع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الحرمة لا توجب فساد القبض، مع أنّها مطلقاً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اعتبار إذن الواهب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يهبه ما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أنْ يكون ذلك استثناءً عن </w:t>
      </w:r>
    </w:p>
    <w:p>
      <w:pPr>
        <w:pStyle w:val="BookText"/>
        <w:rPr/>
      </w:pPr>
      <w:r>
        <w:rPr>
          <w:rFonts w:ascii="Amiri" w:hAnsi="Amiri" w:eastAsia="Amiri" w:cs="Amiri"/>
          <w:color w:val="111111"/>
          <w:sz w:val="28"/>
          <w:sz w:val="28"/>
          <w:szCs w:val="28"/>
          <w:rtl w:val="true"/>
          <w:lang w:bidi="ar-SA"/>
        </w:rPr>
        <w:t>اعتبار القبض، فمراده أنّه لو كان الموهوب حال الهبة في يد المتّهب، لا حاجة إلى قبضٍ جديد، كما هو المشهور بين الأصحاب، ويحتمل أنْ يكون استثناءً من اعتبار الإذن في القبض، فمراده أنّه لا يعتبر الإذن في هذا الفرض، وهو أيضاً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وعليكلّ حال، فهو متين على ماقدّمناه من عدم اعتبار الإذن في القبض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لعدم اعتباره في الفرض، بانصراف ما دلّ على اعتبار القبض المأذون فيه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إجراء الواهب للعقد كاشفٌ عن رضاه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العلّة في الخبر الذي رواه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يتصدّق على ولده وقد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لأنّ والده هو الذي يلي أمره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أنّ كونه في قبض الوليّ كافٍ من دون اعتبار قيد، وكفايته إنّما هي بلحاظ أنّ قبض الوليّ قبضٌ للمولّى عليه، فيدلّ على كفاية ذلك وإنْ يكن هناك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الواهب عالماً بأنّ المال في يد المتّهب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الجائز أنْ يكون للواهب نظرٌ خاص في الهبة بدون القبض، كأن يجعلها معلّقة، أو غير ذلك من الاحتمالات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وللأب والجَدّ ولاية القبول والقبض عن الصغير والمجنون،</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ما لم يُحرز رضاه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 الخبر قبض الواهب ولايةً عن الصغير، فالإذن هناك موجود ولا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 والجَدّ ولاية القبول والقبض عن الصغير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لهما الولاية على العقود والإيقاعات بتوابعهما عنهما، على ما مرّ مفصّلاً في كتاب البيع</w:t>
      </w:r>
      <w:r>
        <w:rPr>
          <w:rStyle w:val="FootnoteAnchor"/>
          <w:rtl w:val="true"/>
        </w:rPr>
        <w:footnoteReference w:id="480"/>
      </w:r>
      <w:r>
        <w:rPr>
          <w:rFonts w:ascii="Amiri" w:hAnsi="Amiri" w:eastAsia="Amiri" w:cs="Amiri"/>
          <w:color w:val="111111"/>
          <w:sz w:val="28"/>
          <w:sz w:val="28"/>
          <w:szCs w:val="28"/>
          <w:rtl w:val="true"/>
          <w:lang w:bidi="ar-SA"/>
        </w:rPr>
        <w:t>، ويترتّب على ذلك أنّه لو وهب الوليّ ما في يده للمولى عليه الصغير أو المجنون، لم تفتقر إلى قبضٍ جديد، ولا إلى مضيّ زمانٍ يمكن فيه القبض، بل يكفى قبضهما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بذلك في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على وفق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أبان، وموثّق داود المتقدّمان، المتضمّنان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الصبيّ في حجره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في خبر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 تصدّق بها على ولد صغيرٍ، فإنّها جائزة، لأنّه يقبض لولده إذ كان صغيراً</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قصد القبض عن الصبيّ‌، كما عن المصنّف رحمه الله، أم لا يكون معتبراً كما هو المشهور؟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أظهرهما الثاني، لإطلاق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87" w:name="pg11823_118835"/>
    </w:p>
    <w:p>
      <w:pPr>
        <w:pStyle w:val="BookText"/>
        <w:rPr/>
      </w:pPr>
      <w:bookmarkEnd w:id="187"/>
      <w:r>
        <w:rPr>
          <w:rFonts w:ascii="Amiri" w:hAnsi="Amiri" w:eastAsia="Amiri" w:cs="Amiri"/>
          <w:color w:val="111111"/>
          <w:sz w:val="28"/>
          <w:sz w:val="28"/>
          <w:szCs w:val="28"/>
          <w:rtl w:val="true"/>
          <w:lang w:bidi="ar-SA"/>
        </w:rPr>
        <w:t>وليس له الرجوع بعد الإقباض، إنْ كانت لذي الرَّحم، أو بعد التلف أو التعويض، وفي التصرّف خلافٌ‌،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الزوجان كالرَّحم، وله الرجوع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وهبا للصغير مالاً ليس في يدهما، فالظاهر اعتبار قبضهما كما هو المشهور، إذ الخبران منصرفان إلى صورة كون المال في يدهما، والتعليل في الخبرين الأخيرين يدلّ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المتّهب ولداً كبيراً يعتبر قبضه، ولا يكفي قبض الوليّ‌، من غير فرقٍ بين الذكر والاُنثى‌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الإسكافي</w:t>
      </w:r>
      <w:r>
        <w:rPr>
          <w:rStyle w:val="FootnoteAnchor"/>
          <w:rtl w:val="true"/>
        </w:rPr>
        <w:footnoteReference w:id="482"/>
      </w:r>
      <w:r>
        <w:rPr>
          <w:rFonts w:ascii="Amiri" w:hAnsi="Amiri" w:eastAsia="Amiri" w:cs="Amiri"/>
          <w:color w:val="111111"/>
          <w:sz w:val="28"/>
          <w:sz w:val="28"/>
          <w:szCs w:val="28"/>
          <w:rtl w:val="true"/>
          <w:lang w:bidi="ar-SA"/>
        </w:rPr>
        <w:t>من عدم اعتباره في الاُنثى‌، ما دامت في حجره، لا وجه له سوى القياس</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1006718_73709187"/>
      <w:bookmarkStart w:id="189" w:name="_Toc64"/>
      <w:bookmarkEnd w:id="188"/>
      <w:r>
        <w:rPr>
          <w:rtl w:val="true"/>
        </w:rPr>
        <w:t>حكم الهبة من حيث اللّزوم والجواز</w:t>
      </w:r>
      <w:bookmarkEnd w:id="18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له الرجوع بعد الإقباض إنْ كانت لذي الرّحم، أو بعد التلف أو التعويض، وفي التصرّف خلافٌ‌،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الزوجان كالرّحم، وله الرجوع في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فروع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ادّعي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الرجوع بعد القبض، إلّافي مواضع مخصوصة، قد وقع الاتّفاق على بعضها، والخلاف في بعضٍ </w:t>
      </w:r>
    </w:p>
    <w:p>
      <w:pPr>
        <w:pStyle w:val="BookText"/>
        <w:rPr/>
      </w:pPr>
      <w:r>
        <w:rPr>
          <w:rFonts w:ascii="Amiri" w:hAnsi="Amiri" w:eastAsia="Amiri" w:cs="Amiri"/>
          <w:color w:val="111111"/>
          <w:sz w:val="28"/>
          <w:sz w:val="28"/>
          <w:szCs w:val="28"/>
          <w:rtl w:val="true"/>
          <w:lang w:bidi="ar-SA"/>
        </w:rPr>
        <w:t>كما سيمرّ عليك، ومقتضى القاعدة هو اللّزوم، إلّاما خرج كما هو الشأن في جميع العقود، ولكن في خصوص المقام روايات خاصّة، وهي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ما ذهب إليه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جميل والحلبي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الهبة قائمة بعينها فله أنْ يرجع، وإلّا فليس له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والنحلة يرجع فيها صاحبها إنْ شاء، حيزت أو لم تحز، إلّالذي رحمٍ فإنّه لا يرجع فيها</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البصري، وعبد اللّه بن سليمان،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يهب الهبة أيرجع فيها إنْ شاء أم 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الهبة لذوي القرابة، والذي يثاب عن هبته ويرجع في غير ذلك إنْ شاء</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أبان كالصحيح،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لأحدٍ أن يرجع في صدقةٍ أو هبةٍ؟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تصدّق به للّه فلا، وأمّا الهبة والنحلة فإنّه يرجع فيها حازها أو لم يحزها، وإنْ كان لذي قرابة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لمن أعطى للّه شيئاً أن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يرجع فيه، وما لم يعط للّه وفي اللّه فإنّه يرجع فيه نحلةً كانت أو هبة، حيزت أم لم تحز، ولا يرجع الرّجل فيما يهب لامرأته ولا المرأة فيما تهب لزوجها حيز أو لم يحز</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عبيد بن زرارة، عن الإمام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وهب أو نحل أن يرجع في هبته حيز أو لم يحز</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جواز الرجوع في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إبراهيم بن عبد الحميد،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بالخيار في الهبة مادامت في يدك، فإذا خرجتْ إلى صاحبها، فليس لك أن ترجع فيها،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في هبته فهو كالراجع في قيئه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المبيع فيوهب له الشيء، فكان الذي اشترى لؤلؤاً فوهب له لؤلؤاً، فرأى المشتري في اللّؤلؤ أن يردّ، أيردّ ما وهب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ليس فيها رجعة وقد قبضها، إنّما سبيله على البيع، فإنْ رَدّ المبتاع المبيع لم يردّ معه الهبة</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عليّ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ماله، ثمّ احتاج إليه أيأخذه لنفسه أم يبعث به إليك‌؟</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في ذلك مالم يخرجه عن يده، ولو وصل إلينا لرأينا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90" w:name="pg11823_118838"/>
    </w:p>
    <w:p>
      <w:pPr>
        <w:pStyle w:val="BookText"/>
        <w:rPr/>
      </w:pPr>
      <w:bookmarkEnd w:id="190"/>
      <w:r>
        <w:rPr>
          <w:rFonts w:ascii="Amiri" w:hAnsi="Amiri" w:eastAsia="Amiri" w:cs="Amiri"/>
          <w:color w:val="111111"/>
          <w:sz w:val="28"/>
          <w:sz w:val="28"/>
          <w:szCs w:val="28"/>
          <w:rtl w:val="true"/>
          <w:lang w:bidi="ar-SA"/>
        </w:rPr>
        <w:t>نواسيه وقد احتاج إليه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جرّاج المدائني،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في هبته فهو كالرجع في قيئه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الطائفة الثانية أكثرها ضعيفة السند، وأعمّ مطلق من الأخبار الأولى لشمولها للهبة المعوّض عنها، وما قصد بها القربة وهبة ذي الرّحم، فيقيّد إطلاقها بها، ومع الإغماض عن الجهتين، فإنّ الجمع العرفي بينهما إنّما يقتضي حمل الثانية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فهي معرَضٌ عنها عند الأصحاب، لعدم لزوم الهبة بقول مطلق اتّفاقاً، وعلى فرض التنزّل فهي لا تصلح لمقاومة النصوص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الهبة من العقود الجائزة، إلّاما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الهبة من العقود الجائزة، لزم أنْ تنفسخ بالجنون والإغماء والموت، ومن المعلوم هنا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أنّه لا دليل على هذه الكبرى الكليّة، وأنّها غير تامّة، وعلى فرض التسليم يقيّد إطلاق الكبرى بما دلّ على عدم انفساخ الهبة بها</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1006720_73709187"/>
      <w:bookmarkStart w:id="192" w:name="_Toc65"/>
      <w:bookmarkEnd w:id="191"/>
      <w:r>
        <w:rPr>
          <w:rtl w:val="true"/>
        </w:rPr>
        <w:t>لزوم الهبة لذي الرحم وهبة أحد الزوجين للآخر</w:t>
      </w:r>
      <w:bookmarkEnd w:id="19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الرجوع في هبة الأبوين للأولاد بعد القبض، وكذا العكس، ويشهد به صحيحا محمّد والبصري، وعبداللّه بن سليمان المتقدّمان، ولا يعارضهما </w:t>
      </w:r>
    </w:p>
    <w:p>
      <w:pPr>
        <w:pStyle w:val="BookText"/>
        <w:rPr/>
      </w:pPr>
      <w:r>
        <w:rPr>
          <w:rFonts w:ascii="Amiri" w:hAnsi="Amiri" w:eastAsia="Amiri" w:cs="Amiri"/>
          <w:color w:val="111111"/>
          <w:sz w:val="28"/>
          <w:sz w:val="28"/>
          <w:szCs w:val="28"/>
          <w:rtl w:val="true"/>
          <w:lang w:bidi="ar-SA"/>
        </w:rPr>
        <w:t>مرسل أبان المتقدّم، لعدم صلاحيّته للمقاومة معهما لكونهما مشهورين بين الأصحاب، والشهرة أوّل المرجّحات، ولأصحيّة سندهما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إلى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يحزها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أنّه إنْ لم يحزها لا فرق بين ذي الرّحم وغيره، فلا يعارض المرسل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الصحيحين عدم الفرق بين الولد وولد الولد، وبين الذكور والإناث، وبين الأولاد الصغار والكبار، وأنّه لا يجوز الرجوع في شيء من تلكم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من جعل الهبة جائزة مطلقاً ما لم يعوّض عنها، شاذّ لا يعبأ به، والغريب أنّه رحمه الله ادّعى الإجماع عليه مع ظهور الإجماع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 xml:space="preserve">من الفرق بين كبار الأولاد وصغارهم، وأنّ لزوم الهبة مختصٌّ بالصغار، فيمكن أنْ يكون مراده على ما نبّه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صورة ما قبل القبض، حيث إنّه في الصغار لا حاجة إلى القبض كما عرفت، فلا يكون خلافاً في المسألة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يجوز الرجوع في هبة سائر الأرحام بعد القبض، لإطلاق الصحيحين المتقدّمين، وعن بعضهم جوازه، واستدلّ له بمرسل أبان، لكنّه قد عرفت حاله،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وحمله على غير الأبوين والأولاد، وحمل الصحيحين عليهم تبرّعيٌ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هبة كلّ من الزوجين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 عدم جواز الرجوع فيها، لصحيح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الصدقة محدثة، إنّما كان الناس على عهد رسول اللّه صلى الله عليه و آله ينحلون ويهبون، ولا ينبغي لمن أعطى للّه شيئاً أن يرجع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يعط وفي اللّه، فإنّه يرجع فيه، نحلةً كانت أو هبة، حيزت أو لم تحز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يرجع الرّجل فيما يهب لامرأته ولا المرأة فيما تهب لزوجها، حيز أو لم يحز،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لَكُمْ أَنْ تَأْخُذُوا مِمّا آتَيْتُمُوهُنَّ شَيْئاً</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وهذا يدخل في الصداق والهبة</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في الفروع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لَكُمْ أَنْ تَأْخُذُوا مِمّا آتَيْتُمُوهُنَّ شَيْئاً</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المشهور بين الأصحاب هو الجواز، لصحيح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كانت له جارية فآذته امرأته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عليك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 ذلك للّه فليمضها، وإنْ لم يقل فله أنْيرجع إنْشاء فيها</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ويتوجّه على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أنْ يكون المراد به أنّه حيث يكون المفروض فيه الصدقة، فإنْ قصد بها القربة فهي صحيحة، وإلّا فلا، لاشتراطها بقصد القربة، ولا نظر له إلى الهبة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93" w:name="pg11823_118841"/>
    </w:p>
    <w:p>
      <w:pPr>
        <w:pStyle w:val="BookText"/>
        <w:rPr/>
      </w:pPr>
      <w:bookmarkEnd w:id="193"/>
      <w:r>
        <w:rPr>
          <w:rFonts w:ascii="Amiri" w:hAnsi="Amiri" w:eastAsia="Amiri" w:cs="Amiri"/>
          <w:color w:val="111111"/>
          <w:sz w:val="28"/>
          <w:sz w:val="28"/>
          <w:szCs w:val="28"/>
          <w:rtl w:val="true"/>
          <w:lang w:bidi="ar-SA"/>
        </w:rPr>
        <w:t xml:space="preserve">ويؤيّده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يجعلها صدقةً لامرأته بل عليها، فلا معارض لصحيح زرارة، وإنْ كان هو أيضاً لا يخلو عن إشكال لدلالته على لزومها حتّى مع عدم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إيراد على الخبر من هذه الجهة، لإمكان الالتزام بذلك في هبة الزوج خاصّة، أو يقال إنّ عدم العمل ببعض الخبر لا يُسقطه عن الحجيّة بالنسبة إلى باقي مدلوله، وعلى هذا فالمتعيّن هو البناء على لزوم هبة أحد الزوجين للآخر، والاحتياط في هبة الزوج قبل القبض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كما قيل عدم الفرق بين الدائم والمنقطع، والمدخول بها وغيرها، بل والمطلّقة الرجعيّة</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1006722_73709187"/>
      <w:bookmarkStart w:id="195" w:name="_Toc66"/>
      <w:bookmarkEnd w:id="194"/>
      <w:r>
        <w:rPr>
          <w:rtl w:val="true"/>
        </w:rPr>
        <w:t>لزوم الهبة بالتلف</w:t>
      </w:r>
      <w:bookmarkEnd w:id="195"/>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أنّه إذا تلف المال الموهوب فلا رجوع، وإنْ كان المتّهب أجنبيّاً، بل عليه الإجماع في بعض الكلمات</w:t>
      </w:r>
      <w:r>
        <w:rPr>
          <w:rStyle w:val="FootnoteAnchor"/>
          <w:rtl w:val="true"/>
        </w:rPr>
        <w:footnoteReference w:id="501"/>
      </w:r>
      <w:r>
        <w:rPr>
          <w:rFonts w:ascii="Amiri" w:hAnsi="Amiri" w:eastAsia="Amiri" w:cs="Amiri"/>
          <w:color w:val="111111"/>
          <w:sz w:val="28"/>
          <w:sz w:val="28"/>
          <w:szCs w:val="28"/>
          <w:rtl w:val="true"/>
          <w:lang w:bidi="ar-SA"/>
        </w:rPr>
        <w:t>، ويمكن أن يستدلّ لذلك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دليل جواز الهبة في مقابل أصالة اللّزوم هو جواز ردّ العين والرجوع فيها، كما في النصوص، لا جواز عقد الهبة بمعنى التسلّط على فسخ العقد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الجواز قد يتعلّق بالعقد من كلّ وجه، وقد يتعلّق به من جهة خاصّة، وهو فسخه باسترداد العين خاصّة، والمتيقّن الثابت بالأدلّة في المقام هو </w:t>
      </w:r>
    </w:p>
    <w:p>
      <w:pPr>
        <w:pStyle w:val="BookText"/>
        <w:rPr/>
      </w:pPr>
      <w:r>
        <w:rPr>
          <w:rFonts w:ascii="Amiri" w:hAnsi="Amiri" w:eastAsia="Amiri" w:cs="Amiri"/>
          <w:color w:val="111111"/>
          <w:sz w:val="28"/>
          <w:sz w:val="28"/>
          <w:szCs w:val="28"/>
          <w:rtl w:val="true"/>
          <w:lang w:bidi="ar-SA"/>
        </w:rPr>
        <w:t>الثاني، وبعد التلف لا يمكن استرداده، فيصير العقد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المحقّق الخراساني رحمه الله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الرّد ملكيّة العين لا نفسها، والملكيّة كما يصحّ انتزاعها من الموجود، كذلك يصحّ انتزاعها من التالف، فإنّها من الاعتباريّات، وهي لا تتوقّف على موضوعٍ موجود</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وعليه فالموضوع وإنْ كان هو رَدّ العين، إلّاأنّه يمكن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جوابه ممّا ذكرناه في تقريب هذا الوجه، فإنّ المدّعى أنّ الثابت بالأدلّة جواز فسخ العقد بأخذ العين نفسها لاجوازه من كلّ وجه، وهذا لا يمكن مع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الوجه أنّه لو تلف البعض، لا يجوز الرجوع في البعض الآخر، فإنّ المتيقّن من الأدلّة صحيح جميل والحلبي،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الهبة قائمة بعينها، فله أنْ يرجع وإلّا فليس له</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إذ من المعلوم أنّه مع التلف لا يصدق قيامها بعينها، لأنّ الظاهر منه بقاء الموهوب في ملكه، ولو تلف لايصدق ذلك، كما أنّه لو تلف بعض الموهوب لا يصدق أيضاً قيام العين بعينها، وإنْ كانت قائمة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الكلام في أنّه إذا حدث في العين عيبٌ‌، وخرجت عن خلقتها الأصليّة، وأوجب نقصاً فيها، هل يصدق قيام العين بعينها أم لا؟</w:t>
      </w:r>
    </w:p>
    <w:p>
      <w:pPr>
        <w:pStyle w:val="BookText"/>
        <w:rPr/>
      </w:pPr>
      <w:r>
        <w:rPr>
          <w:rFonts w:ascii="Amiri" w:hAnsi="Amiri" w:eastAsia="Amiri" w:cs="Amiri"/>
          <w:color w:val="111111"/>
          <w:sz w:val="28"/>
          <w:sz w:val="28"/>
          <w:szCs w:val="28"/>
          <w:rtl w:val="true"/>
          <w:lang w:bidi="ar-SA"/>
        </w:rPr>
        <w:t>الظاهر الثاني، كما يشهد به مرسل جميل الوارد في خيار العيب، عن أحدهما عليه 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يشتري الثوب أو المتاع فيجد فيه عيباً؟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الشيء قائماً بعينه رَدّه على صاحبه وأخذ الثمن، وإنْ كان الثوب قد قُطع أو خيط أو صبغ يرجع بنقصان العيب</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أنّ المراد بقيام العين بعينها ما ينافيه مثل الصبغ والخياطة والقطع، فحدوث العيب أيضاً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ما ذكرناه في هذا الفرع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مات المتّهب بعد القبض، سقط جواز الرجوع، لأنّ القدر المتيقّن الثابت بالأدلّة جواز الرجوع على المتّهب، والمرجع في غيره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بموته ينتقل إلى ورثته، فلا يكون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الواهب بعد الإقباض، فهل تلزم الهبة كما عن المصنّف</w:t>
      </w:r>
      <w:r>
        <w:rPr>
          <w:rStyle w:val="FootnoteAnchor"/>
          <w:rtl w:val="true"/>
        </w:rPr>
        <w:footnoteReference w:id="505"/>
      </w:r>
      <w:r>
        <w:rPr>
          <w:rFonts w:ascii="Amiri" w:hAnsi="Amiri" w:eastAsia="Amiri" w:cs="Amiri"/>
          <w:color w:val="111111"/>
          <w:sz w:val="28"/>
          <w:sz w:val="28"/>
          <w:szCs w:val="28"/>
          <w:rtl w:val="true"/>
          <w:lang w:bidi="ar-SA"/>
        </w:rPr>
        <w:t>رحمه الله، والشهيد</w:t>
      </w:r>
      <w:r>
        <w:rPr>
          <w:rStyle w:val="FootnoteAnchor"/>
          <w:rtl w:val="true"/>
        </w:rPr>
        <w:footnoteReference w:id="506"/>
      </w:r>
      <w:r>
        <w:rPr>
          <w:rFonts w:ascii="IRNazanin" w:hAnsi="IRNazanin" w:eastAsia="IRNazanin"/>
          <w:color w:val="111111"/>
          <w:sz w:val="28"/>
          <w:sz w:val="28"/>
          <w:szCs w:val="28"/>
          <w:rtl w:val="true"/>
          <w:lang w:bidi="fa-IR"/>
        </w:rPr>
        <w:t>، والفخر</w:t>
      </w:r>
      <w:r>
        <w:rPr>
          <w:rStyle w:val="FootnoteAnchor"/>
          <w:rtl w:val="true"/>
        </w:rPr>
        <w:footnoteReference w:id="507"/>
      </w:r>
      <w:r>
        <w:rPr>
          <w:rFonts w:ascii="Amiri" w:hAnsi="Amiri" w:eastAsia="Amiri" w:cs="Amiri"/>
          <w:color w:val="111111"/>
          <w:sz w:val="28"/>
          <w:sz w:val="28"/>
          <w:szCs w:val="28"/>
          <w:rtl w:val="true"/>
          <w:lang w:bidi="ar-SA"/>
        </w:rPr>
        <w:t>، والمحقّق الثاني</w:t>
      </w:r>
      <w:r>
        <w:rPr>
          <w:rStyle w:val="FootnoteAnchor"/>
          <w:rtl w:val="true"/>
        </w:rPr>
        <w:footnoteReference w:id="508"/>
      </w:r>
      <w:r>
        <w:rPr>
          <w:rFonts w:ascii="Amiri" w:hAnsi="Amiri" w:eastAsia="Amiri" w:cs="Amiri"/>
          <w:color w:val="111111"/>
          <w:sz w:val="28"/>
          <w:sz w:val="28"/>
          <w:szCs w:val="28"/>
          <w:rtl w:val="true"/>
          <w:lang w:bidi="ar-SA"/>
        </w:rPr>
        <w:t>، وغيرهم</w:t>
      </w:r>
      <w:r>
        <w:rPr>
          <w:rStyle w:val="FootnoteAnchor"/>
          <w:rtl w:val="true"/>
        </w:rPr>
        <w:footnoteReference w:id="509"/>
      </w:r>
      <w:r>
        <w:rPr>
          <w:rFonts w:ascii="IRNazanin" w:hAnsi="IRNazanin" w:eastAsia="IRNazanin"/>
          <w:color w:val="111111"/>
          <w:sz w:val="28"/>
          <w:sz w:val="28"/>
          <w:szCs w:val="28"/>
          <w:rtl w:val="true"/>
          <w:lang w:bidi="fa-IR"/>
        </w:rPr>
        <w:t>، أم لا؟</w:t>
      </w:r>
    </w:p>
    <w:p>
      <w:pPr>
        <w:pStyle w:val="BookText"/>
        <w:rPr/>
      </w:pPr>
      <w:r>
        <w:rPr>
          <w:rFonts w:ascii="Amiri" w:hAnsi="Amiri" w:eastAsia="Amiri" w:cs="Amiri"/>
          <w:color w:val="111111"/>
          <w:sz w:val="28"/>
          <w:sz w:val="28"/>
          <w:szCs w:val="28"/>
          <w:rtl w:val="true"/>
          <w:lang w:bidi="ar-SA"/>
        </w:rPr>
        <w:t>الظاهر هو اللّزوم، لأصالته بعد كون المتيقّن من الدليل المخرِج رجوع الواهب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الرجوع ينتقل إلى ورثته، لعموم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من مالٍ أو حقٍّ فلوارثه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ذلك حقّاً قابلاً للنقل والانتقال غير معلوم، فلعلّه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96" w:name="pg11823_118844"/>
    </w:p>
    <w:p>
      <w:pPr>
        <w:pStyle w:val="BookText"/>
        <w:rPr/>
      </w:pPr>
      <w:bookmarkEnd w:id="196"/>
      <w:r>
        <w:rPr>
          <w:rFonts w:ascii="Amiri" w:hAnsi="Amiri" w:eastAsia="Amiri" w:cs="Amiri"/>
          <w:color w:val="111111"/>
          <w:sz w:val="28"/>
          <w:sz w:val="28"/>
          <w:szCs w:val="28"/>
          <w:rtl w:val="true"/>
          <w:lang w:bidi="ar-SA"/>
        </w:rPr>
        <w:t>الأحكام، والعموم المشار إليه لا يصلح لإثبات كونه كذلك، فإنّ ذلك مفروضٌ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المنتقل إلى الوارث إنّما هو الحقّ المتروك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يكون مطلقاًوقابلاً للبقاء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هذا الحقّ كذلك غير معلوم، إذ لعلّه مختصٌّ بالواهب نفسه، وبموته ينتهي أمده، ولا يكون باقياً، والاستصحاب لامورد له في المقام</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1006724_73709187"/>
      <w:bookmarkStart w:id="198" w:name="_Toc67"/>
      <w:bookmarkEnd w:id="197"/>
      <w:r>
        <w:rPr>
          <w:rtl w:val="true"/>
        </w:rPr>
        <w:t>التصرّف من ملزمات الهبة</w:t>
      </w:r>
      <w:bookmarkEnd w:id="198"/>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من المتقدّمين والمتأخّرين في سقوط جواز الرجوع بتصرّف المتّهب في العين الموهوبة للأجنبي، مع عدم سائر المسقطات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وعدم جواز الرجوع مطلقاً أيّ تصرّفٍ كان، حتّى سُكنى الدار، وركوب الدابّة وتعليفها، ولبس الثوب ونحو ذلك، ذهب إليه الشيخان</w:t>
      </w:r>
      <w:r>
        <w:rPr>
          <w:rStyle w:val="FootnoteAnchor"/>
          <w:rtl w:val="true"/>
        </w:rPr>
        <w:footnoteReference w:id="510"/>
      </w:r>
      <w:r>
        <w:rPr>
          <w:rFonts w:ascii="IRNazanin" w:hAnsi="IRNazanin" w:eastAsia="IRNazanin"/>
          <w:color w:val="111111"/>
          <w:sz w:val="28"/>
          <w:sz w:val="28"/>
          <w:szCs w:val="28"/>
          <w:rtl w:val="true"/>
          <w:lang w:bidi="fa-IR"/>
        </w:rPr>
        <w:t>، وابن البرّاج</w:t>
      </w:r>
      <w:r>
        <w:rPr>
          <w:rStyle w:val="FootnoteAnchor"/>
          <w:rtl w:val="true"/>
        </w:rPr>
        <w:footnoteReference w:id="511"/>
      </w:r>
      <w:r>
        <w:rPr>
          <w:rFonts w:ascii="Amiri" w:hAnsi="Amiri" w:eastAsia="Amiri" w:cs="Amiri"/>
          <w:color w:val="111111"/>
          <w:sz w:val="28"/>
          <w:sz w:val="28"/>
          <w:szCs w:val="28"/>
          <w:rtl w:val="true"/>
          <w:lang w:bidi="ar-SA"/>
        </w:rPr>
        <w:t>، وابن إدريس</w:t>
      </w:r>
      <w:r>
        <w:rPr>
          <w:rStyle w:val="FootnoteAnchor"/>
          <w:rtl w:val="true"/>
        </w:rPr>
        <w:footnoteReference w:id="512"/>
      </w:r>
      <w:r>
        <w:rPr>
          <w:rFonts w:ascii="Amiri" w:hAnsi="Amiri" w:eastAsia="Amiri" w:cs="Amiri"/>
          <w:color w:val="111111"/>
          <w:sz w:val="28"/>
          <w:sz w:val="28"/>
          <w:szCs w:val="28"/>
          <w:rtl w:val="true"/>
          <w:lang w:bidi="ar-SA"/>
        </w:rPr>
        <w:t>، وأكثرالمتأخّرين</w:t>
      </w:r>
      <w:r>
        <w:rPr>
          <w:rStyle w:val="FootnoteAnchor"/>
          <w:rtl w:val="true"/>
        </w:rPr>
        <w:footnoteReference w:id="513"/>
      </w:r>
      <w:r>
        <w:rPr>
          <w:rFonts w:ascii="Amiri" w:hAnsi="Amiri" w:eastAsia="Amiri" w:cs="Amiri"/>
          <w:color w:val="111111"/>
          <w:sz w:val="28"/>
          <w:sz w:val="28"/>
          <w:szCs w:val="28"/>
          <w:rtl w:val="true"/>
          <w:lang w:bidi="ar-SA"/>
        </w:rPr>
        <w:t xml:space="preserve">، كذافي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سقوطه مطلقاً، وبقاء الجواز الثابت قبل التصرّف، نُسب ذلك إلى الإسكافي</w:t>
      </w:r>
      <w:r>
        <w:rPr>
          <w:rStyle w:val="FootnoteAnchor"/>
          <w:rtl w:val="true"/>
        </w:rPr>
        <w:footnoteReference w:id="515"/>
      </w:r>
      <w:r>
        <w:rPr>
          <w:rFonts w:ascii="Amiri" w:hAnsi="Amiri" w:eastAsia="Amiri" w:cs="Amiri"/>
          <w:color w:val="111111"/>
          <w:sz w:val="28"/>
          <w:sz w:val="28"/>
          <w:szCs w:val="28"/>
          <w:rtl w:val="true"/>
          <w:lang w:bidi="ar-SA"/>
        </w:rPr>
        <w:t>، والديلمي</w:t>
      </w:r>
      <w:r>
        <w:rPr>
          <w:rStyle w:val="FootnoteAnchor"/>
          <w:rtl w:val="true"/>
        </w:rPr>
        <w:footnoteReference w:id="516"/>
      </w:r>
      <w:r>
        <w:rPr>
          <w:rFonts w:ascii="Amiri" w:hAnsi="Amiri" w:eastAsia="Amiri" w:cs="Amiri"/>
          <w:color w:val="111111"/>
          <w:sz w:val="28"/>
          <w:sz w:val="28"/>
          <w:szCs w:val="28"/>
          <w:rtl w:val="true"/>
          <w:lang w:bidi="ar-SA"/>
        </w:rPr>
        <w:t>، والحَلبي</w:t>
      </w:r>
      <w:r>
        <w:rPr>
          <w:rStyle w:val="FootnoteAnchor"/>
          <w:rtl w:val="true"/>
        </w:rPr>
        <w:footnoteReference w:id="517"/>
      </w:r>
      <w:r>
        <w:rPr>
          <w:rFonts w:ascii="Amiri" w:hAnsi="Amiri" w:eastAsia="Amiri" w:cs="Amiri"/>
          <w:color w:val="111111"/>
          <w:sz w:val="28"/>
          <w:sz w:val="28"/>
          <w:szCs w:val="28"/>
          <w:rtl w:val="true"/>
          <w:lang w:bidi="ar-SA"/>
        </w:rPr>
        <w:t>، وابن زُهرة العلوي</w:t>
      </w:r>
      <w:r>
        <w:rPr>
          <w:rStyle w:val="FootnoteAnchor"/>
          <w:rtl w:val="true"/>
        </w:rPr>
        <w:footnoteReference w:id="518"/>
      </w:r>
      <w:r>
        <w:rPr>
          <w:rFonts w:ascii="Amiri" w:hAnsi="Amiri" w:eastAsia="Amiri" w:cs="Amiri"/>
          <w:color w:val="111111"/>
          <w:sz w:val="28"/>
          <w:sz w:val="28"/>
          <w:szCs w:val="28"/>
          <w:rtl w:val="true"/>
          <w:lang w:bidi="ar-SA"/>
        </w:rPr>
        <w:t xml:space="preserve">، مدّعياً عليه </w:t>
      </w:r>
    </w:p>
    <w:p>
      <w:pPr>
        <w:pStyle w:val="BookText"/>
        <w:rPr/>
      </w:pPr>
      <w:r>
        <w:rPr>
          <w:rFonts w:ascii="Amiri" w:hAnsi="Amiri" w:eastAsia="Amiri" w:cs="Amiri"/>
          <w:color w:val="111111"/>
          <w:sz w:val="28"/>
          <w:sz w:val="28"/>
          <w:szCs w:val="28"/>
          <w:rtl w:val="true"/>
          <w:lang w:bidi="ar-SA"/>
        </w:rPr>
        <w:t xml:space="preserve">الإجماع، واختاره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بلزومها مع خروج الموهوب عن ملكه، أو تغيير صورته كقصارة الثوب، ونجارة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وعدمه بدون ذلك كالركوب والسكني واللّبن ونحوها من الاستعمالات، كما عن ابن حمزة</w:t>
      </w:r>
      <w:r>
        <w:rPr>
          <w:rStyle w:val="FootnoteAnchor"/>
          <w:rtl w:val="true"/>
        </w:rPr>
        <w:footnoteReference w:id="520"/>
      </w:r>
      <w:r>
        <w:rPr>
          <w:rFonts w:ascii="Amiri" w:hAnsi="Amiri" w:eastAsia="Amiri" w:cs="Amiri"/>
          <w:color w:val="111111"/>
          <w:sz w:val="28"/>
          <w:sz w:val="28"/>
          <w:szCs w:val="28"/>
          <w:rtl w:val="true"/>
          <w:lang w:bidi="ar-SA"/>
        </w:rPr>
        <w:t xml:space="preserve">والشهيد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وجماعة من المتأخّرين</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نقل المتّهب المال الموهوب عن ملكه بعقدٍ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جواز الرجوع حينئذٍ، لما عرفت من أنّ المتيقّن من أدلّة الجواز ما إذا بقيت العين على صفة الملكيّة للمتّهب، وأيضاً لا يصدق قيام العين، فلا رجوع له، مع أنّ الناقل إذا كان لازماً امتنع الرّد، ومعه لا معنى لفسخ العقد الذي قد عرفت أنّ الثابت بالدليل فسخ العقد بردّ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عادت العين إليه بفسخٍ‌، فهل يعود جواز الرجوع لاستصحاب جوازه الذي موضوعه ما يملكه المتّهب، وهو محفوظٌ قبل النقل وبعد الفسخ‌؟</w:t>
      </w:r>
    </w:p>
    <w:p>
      <w:pPr>
        <w:pStyle w:val="BookText"/>
        <w:rPr/>
      </w:pPr>
      <w:r>
        <w:rPr>
          <w:rFonts w:ascii="Amiri" w:hAnsi="Amiri" w:eastAsia="Amiri" w:cs="Amiri"/>
          <w:color w:val="111111"/>
          <w:sz w:val="28"/>
          <w:sz w:val="28"/>
          <w:szCs w:val="28"/>
          <w:rtl w:val="true"/>
          <w:lang w:bidi="ar-SA"/>
        </w:rPr>
        <w:t>أم لايجوز، لأنّ الموضوع تبدّل حين ما انتقل المال عنه، فلايجري الاستصحاب‌؟</w:t>
      </w:r>
    </w:p>
    <w:p>
      <w:pPr>
        <w:pStyle w:val="BookText"/>
        <w:rPr/>
      </w:pPr>
      <w:r>
        <w:rPr>
          <w:rFonts w:ascii="Amiri" w:hAnsi="Amiri" w:eastAsia="Amiri" w:cs="Amiri"/>
          <w:color w:val="111111"/>
          <w:sz w:val="28"/>
          <w:sz w:val="28"/>
          <w:szCs w:val="28"/>
          <w:rtl w:val="true"/>
          <w:lang w:bidi="ar-SA"/>
        </w:rPr>
        <w:t>وجهان، أظهر هما الثاني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الناقل عقداً جائزاً، فالظاهر سقوط الجواز لعين ما مرّ،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المال ليس قائماً بعينه، ولا يمكن استرداد العين للواهب، لأنّ معنى جواز العقد الثاني جواز فسخه للمتّهب لا للواهب، فبالنسبة إليه العقد الجائز واللّازم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 تصرّف المتّهب في العين تصرّفاً مغيّراً للصورة، فالظاهر عدم جواز الرجوع حينئذٍ أيضاً، لقوله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الهبة قائمة بعينها، فله أنْ يرجع فيها، وإلّا فليس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المعلوم عدم صدق قيام العين مع تغيير صورتها، كما يشير إليه مرسل جميل المتقدّم، الوارد في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الثوب قائماً بعينه رَدّه على صاحبه وأخذ الثمن، وإنْ كان الثوب قد قطع أو خيط أو صُبغ رجع بنقصان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التفصيل قاطعٌ للشركة، فيعلم منه مقابلة تغيير الصورة للقيام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تصرّف في المال الموهوب تصرّفاً غير مغيّر للصورة، فالظاهر بقاء جواز الرجوع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لعدم جواز الرجوع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الأصل هو اللّزوم في كلّ عقدٍ خرج عنه، ما لو لم يتصرّف فيه، فمع التصرّف يرجع إلى الأصل الثابت بالأدلّة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وبأنّجملة من النصوص تدلّ على لزوم الهبة، خرج عنها قبل التصرّف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هذه الثلاثة يرجع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العشرة للّزوم بالتصرّف مطلقاً،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الأدلّة جمعتها من تضاعيف عبارات أصحاب هذا القول، ولم يتّفق </w:t>
      </w:r>
    </w:p>
    <w:p>
      <w:pPr>
        <w:pStyle w:val="BookText"/>
        <w:rPr/>
      </w:pPr>
      <w:r>
        <w:rPr>
          <w:rFonts w:ascii="Amiri" w:hAnsi="Amiri" w:eastAsia="Amiri" w:cs="Amiri"/>
          <w:color w:val="111111"/>
          <w:sz w:val="28"/>
          <w:sz w:val="28"/>
          <w:szCs w:val="28"/>
          <w:rtl w:val="true"/>
          <w:lang w:bidi="ar-SA"/>
        </w:rPr>
        <w:t>جمعها لأحدٍ منهم هكذا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تعيّن الخروج عن هذا الأصل في باب الهبة، وأنّ الأصل فيها الجواز إلّاما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نصوص لزوم الهبة ضعيفة سنداً، وقاصرة دلالة عليه وعن مقاومة نصوص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مع مصير الأكثر إلى الخلاف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كونه موجبا لسقوط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مزج الموهوبة، فالظاهر سقوط جواز الرجوع أيضاً، لأنّ المزج إنْ كان موجباً للتلف الحقيقي، وتبدّل صورتها النوعيّة إلى صورة نوعيّة أُخرى‌، أو كان موجباً للتلف عرفاً كما لو صبغ شيءٌ باللّون الموهوب، فلما مرّ في صورة تلف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موجباً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المزج موجباً للشركة كما لو مزج منّاً من الدهن الموهوب بمنٍّ آخر، فالوجه في السقوط تبدّل الملكيّة الاستقلاليّة إلى المشاعة، فلا يمكن الرّد خارجاً ولا ملكاً، ولا تكون العين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فيما لو مزجه بمال الغير، لا فيما إذا مزجه بمال نفسه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رجع الواهب وصار مِلْكاً له، إنّما يملك بالإشاعة لا استقلالاً، وإنْ لم يكن المزج موجباً للشركة، فلأنّ الرّد الملكي وإنْ كان ممكناً، إلّاأنّ الخارجي منه غير ممكن، والمتيقّن من دليل جواز الرجوع هو الرجوع بردّ العين، مع أنّ العين قد تغيّر وصفٌ من أوصافها، فلا تكون قائمة بعينها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غابَ فلا أرش، وإنْ زادت زيادة متّصلة تبعت، وإلّا فللموهوب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أجار المال، أو أعاره، أو أودعه،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أنّه إنْ صدق بقاء المال بعينه جاز الرّد وإلّا فلا، ومع الشكّ يشكّ في جواز الرجوع، فكما لا يصحّ التمسّك بالدليل المخرج، لايجوز التمسّك بعموم ما دلّ على الجواز، لكونه تمسّكاً بالعام في الشبهة المصداقيّة، فالمتعيّن حينئذٍ البناء على اللّزوم، للشّك في تأثير الرجوع،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قدّمناه أنّه إنْ عاب المال عند المتّهب فلا رجوع، وبه يظهر ما في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عاب فلا أرش،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زادت زيادة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كالسّمن وما شاكل، فالظاهر جواز الرجوع، لصدق بقاء المال بعينه، فإنّه زاد ولم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قصارة الثوب أو خياطته وصبغه موجبة لعدم بقاء المال بعينه، فكيف لا يكون كذلك مع حصول الزيادة المتّصلة كالسّمن والحمل، سيّما إذا تحقّق ذلك بفعل المتّهب، ولا أقلّ من الشكّ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جواز الرجوع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القول بالجواز، لا وجه لما ذكره المشهور من أنّه إنْ رجع الواهب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إذ بعد كون الرجوع فسخاً لعقد الهبة من حينه لا من الأوّل، وكون المال قبل الرجوع للمتّهب وتحقّق الزيادة في ملكه،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تكن الزيادة متّصلة، بل كانت 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للقول برجوع الزيادة، خصوصاً الحاصلة من فعله إلى الواهب، بل الأوجه هي الشركة إنْلم يكن إجماع</w:t>
      </w:r>
      <w:r>
        <w:rPr>
          <w:rFonts w:eastAsia="Amiri" w:cs="Amiri" w:ascii="Amiri" w:hAnsi="Amiri"/>
          <w:color w:val="111111"/>
          <w:sz w:val="28"/>
          <w:szCs w:val="28"/>
          <w:rtl w:val="true"/>
          <w:lang w:bidi="ar-SA"/>
        </w:rPr>
        <w:t xml:space="preserve">. </w:t>
      </w:r>
      <w:bookmarkStart w:id="199" w:name="pg11823_118849"/>
    </w:p>
    <w:p>
      <w:pPr>
        <w:pStyle w:val="Heading3"/>
        <w:numPr>
          <w:ilvl w:val="2"/>
          <w:numId w:val="1"/>
        </w:numPr>
        <w:rPr/>
      </w:pPr>
      <w:bookmarkStart w:id="200" w:name="__RefHeading___Toc11006726_73709187"/>
      <w:bookmarkStart w:id="201" w:name="_Toc68"/>
      <w:bookmarkEnd w:id="199"/>
      <w:bookmarkEnd w:id="200"/>
      <w:r>
        <w:rPr>
          <w:rtl w:val="true"/>
        </w:rPr>
        <w:t>لزوم الهبة المعوّضة</w:t>
      </w:r>
      <w:bookmarkEnd w:id="201"/>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كلام في مشروعيّة الهبة المعوّضة بأقسامها الثلاثة المتقدّمة،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يهب المال، ويشترط على المتّهب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يهبه، ويكون داعيه هبة المتّهب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يهب المال ويشترط النتيجة، أي كون المال الآخر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أدلّة الهبة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أيضاً في أنّه إذا عوض عن الهبة تصير لازمة، ويشهد به صحيح عبد اللّه بن سنان،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عوض صاحب الهبة، فليس له أنْ يرجع</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العوض بين القليل والكثير، ولا بين كونه مشروطاً في ضمن الهبة وعدمه، ومقتضى إطلاق النّص أنْ لا يعتبر رضا الواهب وإنْ كان له في صورة عدم الاشتراط عدم القبول، لعدم كونه ملزماً به، ولكن لوقبله صارت الهبة معوّضة، لايجوز الرجوع فيها، ومع إطلاق الهبة بدون اشتراط التعويض، لا يجب التعويض على المتّهب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عن الشيخ</w:t>
      </w:r>
      <w:r>
        <w:rPr>
          <w:rStyle w:val="FootnoteAnchor"/>
          <w:rtl w:val="true"/>
        </w:rPr>
        <w:footnoteReference w:id="525"/>
      </w:r>
      <w:r>
        <w:rPr>
          <w:rFonts w:ascii="Amiri" w:hAnsi="Amiri" w:eastAsia="Amiri" w:cs="Amiri"/>
          <w:color w:val="111111"/>
          <w:sz w:val="28"/>
          <w:sz w:val="28"/>
          <w:szCs w:val="28"/>
          <w:rtl w:val="true"/>
          <w:lang w:bidi="ar-SA"/>
        </w:rPr>
        <w:t>وأبي الصلاح</w:t>
      </w:r>
      <w:r>
        <w:rPr>
          <w:rStyle w:val="FootnoteAnchor"/>
          <w:rtl w:val="true"/>
        </w:rPr>
        <w:footnoteReference w:id="526"/>
      </w:r>
      <w:r>
        <w:rPr>
          <w:rFonts w:ascii="Amiri" w:hAnsi="Amiri" w:eastAsia="Amiri" w:cs="Amiri"/>
          <w:color w:val="111111"/>
          <w:sz w:val="28"/>
          <w:sz w:val="28"/>
          <w:szCs w:val="28"/>
          <w:rtl w:val="true"/>
          <w:lang w:bidi="ar-SA"/>
        </w:rPr>
        <w:t>من وجوبه مطلقاً كما عن الأوّل، أو في هبة الأدنى للأعلى كما عن الثاني،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مع الاشتراط لوجوب </w:t>
      </w:r>
      <w:bookmarkStart w:id="202" w:name="pg11823_118850"/>
    </w:p>
    <w:p>
      <w:pPr>
        <w:pStyle w:val="BookText"/>
        <w:rPr/>
      </w:pPr>
      <w:bookmarkEnd w:id="202"/>
      <w:r>
        <w:rPr>
          <w:rFonts w:ascii="Amiri" w:hAnsi="Amiri" w:eastAsia="Amiri" w:cs="Amiri"/>
          <w:color w:val="111111"/>
          <w:sz w:val="28"/>
          <w:sz w:val="28"/>
          <w:szCs w:val="28"/>
          <w:rtl w:val="true"/>
          <w:lang w:bidi="ar-SA"/>
        </w:rPr>
        <w:t>الوفاء بالشرط، بل لايجوز له التصرّف في المال قبل أن يفي بالشرط، لخبر القاسم بن سليمان،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يهب الجارية على أن يثاب فلا يثاب، ألَهُ أنْ يرجع فيها؟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شرط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وهبها له ولم يثبه أيطأها أم 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لم يشترط حين وهبها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عدم الفرق بين الجارية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البناء على عدم الإثابة، فلو كان بانياً عليها، جاز له التصرّف بمقتضى منطوق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في العوض بين كونه من بعض الموهوب وغيره عملاً بالإطلاق، ولأنّه بالقبض بعد العقد مملوكٌ للمتّهب، فيصحّ بذله عوضاً عن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كالتعويض بالكلّ يعدّ ردّاً لا تعويضاً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الرّد غير منافٍ لصدق التعويض، فما أفاده الشهيد رحمه الله متين</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1006728_73709187"/>
      <w:bookmarkStart w:id="204" w:name="_Toc69"/>
      <w:bookmarkEnd w:id="203"/>
      <w:r>
        <w:rPr>
          <w:rtl w:val="true"/>
        </w:rPr>
        <w:t>الصدقة</w:t>
      </w:r>
      <w:bookmarkEnd w:id="204"/>
    </w:p>
    <w:p>
      <w:pPr>
        <w:pStyle w:val="BookText"/>
        <w:rPr/>
      </w:pPr>
      <w:r>
        <w:rPr>
          <w:rFonts w:ascii="Amiri" w:hAnsi="Amiri" w:eastAsia="Amiri" w:cs="Amiri"/>
          <w:color w:val="111111"/>
          <w:sz w:val="28"/>
          <w:sz w:val="28"/>
          <w:szCs w:val="28"/>
          <w:rtl w:val="true"/>
          <w:lang w:bidi="ar-SA"/>
        </w:rPr>
        <w:t>لا إشكال ولا خلاف في مشروعيّة الصدقة، والنصوص الدالّة عليها متواترة، وفي الكتاب أيضاً آيات تدلّ عليها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خَيْرٍ يُوَفَّ إِلَيْكُمْ‌</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تدفع ميتة السّوء</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إله إلّاهو ليدفع بالصدقة الداء والدبيلة والحرق والغرق والهدم والجنون، وعدَّ سبعين باباً من السُّوء</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صنائع المعروف تَدفع مصارع السُّوء</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شيءٌ سوى الزكاة، فتقرّبوا إلى اللّه تعالى بالبِرّ وصِلة الرَّحم</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ويشترطفي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أهليّة المتصدّق للتصرّف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 القبول لما مرّ في الهبة، ويكتفي فيهمابالفعل كما مرّ، وتصحّمع الفصل الطويل بين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فيها القبض، ففي الصحيح وغيره الآتيين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يتصدّق على ولدٍ له قد أدركوا؟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فهو ميراث</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هذا المقام يتحقّق 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الرجوع في الصّدقة بعد الإقباض، وإن كانت على الأجنبي</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الرجوع في الصدقة بعد الإقباض، وإنْ كانت على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 الأشهر، بل عليه عامّة من تأخّر، وعن الحِلّي</w:t>
      </w:r>
      <w:r>
        <w:rPr>
          <w:rStyle w:val="FootnoteAnchor"/>
          <w:rtl w:val="true"/>
        </w:rPr>
        <w:footnoteReference w:id="536"/>
      </w:r>
      <w:r>
        <w:rPr>
          <w:rFonts w:ascii="Amiri" w:hAnsi="Amiri" w:eastAsia="Amiri" w:cs="Amiri"/>
          <w:color w:val="111111"/>
          <w:sz w:val="28"/>
          <w:sz w:val="28"/>
          <w:szCs w:val="28"/>
          <w:rtl w:val="true"/>
          <w:lang w:bidi="ar-SA"/>
        </w:rPr>
        <w:t xml:space="preserve">الإجماع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مُحدَثة، إنّما كان الناس على عهد رسول اللّه صلى الله عليه و آله ينحلون ويهبون، ولا ينبغي لمن أعطى للّه شيئاً أن يرجع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ومالم يعط للّه وفي اللّه فإنّه يرجع فيه، نحلةً كانت أو هبة، الحديث</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والمعتبرة المستفيضة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الذي يتصدّق بالصَّدقة ثم يعود فيها، مثل الذي يقيء ثمّ يعود في قيئه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صدقة التطوّع عندنا بمنزلة الهبة في جميع الأحكام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له الرجوع في الهبة له الرجوع في الصدقة عليه</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ويردّه 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قبضها من غير إذن المالك قالوا لم تنتقل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الصَّدقة من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الصَّدقة على الذّمي وإن كان أجنبيّاً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قبضها من غير إذن المالك، قالوا لم تنتقل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في الهبة ما يظهر منه أظهريّة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الصدقة من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الفرق بينها وبين الهبة إنّما يكون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المستفيضة الدالّة على أنّه لا صدقة إلّاما أُريد به وجه اللّه سبحانه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كثير من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الصدقة على الذّمي وإنْ كان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عن الأصحاب</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 من الصّدقة على غير المؤمن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الصدقة على الذّمي كالخلاف في الوقف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في الوقف عليه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تشهد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إطلاق الأدلّة،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أفضل، إلّامع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يُقاتِلُوكُمْ فِي اَلدِّينِ وَ لَمْ يُخْرِجُوكُمْ مِنْ دِيارِكُمْ أَنْ تَبَرُّوهُمْ‌</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عمرو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البوادي يقتحمون علينا، وفيهم اليهود و النصارى و المجوس، فنتصدّق عليهم‌؟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السائل ولا يُدرى ما هو؟</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من وقعت له الرّحمة في قلبك</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تُخْفُوها وَ تُؤْتُوهَا اَلْفُقَراءَ فَهُوَ خَيْرٌ لَكُمْ‌</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 عليه السلام 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واللّه في السِّر أفضل من الصدقة في العلانية</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المواساة، فيظهرها دفعاً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وصلّى اللّه على سيّدنا ونبيّنا محمّد وآله الطيّبين الطاهرين المعصومين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05" w:name="pg11823_118855"/>
    </w:p>
    <w:p>
      <w:pPr>
        <w:pStyle w:val="BookText"/>
        <w:rPr/>
      </w:pPr>
      <w:bookmarkEnd w:id="205"/>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w:t>
      </w:r>
    </w:p>
    <w:p>
      <w:pPr>
        <w:pStyle w:val="BookText"/>
        <w:rPr/>
      </w:pPr>
      <w:r>
        <w:rPr>
          <w:rFonts w:ascii="Amiri" w:hAnsi="Amiri" w:eastAsia="Amiri" w:cs="Amiri"/>
          <w:color w:val="111111"/>
          <w:sz w:val="28"/>
          <w:sz w:val="28"/>
          <w:szCs w:val="28"/>
          <w:rtl w:val="true"/>
          <w:lang w:bidi="ar-SA"/>
        </w:rPr>
        <w:t>وصريح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والباقي بقرينة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1006730_73709187"/>
      <w:bookmarkStart w:id="207" w:name="_Toc70"/>
      <w:bookmarkEnd w:id="206"/>
      <w:r>
        <w:rPr>
          <w:rtl w:val="true"/>
        </w:rPr>
        <w:t>(</w:t>
      </w:r>
      <w:r>
        <w:rPr>
          <w:rtl w:val="true"/>
        </w:rPr>
        <w:t>الفصل الثاني في الوقف</w:t>
      </w:r>
      <w:r>
        <w:rPr>
          <w:rtl w:val="true"/>
        </w:rPr>
        <w:t>)</w:t>
      </w:r>
      <w:bookmarkEnd w:id="207"/>
    </w:p>
    <w:p>
      <w:pPr>
        <w:pStyle w:val="BookText"/>
        <w:rPr/>
      </w:pPr>
      <w:r>
        <w:rPr>
          <w:rFonts w:ascii="Amiri" w:hAnsi="Amiri" w:eastAsia="Amiri" w:cs="Amiri"/>
          <w:color w:val="111111"/>
          <w:sz w:val="28"/>
          <w:sz w:val="28"/>
          <w:szCs w:val="28"/>
          <w:rtl w:val="true"/>
          <w:lang w:bidi="ar-SA"/>
        </w:rPr>
        <w:t>ويطلق عليه الصدقة أيضاً، بل الغالب في الأخبار التعبير عن الوقف بالصدقة، بل التعبير عنه بلفظ الوقف قليلٌ‌، فالوقف هو الصدقة الجارية، وحقيقته تحبيس العين وتسبيل المنفعة كما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ثابتٌ بالنص والإجماع، وقد ورد في الأخبار الحَثّ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هذا الفصل يقع في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وما يلحق به،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اعتبار اللّفظ فيما يُنشأ به الوقف، وأنّه بدونه غير صحيح، ولقد أطالوا البحث في اللّفظ الصريح فيه، وغير الصريح، ففي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وصريح ألفاظه وقفتُ‌، والباقي بقرينة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بذلك غيره</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كالشهيد الثاني في 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وعلّلوه بأنّه الموضوع له لغةً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جماعة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أوقفتُ بالهمزة لغة شاذّة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الصيغة بها صحيحة وإنْ كانت غير فصيحة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08" w:name="pg11823_118856"/>
    </w:p>
    <w:p>
      <w:pPr>
        <w:pStyle w:val="BookText"/>
        <w:rPr/>
      </w:pPr>
      <w:bookmarkEnd w:id="208"/>
      <w:r>
        <w:rPr>
          <w:rFonts w:ascii="Amiri" w:hAnsi="Amiri" w:eastAsia="Amiri" w:cs="Amiri"/>
          <w:color w:val="111111"/>
          <w:sz w:val="28"/>
          <w:sz w:val="28"/>
          <w:szCs w:val="28"/>
          <w:rtl w:val="true"/>
          <w:lang w:bidi="ar-SA"/>
        </w:rPr>
        <w:t xml:space="preserve">واختلفوا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يصير وقفاً من غير توقّف على القرينة،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والمتَّجه كفاية كلّ ما يدلّ على المعنى المشار إليه، ولو بضميمة القرائن كما في سائر العقود</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1006732_73709187"/>
      <w:bookmarkStart w:id="210" w:name="_Toc71"/>
      <w:bookmarkEnd w:id="209"/>
      <w:r>
        <w:rPr>
          <w:rtl w:val="true"/>
        </w:rPr>
        <w:t>جريان المعاطاة في الوقف</w:t>
      </w:r>
      <w:bookmarkEnd w:id="21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ذكروه من اشتراط الصيغه، عدم كفاية المعاطاة، 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52"/>
      </w:r>
      <w:r>
        <w:rPr>
          <w:rFonts w:ascii="Amiri" w:hAnsi="Amiri" w:eastAsia="Amiri" w:cs="Amiri"/>
          <w:color w:val="111111"/>
          <w:sz w:val="28"/>
          <w:sz w:val="28"/>
          <w:szCs w:val="28"/>
          <w:rtl w:val="true"/>
          <w:lang w:bidi="ar-SA"/>
        </w:rPr>
        <w:t>كفايتها في المسجد، لأنّ معظم المساجد في الإسلام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كفاية تلك في جميع الأوقاف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لعدم جريان المعاطاة في الوقف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باللّزوم فيه منافٍ لما اشتهر بينهم من توقّف اللّزوم على اللّفظ، والجواز غير معروفٍ في الوقف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اللّزوم لا يتوقّف على اللّفظ، كما حُقّق في كتاب البيع</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جواز المعاطاة مختصٌّ بالمعاملة التي تجتمع فيها الصحّة مع الجواز، ولا يشمل ما لا تجتمع فيه معه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عليه عدم اللّزوم مع الصحّة، وأمّا عدم اللّزوم غير </w:t>
      </w:r>
    </w:p>
    <w:p>
      <w:pPr>
        <w:pStyle w:val="BookText"/>
        <w:rPr/>
      </w:pPr>
      <w:r>
        <w:rPr>
          <w:rFonts w:ascii="Amiri" w:hAnsi="Amiri" w:eastAsia="Amiri" w:cs="Amiri"/>
          <w:color w:val="111111"/>
          <w:sz w:val="28"/>
          <w:sz w:val="28"/>
          <w:szCs w:val="28"/>
          <w:rtl w:val="true"/>
          <w:lang w:bidi="ar-SA"/>
        </w:rPr>
        <w:t>المجتمع معها فلا يكون مشمولاً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يجعل هذا بنفسه دليل اللّزوم فيه، فيقال إنّ المعاطاة تفيد أصل الوقف، وأمّا اللّزوم فهو ثابتٌ بمتقتضى الدليل الخاص الدالّ على أنّ كلّ وقفٍ صحيحٍ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جواز الوقف، ولم يدلّ دليلٌ على عدم اجتماع الوقف والجواز، بل الوقف قبل القبض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القبض جزءُ المؤثّر، فقبله لا يكون المؤثّر تامّاً كي يكون لازماً أو جائزاً، وقد ورد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للّه فلا رجعة له فيه</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وظاهر ذلك أنّ ما كان للّه لا يلائمه الرجوع، وهذا غير قابل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 من أنّه يختصّ ببعض أقسام الوقف، وحاصله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أقسامه كالوقف الخاص، أو لمصرفٍ خاص كالوقف لتعزية سيّد الشهداء سلام اللّه عليه، من جهة عدم كون فعلٍ مصداقاً له لا يجري فيه المعاطاة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نتصوّر معاملة لايكون فعلٌ فيها مصداقاً لتلك المعاملة بالمعنى المعقول، وهو كون الفعل مظهراً عرفاً للاعتبار النفساني لا أقلّ من الأفعال التي يفهم الأخرس مقاصده بها، مثلاً إذا سأل أحدٌ عن من يريد وقف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توقف هذا المال لمصرفٍ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رأسه قاصداً به إنشاء الوقف، يكون هذا الفعل بضميمة القرائن الموجود مصداقاً لعنوان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bookmarkStart w:id="211" w:name="pg11823_118858"/>
    </w:p>
    <w:p>
      <w:pPr>
        <w:pStyle w:val="BookText"/>
        <w:rPr/>
      </w:pPr>
      <w:bookmarkEnd w:id="211"/>
      <w:r>
        <w:rPr>
          <w:rFonts w:ascii="Amiri" w:hAnsi="Amiri" w:eastAsia="Amiri" w:cs="Amiri"/>
          <w:color w:val="111111"/>
          <w:sz w:val="28"/>
          <w:sz w:val="28"/>
          <w:szCs w:val="28"/>
          <w:rtl w:val="true"/>
          <w:lang w:bidi="ar-SA"/>
        </w:rPr>
        <w:t>وعليه، فالأظهر صحّة الوقف المعاطاتي مطلقاً، وتعضده السيرة القطعيّة في مثل الفرش للمساجد، فإنّ الذي استقرّت سيره المشترّعة عليه شرائها وإعطائها للمسجد من دون إجراء الصيغة، وكذا تعمير المساجد الخَربة بالنسبة إلى الآلات المعمولة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قبيل الإباحة، بيّنة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في جعل الحصير للمسجد من أنّه من قبيل تمليك المسجد وليس وقفاً، وإنْ كان معقولاً نظراً إلى أنّ الملكيّة من الاُمور الاعتباريّة، ولا مانع من اعتبارها للمسجد، إلّاأنّه خلاف المرتكز العرفي، فإنّه لا يخطر ببال أحدٍ من أهل العرف هبة المسجد، ولم يعهد قبول الناظر لها وقبضه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كون ذلك كلّه من قبيل الوقف المعاطاتي، واللّه العالم</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1006734_73709187"/>
      <w:bookmarkStart w:id="213" w:name="_Toc72"/>
      <w:bookmarkEnd w:id="212"/>
      <w:r>
        <w:rPr>
          <w:rtl w:val="true"/>
        </w:rPr>
        <w:t>اشتراط القبول في الوقف</w:t>
      </w:r>
      <w:bookmarkEnd w:id="21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اشتراط القبول في الوقف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ظاهر الأكثر، حيث ذكروا الإيجاب ولم يتعرّضوا لذكر القبول، ممّا يعني عدم اشتراطه مطلقاً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من الاشتراط مطلقاً، ونُسب إلى الأكثر أيضاً من جهة إطباقهم على أنّ الوقف من 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الأوقاف العامّة، مثل الوقف على الفقراء أو الفقهاء أو المساجد فالأوّل، والأوقاف الخاصّة وهي ما كان الوقف على جهةٍ معيّنة كشخصٍ معيّن أو جماعة معيّنين فالثاني، وإلى هذا القول ذهب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 ويظهر من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 والشارح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الميل إليه،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اعتبار القبول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الأدلّة بعد صدق الوقف على فعل الواقف، خصوصاً على القول بأنّ الوقف ملكٌ لا 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وأصالة عدم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وخلوّ النصوص الواردة المتضمّنة لأوقاف المعصومين عليهم السلام عن ذكر القبول، لاحظ ما تضمّن صَدَقة عليّ بن أبي طالب عليه السلام بداره التي في بني زُريق</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عجلان المتضمّن لصدقة صادق الآل داره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وحديث صَدَقة الإمام الكاظم عليه السلام بأرضٍ له على أولاده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تلكم من الأخبار، وليس في شيء منها الإشارة إلى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أضف إلى ذلك سيرة المتشرّعة في الوقف على الجهات، فإنّه لا ترى في شيء من تلك الموارد قبول الناظر أو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لاعتباره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عقدٌ فيعتبر فيه القبول كسائر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إدخاله في ملك الغير بغير رضاه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بقاء الملك على مالكه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فمصادرة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بالطبقات اللّاحقة، إذ لم يقل أحدٌ باعتبار قبولهم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لاختصّ بالوقف على شخصٍ معيّن أو أشخاص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الوقف فكّ ملك لا 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الالتزام به لو دلّ عليه الدليل، وقد عرفت وجوده، وكم له من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مورد للأصل مع وجود الدليل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اعتباره مطلقاً، وعلى فرض التنزّل فالمتعيّن البناء على اعتباره في الوقف الخاص، أمّا الوقف العام فلا محلّ للترديد في عدم اشتراطه فيه، واللّه العالم</w:t>
      </w:r>
      <w:r>
        <w:rPr>
          <w:rFonts w:eastAsia="Amiri" w:cs="Amiri" w:ascii="Amiri" w:hAnsi="Amiri"/>
          <w:color w:val="111111"/>
          <w:sz w:val="28"/>
          <w:szCs w:val="28"/>
          <w:rtl w:val="true"/>
          <w:lang w:bidi="ar-SA"/>
        </w:rPr>
        <w:t>.</w:t>
      </w:r>
      <w:bookmarkStart w:id="214" w:name="pg11823_118861"/>
    </w:p>
    <w:p>
      <w:pPr>
        <w:pStyle w:val="BookText"/>
        <w:rPr/>
      </w:pPr>
      <w:bookmarkEnd w:id="214"/>
      <w:r>
        <w:rPr>
          <w:rFonts w:ascii="IRNazanin" w:hAnsi="IRNazanin" w:eastAsia="IRNazanin"/>
          <w:color w:val="111111"/>
          <w:sz w:val="28"/>
          <w:sz w:val="28"/>
          <w:szCs w:val="28"/>
          <w:rtl w:val="true"/>
          <w:lang w:bidi="fa-IR"/>
        </w:rPr>
        <w:t>وشروطه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والتقرّب</w:t>
      </w:r>
    </w:p>
    <w:p>
      <w:pPr>
        <w:pStyle w:val="Heading3"/>
        <w:numPr>
          <w:ilvl w:val="2"/>
          <w:numId w:val="1"/>
        </w:numPr>
        <w:rPr/>
      </w:pPr>
      <w:bookmarkStart w:id="215" w:name="__RefHeading___Toc11006736_73709187"/>
      <w:bookmarkStart w:id="216" w:name="_Toc73"/>
      <w:bookmarkEnd w:id="215"/>
      <w:r>
        <w:rPr>
          <w:rtl w:val="true"/>
        </w:rPr>
        <w:t>شرائط الوقف</w:t>
      </w:r>
      <w:bookmarkEnd w:id="216"/>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والمصنّف لمّا كان يرى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جعلها ستّة، وأمّا جعله من الشروط على تقدير اعتباره، مع أنّه جزءُ العقد، فلأنّ حقيقة الوقف إنّما هو فعل الواقف، وبالإيجاب يتمّ الوقف عرفاً، ولو كان القبول معتبراً فإنّما هو لكونه من شرائط الصحّة، وتأثير فعل الواقف في حصول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فينبغي البحث عن الشروط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سبحانه وتعالى كما هو المشهور، وعن الحِلّي</w:t>
      </w:r>
      <w:r>
        <w:rPr>
          <w:rStyle w:val="FootnoteAnchor"/>
          <w:rtl w:val="true"/>
        </w:rPr>
        <w:footnoteReference w:id="565"/>
      </w:r>
      <w:r>
        <w:rPr>
          <w:rFonts w:ascii="Amiri" w:hAnsi="Amiri" w:eastAsia="Amiri" w:cs="Amiri"/>
          <w:color w:val="111111"/>
          <w:sz w:val="28"/>
          <w:sz w:val="28"/>
          <w:szCs w:val="28"/>
          <w:rtl w:val="true"/>
          <w:lang w:bidi="ar-SA"/>
        </w:rPr>
        <w:t>والسيّد ابن زُهرة</w:t>
      </w:r>
      <w:r>
        <w:rPr>
          <w:rStyle w:val="FootnoteAnchor"/>
          <w:rtl w:val="true"/>
        </w:rPr>
        <w:footnoteReference w:id="566"/>
      </w:r>
      <w:r>
        <w:rPr>
          <w:rFonts w:ascii="Amiri" w:hAnsi="Amiri" w:eastAsia="Amiri" w:cs="Amiri"/>
          <w:color w:val="111111"/>
          <w:sz w:val="28"/>
          <w:sz w:val="28"/>
          <w:szCs w:val="28"/>
          <w:rtl w:val="true"/>
          <w:lang w:bidi="ar-SA"/>
        </w:rPr>
        <w:t>إجماع الإماميّة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الصدقة عليه في الأخبار، وهو يعتبر فيها، ففي الموثّق</w:t>
      </w:r>
      <w:r>
        <w:rPr>
          <w:rStyle w:val="FootnoteAnchor"/>
          <w:rtl w:val="true"/>
        </w:rPr>
        <w:footnoteReference w:id="567"/>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ولا عتق إلّاما أُريد به وجه اللّه عزّ وجلّ‌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الصدقة على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أن يكون على وجه الحقيقة، فيكون الوقف من مصاديقها، فيعتبر فيه ما يعتبر في كلّ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على وجه الاستعارة والتشبيه، وهما يقتضيان الشركة في الأحكام، إمّا جملةً أو المتبادر منها خاصّة، ولا ريب أنّ اشتراط القربة في صحّة الصدقة من أظهر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وباتّباع الأئمّة وقوفاتهم المأثورة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ابتغاء وجه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الأصل عدم صحّة الوقف، خرج عنه الوقف مع قصد القربة، وبقى الفاقد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التعبّديّة في التكاليف، إذ لاريب في أنّه من المستحبّات، ومقتضى ذلك الأصل اعتباره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كونه تعبّديّاً، ولعلّ مستند المجمعين بعض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الأخبار متضمّنة لحمل الصدقة على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هذا الوجه تامّاً، ولكن ليس في الأخبار إلّاإطلاق الصدقة على الوقف، ولازم ذلك أنّ للصدقة معنى عامّاً يصدق على الوقف، وأمّا أنّ كلّ وقفٍ يصدق عليه الصدقة فلا يستفاد من تلك الأخبار، وعليه فمن الممكن كون النسبة بين العنوانين عموماً من وجه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إذا لم يقصد القربة بالوقف لا يطلق عليه الصدقة، وأمّا أنّ ذلك يقتضي بطلانه بنحوٍ يصلح ذلك لتقييد إطلاق ما دلّ على صحّة الوقف بقولٍ مطلق، فلا يستفاد من تلك الأخبار</w:t>
      </w:r>
      <w:r>
        <w:rPr>
          <w:rFonts w:eastAsia="Amiri" w:cs="Amiri" w:ascii="Amiri" w:hAnsi="Amiri"/>
          <w:color w:val="111111"/>
          <w:sz w:val="28"/>
          <w:szCs w:val="28"/>
          <w:rtl w:val="true"/>
          <w:lang w:bidi="ar-SA"/>
        </w:rPr>
        <w:t xml:space="preserve">. </w:t>
      </w:r>
      <w:bookmarkStart w:id="217" w:name="pg11823_118863"/>
    </w:p>
    <w:p>
      <w:pPr>
        <w:pStyle w:val="BookText"/>
        <w:rPr/>
      </w:pPr>
      <w:bookmarkEnd w:id="217"/>
      <w:r>
        <w:rPr>
          <w:rFonts w:ascii="IRNazanin" w:hAnsi="IRNazanin" w:eastAsia="IRNazanin"/>
          <w:color w:val="111111"/>
          <w:sz w:val="28"/>
          <w:sz w:val="28"/>
          <w:szCs w:val="28"/>
          <w:rtl w:val="true"/>
          <w:lang w:bidi="fa-IR"/>
        </w:rPr>
        <w:t>والإقباض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في صحّة نيّة القربة فيه، وأرجحيّة تلك، وإنّما الكلام في لزومها، وفعل المعصومين عليهم السلام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أدلّة الوقف، صحّة كلّ ما يصدق عليه هذا العنوان، ومعه لا مورد للأصل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من الإيقاعات العقلائيّة التي أمضاها الشارع الأقدس، ولا يعتبر فيما عليه بناء العقلاء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أنّ الأصل كون المأمور به توصّليّاً حتّى يثبت خلافه، مع أنّ للوقف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والاستحباب، وقصد القربة الثابت بالأصل إنّما هو في الحكم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اعتبار قصد القربة في الوقف، نعم ترتّب الثواب عليه موقوفٌ على قصد القربة، فإنّه من آثار التقرّب إلى اللّه تعالى‌، لا من آثار الفعل المجرّد</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1006738_73709187"/>
      <w:bookmarkStart w:id="219" w:name="_Toc74"/>
      <w:bookmarkEnd w:id="218"/>
      <w:r>
        <w:rPr>
          <w:rtl w:val="true"/>
        </w:rPr>
        <w:t>يعتبر في الوقف الإقباض</w:t>
      </w:r>
      <w:bookmarkEnd w:id="219"/>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قالوا باشتراطه في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عدم الخلاف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دعوى الإجماع عليه، ويشهد به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صفوان بن يحيى‌،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يقف الضيعة ثمّ يبدو له أنْ يحدث في ذلك شيئاً؟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وقفها لولده ولغيرهم، ثمّ جعل لها قيّماً، لم يكن له أنْ يرجع فيها، وإنْ كانوا صغاراً وقد شرط ولايتها لهم حتّى بلغوا، فيحوزها لهم، لم يكن له أنْ يرجع فيها، وإنْ كانوا كباراً ولم يُسلّمها إليهم، ولم يخاصموا حتّى يحوزوها عنه، فله أنْ يرجع فيها، لأنّهم لا يحوزونها وقد بلغوا</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محمّد بن الأسدي، فيما ورد عليه من جواب مسائله من محمّد بن عثمان العمروي، عن صاحب الزمان أرواحنا فداه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الوقف على ناحيتنا، وما يجعل لنا، ثمّ يحتاج إليه صاحبه، فكلّ ما لم يُسلّم فصاحبه فيه بالخيار، وكلّما سُلّم فلا خيار فيه لصاحبه، احتاج أو لم يحتج، افتقر إليه أو استغنى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ماسألت عنه من أمر الرّجل الذي يجعل لناحيتنا ضيعة ويُسملّها من قيّم يقوم فيها ويعمّرها، ويؤدّي من دخلها خراجها ومؤونتها، ويجعل ما بقى من الدخل لناحيتنا، فإنّ ذلك جائزٌ لمن جعله صاحب الضيعة قيّماً عليها، إنّما لايجوز ذلك لغيره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ومادلّ على أنّه لو مات الواقف قبل القبض رجع ميراثاً</w:t>
      </w:r>
      <w:r>
        <w:rPr>
          <w:rStyle w:val="FootnoteAnchor"/>
          <w:rtl w:val="true"/>
        </w:rPr>
        <w:footnoteReference w:id="571"/>
      </w:r>
      <w:r>
        <w:rPr>
          <w:rFonts w:ascii="Amiri" w:hAnsi="Amiri" w:eastAsia="Amiri" w:cs="Amiri"/>
          <w:color w:val="111111"/>
          <w:sz w:val="28"/>
          <w:sz w:val="28"/>
          <w:szCs w:val="28"/>
          <w:rtl w:val="true"/>
          <w:lang w:bidi="ar-SA"/>
        </w:rPr>
        <w:t>، وسيمرّ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هذا الشرط يتحقّق في ضمن فروع</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القبض شرطٌ للصحّة كماهو المشهور</w:t>
      </w:r>
      <w:r>
        <w:rPr>
          <w:rStyle w:val="FootnoteAnchor"/>
          <w:rtl w:val="true"/>
        </w:rPr>
        <w:footnoteReference w:id="572"/>
      </w:r>
      <w:r>
        <w:rPr>
          <w:rFonts w:ascii="Amiri" w:hAnsi="Amiri" w:eastAsia="Amiri" w:cs="Amiri"/>
          <w:color w:val="111111"/>
          <w:sz w:val="28"/>
          <w:sz w:val="28"/>
          <w:szCs w:val="28"/>
          <w:rtl w:val="true"/>
          <w:lang w:bidi="ar-SA"/>
        </w:rPr>
        <w:t>؟ أم للّزوم كما هو</w:t>
      </w:r>
      <w:r>
        <w:rPr>
          <w:rFonts w:eastAsia="Amiri" w:cs="Amiri" w:ascii="Amiri" w:hAnsi="Amiri"/>
          <w:color w:val="111111"/>
          <w:sz w:val="28"/>
          <w:szCs w:val="28"/>
          <w:rtl w:val="true"/>
          <w:lang w:bidi="ar-SA"/>
        </w:rPr>
        <w:t xml:space="preserve">). </w:t>
      </w:r>
      <w:bookmarkStart w:id="220" w:name="pg11823_118865"/>
    </w:p>
    <w:p>
      <w:pPr>
        <w:pStyle w:val="BookText"/>
        <w:rPr/>
      </w:pPr>
      <w:bookmarkEnd w:id="220"/>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صحيح صفوان هو الثاني،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أنْ 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الضيعة، ولو كان شرطاً للصحّة لكانت الضيعة باقية على ملكه، فلا معنى للرجوع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الأسدي يلائم مع كلّ منهما، وكذا ما دلّ على أنّه لو مات الواقف قبل القبض رجع ميراثاً، وعلى هذا فإنْ كان إجماعٌ على كونه شرطاً للصحّة، وإلّا فالمتّجه كونه شرطاً للّزوم، وعليه فحكم النماء المتخلّل بين العقد والقبض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بأنّه شرطٌ للصحّة، فهل هو كاشفٌ أو ناقل‌؟</w:t>
      </w:r>
    </w:p>
    <w:p>
      <w:pPr>
        <w:pStyle w:val="BookText"/>
        <w:rPr/>
      </w:pPr>
      <w:r>
        <w:rPr>
          <w:rFonts w:ascii="Amiri" w:hAnsi="Amiri" w:eastAsia="Amiri" w:cs="Amiri"/>
          <w:color w:val="111111"/>
          <w:sz w:val="28"/>
          <w:sz w:val="28"/>
          <w:szCs w:val="28"/>
          <w:rtl w:val="true"/>
          <w:lang w:bidi="ar-SA"/>
        </w:rPr>
        <w:t>مقتضى إطلاقات الوقف هو الأوّل، فإنّها تقتضي عدم اعتبار القبض، وحصول النقل بمجرّد إجراء الصيغة، والمتيقّن من ما دلّ على شرطيّة القبض، عدم حصوله مع عدم القبض، وأمّا أنّه على تقديره، فلا يثبت النقل من الأوّل، فلا يدلّ عليه، وقياس الاعتبارات بالشرط الخارجي للموجود الخارجي في غير محلّه، وعليه فالمتّجه كونه كاشفاً</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1006740_73709187"/>
      <w:bookmarkStart w:id="222" w:name="_Toc75"/>
      <w:bookmarkEnd w:id="221"/>
      <w:r>
        <w:rPr>
          <w:rtl w:val="true"/>
        </w:rPr>
        <w:t>بطلان الوقف بموت الواقف قبل القبض</w:t>
      </w:r>
      <w:bookmarkEnd w:id="222"/>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الواقف قبل القبض بطل الوقف بلا خلافٍ‌، واستدلّ له بخبر عبيد بن زرارة، عن الإمام الصادق عليه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تصدّق على ولد له قد أدركوا؟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لأنّ الوالد هو الذي يلي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لايرجع في الصدقة إذا تصدّق بها ابتغاء وجه اللّه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يريد بالصدقة معناها الخاص، فلا يكون دليلاً،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 قوله في آخر الحديث،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الحكم من خواصّ الصدقة الخاصّة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وإنْ فهموا من الخبر أنّ المراد بالصدقة في صدر الخبر إمّا الوقف أو الصدقة بالمعنى الأعمّ الشامل له، وذيل الخبر لا ينافيه، إذ يمكن أنْ يكون ذلك خبراً آخر، كما يؤيّده 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كون ذلك من خواصّ الصدقة بالمعنى الأخصّ ممنوعٌ‌، بل هو من خواصّ كلّ صدقةٍ أُريد بها وجه اللّه كما قيّد به في الخبر، ولكن كون الصدقة لها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الأخصّ‌، والمعنى الأعمّ غير ثابت، ومجرّد الاستعمال أعمٌّ من الحقيقة، وليس استعمالها في غير المعنى الأخصّ بمقدار استعمالها فيه، وفهم الأصحاب ليس حجّة، فشمول الخبر لغير الصدقة بالمعنى الأخصّ مشكلٌ‌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لها معنى عام، كما يظهر من موارد استعمالها، واستعمال سائر مشتقّات هذه المادة، وأنّ استعمالها في المعنى الخاص من باب إطلاق اللّفظ الموضوع للمعنى العام على بعض مصاديقه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فمقتضى إطلاق الخبر ثبوت هذا الحكم للوقف، فتأمّل فإنّ هذا محلّ نظر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الحكم من المسلّمات عندهم وكفى به مدركاً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موت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مات الموقوف عليه قبل القبض، فهل يبطل أيضاً أم لا، بل يصحّ إذا قبض البطن اللّاحق‌؟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ذلك شأن العقد الجائز، فضلاً عن الذي لم يتمّ ملكه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الظاهر أنّ المعتبر قبض من كان طرفاً في إجراء الصيغة، فلا يكفي قبض غيره، فإنّه نظير قبول غير من خوطب بالإيجاب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 مات الموقوف عليه قبل القبض، يكون بمنزلة المعدوم، فيكون مثل الوقف على معدوم ثمّ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ذلك ليس شأن العقد الجائز، وعلى فرضه فهو شأن العقد الجائز، وإسرائه إلى العقد اللّازم الذي لم تتمّ أركانه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الإيجاب ليس مختصّاً بالموجودين، بل لجميع الطبقات، وعليه فكما أنّه مع عدم موت الطبقة الأُولى يكتفي بقبضهم عن قبض سائر الموقوف عليهم، فكذلك مع موتهم يكتفي بقبض الطبقة الثانية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ويتوجّه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الوقف إنّما كان على موجودٍ ثمّ معدوم، وإنّما لم يكن </w:t>
      </w:r>
      <w:bookmarkStart w:id="223" w:name="pg11823_118868"/>
    </w:p>
    <w:p>
      <w:pPr>
        <w:pStyle w:val="BookText"/>
        <w:rPr/>
      </w:pPr>
      <w:bookmarkEnd w:id="223"/>
      <w:r>
        <w:rPr>
          <w:rFonts w:ascii="Amiri" w:hAnsi="Amiri" w:eastAsia="Amiri" w:cs="Amiri"/>
          <w:color w:val="111111"/>
          <w:sz w:val="28"/>
          <w:sz w:val="28"/>
          <w:szCs w:val="28"/>
          <w:rtl w:val="true"/>
          <w:lang w:bidi="ar-SA"/>
        </w:rPr>
        <w:t>العقد تامّاً لفقد شرطٍ من شروطه الخارج عن حقيقة الوقف، سيّما على ما قوّيناه من كون القبض شرط اللّزوم لا 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بطلان الوقوف</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1006742_73709187"/>
      <w:bookmarkStart w:id="225" w:name="_Toc76"/>
      <w:bookmarkEnd w:id="224"/>
      <w:r>
        <w:rPr>
          <w:rtl w:val="true"/>
        </w:rPr>
        <w:t>اشتراط القبض في الوقف على الجهات العامّة</w:t>
      </w:r>
      <w:bookmarkEnd w:id="225"/>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كلمات الأصحاب أنّه يشترط القبض في الوقف على الجهات العامّة، كالوقف على المساجد وماشاكل، وكذا في الوقف على الفقراء والزوّار ونحوهم من الأصناف، وكذا في وقف المسجد والمدرسة والمقبرة، ولكن أخبار القبض مختصّة بغير المذكورات، فالقول بعدم اعتبار القبض فيها غير بعيدٍ، وعلى فرض اعتباره، ففي الوقف على الأصناف يكفي قبضُ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قبض الحاكم عن الجميع، ولا يكفي قبض واحدٍ منهم، لأنّ الموقوف عليه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لوكان الوقف على الجميع بنحو العموم، بحيث لزم التقسيم على الجميع، صَحّ ما اُفيد، وهو في الحقيقة منحلٌّ إلى أوقاف عديدة، وأمّا الوقف على الجنس، كما لو وقف داراً على العلماء، فيكفي قبض واحدٍ منهم كما ذكروه في وقف المسجد أنّه تكفي صلاة واحدة فيه، وفي وقف المقبرة يكفي دفن ميّتٍ واحد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الوقف على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قبض الحاكم الشرعي أو المأذون من قبله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جميع هذه الموارد لو جَعل الواقف تولية الوقف لشخصٍ‌، وجعله قيّماً يكفي قبضه، كما يشهد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صحيح صفوان المتقدّم، حيث جاء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أوقفها لولده و لغيرهم، ثمّ جَعل لها قيّماً، لم يكن له أنْ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ويسلّمها من قيّم يقوم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ما ذكره جماعة، من أنّه يجوز للواقف في الوقف على الأصناف أن ينصب قيّماً لخصوص القبض، ولو بعد الوقف، وأنّه يكفي حينئذٍ قبضه، خصوصاً مع فقد الحاكم، مستنداً إلى الخبرين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التراخي، وأنّ نصب القيّم يكون بعد الوقف،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اعتبار كون القبض فيما يعتبر فيه ذلك أنْ يكون بإذن الواقف، والمستند في ذلك هو أنّ المعتبر الإقباض،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التوقيع الشريف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لم يُسلّم فصاحبه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المناط تسليم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كباراً لم يُسلّمها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يعارضهما قوله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يخاصموا حتّى يحوزوها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ظاهره جواز المخاصمة مع الواقف للقبض، فإنّ الظاهر منه بقرينة التعدية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المخاصمة معه في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أفادوه من اعتبار الإذن والإقباض هو الأظهر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الأب على أولاده الأصاغر، لم يحتجّ إلى قبضٍ جديد، لا لعدم اعتبار القبض أصلاً لانصراف أدلّته عنه، لأنّه يردّه ما في صحيح صفوان </w:t>
      </w:r>
    </w:p>
    <w:p>
      <w:pPr>
        <w:pStyle w:val="BookText"/>
        <w:rPr/>
      </w:pPr>
      <w:r>
        <w:rPr>
          <w:rFonts w:ascii="Amiri" w:hAnsi="Amiri" w:eastAsia="Amiri" w:cs="Amiri"/>
          <w:color w:val="111111"/>
          <w:sz w:val="28"/>
          <w:sz w:val="28"/>
          <w:szCs w:val="28"/>
          <w:rtl w:val="true"/>
          <w:lang w:bidi="ar-SA"/>
        </w:rPr>
        <w:t>ويتولّى الوليُّ القبض عن الطفل، والناظر في المصالح القبض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شرط ولايتها لهم حتّى يبلغوا فيحوزها لهم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قبضه ولايةً عليهم قبضٌ لهم لعموم أدلّة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صفوان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يتصدّق على ولده وقد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لأنّ والده هو الذي يلي أمره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عليّ بن جعفر</w:t>
      </w:r>
      <w:r>
        <w:rPr>
          <w:rStyle w:val="FootnoteAnchor"/>
          <w:rtl w:val="true"/>
        </w:rPr>
        <w:footnoteReference w:id="579"/>
      </w:r>
      <w:r>
        <w:rPr>
          <w:rFonts w:ascii="Amiri" w:hAnsi="Amiri" w:eastAsia="Amiri" w:cs="Amiri"/>
          <w:color w:val="111111"/>
          <w:sz w:val="28"/>
          <w:sz w:val="28"/>
          <w:szCs w:val="28"/>
          <w:rtl w:val="true"/>
          <w:lang w:bidi="ar-SA"/>
        </w:rPr>
        <w:t>، وهما بعموم العلّة يدلّان على المقام، وإنْ قلنا بشمول الصدقة للوقف فالأمر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فهل يعتبرقصد كونه عن المولّى عليه أم لا؟</w:t>
      </w:r>
    </w:p>
    <w:p>
      <w:pPr>
        <w:pStyle w:val="BookText"/>
        <w:rPr/>
      </w:pPr>
      <w:r>
        <w:rPr>
          <w:rFonts w:ascii="Amiri" w:hAnsi="Amiri" w:eastAsia="Amiri" w:cs="Amiri"/>
          <w:color w:val="111111"/>
          <w:sz w:val="28"/>
          <w:sz w:val="28"/>
          <w:szCs w:val="28"/>
          <w:rtl w:val="true"/>
          <w:lang w:bidi="ar-SA"/>
        </w:rPr>
        <w:t>وجهان، لا يبعد دعوى عدم اعتباره، كما عن جماعةٍ‌، لإطلاق الأخبار، بل عن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نوى الخلاف، فالأقوى الجواز</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 ولا بأس به جموداً على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ذكرناه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أجنبيٌّ على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 الوليُّ القبض عن الطفل و</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ظهر ممّا قدّمناه في الفروع السابقة أنّ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 في المصالح القبض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26" w:name="pg11823_118871"/>
    </w:p>
    <w:p>
      <w:pPr>
        <w:pStyle w:val="BookText"/>
        <w:rPr/>
      </w:pPr>
      <w:bookmarkEnd w:id="226"/>
      <w:r>
        <w:rPr>
          <w:rFonts w:ascii="Amiri" w:hAnsi="Amiri" w:eastAsia="Amiri" w:cs="Amiri"/>
          <w:color w:val="111111"/>
          <w:sz w:val="28"/>
          <w:sz w:val="28"/>
          <w:szCs w:val="28"/>
          <w:rtl w:val="true"/>
          <w:lang w:bidi="ar-SA"/>
        </w:rPr>
        <w:t>والتنجيز</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1006744_73709187"/>
      <w:bookmarkStart w:id="228" w:name="_Toc77"/>
      <w:bookmarkEnd w:id="227"/>
      <w:r>
        <w:rPr>
          <w:rtl w:val="true"/>
        </w:rPr>
        <w:t>عدم اعتبار التنجيز في الوقف</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 من شرائط 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المشهور، فلو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ولا إشكال، بل الإجماع بقسميه عليه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تنجيزه موضع وفاق</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بالخصوص لاعتباره في الوقف، وإنّما ذكروا في وجه الاعتبار ما ذكروه وجهاً لاعتباره في مطلق العقود، قد مرّ الكلام في ذلك في كتاب البيع</w:t>
      </w:r>
      <w:r>
        <w:rPr>
          <w:rStyle w:val="FootnoteAnchor"/>
          <w:rtl w:val="true"/>
        </w:rPr>
        <w:footnoteReference w:id="583"/>
      </w:r>
      <w:r>
        <w:rPr>
          <w:rFonts w:ascii="Amiri" w:hAnsi="Amiri" w:eastAsia="Amiri" w:cs="Amiri"/>
          <w:color w:val="111111"/>
          <w:sz w:val="28"/>
          <w:sz w:val="28"/>
          <w:szCs w:val="28"/>
          <w:rtl w:val="true"/>
          <w:lang w:bidi="ar-SA"/>
        </w:rPr>
        <w:t>وغيره من الكتب المتقدّمة، وعرفت عدم تماميّة شيء من ما ذكر، وأنّه لا دليل له سوى الإجماع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فحيث أفاد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الشرط لم أقف عليه في جملةٍ من كتب المتقدّمين،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إدريس،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رحمه الله فإنّه لم يتعرّض أحد منهم لذكره في الكتب المذكورة</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فالقول بعدم الاعتبار قويٌّ لعدم الإجماع، سيّما في التعليق على الصفة التي لابدّ من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التعليق على وصفٍ موجودٍ أو شرطٍ متحقّق، فلا إشكال في صحّته، كما مرّ تفصيل القول في ذلك</w:t>
      </w:r>
      <w:r>
        <w:rPr>
          <w:rFonts w:eastAsia="Amiri" w:cs="Amiri" w:ascii="Amiri" w:hAnsi="Amiri"/>
          <w:color w:val="111111"/>
          <w:sz w:val="28"/>
          <w:szCs w:val="28"/>
          <w:rtl w:val="true"/>
          <w:lang w:bidi="ar-SA"/>
        </w:rPr>
        <w:t xml:space="preserve">. </w:t>
      </w:r>
      <w:bookmarkStart w:id="229" w:name="pg11823_118872"/>
    </w:p>
    <w:p>
      <w:pPr>
        <w:pStyle w:val="BookText"/>
        <w:rPr/>
      </w:pPr>
      <w:bookmarkEnd w:id="229"/>
      <w:r>
        <w:rPr>
          <w:rFonts w:ascii="IRNazanin" w:hAnsi="IRNazanin" w:eastAsia="IRNazanin"/>
          <w:color w:val="111111"/>
          <w:sz w:val="28"/>
          <w:sz w:val="28"/>
          <w:szCs w:val="28"/>
          <w:rtl w:val="true"/>
          <w:lang w:bidi="fa-IR"/>
        </w:rPr>
        <w:t>والدوام</w:t>
      </w:r>
      <w:r>
        <w:rPr>
          <w:rFonts w:eastAsia="IRNazanin" w:cs="IRNazanin"/>
          <w:color w:val="111111"/>
          <w:sz w:val="28"/>
          <w:szCs w:val="28"/>
          <w:rtl w:val="true"/>
          <w:lang w:bidi="fa-IR"/>
        </w:rPr>
        <w:t>.</w:t>
      </w:r>
    </w:p>
    <w:p>
      <w:pPr>
        <w:pStyle w:val="Heading3"/>
        <w:numPr>
          <w:ilvl w:val="2"/>
          <w:numId w:val="1"/>
        </w:numPr>
        <w:rPr/>
      </w:pPr>
      <w:bookmarkStart w:id="230" w:name="__RefHeading___Toc11006746_73709187"/>
      <w:bookmarkStart w:id="231" w:name="_Toc78"/>
      <w:bookmarkEnd w:id="230"/>
      <w:r>
        <w:rPr>
          <w:rtl w:val="true"/>
        </w:rPr>
        <w:t>عدم اعتبار الدوام في الوقف</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 من شروط 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توقيته بمدّةٍ كعشر سنين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الإجماع محصّله ومحكيه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التأبيد معتبرٌ في مفهومه، ولذا قالوا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الوقف، بخلاف سائر الألفاظ، فإنّها بضميمة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المشتملة على أوقاف الأئمّة عليهم السلام، فإنّها مشتملة على التأبيد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ربعي بن عبد اللّه،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صورة وقف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تصدّق به عليّ بن أبي طالب عليه السلام، وهو حَيٌّ سَويّ‌، تصدّق بداره التي في بني زُريق، صدقةً لا تُباع ولا تُوهب حتّى يرثها </w:t>
      </w:r>
    </w:p>
    <w:p>
      <w:pPr>
        <w:pStyle w:val="BookText"/>
        <w:rPr/>
      </w:pPr>
      <w:r>
        <w:rPr>
          <w:rFonts w:ascii="Amiri" w:hAnsi="Amiri" w:eastAsia="Amiri" w:cs="Amiri"/>
          <w:color w:val="111111"/>
          <w:sz w:val="28"/>
          <w:sz w:val="28"/>
          <w:szCs w:val="28"/>
          <w:rtl w:val="true"/>
          <w:lang w:bidi="ar-SA"/>
        </w:rPr>
        <w:t>اللّه الذي يرث السماوات والأرض، وأسكن هذه الصدقة خالاته ما عشن وعاش عقبهن، فإذا انقرضوا فهي لذي الحاجة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عجلان أبي صالح، في صورة وقف الإمام الصادق عليه السلام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عبد الرحمن المتضمّن لوقف الإمام الكاظم عليه السلام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بجميع حقّه من ذلك على ولده من صُلبه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حبساً بتلاً بتّاً مبتوتة لا رجعة فيها ولا رَدّ، ابتغاء وجه اللّه تعالى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الوصف كونه صفة لنوع الصدقة لا لشخصها، ويبعد كونه شرطاً خارجاً عن النوع مأخوذاً في الشخص، مع أنّ سياق الاشتراط يقتضي تأخّره عن ركن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الموقف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وبالأصل، فإنّ المتعيّن من دليل مشروعيّة الوقف صورة التأبيد، وفي غيرها يرجع إلى 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كونه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التأبيد غير معتبرٍ في مفهوم الوقف الذي اتّفق النّص والفهم العرفي وكلمات الأصحاب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تحبيسُ الأصل وتسبيل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مضافاً إلى إطلاق الوقف على المنقطع في الأخبار كما سيأتي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ويتوجّه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الظاهر من الوصف كونه صفة لنوع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دعوى عدم كونه شرطاً خارجيّاً عن الوقف مأخوذاً في الشخص قريبة، ولكن المدّعى أنّ للّوقف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كالنكاح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كالنكاح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الدائم ليس هناك وقفٌ وقيدُ دوامٍ‌، بل المُنشَأ والمتحقّق شيء واحد وهو الوقف دائماً وأبداً، والنصوص المتقدّمة لاتنفي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أدلّة الوقف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تكون على حسب ما يوقفها أهلها إنْ شاء اللّه تعالى‌</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يدلّ على صحّة الوقف المنقطع، ويشهد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مواليك عن آبائك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وقفٍ إلى وقتٍ معلوم فهو واجبٌ على الورثة، وكلّ وقفٍ إلى غير وقتٍ جهل مجهول فهو باطلٌ مردودٌ على الورثة، وأنتَ أعلم بقول آبائك عليهم السلام‌؟</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عندي</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صحّة الوقف المنقطع، والأصحاب لمّا كان بنائهم على اشتراط التأبيد حَمَلوه على صحّته حبساً، والشيخ قدس سره حمل الوقت فيه على الموقوف عليه دون المدّة، استناداً إلى صحيح الصفّار الوارد فيه أنّه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 أسأله عن الوقف الذي يصحّ‌، كيف هو، وقد روي أنّ الوقف إذا كان غير موقّتٍ فهو باطل مردودٌ على الورثة، وإذا كان موقّتاً فهو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32" w:name="pg11823_118875"/>
    </w:p>
    <w:p>
      <w:pPr>
        <w:pStyle w:val="BookText"/>
        <w:rPr/>
      </w:pPr>
      <w:bookmarkEnd w:id="232"/>
      <w:r>
        <w:rPr>
          <w:rFonts w:ascii="IRNazanin" w:hAnsi="IRNazanin" w:eastAsia="IRNazanin"/>
          <w:color w:val="111111"/>
          <w:sz w:val="28"/>
          <w:sz w:val="28"/>
          <w:szCs w:val="28"/>
          <w:rtl w:val="true"/>
          <w:lang w:bidi="fa-IR"/>
        </w:rPr>
        <w:t>وإخراجه عن نفسه</w:t>
      </w:r>
    </w:p>
    <w:p>
      <w:pPr>
        <w:pStyle w:val="BookText"/>
        <w:rPr/>
      </w:pPr>
      <w:r>
        <w:rPr>
          <w:rFonts w:ascii="Amiri" w:hAnsi="Amiri" w:eastAsia="Amiri" w:cs="Amiri"/>
          <w:color w:val="111111"/>
          <w:sz w:val="28"/>
          <w:sz w:val="28"/>
          <w:szCs w:val="28"/>
          <w:rtl w:val="true"/>
          <w:lang w:bidi="ar-SA"/>
        </w:rPr>
        <w:t>صحيحٌ ممضى،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الموقّت هو الذي يَذكر فيه أنّه وقف على فلانٍ وعقبه، فإذا انقرضوا فهو للفقراء والمساكين إلى أن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هو غير موقّت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ولم يذكر أحداً، فما الذي يصحّ من ذلك وما الذي يبطل‌؟</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بحسب ما يوقفها أهلها إنْ شاء اللّه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خبران لا ربط لأحدهما بالآخر، فلا وجه لجعل أحدهما قرينةً على الآخر،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الثاني سوى تفسير قومٍ الموقّت بالموقوف عليه، والسائل لم يسأل عن ذلك حتّى يكون عدم جوابه تقريراً لهم، بل سأل عن ما يصحّ من ذلك وما لايصحّ‌، وأجاب عليه السلام بأنّ‌الوقف صحيحٌ‌على حسب مايوقف، وعليه فهو أيضاًيدلّ على صحّة الموقّت، فما اختاره جماعة و مال إليه آخرون كالشهيد الثاني رحمه الله</w:t>
      </w:r>
      <w:r>
        <w:rPr>
          <w:rStyle w:val="FootnoteAnchor"/>
          <w:rtl w:val="true"/>
        </w:rPr>
        <w:footnoteReference w:id="595"/>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وغيرهم من عدم اشتراط التأبيد هو الأصَحّ‌</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1006748_73709187"/>
      <w:bookmarkStart w:id="234" w:name="_Toc79"/>
      <w:bookmarkEnd w:id="233"/>
      <w:r>
        <w:rPr>
          <w:rtl w:val="true"/>
        </w:rPr>
        <w:t>الوقف على النفس</w:t>
      </w:r>
      <w:bookmarkEnd w:id="23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الوقف على غيره، فلو وقف على نفسه بَطَل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خلاف فيه بين أصحابنا،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59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إلى علمائنا،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وهو الحجّة فيه، وإلّا ففيما ذكروه وجهاً له نظرٌ بل منع، لأنّهم قد استدلّوا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تعقّل الوقف على النفس، لاقتضاء الوقف نقل المنفعة خاصّة، أو مع العين إلى الموقوف عليه، ولا معنى لنقل ملكه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النصوص الآتية الدالّة على عدم صحّة اشتراط العود إليه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طلحة بن زيد، عن مولاناالصادق،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تصدّق بدارٍ له وهو ساكنٌ فيها؟ فقال عليه السلام الحين أُخرج منها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بمكاتبة علي بن سليمان إلى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ليس لي ولد ولي ضياع ورثتها عن أبي، وبعضها استفدتها، ولا آمن الحدثان، فإنْ لم يكن لي ولدٌ وَحَدث بي حَدَثٌ فما ترى جُعلت فداك، لي أن أقف بعضها على فقراء اخواني والمستضعفين، أو أبيعها وأتصدّق بثمنها عليهم في حياتي، فإنّي أتخوّف أنْ لا ينفد الوقف بعد موتي، فإنْ وقفتها في حياتي فلي أن آكل منها أيّام حياتي أم لا؟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كتابك في أمر ضياعك، فليس لك أن تأكل منها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الصدقة، فإنْ أنتَ أكلت منها لم تنفذ، إنْ كان لك ورثة فبع وتصدّق ببعض ثمنها في حياتك، وإنْ تصدّقت أمسكتَ لنفسك ما يقوتك مثل ما صَنَع أميرالمؤمنين عليه السلام</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سُلّم كون الوقف نقلاً للمنفعة إلى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تصحيحه في الوقف على النفس بأنّ مقتضى الوقف حيث يكون إيقاف العين وحبسها، ولازم ذلك في نفسه حبس المنفعة أيضاً، اذ بعد ما تخرج العين عن ملك الواقف، لا تكون المنفعة له، أن يمكلها بغيره، كذلك له أنْ يُبقيها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في حقيقة الوقف التمليك بالغير كي يكون إبقاء المالك المنفعة في ملكه منافياً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من هذه الجهة في أن يوقف العين ويحبسها، ويجعل منفعتها لنفسه، ولا يكون ذلك خارجاً عن حقيقة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تبديل ملكيّةٍ بملكيّة أُخرى عليه بنحوٍ آخر، فلم أفهم مراده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الأولويّة، مع أنّه سيأتي عدم دلالتها على ما استدلّ 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ظاهرٌ في لزوم الخروج عن البيت بعد أن وقفه على الغير، ولايدلّ على عدم جواز الوقف على النفس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لم يدلّ على جواز الوقف على النفس من جهة قوله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35" w:name="pg11823_118878"/>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تصدّقت أمسكتَ لنفسك ما يقوتك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ظهوره في أنّه إذا وقفت وأراد أن يأكل منه مدّة حياته، فليجعل في ضمن إجراء الصيغة شيئاً منه ليقوتَ به، لايدلّ على المنع، فإنّه يدلّ على أنّه لو وقف على الفقراء، لا يجوز له أنْ يأكل مادام حياته، ولا يدلّ على عدم جواز جعل شيء من الوقف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المنع عن الوقف على النفس سوى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القول ببطلان الوقف على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وقف على نفسه، ثمّ على غيره، بطل بالنسبة إلى نفسه، وكان من الوقف المنقطع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وقفت على غيره، ثمّ على نفسه، كان من الوقف المنقطع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وقف على غيره، ثمّ على نفسه، ثمّ على غيره، كان منقطع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حكم هذه الصور بالنسبة إلى غيره</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1006750_73709187"/>
      <w:bookmarkStart w:id="237" w:name="_Toc80"/>
      <w:bookmarkEnd w:id="236"/>
      <w:r>
        <w:rPr>
          <w:rtl w:val="true"/>
        </w:rPr>
        <w:t>حكم ما لو شرط الواقف شرطاً لنفسه</w:t>
      </w:r>
      <w:bookmarkEnd w:id="23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في هذا المقام إنّما يكون بالبحث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غيره وشرط أداء ديونه، أو إدرار مؤنته، 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الشرط والوقف، ذهب إليه المشهور، سواءٌ شرط أداء دين معيّن أو أطلق الدين، وسواءٌ شرط إدرار مؤنته إلى آخر العمر أو إلى مدّة معيّنة، وسواءٌ عين مقدار المؤونة أو لم يعيّنه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الوقف وبطلان الشرط</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صحّتهما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شرطاً مخالفاً لمقتضي الوقف، إذ مقتضاه خروجه عن العين والمنفعة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منافٍ لمقتضي الوقف، غايته كونه غير جائز وفاسداً، والشرط الفاسد لا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على الموقوف عليه أن يؤدّي دَينه أو يدرّ مؤونته من ماله ولو من غير منافع الوقف، فلا إشكال في صحّة الوقف والشرط إنْ اجتمعت سائر شرائط صحّة الشرط، إذ لم يجعل المنفعة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عليه أداء دينه مثلاً من منفعة الوقف، لكن بعد تملّكه إيّاها، وهذا أيضاً خالٍ عن الإشكال، ويكون الوقف والشرط 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استثناء مقدار ديونه من منفعة الوقف، وهذا أيضاً خالٍ عن الإشكال، والفتاوى متّفقة على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الوقف على نفسه بمقدار دينه مثلاً وعلى غيره، وهذا موجبٌ لبطلان الوقف بالنسبة إلى نفسه، ولكن لا وجه لبطلانه بالنسبة إلى غيره، فما يخصّه وهو الزائد عن مقدار دينه، فيصحّ وقفه له، ويبقى بمقدار دينه في ملكه، وله أنْ يفعل به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البطلان في شيء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حكم ما لو شرط نفقة زوجته الدائمة، وأمّا لو شرط نفقة أولاده او غيرهم من أقربائه أو نفقة زوجته الانقطاعيّة، فلا موجب للإشكال أصلاً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أنّه يجوز أن يجعل مقداراً من المنافع لحقّ التولية، </w:t>
      </w:r>
      <w:bookmarkStart w:id="238" w:name="pg11823_118880"/>
    </w:p>
    <w:p>
      <w:pPr>
        <w:pStyle w:val="BookText"/>
        <w:rPr/>
      </w:pPr>
      <w:bookmarkEnd w:id="238"/>
      <w:r>
        <w:rPr>
          <w:rFonts w:ascii="Amiri" w:hAnsi="Amiri" w:eastAsia="Amiri" w:cs="Amiri"/>
          <w:color w:val="111111"/>
          <w:sz w:val="28"/>
          <w:sz w:val="28"/>
          <w:szCs w:val="28"/>
          <w:rtl w:val="true"/>
          <w:lang w:bidi="ar-SA"/>
        </w:rPr>
        <w:t>وحينئذٍ فإنْ جَعل التولية لنفسه، جاز له أخذ ذلك المقدار، إذ ليس ذلك من الوقف على النفس، لعدم كون المتولّى موقوفاً عليه، بل إنّما يأخذ مقداراً من المال بإزاء تصدّيه لذلك، وتعبه في حفظ عين الوقف، وإصلاحها، وصرف منافعها في مصارفه، ومن الجائز جعله من قبيل استثناء هذا المقدار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المحقّق القمّي رحمه الله</w:t>
      </w:r>
      <w:r>
        <w:rPr>
          <w:rStyle w:val="FootnoteAnchor"/>
          <w:rtl w:val="true"/>
        </w:rPr>
        <w:footnoteReference w:id="605"/>
      </w:r>
      <w:r>
        <w:rPr>
          <w:rFonts w:ascii="Amiri" w:hAnsi="Amiri" w:eastAsia="Amiri" w:cs="Amiri"/>
          <w:color w:val="111111"/>
          <w:sz w:val="28"/>
          <w:sz w:val="28"/>
          <w:szCs w:val="28"/>
          <w:rtl w:val="true"/>
          <w:lang w:bidi="ar-SA"/>
        </w:rPr>
        <w:t>من أنّ ذلك من قبيل الوقف على نفسه فلا يجوز، في غير محلّه</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1006752_73709187"/>
      <w:bookmarkStart w:id="240" w:name="_Toc81"/>
      <w:bookmarkEnd w:id="239"/>
      <w:r>
        <w:rPr>
          <w:rtl w:val="true"/>
        </w:rPr>
        <w:t>بيان صور إمكان انتفاع الواقف</w:t>
      </w:r>
      <w:bookmarkEnd w:id="240"/>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الواقف على صنفٍ من الأصناف، كالعلماء أو الفقراء أو الزوّار وما شاكل، وكان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المراد التوزيع عليهم، فهو بالنسبة إلى نفسه من قبيل الوقف على النفس، فلا يجوز، وإنْ كان المراد بنحو بيان المصرف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انتفاعه مطلقاً،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ذهب إليه الحِلّي</w:t>
      </w:r>
      <w:r>
        <w:rPr>
          <w:rStyle w:val="FootnoteAnchor"/>
          <w:rtl w:val="true"/>
        </w:rPr>
        <w:footnoteReference w:id="606"/>
      </w:r>
      <w:r>
        <w:rPr>
          <w:rFonts w:ascii="Amiri" w:hAnsi="Amiri" w:eastAsia="Amiri" w:cs="Amiri"/>
          <w:color w:val="111111"/>
          <w:sz w:val="28"/>
          <w:sz w:val="28"/>
          <w:szCs w:val="28"/>
          <w:rtl w:val="true"/>
          <w:lang w:bidi="ar-SA"/>
        </w:rPr>
        <w:t>والمصنّف رحمه الله في بعض كتبه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إلّامع قصد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مع الإطلاق، لا مع قصد الدخول أو الخروج</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بطلان الوقف على النفس لا يشمل المقام، سيّما </w:t>
      </w:r>
      <w:bookmarkStart w:id="241" w:name="pg11823_118881"/>
    </w:p>
    <w:p>
      <w:pPr>
        <w:pStyle w:val="BookText"/>
        <w:rPr/>
      </w:pPr>
      <w:bookmarkEnd w:id="241"/>
      <w:r>
        <w:rPr>
          <w:rFonts w:ascii="Amiri" w:hAnsi="Amiri" w:eastAsia="Amiri" w:cs="Amiri"/>
          <w:color w:val="111111"/>
          <w:sz w:val="28"/>
          <w:sz w:val="28"/>
          <w:szCs w:val="28"/>
          <w:rtl w:val="true"/>
          <w:lang w:bidi="ar-SA"/>
        </w:rPr>
        <w:t>ولو شَرَط عوده</w:t>
      </w:r>
    </w:p>
    <w:p>
      <w:pPr>
        <w:pStyle w:val="BookText"/>
        <w:rPr/>
      </w:pPr>
      <w:r>
        <w:rPr>
          <w:rFonts w:ascii="Amiri" w:hAnsi="Amiri" w:eastAsia="Amiri" w:cs="Amiri"/>
          <w:color w:val="111111"/>
          <w:sz w:val="28"/>
          <w:sz w:val="28"/>
          <w:szCs w:val="28"/>
          <w:rtl w:val="true"/>
          <w:lang w:bidi="ar-SA"/>
        </w:rPr>
        <w:t>على المختار من انحصار المدرك في الإجماع، لأنّ الموقوف عليه عنوان العالم أو الفقير أو الزائر، والملحوظ جهة العلم أو الفقر أو الزيارة، ولا نظر فيه إلى الأشخاص، وعليه فالوقف صحيحٌ‌، ولد خوله تحت ذلك العنوان له أنْ ينتفع بمنافعه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ذلك بالخمس، إذا كان من عليه الخمس مورداً له، حيث لا يجوز أن يأخذه، لأنّه لا يجوز الأخذ في ذلك الباب من جهة أنّه يجبُ فيه الإعطاء، ولا يصدق ذلك بأكل نفسه، وهذا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فيه قصد الدخول، نعم لو قصد خروج نفسه، لم يجز له الانتفاع به، لأنّ الموقوف عليه هو غيره لتقيّد العنوان الموقوف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له الانتفاع بالوقف، لو وقف على إمام مسجدٍ أو على الأعلم في بلده، وكان هو الإمام في ذلك المسجد أو الأعلم في ذلك البلد، سيّما إذا لم يكن حين الوقف ثمّ صار إماماً أو أعلم، فإنّ‌المتيقّن من معقد الإجماع الوقف على الشخص، وأمّا الوقف على العنوان وإنْ كان منطبقاً عليه فغير مشمول له، لكن الأظهر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 جميع ذلك الأوقاف العامّة على الجهات العامّة، كالمساجد والقناطر والخانات للزوّار، والمدارس لأهل العلم وما شاكل، فإنّه لا إشكال، بل ولا خلاف في جواز انتفاع الواقف بها أيضاً، فإنّ الموقوف عليه هي الجهة دون نفسه، أضف إليه أنّ عليه السيرة المستمرّة الكاشفة عن رأي المعصوم عليه السلام</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1006754_73709187"/>
      <w:bookmarkStart w:id="243" w:name="_Toc82"/>
      <w:bookmarkEnd w:id="242"/>
      <w:r>
        <w:rPr>
          <w:rtl w:val="true"/>
        </w:rPr>
        <w:t>شرط عود الوقف مِلْكاً</w:t>
      </w:r>
      <w:bookmarkEnd w:id="24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صحّة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عوده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حبساً</w:t>
      </w:r>
    </w:p>
    <w:p>
      <w:pPr>
        <w:pStyle w:val="BookText"/>
        <w:rPr/>
      </w:pPr>
      <w:r>
        <w:rPr>
          <w:rFonts w:ascii="Amiri" w:hAnsi="Amiri" w:eastAsia="Amiri" w:cs="Amiri"/>
          <w:color w:val="111111"/>
          <w:sz w:val="28"/>
          <w:sz w:val="28"/>
          <w:szCs w:val="28"/>
          <w:rtl w:val="true"/>
          <w:lang w:bidi="ar-SA"/>
        </w:rPr>
        <w:t>إليه عند حاجته، وعن المرتضى</w:t>
      </w:r>
      <w:r>
        <w:rPr>
          <w:rStyle w:val="FootnoteAnchor"/>
          <w:rtl w:val="true"/>
        </w:rPr>
        <w:footnoteReference w:id="608"/>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إلى بطلان الوقف، منهم الحِلّي</w:t>
      </w:r>
      <w:r>
        <w:rPr>
          <w:rStyle w:val="FootnoteAnchor"/>
          <w:rtl w:val="true"/>
        </w:rPr>
        <w:footnoteReference w:id="609"/>
      </w:r>
      <w:r>
        <w:rPr>
          <w:rFonts w:ascii="Amiri" w:hAnsi="Amiri" w:eastAsia="Amiri" w:cs="Amiri"/>
          <w:color w:val="111111"/>
          <w:sz w:val="28"/>
          <w:sz w:val="28"/>
          <w:szCs w:val="28"/>
          <w:rtl w:val="true"/>
          <w:lang w:bidi="ar-SA"/>
        </w:rPr>
        <w:t>مدّعياً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المصنّف رحمه الله وفي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حبساً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على المختار من صحّة الوقف المنقطع الآخر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ببطلانه، فلأنّ هذا النحو من الوقف مرجعه إلى الوقف ما دام كونه عيناً، فيكون نظير الوقف على من ينقرض غالباً، ووقفاً إلى غاية محتملة الحصول، الذي اتّفقوا على صحّته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قالوا ببطلانه هو الوقف المقيّد بزمان، وأمّا الوقف المغيّا بوصفٍ من أوصاف الموقوف عليه، ككونه عادلاً، أو ما دام فقيراً، أو المغيّا بوصفٍ من أوصاف الواقف محتمل الحصول، أو الوقف على من ينقرض غالباً، فلا دليل على بطلانه، ومقتضى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صحّة جميع هذه الفروض، ولا إجماع على البطلان فيصحّ‌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للبطلان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الشرط المذكور منافٍ لمقتضى الوقف الذي هو البقاء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يرجع إلى الوقف على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يوجب التعليق، لأنّه حينئذٍ علّقه على عدم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ينافيه ما دلّ على عدم جواز الرجوع في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يرجع إلى شرط الخيار، ولا يجري في الوقف خيار الشرط ولا خيار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إسماعيل بن الفضل،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يتصدّق ببعض ماله في حياته، في كلّ وجهٍ من وجوه الخير، وقال إنْ احتجتُ إلى شيء من المال فأنا أحقّ به، ترى ذلك له وقد جعله للّه يكون له في حياته، فإذا هَلَك الرّجل يرجع ميراثاً أو يمضى صدقة‌؟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نقل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إلى شيء من مالي أو من غلّته، فأنا أحقّ به، ألَهُ ذلك وقد جعله للّه، وكيف يكون حاله إذا هَلَك الرّجل أيرجع ميراثاً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أوقف أرضاً،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إليها فأنا أحقّ بها، ثمّ مات الرّجل، فإنّها ترجع إلى الميراث</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 عليه السلام بالرجوع إلى الميراث بعد السؤال عن صحّة هذا الشرط وعدمها، وعن رجوعه ميراثاً وعدمه إذا شَرَط هذا الشرط في الخبر الأوّل، وبالرجوع إليه في الخبر الثاني بقولٍ مطلق من غير سبق سؤالٍ‌، ظاهرٌ في بطلانه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الأوّل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اقتضاء الوقف من حيث هو للتأبيد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الشرط ومقتضاه عود الوقف مِلْكاً لا الانتفاع به وهو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تعليقاً لارتفاع الوقف لا لحدوثه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تحديدٌ لمقدار بقائه صدقة، أضف إليه أنّ الوقف بغير قصد القربة لا يكون صدقةً‌، فهو أخصّ من المُدّعى‌، إلّاأن يتمّ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يجعل الخيار لنفسه، بل يجعل غاية للوقف، وبينهما 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يستدلّ بهما على الصحّة، بدعوى أنّ المراد بهما أنّه إذا شرط ذلك، ثمّ حصلت الحاجة، وعاد إليه ثمّ مات، يرجع ميراثاً ولا يبقى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التعبير بالرجوع، فإنّه ظاهرٌ في أنّه قبل ذلك كان وقفاً، وإلّا فعلى البطلان يكون باقياً في مِلْكه، ولا معنى حينئذٍ للرجوع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أيضاً غير تامّ‌، إلّاأنّه يوجب إجمال الخبرين، فلا يصحّ الاستدلال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صحّة الوقف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بصحّته حبساً كما في المتن، فلا وجه له سوى اعتبار الدوام في الوقف، إذ حينئذٍ لا يمكن وقوعه وقفاً، وإنّما يقع حبساً من جهة أنّ قصد هذا المعنى قصدٌ لحقيقة الحبس، ولا يضرّ اعتقاد كونه وقفاً بعد إنشاء ما هو حبس حقيقة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الوقف خروجُ المال عن مِلك الواقف، ومقتضى الحبس </w:t>
      </w:r>
    </w:p>
    <w:p>
      <w:pPr>
        <w:pStyle w:val="BookText"/>
        <w:rPr/>
      </w:pPr>
      <w:r>
        <w:rPr>
          <w:rFonts w:ascii="Amiri" w:hAnsi="Amiri" w:eastAsia="Amiri" w:cs="Amiri"/>
          <w:color w:val="111111"/>
          <w:sz w:val="28"/>
          <w:sz w:val="28"/>
          <w:szCs w:val="28"/>
          <w:rtl w:val="true"/>
          <w:lang w:bidi="ar-SA"/>
        </w:rPr>
        <w:t>بقائه في ملكه، فهما متباينان، فكيف يُحكم بتحقّق أحدهما مع قصد تحقّق الآخر؟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عن الملك في الوقف، وعدم خروجه في الحبس، لا يكونان داخلين في مفهوميهما، بل هما من آثار التأبيد وعدمه، كما سيجيء، ولكنّه مردودٌ بما مرّ من عدم اعتبار الدوام في الوقف، سيّما بنحوٍ يوجب بطلان هذا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المختار من كونه وقفاً، لا إشكال في أنّه إذا لم تحصل الغاية، ولم يرجع المال إليه، يبقى على وقفيّته، ولا يرجع بالموت ميراثاً، وكذا على القول بصحّته حبساً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المحكيّ عن المحقّق القمّي رحمه الله</w:t>
      </w:r>
      <w:r>
        <w:rPr>
          <w:rStyle w:val="FootnoteAnchor"/>
          <w:rtl w:val="true"/>
        </w:rPr>
        <w:footnoteReference w:id="613"/>
      </w:r>
      <w:r>
        <w:rPr>
          <w:rFonts w:ascii="Amiri" w:hAnsi="Amiri" w:eastAsia="Amiri" w:cs="Amiri"/>
          <w:color w:val="111111"/>
          <w:sz w:val="28"/>
          <w:sz w:val="28"/>
          <w:szCs w:val="28"/>
          <w:rtl w:val="true"/>
          <w:lang w:bidi="ar-SA"/>
        </w:rPr>
        <w:t>أنّه بعد اختياره كونه حبساً،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يرجع بالموت إلى الورثة، وإنْ لم تتحقّق الحاجة، وأسنده إلى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الحبس حيث لا يكون مستلزماً للخروج عن ملك الحابس، فبموته ينتقل أصل المال إلى الورثة حسب سائر أمواله، وحيث أنّ منافعه والتسلّط على المال من حين الموت للورثة، فحبس المورث وتمليكه المنفعة من ذلك الزمان تصرّفٌ في ملك الغير فيكون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إلى إطلاق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بما مرّ في كتاب الإجارة، من أنّ المالك يملك العين ومنفعتها المرسلة اللّاموقّتة بحال حياته، فله تملكيها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أنّهما مجملين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عوده ميراثاً مع عدم تحقّق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4" w:name="pg11823_118886"/>
    </w:p>
    <w:p>
      <w:pPr>
        <w:pStyle w:val="BookText"/>
        <w:rPr/>
      </w:pPr>
      <w:bookmarkEnd w:id="244"/>
      <w:r>
        <w:rPr>
          <w:rFonts w:ascii="Amiri" w:hAnsi="Amiri" w:eastAsia="Amiri" w:cs="Amiri"/>
          <w:color w:val="111111"/>
          <w:sz w:val="28"/>
          <w:sz w:val="28"/>
          <w:szCs w:val="28"/>
          <w:rtl w:val="true"/>
          <w:lang w:bidi="ar-SA"/>
        </w:rPr>
        <w:t>ولو جعله إلى أمدٍ أو لمن ينقرض غالباً</w:t>
      </w:r>
    </w:p>
    <w:p>
      <w:pPr>
        <w:pStyle w:val="Heading3"/>
        <w:numPr>
          <w:ilvl w:val="2"/>
          <w:numId w:val="1"/>
        </w:numPr>
        <w:rPr/>
      </w:pPr>
      <w:bookmarkStart w:id="245" w:name="__RefHeading___Toc11006756_73709187"/>
      <w:bookmarkStart w:id="246" w:name="_Toc83"/>
      <w:bookmarkEnd w:id="245"/>
      <w:r>
        <w:rPr>
          <w:rtl w:val="true"/>
        </w:rPr>
        <w:t>الوقف على من ينقرض غالباً</w:t>
      </w:r>
      <w:bookmarkEnd w:id="246"/>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جعله إلى أمدٍ، أو لمن ينقرض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الوقف وقفاً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عدم اعتبار الدوام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سُلّم البطلان في الأوّل، لا مجال للبناء عليه فيه، إذ الإجماع المدّعى على بطلان الوقف المنقطع، إنّما هو في الموقّت إلى مدّة، فلا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 الصحيحين المتقدّمين في مسألة شرطيّة الدوام دالّان عليه، أمّا على ماذكرناه في تقريب الاستدلال بهما على المختار فبالإطلاق، وأمّا على القول الآخر فبالظهور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المصنّف رحمه الله استدلّ على صحّته وقفاً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الوقف نوعُ تمليكٍ وصدقة، فيتبع اختيار المالك في التخصيص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تمليك الأخير ليس شرطاً في تمليك الأوّل، وإلّا لزم تقدّم المعلول على علّته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وبالخبر الوارد في وصيّة فاطمة عليها السلام حيث جعلت أمر صدقاتها إلى أولادها مع احتمال الانقراض</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رجع إلى ورثة الواقف</w:t>
      </w:r>
    </w:p>
    <w:p>
      <w:pPr>
        <w:pStyle w:val="BookText"/>
        <w:rPr/>
      </w:pPr>
      <w:r>
        <w:rPr>
          <w:rFonts w:ascii="Amiri" w:hAnsi="Amiri" w:eastAsia="Amiri" w:cs="Amiri"/>
          <w:color w:val="111111"/>
          <w:sz w:val="28"/>
          <w:sz w:val="28"/>
          <w:szCs w:val="28"/>
          <w:rtl w:val="true"/>
          <w:lang w:bidi="ar-SA"/>
        </w:rPr>
        <w:t>ويرد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لعلّها كانت عالمة بعدم الانقراض، مع أنّه ليس في الخبر كونه وقفاً، بل ظاهره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يدّعي بطلانه وقفاً إنّما يقول به من جهة كون الدوام شرطاً، ولا يلزم من ذلك كون تمليك الأخير شرطاً، بل اللّازم بيان المصرف الآخر ليتحقّق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ما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على القول ببطلانه وقفاً، يصحّ حبساً، لما مرّ من أنّه لا حقيقة له سوى إيقاف العين في مدّة معيّنة، ولا إشكال ولا خلافٍ في أنّه على تقدير كون الوقف على من ينقرض أو إلى أمد حبساً، أنّه بعد الانقراض وانتهاء الأمد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إلى ورثة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نفسه، لأنّه لم يخرج من الأوّل عن ملكه، ويتعيّن رجوعه إلى ورثة الواقف حين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القول بصحته وقفاً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قلنا بأنّه لا يخرج العين عن ملك الواقف، فالحكم واضحٌ‌، لأنّها ملك للواقف، فإنْ مات تنتقل إلى ورثته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بخروجها عن ملكه، فحيث أنّ الإخراج إخراج إلى مدّة أو غاية، وليس إخراجاً دائميّاً، فبعد مضيّ المدّة وحصول الغاية ترجع إلى الواقف، فإنْ كان </w:t>
      </w:r>
    </w:p>
    <w:p>
      <w:pPr>
        <w:pStyle w:val="BookText"/>
        <w:rPr/>
      </w:pPr>
      <w:r>
        <w:rPr>
          <w:rFonts w:ascii="Amiri" w:hAnsi="Amiri" w:eastAsia="Amiri" w:cs="Amiri"/>
          <w:color w:val="111111"/>
          <w:sz w:val="28"/>
          <w:sz w:val="28"/>
          <w:szCs w:val="28"/>
          <w:rtl w:val="true"/>
          <w:lang w:bidi="ar-SA"/>
        </w:rPr>
        <w:t>حَيّاً وإلّا فتنتقل منه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المدار على ورثة الواقف حين موته، أو ورثته حين الانقراض‌؟</w:t>
      </w:r>
    </w:p>
    <w:p>
      <w:pPr>
        <w:pStyle w:val="BookText"/>
        <w:rPr/>
      </w:pPr>
      <w:r>
        <w:rPr>
          <w:rFonts w:ascii="IRNazanin" w:hAnsi="IRNazanin" w:eastAsia="IRNazanin"/>
          <w:color w:val="111111"/>
          <w:sz w:val="28"/>
          <w:sz w:val="28"/>
          <w:szCs w:val="28"/>
          <w:rtl w:val="true"/>
          <w:lang w:bidi="fa-IR"/>
        </w:rPr>
        <w:t>قولان، أقواهما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قلنا بعدم خروج المال عن ملكه بالوقف فواضحٌ‌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القول بخروجه عن ملكه، فلأنّه إنّما يخرج في مدّة محدودة واقعاً، علم بها أم لم يعلم، فهو في تلك المدّة للعين من بعد تلك المدّة بالملكيّة، نظير الوجوب المعلّق، فعند موته ينتقل تلك إلى ورثته، وعلى هذا لو وقفَ على ولديه، وبعد موته ماتَ أحد الولدين عن ولدٍ قبل الانقراض، يشترك مع الولد الباقي ابنُ أخيه لتلقّيه من أبيه</w:t>
      </w:r>
      <w:r>
        <w:rPr>
          <w:rFonts w:eastAsia="Amiri" w:cs="Amiri" w:ascii="Amiri" w:hAnsi="Amiri"/>
          <w:color w:val="111111"/>
          <w:sz w:val="28"/>
          <w:szCs w:val="28"/>
          <w:rtl w:val="true"/>
          <w:lang w:bidi="ar-SA"/>
        </w:rPr>
        <w:t>.</w:t>
      </w:r>
      <w:bookmarkStart w:id="247" w:name="pg11823_118889"/>
    </w:p>
    <w:p>
      <w:pPr>
        <w:pStyle w:val="BookText"/>
        <w:rPr/>
      </w:pPr>
      <w:bookmarkEnd w:id="247"/>
      <w:r>
        <w:rPr>
          <w:rFonts w:ascii="Amiri" w:hAnsi="Amiri" w:eastAsia="Amiri" w:cs="Amiri"/>
          <w:color w:val="111111"/>
          <w:sz w:val="28"/>
          <w:sz w:val="28"/>
          <w:szCs w:val="28"/>
          <w:rtl w:val="true"/>
          <w:lang w:bidi="ar-SA"/>
        </w:rPr>
        <w:t>وأن يكون عيناً</w:t>
      </w:r>
    </w:p>
    <w:p>
      <w:pPr>
        <w:pStyle w:val="Heading3"/>
        <w:numPr>
          <w:ilvl w:val="2"/>
          <w:numId w:val="1"/>
        </w:numPr>
        <w:rPr/>
      </w:pPr>
      <w:bookmarkStart w:id="248" w:name="__RefHeading___Toc11006758_73709187"/>
      <w:bookmarkStart w:id="249" w:name="_Toc84"/>
      <w:bookmarkEnd w:id="248"/>
      <w:r>
        <w:rPr>
          <w:rtl w:val="true"/>
        </w:rPr>
        <w:t>شرائط الموقوف</w:t>
      </w:r>
      <w:bookmarkEnd w:id="249"/>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يصحّ وقف المنفعة، كأن استأجر داراً عشرين سنة وأراد أن يجعل منفعتها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قابليّتها لأن يُسكن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مع بقاء العين على ملك مالكها 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وقف الدين، كما إذا كان له على الغير عشر شياة مثلاً، فإنّه لا يصحّ أن يجعلها وقفاً قبل قبضها من ذلك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لا يصحّ وقف الكلّي في الذمّة، أي ذمّة الواقف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 شيء من تلكم،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قيام الإجماع في الأولين،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دعوى اتّفاق الأصحاب على الجميع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وقف المبهم،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أيضاً، فالكلام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وقف المنفعة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تماميّة ما أفادوه من عدم صحّة وقفها، لأنّ الوقف كما عرفت عباره عن تحبيس الأصل وإطلاق المنفعة، وهذا لا يتصوّر في المنفعة، لأنّ الانتفاع بها إنّما يكون بإتلافها، فلا يتصوّر فيها تحبيس الأصل، إذ الأصل حينئذٍ هي المنفعة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 له دينٌ على غيره فأراد وقفه، فاستدل لعدم صحّة وقفه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بالأصل، واختصاص الأدلّة كتاباً وسُنّةً بغيره بحكم الصراحة في بعضٍ‌، والتبادر في آخر، والشكّ في دخوله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الوقف يقتضي أصلاً يحتبس، وذلك يقتضى أمراً خارجيّاً يحكم عليه بالتحبيس، والدين في الذمّة أمرٌ كلّي لا وجود له في الخارج، فوقفه قبل التعيين كوقف المعدوم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الماهيّة الكليّة لمّا لم يكن لها وجودٌ في الخارج، لم يكن الموقوف موجوداً حال العقد، فكان في معنى وقف المعدوم وإنْ وجد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الأصل لا مورد له مع وجود الإطلاق، واختصاص الأدلّة جميعها بغيره ممنوعٌ جدّاً، بل بعض الأخبار مطلقٌ شاملٌ له أيضاً، والوقف وإنْ كان يقتضي أصلاً يحتبس، لكن كما يكون الكلّي في الذمّة مملوكاً للغير ومالاً ويقع عليه البيع، كذلك وقوع الوقف عليه، فكما يُملك ما في الذمّة للغير كذلك يُحتبس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الوقف الإقباض، والكلّي غير قابلٍ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لووقف على صنفٍ يكون من عليه الدين واحداً منهم يكون ذلك قبضاً للكلّي بكليّته كما في 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يكون وجود الفرد عين وجود الكلّي فيكتفي بقبض فردٍ منه، فإنّه قبض للكلّي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نظر الشهيد رحمه الله</w:t>
      </w:r>
      <w:r>
        <w:rPr>
          <w:rStyle w:val="FootnoteAnchor"/>
          <w:rtl w:val="true"/>
        </w:rPr>
        <w:footnoteReference w:id="61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السَلَم قبل القبض على غير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إذا كان متعلّقه ماهيّة كليّة، ثمّ عيّنت في عينٍ شخصيّة، أنصبّ العقد عليها وكانت كأنّها المعقود عليها ابتداءً‌، والماهيّة الكليّة غير المتّصفة بنحوٍ من أنحاء التحقّق لا يصحّ وقفها قطعاً، ولكن الكلام في الكلّي المتحقّق في الذمّة الذي تعرضه الملكيّة، ويقع عليه البيع وما شاكل، وهو ليس كالمعدوم المطلق كي لايصحّ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دليل على بطلان وقف الكلّي في الذمّة سوى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وقف ما في ذمّة الواقف، بأنْ يُراد إثبات الموقوف في ذمّته بنفس الوقف،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وقف المبهم، والمراد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إنْكان هو المردّد غير العين واقعاً، فعدم صحّة وقفه واضح، فإنّه لا تحقّق للمردّد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المعيّن في الواقع المجهول عند الواقف، فيشهد لعدم صحّة وقفه ما دلّ على نفي الغَرر، بناءً على عدم اختصاصه بالبيع، وبشموله لكلّ عقدٍ وإيقاع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الجهل به غير مستلزمٍ للغَرر، كما لو وقف إحدى الدارين المتساويتين من جميع الجهات، فلادليل على بطلان وقفه سوى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يظهر حكم وقف إحدى الدارين مثلاً بنحو التخيير، بأنْ يكون أمر تعيينه بيد الواقف أو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أنّه لا إشكال في وقف الكلّي في المعيّن، كوقف مائة ذراع مثلاً من القطعة المعيّنة من أرض، لعدم الإشكال في صحّة بيعه، والإجماع على بطلان وقف الكلّي غير شامل 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كما يصحّ وقف العين المعيّنة الخارجيّة، كذلك يصحّ وقف المشاع، </w:t>
      </w:r>
    </w:p>
    <w:p>
      <w:pPr>
        <w:pStyle w:val="BookText"/>
        <w:rPr/>
      </w:pPr>
      <w:r>
        <w:rPr>
          <w:rFonts w:ascii="Amiri" w:hAnsi="Amiri" w:eastAsia="Amiri" w:cs="Amiri"/>
          <w:color w:val="111111"/>
          <w:sz w:val="28"/>
          <w:sz w:val="28"/>
          <w:szCs w:val="28"/>
          <w:rtl w:val="true"/>
          <w:lang w:bidi="ar-SA"/>
        </w:rPr>
        <w:t>مملوكة</w:t>
      </w:r>
    </w:p>
    <w:p>
      <w:pPr>
        <w:pStyle w:val="BookText"/>
        <w:rPr/>
      </w:pPr>
      <w:r>
        <w:rPr>
          <w:rFonts w:ascii="Amiri" w:hAnsi="Amiri" w:eastAsia="Amiri" w:cs="Amiri"/>
          <w:color w:val="111111"/>
          <w:sz w:val="28"/>
          <w:sz w:val="28"/>
          <w:szCs w:val="28"/>
          <w:rtl w:val="true"/>
          <w:lang w:bidi="ar-SA"/>
        </w:rPr>
        <w:t>والظاهر أنّه لاخلاف في صحّته، والأخبار الدالّة على جواز التصدّق بالمشاع الشامل للوقف شاهدة به، مضافاً إلى العمومات والمطلقات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العين الموقوفة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وقف ما لا يملكه المسلم كالخنزير، سواءٌ وقفه على المسلم أو الكافر، وكذا لا يصحّ وقف الحُرّ وماشاكل،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وقف ما لايملكه الواقف فعلاً، وإنْ كان مملوكاً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على ما حكي إلى الصحّة، لأنّه عقدٌ صادر من أهله، صحيح العبارة، واقعٌ في محلّه، قابلٌ للنقل، وقد أجازه المالك، فيصحّ كغيره من العقود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بالبطلان أو الميل إليه، منهم المصنّف رحمه الله في بعض كتبه</w:t>
      </w:r>
      <w:r>
        <w:rPr>
          <w:rStyle w:val="FootnoteAnchor"/>
          <w:rtl w:val="true"/>
        </w:rPr>
        <w:footnoteReference w:id="623"/>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 وفخر الإسلام</w:t>
      </w:r>
      <w:r>
        <w:rPr>
          <w:rStyle w:val="FootnoteAnchor"/>
          <w:rtl w:val="true"/>
        </w:rPr>
        <w:footnoteReference w:id="625"/>
      </w:r>
      <w:r>
        <w:rPr>
          <w:rFonts w:ascii="Amiri" w:hAnsi="Amiri" w:eastAsia="Amiri" w:cs="Amiri"/>
          <w:color w:val="111111"/>
          <w:sz w:val="28"/>
          <w:sz w:val="28"/>
          <w:szCs w:val="28"/>
          <w:rtl w:val="true"/>
          <w:lang w:bidi="ar-SA"/>
        </w:rPr>
        <w:t xml:space="preserve">، وقوّاه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عبارة الفضولي لا أثر لها، وتأثير الإجازة في ما عدا محلّ النّص المختصّ بالبيع والنكاح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الوقف فكّ ملك في كثير من موارده، ولا أثر لعبارة الغير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يعتبر في الوقف القُربة، وهي بملك الغير غير حاصلة، ونيّة المجيز لها حين الإجازة غير نافعة، إمّا لاشتراط المقارنة بالصيغة، وهي في الفرض مفقودة، أو لأنّ تأثير نيّته لها بعدها وإفادتها في الصحّة غير معلومة، وعليه فالأصل بقاء الملكيّة إلى أن يعلم الناقل، وهو بما قرّر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كتاب البيع</w:t>
      </w:r>
      <w:r>
        <w:rPr>
          <w:rStyle w:val="FootnoteAnchor"/>
          <w:rtl w:val="true"/>
        </w:rPr>
        <w:footnoteReference w:id="627"/>
      </w:r>
      <w:r>
        <w:rPr>
          <w:rFonts w:ascii="Amiri" w:hAnsi="Amiri" w:eastAsia="Amiri" w:cs="Amiri"/>
          <w:color w:val="111111"/>
          <w:sz w:val="28"/>
          <w:sz w:val="28"/>
          <w:szCs w:val="28"/>
          <w:rtl w:val="true"/>
          <w:lang w:bidi="ar-SA"/>
        </w:rPr>
        <w:t>من كون صحّة المعاملة الفضوليّة إنّما تكون على القاعدة لا للنّص الخاص، وهي شاملة للوقف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الصادر من الفضولي إذا أجازه المالك، يستند إليه، ويكون كالعقد الصادر عنه، بلا فرقٍ في ذلك بين كون أثره الملكيّة أو فكّ الملك أو الزوجيّة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بوقف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ما مرّ من عدم اعتبار القُربة فيه، وعلى فرض اعتبارها تكفي نيّة القُربة حين الإجازة التي بها يُستند الوقف إلى الواقف، ولادليل على اشتراط مقارنتها للصيغة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ينتفع بها مع بقائها، وإنْ كانت مشاعةً‌</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 بها مع بقائها وإنْ كانت مشاعة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وقف الأطعمة والفواكه ونحوها ممّا يكون الانتفاع به إتلافاً له، لأنّ الوقف عبارة عن تحبيس الأصل،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يعتبر في الانتفاع به كونه في الحال، فيصحّ وقف ما لا منفعة فيه إلّابعد مدّة، كما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طول زمان المنفعة، فلايصحّوقف وردٍ أو ريحانٍ‌، أم لايعتبر؟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الأكثر على الأوّل، وهو الأظهر، لإطلاق الأدلّة، ولا ينافي ذلك اعتبار التأبيد على القول به، لأنّ المراد به مدّة عمر الشيء كما هو واضح</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في عداد شرائطها إمكان إقباضه، ولكن اشتراط الإقباض في الوقف كما مرّ يُغني عن ذلك</w:t>
      </w:r>
      <w:r>
        <w:rPr>
          <w:rFonts w:eastAsia="Amiri" w:cs="Amiri" w:ascii="Amiri" w:hAnsi="Amiri"/>
          <w:color w:val="111111"/>
          <w:sz w:val="28"/>
          <w:szCs w:val="28"/>
          <w:rtl w:val="true"/>
          <w:lang w:bidi="ar-SA"/>
        </w:rPr>
        <w:t>.</w:t>
      </w:r>
      <w:bookmarkStart w:id="250" w:name="pg11823_118895"/>
    </w:p>
    <w:p>
      <w:pPr>
        <w:pStyle w:val="BookText"/>
        <w:rPr/>
      </w:pPr>
      <w:bookmarkEnd w:id="250"/>
      <w:r>
        <w:rPr>
          <w:rFonts w:ascii="IRNazanin" w:hAnsi="IRNazanin" w:eastAsia="IRNazanin"/>
          <w:color w:val="111111"/>
          <w:sz w:val="28"/>
          <w:sz w:val="28"/>
          <w:szCs w:val="28"/>
          <w:rtl w:val="true"/>
          <w:lang w:bidi="fa-IR"/>
        </w:rPr>
        <w:t>وجواز تصرّف الواقف</w:t>
      </w:r>
    </w:p>
    <w:p>
      <w:pPr>
        <w:pStyle w:val="Heading3"/>
        <w:numPr>
          <w:ilvl w:val="2"/>
          <w:numId w:val="1"/>
        </w:numPr>
        <w:rPr/>
      </w:pPr>
      <w:bookmarkStart w:id="251" w:name="__RefHeading___Toc11006760_73709187"/>
      <w:bookmarkStart w:id="252" w:name="_Toc85"/>
      <w:bookmarkEnd w:id="251"/>
      <w:r>
        <w:rPr>
          <w:rtl w:val="true"/>
        </w:rPr>
        <w:t>شرائط الواقف</w:t>
      </w:r>
      <w:bookmarkEnd w:id="252"/>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الواقف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المصنّف رحمه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تصرّف الواقف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وقف الصبي، والمجنون، والمكرَه، والمفلّس، والسَّفيه، بلا خلافٍ في شيء من ذلك، بل عليها الإجماع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وتشهد بها أدلّة الحَجر المتقدّمة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وقف الصبي البالغ عشر سنين خلافٌ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من صحّحه كالطوسي</w:t>
      </w:r>
      <w:r>
        <w:rPr>
          <w:rStyle w:val="FootnoteAnchor"/>
          <w:rtl w:val="true"/>
        </w:rPr>
        <w:footnoteReference w:id="629"/>
      </w:r>
      <w:r>
        <w:rPr>
          <w:rFonts w:ascii="Amiri" w:hAnsi="Amiri" w:eastAsia="Amiri" w:cs="Amiri"/>
          <w:color w:val="111111"/>
          <w:sz w:val="28"/>
          <w:sz w:val="28"/>
          <w:szCs w:val="28"/>
          <w:rtl w:val="true"/>
          <w:lang w:bidi="ar-SA"/>
        </w:rPr>
        <w:t>، والمفيد</w:t>
      </w:r>
      <w:r>
        <w:rPr>
          <w:rStyle w:val="FootnoteAnchor"/>
          <w:rtl w:val="true"/>
        </w:rPr>
        <w:footnoteReference w:id="630"/>
      </w:r>
      <w:r>
        <w:rPr>
          <w:rFonts w:ascii="Amiri" w:hAnsi="Amiri" w:eastAsia="Amiri" w:cs="Amiri"/>
          <w:color w:val="111111"/>
          <w:sz w:val="28"/>
          <w:sz w:val="28"/>
          <w:szCs w:val="28"/>
          <w:rtl w:val="true"/>
          <w:lang w:bidi="ar-SA"/>
        </w:rPr>
        <w:t>، والإسكافي</w:t>
      </w:r>
      <w:r>
        <w:rPr>
          <w:rStyle w:val="FootnoteAnchor"/>
          <w:rtl w:val="true"/>
        </w:rPr>
        <w:footnoteReference w:id="631"/>
      </w:r>
      <w:r>
        <w:rPr>
          <w:rFonts w:ascii="Amiri" w:hAnsi="Amiri" w:eastAsia="Amiri" w:cs="Amiri"/>
          <w:color w:val="111111"/>
          <w:sz w:val="28"/>
          <w:sz w:val="28"/>
          <w:szCs w:val="28"/>
          <w:rtl w:val="true"/>
          <w:lang w:bidi="ar-SA"/>
        </w:rPr>
        <w:t>والتقي</w:t>
      </w:r>
      <w:r>
        <w:rPr>
          <w:rStyle w:val="FootnoteAnchor"/>
          <w:rtl w:val="true"/>
        </w:rPr>
        <w:footnoteReference w:id="63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أفسده كسلّار</w:t>
      </w:r>
      <w:r>
        <w:rPr>
          <w:rStyle w:val="FootnoteAnchor"/>
          <w:rtl w:val="true"/>
        </w:rPr>
        <w:footnoteReference w:id="633"/>
      </w:r>
      <w:r>
        <w:rPr>
          <w:rFonts w:ascii="Amiri" w:hAnsi="Amiri" w:eastAsia="Amiri" w:cs="Amiri"/>
          <w:color w:val="111111"/>
          <w:sz w:val="28"/>
          <w:sz w:val="28"/>
          <w:szCs w:val="28"/>
          <w:rtl w:val="true"/>
          <w:lang w:bidi="ar-SA"/>
        </w:rPr>
        <w:t>، والحِلّي</w:t>
      </w:r>
      <w:r>
        <w:rPr>
          <w:rStyle w:val="FootnoteAnchor"/>
          <w:rtl w:val="true"/>
        </w:rPr>
        <w:footnoteReference w:id="634"/>
      </w:r>
      <w:r>
        <w:rPr>
          <w:rFonts w:ascii="Amiri" w:hAnsi="Amiri" w:eastAsia="Amiri" w:cs="Amiri"/>
          <w:color w:val="111111"/>
          <w:sz w:val="28"/>
          <w:sz w:val="28"/>
          <w:szCs w:val="28"/>
          <w:rtl w:val="true"/>
          <w:lang w:bidi="ar-SA"/>
        </w:rPr>
        <w:t>، والمحقّق</w:t>
      </w:r>
      <w:r>
        <w:rPr>
          <w:rStyle w:val="FootnoteAnchor"/>
          <w:rtl w:val="true"/>
        </w:rPr>
        <w:footnoteReference w:id="635"/>
      </w:r>
      <w:r>
        <w:rPr>
          <w:rFonts w:ascii="Amiri" w:hAnsi="Amiri" w:eastAsia="Amiri" w:cs="Amiri"/>
          <w:color w:val="111111"/>
          <w:sz w:val="28"/>
          <w:sz w:val="28"/>
          <w:szCs w:val="28"/>
          <w:rtl w:val="true"/>
          <w:lang w:bidi="ar-SA"/>
        </w:rPr>
        <w:t>، والمصنّف</w:t>
      </w:r>
      <w:r>
        <w:rPr>
          <w:rStyle w:val="FootnoteAnchor"/>
          <w:rtl w:val="true"/>
        </w:rPr>
        <w:footnoteReference w:id="636"/>
      </w:r>
      <w:r>
        <w:rPr>
          <w:rFonts w:ascii="Amiri" w:hAnsi="Amiri" w:eastAsia="Amiri" w:cs="Amiri"/>
          <w:color w:val="111111"/>
          <w:sz w:val="28"/>
          <w:sz w:val="28"/>
          <w:szCs w:val="28"/>
          <w:rtl w:val="true"/>
          <w:lang w:bidi="ar-SA"/>
        </w:rPr>
        <w:t>، والشهيدين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ولعلّه عليه كافّة المتأخّرين، وربما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مستند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الواردة في جواز صدقته، بناءً على أنّ المراد بها ما يشمل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له ما في ماله ما أعتق أو تصدّق أو أوصى على حَدٍّ معروف فهو جائز</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جميل بن درّاج،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وصدقته ووصيّته وإنْ لم يحتلم</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الحلبي ومحمّد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صدقة الغلام ما لم يحتلم‌؟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وضعها في موضع الصدقة</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بمخالفتها للقواعد والاحتياط والأصل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الاستدلال بها أنّ كون المراد بالصدقة المعنى الأعمّ غير ظاهر، والمتيقّن منها الصدقة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صحّة وقفه، نعم إذا أوصى بالوقف صَحّ عنه وقف الوصيّ‌، لكنّه خارجٌ عن محلّ الكلام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53" w:name="pg11823_118897"/>
    </w:p>
    <w:p>
      <w:pPr>
        <w:pStyle w:val="BookText"/>
        <w:rPr/>
      </w:pPr>
      <w:bookmarkEnd w:id="253"/>
      <w:r>
        <w:rPr>
          <w:rFonts w:ascii="Amiri" w:hAnsi="Amiri" w:eastAsia="Amiri" w:cs="Amiri"/>
          <w:color w:val="111111"/>
          <w:sz w:val="28"/>
          <w:sz w:val="28"/>
          <w:szCs w:val="28"/>
          <w:rtl w:val="true"/>
          <w:lang w:bidi="ar-SA"/>
        </w:rPr>
        <w:t>و وجود الموقوف عليه</w:t>
      </w:r>
    </w:p>
    <w:p>
      <w:pPr>
        <w:pStyle w:val="Heading3"/>
        <w:numPr>
          <w:ilvl w:val="2"/>
          <w:numId w:val="1"/>
        </w:numPr>
        <w:rPr/>
      </w:pPr>
      <w:bookmarkStart w:id="254" w:name="__RefHeading___Toc11006762_73709187"/>
      <w:bookmarkStart w:id="255" w:name="_Toc86"/>
      <w:bookmarkEnd w:id="254"/>
      <w:r>
        <w:rPr>
          <w:rtl w:val="true"/>
        </w:rPr>
        <w:t>شرائط الموقوف عليه</w:t>
      </w:r>
      <w:bookmarkEnd w:id="255"/>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ويدور البحث فيه عن شرائط 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الموقوف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الوقف على المعدوم، كما لو وقف على ابن زيدٍ بتخيّل أنّ له إبناً، فتبيّن عدمه، والمشهور عدم جواز الوقف على من سيوجد، بل ظاهرهم الإجماع على عدم جوازه، وعلّلوه بأنّ الملكيّة صفةٌ وجوديّة تستدعي محلّاً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بما إذا كان تبعاً لموجود، فإنّهم يجوّزونه، كما إذا وقف على أولاده الموجودين، ومن سيوجد منهم، وكما في سائر البطون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لافرق في عدم المعقوليّة بين كون المالك معدوماً أو المملوك، مع أنّهم يجوّزون تمليك الكلّي في الذمّة، ويجوّزون تمليك المنافع وليست موجودة، بل تستوفي شيئاً فشيئاً، ويجوّزون الوصيّة بما تحمله الجارية أو الدابّة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جواز الوقف على الحجّاج والزوّار مع عدم وجود زائرٍ أو حاجّ حين الوقف، وكذا الوقف على طلّاب مدرسة معيّنة مع عدم وجودهم فيها حاله، وكذا الوقف على إمام مسجد مع عدم إمام له بالفعل، والوقف </w:t>
      </w:r>
    </w:p>
    <w:p>
      <w:pPr>
        <w:pStyle w:val="BookText"/>
        <w:rPr/>
      </w:pPr>
      <w:r>
        <w:rPr>
          <w:rFonts w:ascii="Amiri" w:hAnsi="Amiri" w:eastAsia="Amiri" w:cs="Amiri"/>
          <w:color w:val="111111"/>
          <w:sz w:val="28"/>
          <w:sz w:val="28"/>
          <w:szCs w:val="28"/>
          <w:rtl w:val="true"/>
          <w:lang w:bidi="ar-SA"/>
        </w:rPr>
        <w:t>على فقراء قريةٍ مع عدم وجود فيها فعلاً،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ليس تمليكاً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من الاُمور الاعتباريّة، فوجودها عين الاعتبار العقلائي، وليست كالسواد والبياض والاُمور التي تحتاج إلى محلّ خارجي، بل يكفيها المحلّ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ما أفاده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للمعدوم بتبع الموجود إنّما يكون بالوقف له بعد وجوده، ولا يكون المال وقفاً له بالفعل، بل هو بالفعل وقف للموجود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به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منه التعليق المُجمع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أفاده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الذمّة ليس معدوماً صرفاً، بل له تحقّق اعتباري، وهو يكفي في عروض الملكيّة له، وهذا بخلاف المعدوم المطلق، والمنفعة ليست عبارة عن استيفاء المنتفع الذي هو من أعراضه، بل عبارة عن الحيثيّة القائمة بالعين الموجودة بوجودها على نحو وجود المقبول بوجود القابل، فمنفعة الدابّة حيثيّة كونها صالحة لأن تُركب، وهذه إنّما تصير فعليّة بالاستيفاء الذي هو عبارة عن الانتفاع، ومن المعلوم أنّ تلك الحيثيّة متحقّقة بتحقّق العين، ولذا يجوز تمليك المنفعة المرسلة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ليس تمليكاً للعين، ولكنّه تسبيلٌ للمنفعة على الموقوف عليه، فإذا لم يكن مورداً للتسبيل لم يكن وقفاً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خامس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الملكيّة من الاُمور الاعتباريّة، ولا </w:t>
      </w:r>
    </w:p>
    <w:p>
      <w:pPr>
        <w:pStyle w:val="BookText"/>
        <w:rPr/>
      </w:pPr>
      <w:r>
        <w:rPr>
          <w:rFonts w:ascii="Amiri" w:hAnsi="Amiri" w:eastAsia="Amiri" w:cs="Amiri"/>
          <w:color w:val="111111"/>
          <w:sz w:val="28"/>
          <w:sz w:val="28"/>
          <w:szCs w:val="28"/>
          <w:rtl w:val="true"/>
          <w:lang w:bidi="ar-SA"/>
        </w:rPr>
        <w:t>تحتاج في اعتبارها إلى معروض خارجي، ولكنّها تتوقّف على أنْ يكون لها طرف في اُفق الاعتبار، والمعدوم بقول مطلق لا يصلح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الوقف هو تحبيس الأصل، وفي ذلك لا حاجة إلى وجود الموقوف عليه، وتسبيل المنفعة ولو كان التسبيل بنحو جعل المنفعة بعدما يوجد لا بجعلها له بالفعل، فإنّه لا أرى فيه محذوراً، والظاهر أنّه في الوقف على الحجّاج والزوّار وما شاكل يكون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يكون تعليقاً مجمعاً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الوقف من تحبيس الأصل وتسبيل المنفعة كليهما على أمرٍ متأخّر موجبٌ للبطلان للإجماع، وأمّا إذا كان التحبيس فعليّاً والتعليق إنّما يكون في تسبيل المنفعة، فلا إجماع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الوقف القبض، والمعدوم لا يتصوّر فيه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يقبض الحاكم أو المتولّي، مع أنّه لا فوريّة في القبض فيقبض بعد ما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صحّة الوقف على المعدوم بهذا النحو، إلّاأنْ يقوم إجماعٌ على بطلانه، والظاهر وجوده، بل ظاهرهم الإجماع</w:t>
      </w:r>
      <w:r>
        <w:rPr>
          <w:rStyle w:val="FootnoteAnchor"/>
          <w:rtl w:val="true"/>
        </w:rPr>
        <w:footnoteReference w:id="644"/>
      </w:r>
      <w:r>
        <w:rPr>
          <w:rFonts w:ascii="Amiri" w:hAnsi="Amiri" w:eastAsia="Amiri" w:cs="Amiri"/>
          <w:color w:val="111111"/>
          <w:sz w:val="28"/>
          <w:sz w:val="28"/>
          <w:szCs w:val="28"/>
          <w:rtl w:val="true"/>
          <w:lang w:bidi="ar-SA"/>
        </w:rPr>
        <w:t>على عدم جواز الوقف على الحمل مستدلّين على ذلك بأنّ الوقف تمليك ولا يعقل تمليك المعدوم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موجودٌ قابل للملكيّة، واشتراط إرثه بتولّده حَيّاً ليس لعدم قابليّته للملكيّة، بل للدليل الخاص، فلا يقاس المقام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المتيقّن من بطلان الوقف على المعدوم، هو الوقف على الأشخاص، وأمّا الوقف على الأصناف كالزوّار والفقراء والعلماء وما شاكل فلا إجماع على بطلان الوقف إذا كان أشخاصها غير 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المتيقّن من معقد الإجماع، هو البطلان في المعدوم في أوّل الوقف، أمّا لو وقف على طبقاتٍ طوليّة، فمات الطبقة الأُولى، ولم يكن من الطبقة الثانية أحدٌ موجوداً بل وجد بعد مضيّ زمانٍ‌، لا يكون الوقف باطلاً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المعدوم، ثمّ على الموجود، بطل بالنسبة إلى المعدوم، أمّا بالنسبة إلى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يبطل الوقف كما هو المشهور، أم يصحّ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وغيره</w:t>
      </w:r>
      <w:r>
        <w:rPr>
          <w:rStyle w:val="FootnoteAnchor"/>
          <w:rtl w:val="true"/>
        </w:rPr>
        <w:footnoteReference w:id="6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ويجري الوجهان في كلّ موردٍ بدءاً بمن لا يصحّ الوقف عليه، كالوقف على نفسه وما شاكل، ثمّ بمَن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المرتبة المتأخّرة إنّما تتلقّى الوقف من المرتبة السابقة، وهو غير ممكن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مراد الواقف من السلسة الطوليّة المرتب بقيد الترتيب، فلا يمكن الحكم بالصحّة في البعض دون البعض</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إنْ حكم بصحّة الوقف للموجود من حين الوقف لزم تخلّف العقد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القصد، وأن يقع ما لم يُقصد، ويقصد ما لايقع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حكم بالصحّة له بعد انقضاء مدّة المعدوم، لزم التعليق في الوقف، وهو باطلٌ بالإجماع، وإنْ حكم بصحّة الوقف لا للموجود، وإنّما يكون له بعد انقضاء مدّة المعدوم، لزم الوقف بلا 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المرتبة المتأخّرة إنّما تتلقّى الوقف من الواقف، فإنّه الذي بجعله يصير الوقف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الواقعي لاعبرة به، وظاهر الوقف على المراتب كالوقف على جماعةٍ في عَرْضٍ واحد إنّما هو انحلال الوقف إلى أوقافٍ عديدة، كما في بيع ما يَملك وما لا يَملك وما شاكل ذلك من الموارد، فبطلان بعضها لا يوجبُ بطلان الجميع إلّاأن يقيّد في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يلتزم بصحّة الوقف للموجود بعد انقضاء مدّة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إشكال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 هذا التعليق الناشئ من فساد الوقف بالنسبة إلى بعضٍ من دون أنْ يكون إنشاء الوقف تعليقيّاً لايوجب البطلان، كما ذكروا في بيع ما يَملك وما لا يَملك من أنّ الجهل بما يقابل ما يَملك من الثمن لايوجبُ البطلان، إذ الشرط معلوميّة الثمن المجعول في البيع، فكذلك يقال في المقام بالنسبة إلى التعليق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فيكون هذا من الوقف المنقطع الأوّل، فيكون صحيحاً، وفي المدّة التي كان الوقف للمعدوم يكون المال ومنافعه له</w:t>
      </w:r>
      <w:r>
        <w:rPr>
          <w:rFonts w:eastAsia="Amiri" w:cs="Amiri" w:ascii="Amiri" w:hAnsi="Amiri"/>
          <w:color w:val="111111"/>
          <w:sz w:val="28"/>
          <w:szCs w:val="28"/>
          <w:rtl w:val="true"/>
          <w:lang w:bidi="ar-SA"/>
        </w:rPr>
        <w:t xml:space="preserve">. </w:t>
      </w:r>
      <w:bookmarkStart w:id="256" w:name="pg11823_118902"/>
    </w:p>
    <w:p>
      <w:pPr>
        <w:pStyle w:val="BookText"/>
        <w:rPr/>
      </w:pPr>
      <w:bookmarkEnd w:id="256"/>
      <w:r>
        <w:rPr>
          <w:rFonts w:ascii="Amiri" w:hAnsi="Amiri" w:eastAsia="Amiri" w:cs="Amiri"/>
          <w:color w:val="111111"/>
          <w:sz w:val="28"/>
          <w:sz w:val="28"/>
          <w:szCs w:val="28"/>
          <w:rtl w:val="true"/>
          <w:lang w:bidi="ar-SA"/>
        </w:rPr>
        <w:t>وتعيينه</w:t>
      </w:r>
    </w:p>
    <w:p>
      <w:pPr>
        <w:pStyle w:val="Heading3"/>
        <w:numPr>
          <w:ilvl w:val="2"/>
          <w:numId w:val="1"/>
        </w:numPr>
        <w:rPr/>
      </w:pPr>
      <w:bookmarkStart w:id="257" w:name="__RefHeading___Toc11006764_73709187"/>
      <w:bookmarkStart w:id="258" w:name="_Toc87"/>
      <w:bookmarkEnd w:id="257"/>
      <w:r>
        <w:rPr>
          <w:rtl w:val="true"/>
        </w:rPr>
        <w:t>اشتراط تعيين الموقوف عليه</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وقف على أحد الشخصين، أو أحد المسجدين، أو إحدى الطائفتين لم يصحّ بلا خلافٍ‌، وعليه 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مذهبنا أنّه لايصحّ الوقف على المجهول</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وحقّ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التعيين المقابل للإبهام والترديد اعتباره عقلي، فإنّ المردّد لا وجود له ولا تحقّق، وبالمعنى المقابل للجهل كما لو كان معيّناً واقعاً مجهولاً عند الواقف، لا دليل عليه سوى الإجماع، إذ دعوى انصراف أدلّة الوقف وعدم المعهوديّة مندفعة بمنع الانصراف، وعدم المعهوديّة لايصلحُ مقيّداً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الوقف على الجامع بين الفردين، الذي يعبّر عنه بأحدهما نظير الوقف على الأصناف‌؟</w:t>
      </w:r>
    </w:p>
    <w:p>
      <w:pPr>
        <w:pStyle w:val="BookText"/>
        <w:rPr/>
      </w:pPr>
      <w:r>
        <w:rPr>
          <w:rFonts w:ascii="Amiri" w:hAnsi="Amiri" w:eastAsia="Amiri" w:cs="Amiri"/>
          <w:color w:val="111111"/>
          <w:sz w:val="28"/>
          <w:sz w:val="28"/>
          <w:szCs w:val="28"/>
          <w:rtl w:val="true"/>
          <w:lang w:bidi="ar-SA"/>
        </w:rPr>
        <w:t>الظاهر ذلك، فإنّه منها، ولعلّه المراد من الوقف على مفهوم أحدهما الذي يكون في بعض الكلمات، فلا إيراد عليه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يصحّ الوقف على أحدهما بنحو الكلّي في المعيّن كما يصحّ بيعه، وما ذكرناه في الفرضين الآخرين إنّما هو إنْ لم يكن إجماعٌ على بطلانه كما في سابقهما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وأهليّته للتملّك، وإباحة منفعة الوقف على الموقوف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أهليّته للتملّك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يصحّ الوقف على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على المرتدّ الفطري، حيث إنّ أمواله لورثته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على الحربيّ‌، لأنّ أمواله فيءٌ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مرّ أنّ المرتدّ الفطري إنّما يخرج أمواله الموجودة حين الارتداد، وتنتقل إلى ورثته، وأمّا المتجدّدة فلا دليل عليه، مع أنّ الوقف لايستلزم التمليك، ويمكن جعله مصرفاً فإنْ لم يكن إجماعٌ فإنّه لا دليل على اعتبار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إباحة منفعة الوقف على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فلايصحّ وقف آلات اللّهو، وهياكل العبادة، ولا وقف الدابّة لحمل الخمر والخنزير، والوجه في ذلك ظاهرٌ، فإنّ الوقف تحبيسٌ للأصل وتسبيلٌ للمنفعة، ولا يصحّ تسبيل المنفعة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الوقف على من يعلم أنّه يصرف منافع الموقوفة في المحرّمات من الزنا وشُرب الخمر؟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بل قولان، أظهرهما الجواز، ويظهر وجهه ممّا قدّمناه في البيع على من يعلم أنّه يصرف المبيع في الحرام، كبيع العنب ممّن يُعلم أنّه يجعله خمراً، وقد بسطنا القول فيه كتاب البيع</w:t>
      </w:r>
      <w:r>
        <w:rPr>
          <w:rStyle w:val="FootnoteAnchor"/>
          <w:rtl w:val="true"/>
        </w:rPr>
        <w:footnoteReference w:id="649"/>
      </w:r>
      <w:r>
        <w:rPr>
          <w:rFonts w:ascii="Amiri" w:hAnsi="Amiri" w:eastAsia="Amiri" w:cs="Amiri"/>
          <w:color w:val="111111"/>
          <w:sz w:val="28"/>
          <w:sz w:val="28"/>
          <w:szCs w:val="28"/>
          <w:rtl w:val="true"/>
          <w:lang w:bidi="ar-SA"/>
        </w:rPr>
        <w:t>، وأكثر ما ذكر في وجه المنع في تلك المسألة جارية هنا، ويُضاف دعوى إنصراف الأدلّة، وأنّه تعتبر القُربة في الوقف ولا تحصل مع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بصرفها في الحرام، وحيثُ عرفت عدم تماميّة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أيضاً عدم اعتبار القُربة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دليل المنع بانصراف الأدلّة، واللّه العالم</w:t>
      </w:r>
      <w:r>
        <w:rPr>
          <w:rFonts w:eastAsia="Amiri" w:cs="Amiri" w:ascii="Amiri" w:hAnsi="Amiri"/>
          <w:color w:val="111111"/>
          <w:sz w:val="28"/>
          <w:szCs w:val="28"/>
          <w:rtl w:val="true"/>
          <w:lang w:bidi="ar-SA"/>
        </w:rPr>
        <w:t>.</w:t>
      </w:r>
      <w:bookmarkStart w:id="259" w:name="pg11823_118905"/>
    </w:p>
    <w:p>
      <w:pPr>
        <w:pStyle w:val="BookText"/>
        <w:rPr/>
      </w:pPr>
      <w:bookmarkEnd w:id="259"/>
      <w:r>
        <w:rPr>
          <w:rFonts w:ascii="IRNazanin" w:hAnsi="IRNazanin" w:eastAsia="IRNazanin"/>
          <w:color w:val="111111"/>
          <w:sz w:val="28"/>
          <w:sz w:val="28"/>
          <w:szCs w:val="28"/>
          <w:rtl w:val="true"/>
          <w:lang w:bidi="fa-IR"/>
        </w:rPr>
        <w:t>وله جعل النظر لنفسه</w:t>
      </w:r>
      <w:r>
        <w:rPr>
          <w:rFonts w:eastAsia="IRNazanin" w:cs="IRNazanin"/>
          <w:color w:val="111111"/>
          <w:sz w:val="28"/>
          <w:szCs w:val="28"/>
          <w:rtl w:val="true"/>
          <w:lang w:bidi="fa-IR"/>
        </w:rPr>
        <w:t>.</w:t>
      </w:r>
    </w:p>
    <w:p>
      <w:pPr>
        <w:pStyle w:val="Heading3"/>
        <w:numPr>
          <w:ilvl w:val="2"/>
          <w:numId w:val="1"/>
        </w:numPr>
        <w:rPr/>
      </w:pPr>
      <w:bookmarkStart w:id="260" w:name="__RefHeading___Toc11006766_73709187"/>
      <w:bookmarkStart w:id="261" w:name="_Toc88"/>
      <w:bookmarkEnd w:id="260"/>
      <w:r>
        <w:rPr>
          <w:rtl w:val="true"/>
        </w:rPr>
        <w:t>جعل الواقف النظر لنفسه</w:t>
      </w:r>
      <w:bookmarkEnd w:id="261"/>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جعل النظر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حَيّاً أو إلى مدّةٍ‌، مستقلّاً أو بالشركة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الحجّة فيه، مضافاً إلى الأصل والعمومات كتاباً وسنّةً‌، خلافا للحِلّي</w:t>
      </w:r>
      <w:r>
        <w:rPr>
          <w:rStyle w:val="FootnoteAnchor"/>
          <w:rtl w:val="true"/>
        </w:rPr>
        <w:footnoteReference w:id="651"/>
      </w:r>
      <w:r>
        <w:rPr>
          <w:rFonts w:ascii="Amiri" w:hAnsi="Amiri" w:eastAsia="Amiri" w:cs="Amiri"/>
          <w:color w:val="111111"/>
          <w:sz w:val="28"/>
          <w:sz w:val="28"/>
          <w:szCs w:val="28"/>
          <w:rtl w:val="true"/>
          <w:lang w:bidi="ar-SA"/>
        </w:rPr>
        <w:t>، فمنع عن صحّة هذا الشرط، وافسد به الوقف، وهو شاذٌ، ومستنده غير واضح</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له عموم ما دلّ على وجوب الوفاء بالشرط</w:t>
      </w:r>
      <w:r>
        <w:rPr>
          <w:rStyle w:val="FootnoteAnchor"/>
          <w:rtl w:val="true"/>
        </w:rPr>
        <w:footnoteReference w:id="653"/>
      </w:r>
      <w:r>
        <w:rPr>
          <w:rFonts w:ascii="Amiri" w:hAnsi="Amiri" w:eastAsia="Amiri" w:cs="Amiri"/>
          <w:color w:val="111111"/>
          <w:sz w:val="28"/>
          <w:sz w:val="28"/>
          <w:szCs w:val="28"/>
          <w:rtl w:val="true"/>
          <w:lang w:bidi="ar-SA"/>
        </w:rPr>
        <w:t>، بل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حقّ النظر أنْ يكون للواقف، لأنّه أصله وأحقّ من يقوم بإمضائه وصرفه في أهله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ممّا لا 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أطلق كان لأربابه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كلام في ما إذا جعل النظر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تضمّن أنّ فاطمة الزهراء عليها السلام جَعَل النظر في حوائطها السَّبعة التي وقفتها؛ لأمير المؤمنين عليه السلام ثمّ الحسن ثمّ الحسين ثمّ الأكبر من ولده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شرط الإمام الكاظم عليه السلام النظر في الأرض التي وقفها للإمام الرضا عليه السلام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وللتوقيع الشريف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من أمر الرّجل الذي يجعل لناحيتنا ضيعةً يُسملّها من قيّمٍ يقوم بها، ويعمرها ويؤدّي من دخلها خراجها ومؤونتها، ويجعل ما بقى من الدخل لناحيتنا، فإنّ ذلك لمن جعله صاحب الضيعة، إنّما لايجوز ذلك لغيره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ولغير تلكم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يشترط النظر في متن العقد إلى أحدٍ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صرّح غير واحدٍ بأنّ النظر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لأربابه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غير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يبنى الحكم هنا على انتقال الملك، فإنْ جعلناه للواقف أو الموقوف عليه مطلقاً فالنظر له، وإنْ جعلناه للموقوف عليه إنْ كان معيّناً، وللّه تعالى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 عامّاً، فالنظر في الأوّل إلى الموقوف عليه، وللحاكم الشرعي في الثاني، لأنّه الناظر العام حيث لا يوجد الخاص</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تسالمهم على لزوم كون التولية لأحدٍ، وأنّ المتولّي يتصدّى لما هو وظيفته لو كان مجعولاً من قبل الواقف، وتوقّف تصرّف الموقوف عليه على إذنه، لقلنا بعدم التولية بهذا المعنى لأحدٍ، باعتبار أنّ الانتفاع بالأوقاف لايتوقّف على إذن أحدٍ، وليس لغير الموقوف عليه التصرّف فيه، كما قاله جماعة في الأوقاف العامّة، كالخان الذي وقف لنزول الزوّار والمسافرين، والبئر التي حفرت لهم، والمعبر على المارّ لعبور الناس وما شاكل، فإنّ قصد المالك انتفاع الموقوف عليه، سواءٌ كان خاصّاً أو عامّاً، ولكن الظاهر تسالمهم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فالظاهر كون التولية في أمثال ذلك للحاكم الشرعي لا للواقف، فإنّه بالوقف خرج المال عن تحت سلطنة، إمّا ملكاً أو طلقاً، ولا دليل على جواز تصرّفه فيه بعد ذلك، واستصحاب الجواز لايجري سيّما بعد تبدّل الموضوع، إمّا تبدّل الملك إلى عدمه، أو المِلك الطلق إلى غير الطلق، ولا للموقوف عليهم، لتعلّق حقّ البطون المتأخّرة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 التصرّف في تنميته وإصلاحه، ونحو ذلك ممّا يرجع إلى انتفاعهم به، وأمّا ولايتهم على نحو ولاية المتولّي المنصوب، بحيث تمضي إجارتهم على البطون اللّاحقة مثلاً، فلا دليل عليها، بل الظاهر أنّها للحاكم الشرعي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الوجه في ثبوتها له عموم ولاية الفقيه، كي يدفع بعدم الدليل عليه، 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فيه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شبهة في أنّ القضاة المنصوبين من قبل الخلفاء كانوا يتصدّون لذلك المنصب، كما يظهر لمن لاحظ أحوالهم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ومقتضى إطلاق قوله عليه السلام في مقبولة ابن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في صحيحة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قاضياً</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هو ثبوت جميع مناصبهم ومنها هذا المنصب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يمكن أنْ يقال بثبوت التولية له في الأوقاف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على الانتفاع بها بدون إذن الحاكم، فالظاهر أنّها من جهة كون إذن حكّام الشرع في أمثال ذلك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التولية على الأوقاف العامّة والخاصّة مطلقاً تكون للحاكم، إلّاأن يعيّن الواقف متولّياً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للحاكم الشرعي أن يأذن غيره في التصرّف في الأوقاف، كذلك له أنْ يفوّض التولية إلى غيره، وذلك لكون إعطاء المنصب من وظائف القضاة، والفرق بين إعطاء المنصب والإذن في التصرّف، أنّه في صورة الإذن بموت المجتهد ينتقي الإذن، ولا يجوز له التصرّف بعد ذلك، وأمّا في صورة إعطاء المنصب،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فيبقى ذلك بعد موته، فإنّه في فرض الإذن يكون ما ثبتَ للمأذون من شؤون منصب المجتهد، فلا محالة ينعدم بموته، وأمّا مع إعطاء المنصب، يكون الحاكم واسطةً لإثباته بنحوٍ يكون المنصب من قِبل اللّه تعالى بجعل الحاكم، فلا وجه لانعدامه بموته، بل هو يكون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القبول على من جعله الواقف متولّياً للأصل، سواءٌ كان حاضراً مجلس الوقف أم لا، وإجراء حكم الوصاية هنا لا يَخرج عن القياس حتّى مع التمسّك بالتعليل في خبرها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شاهداً فأبى أن يقبلها طلب غيره</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فإنّه في المقام إنْ لم يقبل التولية تكون التولية للحاكم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قَبِل التولية، فإنّه لا يجب على المتولّين بعده قبولها، فلهم الرّد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للواقف أن يعزل المتولّي بعد قبوله مادام باقياًعلى الأهليّة، للّزوم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للمتولّي أن يعزل نفسه‌؟ قولان، أقواهما الثاني، إذ ثبوت حقّ العزل له يحتاج إلى دليل،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جواز الرّد الثابتُ له قبل القبول لا يجرى، لان المتيقّن أن له أنْ لا يقبل الولاية، والمشكوك فيه سلبها عن نفسه، فهما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في معنى التوكيل، ويجوز للوكيل عزل نفسه، ممنوعٌ جدّاً، لأنّ الوكيل يتصرّف عن قِبل الموكّل، والمتولّي صاحبُ منصب الولاية مستقلٌّ في التصرّف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وجوب الوفاء بالشرط</w:t>
      </w:r>
      <w:r>
        <w:rPr>
          <w:rStyle w:val="FootnoteAnchor"/>
          <w:rtl w:val="true"/>
        </w:rPr>
        <w:footnoteReference w:id="663"/>
      </w:r>
      <w:r>
        <w:rPr>
          <w:rFonts w:ascii="Amiri" w:hAnsi="Amiri" w:eastAsia="Amiri" w:cs="Amiri"/>
          <w:color w:val="111111"/>
          <w:sz w:val="28"/>
          <w:sz w:val="28"/>
          <w:szCs w:val="28"/>
          <w:rtl w:val="true"/>
          <w:lang w:bidi="ar-SA"/>
        </w:rPr>
        <w:t>، فإنّ هذا الشرط كمار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للمتولّي، يكون للواقف أيضاً، فيجبُ الوفاء 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بإطلاق الامر بالوفاء بالعقد من المتعاقدين، ومن له تعلّق بالعقد</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خارج عن العقد، وحقيقته التزامٌ في ضمن التزام، ووجوب القيام بمقتضى النظارة مع عدم الرد، وأنّه ليس له أزيد ممّا شرط له من أقلّ من اُجرة عمله، لا يدلّان على أنّ ذلك من مقتضى العقد المفروض لزومه، كما أفاده رحمه الله، فإنّ ذلك إنّما يكون مع عدم الرّد، ولا دلالة لهما على عدم جواز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قد استدلّ بدليل وجوب الوفاء بالعقد</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نفس جعل التولية وقبول المتولّي، سيّما مع جعل اُجرة بإزائها يصدق عليه العقد، إذ لا حقيقة للعقد سوى ربط أحد الالتزامين بالآخر الصادق على ذلك، فمقتضى عموم وجوب الوفاء بالعقد لزومه وعدم جواز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لزومه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يظهر أنّه لو نصب الحاكم متولّياً للوقف لا يجوز عزله ما دام بقاء الأهليّة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لا تشترط العدالة في الوقف إذا جعل التولية لنفسه، والظاهر أنّه المشهور،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66"/>
      </w:r>
      <w:r>
        <w:rPr>
          <w:rFonts w:ascii="Amiri" w:hAnsi="Amiri" w:eastAsia="Amiri" w:cs="Amiri"/>
          <w:color w:val="111111"/>
          <w:sz w:val="28"/>
          <w:sz w:val="28"/>
          <w:szCs w:val="28"/>
          <w:rtl w:val="true"/>
          <w:lang w:bidi="ar-SA"/>
        </w:rPr>
        <w:t xml:space="preserve">نقل فيه قولين، ولم أظفر بقائل الاعتبار، نعم توقّف فيه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فمقتضى الأصل، وعموم ما دلّ على وجوب الوفاء بالشرط عدم اعتبارها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جعل الواقف التولية لغيره، فهل يعتبر فيه العدالة أم لا؟</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السيّد رحمه الله</w:t>
      </w:r>
      <w:r>
        <w:rPr>
          <w:rStyle w:val="FootnoteAnchor"/>
          <w:rtl w:val="true"/>
        </w:rPr>
        <w:footnoteReference w:id="668"/>
      </w:r>
      <w:r>
        <w:rPr>
          <w:rFonts w:ascii="IRNazanin" w:hAnsi="IRNazanin" w:eastAsia="IRNazanin"/>
          <w:color w:val="111111"/>
          <w:sz w:val="28"/>
          <w:sz w:val="28"/>
          <w:szCs w:val="28"/>
          <w:rtl w:val="true"/>
          <w:lang w:bidi="fa-IR"/>
        </w:rPr>
        <w:t>الاتّفاق على اعتبارها، واستدلّ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البَجَليّ المتضمّن لصدقة أمير المؤمنين عليه السلام بماله الذي في ينبع، حيث قال في آخره بعد ذكر الحسن والحسين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حَدَث بحسنٍ وحُسينٍ حدثٌ‌، فإنّ الآخر منهما ينظر في بني عليّ‌، فإنْ وجد فيهم من يرضى بهديه وإسلامه وأمانته، فإنّه يجعله إليه إنْ شاء، وإنْ لم يرَ منهم بعض الذي يريد فإنّه يجعله في بني فاطمة، فإنْ وجد فيهم من يرضى بهديه وإسلامه وأمانته، فإنّه يجعله إليه إن شاء، فإن لم يرَ فيهم بعض الذي يريد فإنّه يجعله إلى رجلٍ من آل أبي طالب يرضى به، فإنْ وجد آل أبي طالب قد ذهب كبراؤهم وذوو آرائهم، فإنّه يجعله إلى رجلٍ يرضاه من بني هاشم</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الخبر يدلّ على أنّ أمير المؤمنين عليه السلام اشترط فيمن يجعل متولّياً على ما وقفه أنْ يكون مرضيّاً، وهذا لايستلزم اعتباره في كلّ من يجعل متولّياً، مع أنّ كونه مرضيّاً أعمٌّ من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فثبوته ثمّ تعبّديّته محلّ نظر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فالأقوى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وقوّاه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التولية لاثنين على وجه الشركة، لا ينفذ تصرّف أحدهما من دون إذن الآخر أو إجازته، كما أنّه لايجوز لهما قسمة الوقف، ولا قسمة المنافع للصرف في مصارفها، بل اللّازم اجتماعهما في جميع 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للمتولّي تفويض التولية إلى غيره، إلّاإذا كان الواقف أذن له في ضمن إجراء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فللخبر المتضمّن لصدقة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إيكال الأمر إلى الحاكم الشرعي، مع عدم التعذّر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 توكيل الغير في التصرّف إذا لم يشترط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الواقف وظيفة المتولّي فهو المتعيّن، وإلّا انصرف إطلاقه إلى ما هو المتعارف من التعمير والإجارة، واستيفاءالعوض، وجمع الحاصل وقسمته على الموقوف عليهم ونحو تلكم، ولا يجوز لغيره التصدّي لذلك لقوله عليه السلام 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من أمر الرّجل الذي يجعل لناحيتنا ضيعةً فيسلّمها إلى مَنْ يقوم بها ويعمرها ويؤدّي من دخلها خراجها ومؤونتها، ويجعل مابقى من الدخل لناحيتنا، فإنّ ذلك لمن جعله صاحب الضيعة، لايجوز ذلك لغيره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يعتبر إذن المتولّي في التصرّف بعد حصول المنفعة، وتعيين ما للموقوف عليه، كما أفاده الشهيد الثاني‌؟ أم لا كما قوّاه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أظهرهما الثاني، للأصل بعد الشكّ في شمول الدليل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62" w:name="pg11823_118913"/>
    </w:p>
    <w:p>
      <w:pPr>
        <w:pStyle w:val="BookText"/>
        <w:rPr/>
      </w:pPr>
      <w:bookmarkEnd w:id="262"/>
      <w:r>
        <w:rPr>
          <w:rFonts w:ascii="Amiri" w:hAnsi="Amiri" w:eastAsia="Amiri" w:cs="Amiri"/>
          <w:color w:val="111111"/>
          <w:sz w:val="28"/>
          <w:sz w:val="28"/>
          <w:szCs w:val="28"/>
          <w:rtl w:val="true"/>
          <w:lang w:bidi="ar-SA"/>
        </w:rPr>
        <w:t>ويَصحّ الوقف على المعدوم تبعاً للموجود، ويُصرف الوقف على البِرّ إلى الفقراء ووجوب القُرب، ولو وقف المسلم على البِيَع والكنائس بَطَل بخلاف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الوقف على المعدوم تبعاً للموجود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ويصرف الوقف على البِرّ إلى الفقراء، ووجوب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كعمارة المساجد والمدارس، وإعانة الحجّاج والزوّار، ونفع طلبة العلم وما شاكل، بل له أنْ يصرفه في مطلق نفع المسلمين وإنْ كانوا أغنياءً لكونه برّاً، ولم يدلّ على وجود تحرّي الأكمل، للأصل بعد صدق الموقوف عليه</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1006768_73709187"/>
      <w:bookmarkStart w:id="264" w:name="_Toc89"/>
      <w:bookmarkEnd w:id="263"/>
      <w:r>
        <w:rPr>
          <w:rtl w:val="true"/>
        </w:rPr>
        <w:t>الوقف على الكافر</w:t>
      </w:r>
      <w:bookmarkEnd w:id="26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المسلم على البيعَ والكنائس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معابد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بلا خلافٍ‌، كما صرّح به غير واحدٍ</w:t>
      </w:r>
      <w:r>
        <w:rPr>
          <w:rStyle w:val="FootnoteAnchor"/>
          <w:rtl w:val="true"/>
        </w:rPr>
        <w:footnoteReference w:id="671"/>
      </w:r>
      <w:r>
        <w:rPr>
          <w:rFonts w:ascii="Amiri" w:hAnsi="Amiri" w:eastAsia="Amiri" w:cs="Amiri"/>
          <w:color w:val="111111"/>
          <w:sz w:val="28"/>
          <w:sz w:val="28"/>
          <w:szCs w:val="28"/>
          <w:rtl w:val="true"/>
          <w:lang w:bidi="ar-SA"/>
        </w:rPr>
        <w:t>، لأنّ الوقف عليهما وقفٌ على جهةٍ خاصّة من مصالح الكفّار، غير مشروعة، لأنّ ما يصنع فيهما عبادات محرّمة وكفر، وقد مرّ اعتبار حليّة المنفعة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 قولنا بجواز الوقف على الكافر نفسه لاينافي ذلك، ولكن هذا في وقف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وقف عليهما يصحّ كما هو المشهور، إقراراً له على دينه، مع أنّه لابدّ له من معبد</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ويبطلُ على الحَربيّ وإنْ كان رحماً لا الذّمي وإن كان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تمكّن الكافر من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قصد القربة أوّلاً، وتمشّي قصد القربة من الكافر ثانياً وإنْ لم يحصل له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وقف المسلم على الكافر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على الحربيّ وإنْ كان رحماً، لا الذّمي وإنْ كان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المصنّف رحمه الله هنا،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الرّحم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الأبوين دون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أدلّة الوقف والعقد الجواز مطلقاً، ويشهد به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وما دلّ على الترغيب في البِرّ والإحسان، وجواز الصدقة على الكافر</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65" w:name="pg11823_118915"/>
    </w:p>
    <w:p>
      <w:pPr>
        <w:pStyle w:val="BookText"/>
        <w:rPr/>
      </w:pPr>
      <w:bookmarkEnd w:id="26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مال الحربي فيءٌ للمسلمين يصحّ أخذه وبيعه، ولا يجب دفعه إليه، لأنّه غير مالك، ومال المرتدّ الفطري مِلكٌ لورثته، وقد مرّ اعتبار أهليّة التملّك في صحّة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قد تقدّم ما فيه عند ذكر شرائط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w:t>
      </w:r>
      <w:r>
        <w:rPr>
          <w:rStyle w:val="FootnoteAnchor"/>
          <w:rtl w:val="true"/>
        </w:rPr>
        <w:footnoteReference w:id="678"/>
      </w:r>
      <w:r>
        <w:rPr>
          <w:rFonts w:ascii="Amiri" w:hAnsi="Amiri" w:eastAsia="Amiri" w:cs="Amiri"/>
          <w:color w:val="111111"/>
          <w:sz w:val="28"/>
          <w:sz w:val="28"/>
          <w:szCs w:val="28"/>
          <w:rtl w:val="true"/>
          <w:lang w:bidi="ar-SA"/>
        </w:rPr>
        <w:t>من أنّ النهي عن الموادّة إنّما هو من حيث كونه يحادّ اللّه ورسوله، وإلّا لحرم اللّطف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يقيّد إطلاق هذه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ما ورد في الأرحام من الأمر بصلة الرَّحم</w:t>
      </w:r>
      <w:r>
        <w:rPr>
          <w:rStyle w:val="FootnoteAnchor"/>
          <w:rtl w:val="true"/>
        </w:rPr>
        <w:footnoteReference w:id="679"/>
      </w:r>
      <w:r>
        <w:rPr>
          <w:rFonts w:ascii="Amiri" w:hAnsi="Amiri" w:eastAsia="Amiri" w:cs="Amiri"/>
          <w:color w:val="111111"/>
          <w:sz w:val="28"/>
          <w:sz w:val="28"/>
          <w:szCs w:val="28"/>
          <w:rtl w:val="true"/>
          <w:lang w:bidi="ar-SA"/>
        </w:rPr>
        <w:t>، وفي الأبوين من الأمر بمصاحبتهما في الدُّنيا معروفاً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هو الجواز مطلقاً</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1006770_73709187"/>
      <w:bookmarkStart w:id="267" w:name="_Toc90"/>
      <w:bookmarkEnd w:id="266"/>
      <w:r>
        <w:rPr>
          <w:rtl w:val="true"/>
        </w:rPr>
        <w:t>فيما يتعلّق بألفاظ الوقف</w:t>
      </w:r>
      <w:bookmarkEnd w:id="26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بيّناه أنّ شرائط الواقف التي شرطها في متن العقد تكون معتبرة، ولا يجوز تغييرها ولا تبديلها إذا لم تكن مخالفة للشرع ولا لمقتضى 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وينصرف وقف المسلم على الفقراء إلى فقراء المسلمين، والكافر إلى فقراء 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المسلمين إلى المصلّي إلى القبلة، وعلى المؤمنين أو الإماميّة إلى الإثنى عشريّة، وكذا كلّ منسوبٍ إلى من انتسب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فتجبُ مراعاة ما يدلّ عليه اللّفظ الواقع في كلام الواقف من حيث العموم والخصوص، وحيث أنّ استكشاف المراد كما يكون بإلقاء اللّفظ الموضوع لمعنى عامٍ بلا قرينةٍ‌، فإنّه يُستكشف منه بحسب قانون المحاورة أنّ المراد المعنى العام، كذلك قد يكون بواسطة القرائن الحاليّة والمقاليّة على إرادة المعنى الخاص، وفي مثل ذلك لا وجه لملاحظة المعنى الموضوع له، فإنّ الميزان مراد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القرائن المنضمّة المفيدة للظهور لها التقدّم، ثمّ العرف الخاص مقدّمٌ على العرف العام، وهو مقدم على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هذا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وقف المسلم على الفقراء إلى فقراء المسلمين، والكافر إلى فقراء 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عامّاً لأنّه جمعٌ محلّى باللّام، إلّاأنّ شاهد الحال قرينة على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المصلّي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وعن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الاختصاص بالمحقّين إذا كان الواقف محقّاً، لشهادة الحال، والانصراف إلى أهل مذهبه</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وهو كما ترى‌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 أو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الإثني عشريّة، وكذا كلّ مسنوبٍ إلى من انتسب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نَسب إلى أبٍ‌</w:t>
      </w:r>
    </w:p>
    <w:p>
      <w:pPr>
        <w:pStyle w:val="BookText"/>
        <w:rPr/>
      </w:pPr>
      <w:r>
        <w:rPr>
          <w:rFonts w:ascii="Amiri" w:hAnsi="Amiri" w:eastAsia="Amiri" w:cs="Amiri"/>
          <w:color w:val="111111"/>
          <w:sz w:val="28"/>
          <w:sz w:val="28"/>
          <w:szCs w:val="28"/>
          <w:rtl w:val="true"/>
          <w:lang w:bidi="ar-SA"/>
        </w:rPr>
        <w:t>وعن جماعةٍ من القدماء</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وقف على المؤمنين، اختصّ بالعدول منهم، لأنّ المستفاد من 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الايمان عبارة عن الإقرار باللِّسان، والتصديق بالجنان، والعمل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جملةً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عبارة عن الإقرار باللّسان، والتصديق بالجنان، والجمع بحمل الأولى على الفرد الأكمل أولى من الجمع بتقييد الثانية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على الاستدلال وجوابه ما مرّ من أنّ العرف العام مقدّمٌ على اللّغة، ولا شبهة في أنّ الإيمان في العرف العام للأعمّ‌، ومعه لا عبرة بما فُسِّر به الإيمان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صحّة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نُسب إلى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لبني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لإطلاق الأدلّة، ولخصوص مكاتبة عليّ بن محمّد بن سليمان النوفلي،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الثاني عليه السلام أسأله عن أرضٍ وقفها جدّي على المحتاجين من ولد فلان ابن فلان، وهم كثيرٌ متفرِّقون في البلاد؟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الأرض التي وقفها جدّك على فقراء ولد فلان، وهي لمن حَضَر البلد الذي فيه الوقف، وليس لك أن تتبّع من كان غائباً</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لمن انتسب إليه بالأبناء، وفي البنات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شرك استوى الذّكور والإناث ما لم يفضَّل، والقوم أهلُ لغته،</w:t>
      </w:r>
    </w:p>
    <w:p>
      <w:pPr>
        <w:pStyle w:val="BookText"/>
        <w:rPr/>
      </w:pPr>
      <w:r>
        <w:rPr>
          <w:rFonts w:ascii="Amiri" w:hAnsi="Amiri" w:eastAsia="Amiri" w:cs="Amiri"/>
          <w:color w:val="111111"/>
          <w:sz w:val="28"/>
          <w:sz w:val="28"/>
          <w:szCs w:val="28"/>
          <w:rtl w:val="true"/>
          <w:lang w:bidi="ar-SA"/>
        </w:rPr>
        <w:t xml:space="preserve">وعليه، فلا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لمن انتسب إليه بالأبناء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البنات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عدم دخول أولاد البنات، وإنْ قلنا إنّهم أولاده، واستدلّوا له بأنّ الحكم المعلّق على الانتساب غير الحكم المعلّق على الوليد، والأوّل لا يشمل من انتسب إليه بالبنات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 الانتساب إلى الشخص بحسب المتفاهم العرفي، أعمٌّ من الانتساب إليه من طريق الإبن أو 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شرك استوى الذّكور والإناث مالم 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التفضيل في الإرث لايلازم التفضيل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أخذ هذا العنوان في وقفه كما لو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انصرف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وإنْ اختلفوا في الإطلاق كما في المتن،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وعن الديلمي</w:t>
      </w:r>
      <w:r>
        <w:rPr>
          <w:rStyle w:val="FootnoteAnchor"/>
          <w:rtl w:val="true"/>
        </w:rPr>
        <w:footnoteReference w:id="685"/>
      </w:r>
      <w:r>
        <w:rPr>
          <w:rFonts w:ascii="Amiri" w:hAnsi="Amiri" w:eastAsia="Amiri" w:cs="Amiri"/>
          <w:color w:val="111111"/>
          <w:sz w:val="28"/>
          <w:sz w:val="28"/>
          <w:szCs w:val="28"/>
          <w:rtl w:val="true"/>
          <w:lang w:bidi="ar-SA"/>
        </w:rPr>
        <w:t>، أو التقييد بالذكور منهم خاصّة دون الإناث، كما عن الشيخين</w:t>
      </w:r>
      <w:r>
        <w:rPr>
          <w:rStyle w:val="FootnoteAnchor"/>
          <w:rtl w:val="true"/>
        </w:rPr>
        <w:footnoteReference w:id="686"/>
      </w:r>
      <w:r>
        <w:rPr>
          <w:rFonts w:ascii="Amiri" w:hAnsi="Amiri" w:eastAsia="Amiri" w:cs="Amiri"/>
          <w:color w:val="111111"/>
          <w:sz w:val="28"/>
          <w:sz w:val="28"/>
          <w:szCs w:val="28"/>
          <w:rtl w:val="true"/>
          <w:lang w:bidi="ar-SA"/>
        </w:rPr>
        <w:t>، والقاضي</w:t>
      </w:r>
      <w:r>
        <w:rPr>
          <w:rStyle w:val="FootnoteAnchor"/>
          <w:rtl w:val="true"/>
        </w:rPr>
        <w:footnoteReference w:id="687"/>
      </w:r>
      <w:r>
        <w:rPr>
          <w:rFonts w:ascii="Amiri" w:hAnsi="Amiri" w:eastAsia="Amiri" w:cs="Amiri"/>
          <w:color w:val="111111"/>
          <w:sz w:val="28"/>
          <w:sz w:val="28"/>
          <w:szCs w:val="28"/>
          <w:rtl w:val="true"/>
          <w:lang w:bidi="ar-SA"/>
        </w:rPr>
        <w:t>، وغيرهم</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وخالف في أصل الحكم الحلبي</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الرجوع إلى المعلوم من قصده مع إمكانه، وإلّا فإلى المعروف في ذلك الإطلاق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فصَرَفه إلى الرِّجال من قبيلته ممّن يطلق العرف بأنّه أهله وعشيرته دون من سواهم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لما هو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وقد ادّعاه السيّد ابن زُهرة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عن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أنّ به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الإجماع، وإلّا فالظاهر تماميّة ما أفاده الحلبي، وإنْ كان يبقى الإشكال حينئذٍ فيما إذا لم يعلم المعروف في ذلك الإطلاق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أظهريّة ما أفاده الحِلّي في هذا الفرض، فينصرف إلى عشيرته وإنْ كانوا من أهل لغةٍ أُخرى غير 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التقييد بالذكور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يَسْخَرْ قَوْمٌ مِنْ قَوْمٍ عَسى أَنْ يَكُونُوا خَيْراً مِنْهُمْ وَ لا نِساءٌ مِنْ نِساءٍ عَسى أَنْ يَكُنَّ خَيْراً مِنْهُنَّ‌</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وبقول الشاعر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أدري وسوف أخالُ أدري أقومٌ آل حصن أم نساء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والعشيرة الأقرب في النسب، والجار لمن يلي داره أربعين 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الخاص من قومه،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الشيخين</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لأنّ ذلك ينساق إلى الذهن عند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قيل من ورود رواية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وأن يقيّد بما إذا لم يعلم من قصده الأعمّ أو الأخصّ‌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هو العرف</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696"/>
      </w:r>
      <w:r>
        <w:rPr>
          <w:rFonts w:ascii="Amiri" w:hAnsi="Amiri" w:eastAsia="Amiri" w:cs="Amiri"/>
          <w:color w:val="111111"/>
          <w:sz w:val="28"/>
          <w:sz w:val="28"/>
          <w:szCs w:val="28"/>
          <w:rtl w:val="true"/>
          <w:lang w:bidi="ar-SA"/>
        </w:rPr>
        <w:t>، والقاضي</w:t>
      </w:r>
      <w:r>
        <w:rPr>
          <w:rStyle w:val="FootnoteAnchor"/>
          <w:rtl w:val="true"/>
        </w:rPr>
        <w:footnoteReference w:id="697"/>
      </w:r>
      <w:r>
        <w:rPr>
          <w:rFonts w:ascii="Amiri" w:hAnsi="Amiri" w:eastAsia="Amiri" w:cs="Amiri"/>
          <w:color w:val="111111"/>
          <w:sz w:val="28"/>
          <w:sz w:val="28"/>
          <w:szCs w:val="28"/>
          <w:rtl w:val="true"/>
          <w:lang w:bidi="ar-SA"/>
        </w:rPr>
        <w:t>، والحلبي</w:t>
      </w:r>
      <w:r>
        <w:rPr>
          <w:rStyle w:val="FootnoteAnchor"/>
          <w:rtl w:val="true"/>
        </w:rPr>
        <w:footnoteReference w:id="698"/>
      </w:r>
      <w:r>
        <w:rPr>
          <w:rFonts w:ascii="Amiri" w:hAnsi="Amiri" w:eastAsia="Amiri" w:cs="Amiri"/>
          <w:color w:val="111111"/>
          <w:sz w:val="28"/>
          <w:sz w:val="28"/>
          <w:szCs w:val="28"/>
          <w:rtl w:val="true"/>
          <w:lang w:bidi="ar-SA"/>
        </w:rPr>
        <w:t>، والديلمي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والكيدري</w:t>
      </w:r>
      <w:r>
        <w:rPr>
          <w:rStyle w:val="FootnoteAnchor"/>
          <w:rtl w:val="true"/>
        </w:rPr>
        <w:footnoteReference w:id="699"/>
      </w:r>
      <w:r>
        <w:rPr>
          <w:rFonts w:ascii="Amiri" w:hAnsi="Amiri" w:eastAsia="Amiri" w:cs="Amiri"/>
          <w:color w:val="111111"/>
          <w:sz w:val="28"/>
          <w:sz w:val="28"/>
          <w:szCs w:val="28"/>
          <w:rtl w:val="true"/>
          <w:lang w:bidi="ar-SA"/>
        </w:rPr>
        <w:t>، وابني حمزة</w:t>
      </w:r>
      <w:r>
        <w:rPr>
          <w:rStyle w:val="FootnoteAnchor"/>
          <w:rtl w:val="true"/>
        </w:rPr>
        <w:footnoteReference w:id="700"/>
      </w:r>
      <w:r>
        <w:rPr>
          <w:rFonts w:ascii="Amiri" w:hAnsi="Amiri" w:eastAsia="Amiri" w:cs="Amiri"/>
          <w:color w:val="111111"/>
          <w:sz w:val="28"/>
          <w:sz w:val="28"/>
          <w:szCs w:val="28"/>
          <w:rtl w:val="true"/>
          <w:lang w:bidi="ar-SA"/>
        </w:rPr>
        <w:t>وزُهرة</w:t>
      </w:r>
      <w:r>
        <w:rPr>
          <w:rStyle w:val="FootnoteAnchor"/>
          <w:rtl w:val="true"/>
        </w:rPr>
        <w:footnoteReference w:id="701"/>
      </w:r>
      <w:r>
        <w:rPr>
          <w:rFonts w:ascii="Amiri" w:hAnsi="Amiri" w:eastAsia="Amiri" w:cs="Amiri"/>
          <w:color w:val="111111"/>
          <w:sz w:val="28"/>
          <w:sz w:val="28"/>
          <w:szCs w:val="28"/>
          <w:rtl w:val="true"/>
          <w:lang w:bidi="ar-SA"/>
        </w:rPr>
        <w:t>، والحِلّي</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يلي داره إلى أربعين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مختار الماتن هنا،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دعوى قيام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إلى أربعين داراً، وهو مختار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من أنّه المحكّم إذا لم يكن للواقف عرفٌ خاص، وفُقِدت القرائن المفيدة لغير ما هو المفهوم من اللّفظ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من نسبته إلى روايات أصحابنا وإجماعهم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الجوار أربعون داراً من كلّ جانبٍ‌، من بين يديه ومن خلفه وعن يمينه وعن شماله</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عمرو بن عكرمة،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أربعين داراً جيرانٌ‌، من بين يديه ومن خلفه وعن يمينه وعن شماله</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يتوجّه على وجه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إعراض الأصحاب عن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تدلّ عليه هذه أنّها حقيقة شرعيّة، وهي معتبرة في الألفاظ الواردة عن الشرع، مثل ما دلّ‌</w:t>
      </w:r>
      <w:r>
        <w:rPr>
          <w:rStyle w:val="FootnoteAnchor"/>
          <w:rtl w:val="true"/>
        </w:rPr>
        <w:footnoteReference w:id="708"/>
      </w:r>
      <w:r>
        <w:rPr>
          <w:rFonts w:ascii="Amiri" w:hAnsi="Amiri" w:eastAsia="Amiri" w:cs="Amiri"/>
          <w:color w:val="111111"/>
          <w:sz w:val="28"/>
          <w:sz w:val="28"/>
          <w:szCs w:val="28"/>
          <w:rtl w:val="true"/>
          <w:lang w:bidi="ar-SA"/>
        </w:rPr>
        <w:t>على تأكّد حضور المسجد لجاره، واستحباب حسن الجوار</w:t>
      </w:r>
      <w:r>
        <w:rPr>
          <w:rStyle w:val="FootnoteAnchor"/>
          <w:rtl w:val="true"/>
        </w:rPr>
        <w:footnoteReference w:id="709"/>
      </w:r>
      <w:r>
        <w:rPr>
          <w:rFonts w:ascii="Amiri" w:hAnsi="Amiri" w:eastAsia="Amiri" w:cs="Amiri"/>
          <w:color w:val="111111"/>
          <w:sz w:val="28"/>
          <w:sz w:val="28"/>
          <w:szCs w:val="28"/>
          <w:rtl w:val="true"/>
          <w:lang w:bidi="ar-SA"/>
        </w:rPr>
        <w:t>وما شاكل، دون الألفاظ المتداولة بين أهل العرف واللّغة المستعملة‌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وسبيل اللّه كلّ ما يُتقرّب به إليه، والموالي الأعلون والأدنون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يتبع كلّ فقيرٍ في الوقف على الفقراء، بل يُعطى أهل البلد منهم ومن حضره،</w:t>
      </w:r>
    </w:p>
    <w:p>
      <w:pPr>
        <w:pStyle w:val="BookText"/>
        <w:rPr/>
      </w:pPr>
      <w:r>
        <w:rPr>
          <w:rFonts w:ascii="Amiri" w:hAnsi="Amiri" w:eastAsia="Amiri" w:cs="Amiri"/>
          <w:color w:val="111111"/>
          <w:sz w:val="28"/>
          <w:sz w:val="28"/>
          <w:szCs w:val="28"/>
          <w:rtl w:val="true"/>
          <w:lang w:bidi="ar-SA"/>
        </w:rPr>
        <w:t>في مجعولات الناس كالوقف والنذر والحلف وماشاكل، فإنّ المعيار كما مرّ هو العرف الخاص، ثمّ العام، وسِرّه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لعلّه من جهة ما ذكره بعضهم بموافقته لمقتضى العرف والعادة، والروايات لم تصل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جاز صرفه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يتقرب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باختصاصه بالجهاد، كما عن ابن حمزة</w:t>
      </w:r>
      <w:r>
        <w:rPr>
          <w:rStyle w:val="FootnoteAnchor"/>
          <w:rtl w:val="true"/>
        </w:rPr>
        <w:footnoteReference w:id="710"/>
      </w:r>
      <w:r>
        <w:rPr>
          <w:rFonts w:ascii="Amiri" w:hAnsi="Amiri" w:eastAsia="Amiri" w:cs="Amiri"/>
          <w:color w:val="111111"/>
          <w:sz w:val="28"/>
          <w:sz w:val="28"/>
          <w:szCs w:val="28"/>
          <w:rtl w:val="true"/>
          <w:lang w:bidi="ar-SA"/>
        </w:rPr>
        <w:t>، أو بقسمته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للغزاة، وثلثٌ للحجّ‌، وثلثٌ للعمرة كما عن الشيخ</w:t>
      </w:r>
      <w:r>
        <w:rPr>
          <w:rStyle w:val="FootnoteAnchor"/>
          <w:rtl w:val="true"/>
        </w:rPr>
        <w:footnoteReference w:id="711"/>
      </w:r>
      <w:r>
        <w:rPr>
          <w:rFonts w:ascii="Amiri" w:hAnsi="Amiri" w:eastAsia="Amiri" w:cs="Amiri"/>
          <w:color w:val="111111"/>
          <w:sz w:val="28"/>
          <w:sz w:val="28"/>
          <w:szCs w:val="28"/>
          <w:rtl w:val="true"/>
          <w:lang w:bidi="ar-SA"/>
        </w:rPr>
        <w:t>،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له مولى عتاقة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المولى من الأعلى وهو المعتِق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ومولى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المولى من الأسفل، وهو عتيقه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الأعلون والأدنون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يُتبع كلّ فقيرٍ في الوقف على الفقراء، بل يُعطى أهل البلد منهم ومن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حال من يقف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 كثيرين متفرّقين في البلاد لا يمكن استقصائهم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 من حال الواقف أنّه وَقَف على الجهة، كان له أنْ يصرفه في غير أهل بلده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68" w:name="pg11823_118923"/>
    </w:p>
    <w:p>
      <w:pPr>
        <w:pStyle w:val="BookText"/>
        <w:rPr/>
      </w:pPr>
      <w:bookmarkEnd w:id="268"/>
      <w:r>
        <w:rPr>
          <w:rFonts w:ascii="Amiri" w:hAnsi="Amiri" w:eastAsia="Amiri" w:cs="Amiri"/>
          <w:color w:val="111111"/>
          <w:sz w:val="28"/>
          <w:sz w:val="28"/>
          <w:szCs w:val="28"/>
          <w:rtl w:val="true"/>
          <w:lang w:bidi="ar-SA"/>
        </w:rPr>
        <w:t>ومن صار منهم جاز له أن يأخذ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بطلت المصلحة الموقوف عليها صُرِف إلى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صرفه فيهم، جاز له تخصيص بعضهم به، ولا يجبُ تتبّع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علم في الفرض الأوّل من حاله عدم إرادة العموم، وإرادة الجهة، لا يجب عليه إلّاالصرف في فقراء بلده، من دون أن يجب عليه تتبع الجميع، وكذا لو وقف على فقراء قبيلة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مكاتبة عليّ بن محمّد بن سليمان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أرضٍ وقفت على المحتاجين من ولد فلان، وهم كثيرون متفرّقون في البلاد؟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لمن حضرالبلد الذي فيه الوقف، وليس لك أن تتبع من كان غائباً</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تنافي ما ذكرناه، لأنّ المفروض فيها كون المحتاجين من تلك القبيلة كثيرين متفرّقين في البلاد، فهو قرينة على إرادة الوقف لفقرائهم الموجودين في البلد، ولا تدلّ على لزوم تتبّع الحاضرين في البلد أو عدمه، فالمتّبع ما بيّناه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فقد ظهر ممّا أسلفناه في مسألة الوقف على النفس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عنوانٍ عام وجهةٍ عامّة،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منهم حين إنشاء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له أنْ يأخذ معهم</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1006772_73709187"/>
      <w:bookmarkStart w:id="270" w:name="_Toc91"/>
      <w:bookmarkEnd w:id="269"/>
      <w:r>
        <w:rPr>
          <w:rtl w:val="true"/>
        </w:rPr>
        <w:t>إذا بطلت المصلحة الموقوف عليها</w:t>
      </w:r>
      <w:bookmarkEnd w:id="270"/>
    </w:p>
    <w:p>
      <w:pPr>
        <w:pStyle w:val="BookText"/>
        <w:rPr/>
      </w:pPr>
      <w:r>
        <w:rPr>
          <w:rFonts w:ascii="Amiri" w:hAnsi="Amiri" w:eastAsia="Amiri" w:cs="Amiri"/>
          <w:color w:val="111111"/>
          <w:sz w:val="28"/>
          <w:sz w:val="28"/>
          <w:szCs w:val="28"/>
          <w:rtl w:val="true"/>
          <w:lang w:bidi="ar-SA"/>
        </w:rPr>
        <w:t>أقو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التعرّض لها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بطلت المصلحة الموقوف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إلى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لاخلاف فيه ظاهراً، وإنْ كان قول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يصرف إلى </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مشعراً بتردّده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فصّل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بين ما لوكان الوقف على مصلحة تنقرض غالباً فيجري عليه حكم منقطع الآخر، وبين ما إذا كانت ممّا يدوم غالباً، فالمتّجه ما ذكره المشهور، وبين ما يكون مشتبه الحال ففي حمله على أيّ الجهتين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المِلْك قد خرج عن ملك الواقف، فعوده يحتاج إلى دليل مفقود في المقام، والأصل بقائه على الوقفية، وحيث لا يمكن صرفه في المصلحة المعيّنة فيصرف في وجوه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الوقف على المصلحة في الحقيقة وقفٌ على المسلمين، وتعذّر المصرف الخاص لا يوجبُ بطلانه بعد أنْ كان قصده الصرف فيما يكون مصلحة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يوجّه هذان الوجهان بنحوٍ يسلمان عمّا أُورد عليهما،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الواقف بحسب ارتكازه حينما يوقف ما يكون باقياً بعد فوات المصلحة الموقوف عليها إلى الأبد، يقصد بذلك أن تكون العين الموقوفة محبوسة على المصلحة المعيّنة مع وجودها، وإمكان الصرف فيها وإلى مصلحةٍ أُخرى من مصالح المسلمين مع عدم إمكانه، وعليه فإذا بطلت المصلحة الموقوف عليها، كان لازم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صرفها في مصلحة أُخرى‌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وقفاً إلى الأبد، ورفع المالك يده عنه وحبسه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مستمرّاً ما دام كونه باقياً، يوجبُ التوسعة في المصلحة الموقوف عليها، ويكون حبسه بالنحو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البيان يندفع ما أُورد على الوجهين المزبورين بأنّ المفروض أنّه قصد الخصوصيّة، فلا يبقى العام بعد فواتها، وإلّا أمكن أنْ يقال في الوقف على أولاد زيد مثلاً إذا انقرضوا، أنّ قصده كان الإحسان إلى جماعةٍ معيّنة، وإذا تعذّر يصرف إلى قُربةٍ أُخرى كما 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الفرق إنّما جاء من قبل دوام الوقف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بما ذكرناه يظهرمدرك لزوم مراعاة الأقرب إلى المصلحة الباطلة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بالأخبار المتفرّقة المستفاد من مجموعها أنّ كلّ مالٍ تعذّر صرفه فيما عيّن مورداً معيّناً لصرفه يصرف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الريّان،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أسأله عن إنسانٍ أوصى بوصيّة فلم يحفظ الوصي إلّاباباً واحداً منها، كيف يصنع بالباقي‌؟</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الباقية اجعلها في وجوه البِرّ</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زيد صاحب السّابري،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إليّ رجلٌ بتركته، فأمرني أن أحجّ بها عنه، فنظرتُ في ذلك فإذا هي شيءٌ يسير لا يكفي للحجّ‌، فسألت أبا حنيفة وفقهاء أهل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جعفر بن محمّدٍ عليهما السلام في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إلّاأن لا يكون يبلغ ما يحجّ به من مكّة، فإنْ كان لا يبلغ ما يحجّ به من مكّة، فليس عليك ضمان، وإنْ كان يبلغ ما يحجّ به من مكّة فأنتَ ضامن</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وتؤيّده النصوص</w:t>
      </w:r>
      <w:r>
        <w:rPr>
          <w:rStyle w:val="FootnoteAnchor"/>
          <w:rtl w:val="true"/>
        </w:rPr>
        <w:footnoteReference w:id="718"/>
      </w:r>
      <w:r>
        <w:rPr>
          <w:rFonts w:ascii="Amiri" w:hAnsi="Amiri" w:eastAsia="Amiri" w:cs="Amiri"/>
          <w:color w:val="111111"/>
          <w:sz w:val="28"/>
          <w:sz w:val="28"/>
          <w:szCs w:val="28"/>
          <w:rtl w:val="true"/>
          <w:lang w:bidi="ar-SA"/>
        </w:rPr>
        <w:t xml:space="preserve">الكثيرة الواردة في إهداء الجارية للكعبة، أو الوصيّة به، أو نذر الجارية لها، أو الوصيّة بألف درهمٍ للكعبة، الدالّة على أنّه تباع الجارية ويُصرف ثمنها على الحاجّ المنقطعين، وكذا تُصرف الدراهم عليهم، وربما يستدلّ بها للمطلوب، ولكن في الاستدلال بها له نظراً واضحاً، إلّاأنّ ذكرها تأييداً كما صنعه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لابأس به، هذا كلّه مع بطلان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جهل المصرف فلا يُحكم بالبطلان بلا كلام،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الترديد مع انحصار الأطراف، يوزّع عليهم كما هو الشأن في المال المردّد بين الشخصين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عدم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الترديد بين الجماعات، كأن لم يعلم أنّه وَقَف على العلماء أو الزوّار أو غيرهم جرى على منفعته حكم المال المجهول مالكه فيتصدّق به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أخبار المجهول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عليّبن راشد،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 ضيعتي بألفي درهم، فلمّا وفّرت المال خُبّرت أنّ الأرض وقفٌ؟‌</w:t>
      </w:r>
      <w:r>
        <w:rPr>
          <w:rFonts w:eastAsia="Amiri" w:cs="Amiri" w:ascii="Amiri" w:hAnsi="Amiri"/>
          <w:color w:val="111111"/>
          <w:sz w:val="28"/>
          <w:szCs w:val="28"/>
          <w:rtl w:val="true"/>
          <w:lang w:bidi="ar-SA"/>
        </w:rPr>
        <w:t xml:space="preserve">. </w:t>
      </w:r>
      <w:bookmarkStart w:id="271" w:name="pg11823_118927"/>
    </w:p>
    <w:p>
      <w:pPr>
        <w:pStyle w:val="BookText"/>
        <w:rPr/>
      </w:pPr>
      <w:bookmarkEnd w:id="271"/>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إدخال من يوجد مع الموجود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ولا تدخل الغِلّة في ملكك، ادفعها إلى من اُوقفت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بين الجهات كأن لم يعلم أنّه وَقَف على المدرسة، أو على المسجد، أو على القنطرة، أو نحو ذلك من الجهات، صُرِف في وجوه البِرّ غير الخارج عن أطراف الترديد</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1006774_73709187"/>
      <w:bookmarkStart w:id="273" w:name="_Toc92"/>
      <w:bookmarkEnd w:id="272"/>
      <w:r>
        <w:rPr>
          <w:rtl w:val="true"/>
        </w:rPr>
        <w:t>حكم تغيير الوقف عن هيئته</w:t>
      </w:r>
      <w:bookmarkEnd w:id="27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إدخال من يوجد مع الموجود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سواءٌ أكان الوقف على أولاده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وغيرها</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الشرط لاينافي مقتضى الوقف، فإنّ بناءه على جواز إدخال من سيوجد وسيولد مع الموجود، واشتراط إدخال من يريد إدخاله في معناه، فيبقى الوقف على أصله، فإذا جاز الأوّل اتّفاقاً جاز الآخر كذلك أو بطريق أولى‌، ولا يضرّ نقصان حصّة الموقوف عليه، إذ هو لازمٌ في كلّ موردٍ يُضمّ المعدوم إلى الموجود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كون الشرط خارجان عن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الشرط المذكور والوقف على الموجود ومن سيوجد ظاهرٌ، فإنّه بالشرط يغيّر </w:t>
      </w:r>
    </w:p>
    <w:p>
      <w:pPr>
        <w:pStyle w:val="BookText"/>
        <w:rPr/>
      </w:pPr>
      <w:r>
        <w:rPr>
          <w:rFonts w:ascii="Amiri" w:hAnsi="Amiri" w:eastAsia="Amiri" w:cs="Amiri"/>
          <w:color w:val="111111"/>
          <w:sz w:val="28"/>
          <w:sz w:val="28"/>
          <w:szCs w:val="28"/>
          <w:rtl w:val="true"/>
          <w:lang w:bidi="ar-SA"/>
        </w:rPr>
        <w:t>الوقف عمّا وقع عليه، بخلاف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يستدلّله مضافاً إلى‌عموم ما دلّ‌عليوجوب الوفاءبالشرط</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مقتضى الوقف المشروط بالشرط المذكور، دخول من شُرط دخوله، فيشمله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الشرط المذكور إلى أخذ عنوانٍ في الموقوف عليه، فكما أنّه لا إشكال فيما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إذا كان بعض ولده غنيّاً لم يكن داخلاً في الموقوف عليهم، ثمّ صار فقيراً شاركهم، كذلك في الوقف مع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أبي طاهر البلالي،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جعفر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استحللتُ بجاريةٍ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ضيعة قد كنتُ قبل أن تصير إلى هذه المرأة سبلتها على وصاياي وعلى سائر ولدي، على أنّ الأمر في الزيادة والنقصان منه إلى أيّام حياتي، وقد أتت بهذا الولد فلم ألحقه في الوقف المتقدّم المؤبّد، وأوصيتُ إنْ حدَث بي حدثُ الموت أن يجري عليه ما دام صغيراً، فإنْ كَبُر اُعطي من هذه الضيعة حملة مائتي دينار غير مؤبّد، ولا تكون له ولا لعقبه بعد إعطائه ذلك في الوقف شيءٌ‌، فرأيك أعزّك اللّه‌؟</w:t>
      </w:r>
    </w:p>
    <w:p>
      <w:pPr>
        <w:pStyle w:val="BookText"/>
        <w:rPr/>
      </w:pPr>
      <w:r>
        <w:rPr>
          <w:rFonts w:ascii="Amiri" w:hAnsi="Amiri" w:eastAsia="Amiri" w:cs="Amiri"/>
          <w:color w:val="111111"/>
          <w:sz w:val="28"/>
          <w:sz w:val="28"/>
          <w:szCs w:val="28"/>
          <w:rtl w:val="true"/>
          <w:lang w:bidi="ar-SA"/>
        </w:rPr>
        <w:t xml:space="preserve">فورد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الرّجل الذي استحلّ بالجارية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إعطائه المائتي دينار، وإخراجه من الوقف فالمال ماله فَعَل فيه ما أراد</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ظاهره جواز تغيير الوقف مع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أطلق وأقبض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أطلق وأقبض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تغييره بالإخراج أو الإدخال أو التشريك أو غير ذلك، لأنّ الوقوف على حسب ما يوقفها أهلها، وبعد تماميّة الوقف ولزومه لايجوز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خصوص الوقف على أولاده الأصاغر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أنّه إذا وقف على أولاده الأصاغر جاز أن يشترط معهم من يتجدّد له من الأولاد، وإنْ لم يشترط ذلك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القاضي</w:t>
      </w:r>
      <w:r>
        <w:rPr>
          <w:rStyle w:val="FootnoteAnchor"/>
          <w:rtl w:val="true"/>
        </w:rPr>
        <w:footnoteReference w:id="7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موافقته بشرط عدم تصريحه بإرادة الاختصاص، ووافقه الشهيد الثاني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الاختلاف هو اختلاف النصوص، فإنّها طائفتان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ما هو المشهور، كصحيح علي بن يقطين،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يتصدّق ببعض ماله على بعض ولده، ويبيّنه لهم، ألَهُ أنْ يُدخل معهم من ولده غيرهم بعد أن أبانهم بصدقة‌؟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إلّاأن يشترط أنّه من ولد له، فهو مثل من تصدّق عليه، فذلك له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وظهوره في الصدقة الجارية أي الوقف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ماذهب إليه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يتصدّق على بعض ولده بطرفٍ من ماله، ثمّ يبدو له بعد ذلك أن يدخل معه غيره من ولده‌؟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محمّد بن سهل، عن الرضا عليه السلام</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يجعل لولده شيئاً وهم صغار، ثمّ يبدو له أنْ يجعل معهم غيرهم من ولده‌؟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تصدّق على ولده بصدقة، ثمّ بدا له أنْ يُدخل غيره فيه مع ولده، أيصلح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يصنع الوالد بمال ولده ما أحبّ‌، والهبة من الولد بمنزلة الصدقة من غيره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جمع الشهيد الثاني رحمه الله</w:t>
      </w:r>
      <w:r>
        <w:rPr>
          <w:rStyle w:val="FootnoteAnchor"/>
          <w:rtl w:val="true"/>
        </w:rPr>
        <w:footnoteReference w:id="732"/>
      </w:r>
      <w:r>
        <w:rPr>
          <w:rFonts w:ascii="Amiri" w:hAnsi="Amiri" w:eastAsia="Amiri" w:cs="Amiri"/>
          <w:color w:val="111111"/>
          <w:sz w:val="28"/>
          <w:sz w:val="28"/>
          <w:szCs w:val="28"/>
          <w:rtl w:val="true"/>
          <w:lang w:bidi="ar-SA"/>
        </w:rPr>
        <w:t>بين الطائفتين بحمل الأُولى على صورة التصريح بالاختصاص، والثانية على صورة الإطلاق، بدعوى أنّه الظاهر من قوله عليه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أبانهم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شرط نقله بالكليّة، أو إخراج من يريد بطل الوقف،</w:t>
      </w:r>
    </w:p>
    <w:p>
      <w:pPr>
        <w:pStyle w:val="BookText"/>
        <w:rPr/>
      </w:pPr>
      <w:r>
        <w:rPr>
          <w:rFonts w:ascii="Amiri" w:hAnsi="Amiri" w:eastAsia="Amiri" w:cs="Amiri"/>
          <w:color w:val="111111"/>
          <w:sz w:val="28"/>
          <w:sz w:val="28"/>
          <w:szCs w:val="28"/>
          <w:rtl w:val="true"/>
          <w:lang w:bidi="ar-SA"/>
        </w:rPr>
        <w:t>وربما يُجمع بحمل النفي في الأُولى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ابن الحجّاج غير ظاهر في الوقف، إذ ليس فيه أن ما يجعل لهم من باب الوقف والصدقة، وخبري عليّ بن جعفر ومحمّد بن سهل</w:t>
      </w:r>
      <w:r>
        <w:rPr>
          <w:rStyle w:val="FootnoteAnchor"/>
          <w:rtl w:val="true"/>
        </w:rPr>
        <w:footnoteReference w:id="733"/>
      </w:r>
      <w:r>
        <w:rPr>
          <w:rFonts w:ascii="Amiri" w:hAnsi="Amiri" w:eastAsia="Amiri" w:cs="Amiri"/>
          <w:color w:val="111111"/>
          <w:sz w:val="28"/>
          <w:sz w:val="28"/>
          <w:szCs w:val="28"/>
          <w:rtl w:val="true"/>
          <w:lang w:bidi="ar-SA"/>
        </w:rPr>
        <w:t>ضعيفان سنداً، فيبقى صحيح عليّ بن يقطين،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مختصّ بالصغار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الصحيحة الأُولى من جهة الإقباض وعدمه، والأوّل مختصٌّ بتلك الصورة لأنّ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أبانهم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الإقباض، فيقيّد إطلاقه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يظهر ما في الجمعين المذكورين، وعليه فالأظهر 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نقله بالكليّة، أو إخراج من يريد، بطل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الأكثر، بل عليهما الإجماع في كثيرٍ من الكلمات</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لوشرط نقل الوقف بالكليّة عن الموقوف عليهم إلى من سيوجد، فقد سمعتَ دعوى الإجماع على بطلان الوقف بذلك، ولكن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على أولادي سنةً ثمّ على المساكين، صَحّ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على أولادي مدّة حياتي، ثمّ بعد مماتي للمساكين، صَحّ إجماعاً</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أفتى في المقام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الفرق بين المسألتين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الوقف في المثال الأوّل لم يكن على الأولاد بل على الفقراء منهم، فإذا زال الفقر ينتقي الموقوف عليهم، فكان ذلك جارياً مجرى موتهم وعدمهم، بخلاف ما إذا ثبت الوقف لهم، وشرط نقله عنهم، فإنّ ذلك إبطالٌ للوقف باختياره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للبطلان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المحقّق الثاني رحمه الله، وحاصله أنّ هذا الشرط بمنزلة شرط الخيار الممنوع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شرطٌ منافٍ لمقتضى الوقف، إذ وضعه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الممنوع بالإجماع اشتراط أنْ يكون له فسخ الوقف بحيث يرجع إلى ملكه، وأمّا هذا النحو من الانفساخ المستلزم لحبسه على غيرهم، فلا دليل على المنع عنه، وإطلاق أدلّة الشروط يوجب صحّته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الوقف بدون الشرط، كون الموقوف وقفاً على الموقوف عليهم، ومع الشرط يكون مقتضاه بمتقضى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عليحسب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4" w:name="pg11823_118933"/>
    </w:p>
    <w:p>
      <w:pPr>
        <w:pStyle w:val="BookText"/>
        <w:rPr/>
      </w:pPr>
      <w:bookmarkEnd w:id="274"/>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المملوك على الموقوف عليه،</w:t>
      </w:r>
    </w:p>
    <w:p>
      <w:pPr>
        <w:pStyle w:val="BookText"/>
        <w:rPr/>
      </w:pPr>
      <w:r>
        <w:rPr>
          <w:rFonts w:ascii="Amiri" w:hAnsi="Amiri" w:eastAsia="Amiri" w:cs="Amiri"/>
          <w:color w:val="111111"/>
          <w:sz w:val="28"/>
          <w:sz w:val="28"/>
          <w:szCs w:val="28"/>
          <w:rtl w:val="true"/>
          <w:lang w:bidi="ar-SA"/>
        </w:rPr>
        <w:t>ما يوقفها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انتقاله إلى غيره، كما لو وقف على أولاده الفقراء ثمّ على غيرهم، فإنّه بانتفاء الفقر ينتقل منهم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اشتراط الانتقال إلى غيرهم، وبين أخذ عنوانٍ في الموقوف عليهم مستلزمٌ للانتقال، غيرُ ظاهرٍ، فمقتضى الأدلّة صحّة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الحال في شرط الإخراج، فإنّه يجري فيه ما ذكرناه في هذا المورد، فلو لم يكن إجماعٌ في الموردين، كان الحقّ هو البناء على الصحّة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1006776_73709187"/>
      <w:bookmarkStart w:id="276" w:name="_Toc93"/>
      <w:bookmarkEnd w:id="275"/>
      <w:r>
        <w:rPr>
          <w:rtl w:val="true"/>
        </w:rPr>
        <w:t>مصارف تعمير الأملاك الموقوفة</w:t>
      </w:r>
      <w:bookmarkEnd w:id="27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كالدّابة الموقوفة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انتقال العين الموقوفة إلى الموقوف عليه، لما دلّ على وجوب نفقة المملوك على مالكه</w:t>
      </w:r>
      <w:r>
        <w:rPr>
          <w:rStyle w:val="FootnoteAnchor"/>
          <w:rtl w:val="true"/>
        </w:rPr>
        <w:footnoteReference w:id="739"/>
      </w:r>
      <w:r>
        <w:rPr>
          <w:rFonts w:ascii="Amiri" w:hAnsi="Amiri" w:eastAsia="Amiri" w:cs="Amiri"/>
          <w:color w:val="111111"/>
          <w:sz w:val="28"/>
          <w:sz w:val="28"/>
          <w:szCs w:val="28"/>
          <w:rtl w:val="true"/>
          <w:lang w:bidi="ar-SA"/>
        </w:rPr>
        <w:t>، وعلى الواقف إنْ قلنا ببقائها على ملك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ما دلّ على وجوب نفقة المملوك على مالكه عن مثل هذا المالك الذي صار مثل الأجنبي،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بخروجها عن ملك الواقف، وعدم دخولها في ملك الموقوف عليه، كما هوالأظهر، فقد يستدلّ لوجوب نفقتها على الموقوف عليه، بما دلّ على وجوب حفظ النفس المحترمة والمال المحترم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لادليل على ذلك في غير الآدمي، ولذا لا يجب التقاط الحيوان إذا خاف عليه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أقعد انعتق، وكانت نفقته على نفسه، ولو جَنى الموقوف عليه لم يبطل الوقف إلّابقتله قصاصاً، ولو جُني عليه كانت القيمة للموقوف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من هذه الجهة لا يختصّ بالموقوف عليه، بل يجب على عامّة المكلّفين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العين أمانة شرعيّة في يد الموقوف عليه، فيجب حفظها، وهو متوقّفٌ على تعليفها وسقيها، ولا يبعد دعوى كون الشرط الضمني في ضمن عقد الوقف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مصارف تعمير الأملاك الموقوفة ومؤونة إصلاحها للاستنماء بها، وما تحتاج إليه في بقائها، مع عدم تعيين الواقف، فتكون من نمائها مقدّماً على حقّ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 أن يعطوا عوضه من غيره، وإذا لم يف بها لم تجب على أحدٍ، كما قالوا، ولكن لا يحضرني الآن وجهٌ يستند إليه لتقديم مصارف تعمير الأملاك الموقوفة على حقّ الموقوف عليهم، سوى الشرط الضمني الذي عليه بناء الواقف حين الوقف، فإنّه إذا وقف داراً أبداً على الفقراء أو العلماء أو غيرهم، لا محالة يكون المرتكز في ذهنه صرف مقدارٍ من نمائها ومنفعتها في تعميرها، حيث إنّه من المعلوم أنّه لو لم يصرف في تعميرها لانهدمت بعد مدّة قليلة، وخرجت عن قابليّة الانتفاع بها، وكفى بذلك مدركاً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المملوك عبداً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 انعتق، وكانت نفقته على نفسه، ولو جَنى الموقوف عليه لم يبطل الوقف إلّابقتله قصاصاً، ولو جُني عليه كانت القيمة للموقوف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أولاده، اشترك أولاد البنين والبنات، الذكور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انتسب إليَّ‌، فهو لأولاد البنين خاصّة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يشترطه الواقف من الأشياء السّائغة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أولاده، اشترك أولاد البنين والبنات، الذكور والإناث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وجماعة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المشهور بين الأصحاب أنّه ينصرف إلى أولاده الصُّلبي، فلا يشمل أولاد الأولاد، لا أولاد البنين، ولا أولاد البنات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الولد على ولد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صدقه بما له من المعنى اللّغوي، بل الميزان صدقه بما هو المفهوم منه عرفاً كما مرّ، ومع عدم القرينة لا يبعد انصرافه إلى الصُّلبي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المنساق منها إلى الذهن الأعمّ من الطبقة الثانية ومن يليهم من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فالميزان هو الفهم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انتَسَب إليَّ‌، فهو لأولاد البنين خاصّة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قريباً في مسألة ما لو وقف على من نَسب إلى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يشترطه الواقف من الأشياء السائغة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وجوب الوفاء بالشرط</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77" w:name="pg11823_118936"/>
    </w:p>
    <w:p>
      <w:pPr>
        <w:pStyle w:val="BookText"/>
        <w:rPr/>
      </w:pPr>
      <w:bookmarkEnd w:id="277"/>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1006778_73709187"/>
      <w:bookmarkStart w:id="279" w:name="_Toc94"/>
      <w:bookmarkEnd w:id="278"/>
      <w:r>
        <w:rPr>
          <w:rtl w:val="true"/>
        </w:rPr>
        <w:t>حكم استيجار الأرض لتُجعل مسجداً</w:t>
      </w:r>
      <w:bookmarkEnd w:id="27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استيجار الأرض لأنْ تُجعل معبداً ومصلّى للناس، لأنّ ذلك منفعة محلّلة يجوز الإجارة لها، وهل تصير وقفاً لو وقف‌؟</w:t>
      </w:r>
    </w:p>
    <w:p>
      <w:pPr>
        <w:pStyle w:val="BookText"/>
        <w:rPr/>
      </w:pPr>
      <w:r>
        <w:rPr>
          <w:rFonts w:ascii="Amiri" w:hAnsi="Amiri" w:eastAsia="Amiri" w:cs="Amiri"/>
          <w:color w:val="111111"/>
          <w:sz w:val="28"/>
          <w:sz w:val="28"/>
          <w:szCs w:val="28"/>
          <w:rtl w:val="true"/>
          <w:lang w:bidi="ar-SA"/>
        </w:rPr>
        <w:t>الأظهر عدمه، لما مرّ من أنّه لا يصحّ وقف المنفعة، ويعتبر في الموقوف أنْ يكون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جعلها مسجداً ويصبح بذلك مسجداً يترتّب عليه أحكامه من حرمة التنجيس، ومكث الجنب والحائض، وما شاكل أم لا؟</w:t>
      </w:r>
    </w:p>
    <w:p>
      <w:pPr>
        <w:pStyle w:val="BookText"/>
        <w:rPr/>
      </w:pPr>
      <w:r>
        <w:rPr>
          <w:rFonts w:ascii="Amiri" w:hAnsi="Amiri" w:eastAsia="Amiri" w:cs="Amiri"/>
          <w:color w:val="111111"/>
          <w:sz w:val="28"/>
          <w:sz w:val="28"/>
          <w:szCs w:val="28"/>
          <w:rtl w:val="true"/>
          <w:lang w:bidi="ar-SA"/>
        </w:rPr>
        <w:t>الأظهر هو الثاني، لأنّ المسجديّة من العناوين الاعتباريّة العقلائيّة الممضاة شرعاً، ومورد الاعتبار نفس الأرض، وهي التي تتشرّف بكونها متحيّثة بحيثيّة كونها بيت اللّه تعالى‌، وهذا لا يكون في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قابليّة الأرض لأن تُجعل مسجداً منفعة محلّلة تقع عليها الإجارة، فتُجعل الأرض مسجداً، مع أنّ المسجد اسمٌ للموقوف مؤبّداً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ولذلك بنينا على أنّ عنوان المسجديّة غير قابل للزوال، فالأرض الّتي صارت مسجداً تكون مسجداً إلى الأبد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تبعاً للمحقّق الأردبيلي</w:t>
      </w:r>
      <w:r>
        <w:rPr>
          <w:rStyle w:val="FootnoteAnchor"/>
          <w:rtl w:val="true"/>
        </w:rPr>
        <w:footnoteReference w:id="744"/>
      </w:r>
      <w:r>
        <w:rPr>
          <w:rFonts w:ascii="Amiri" w:hAnsi="Amiri" w:eastAsia="Amiri" w:cs="Amiri"/>
          <w:color w:val="111111"/>
          <w:sz w:val="28"/>
          <w:sz w:val="28"/>
          <w:szCs w:val="28"/>
          <w:rtl w:val="true"/>
          <w:lang w:bidi="ar-SA"/>
        </w:rPr>
        <w:t xml:space="preserve">من أنّه لا دليل على </w:t>
      </w:r>
      <w:bookmarkStart w:id="280" w:name="pg11823_118937"/>
    </w:p>
    <w:p>
      <w:pPr>
        <w:pStyle w:val="BookText"/>
        <w:rPr/>
      </w:pPr>
      <w:bookmarkEnd w:id="280"/>
      <w:r>
        <w:rPr>
          <w:rFonts w:ascii="Amiri" w:hAnsi="Amiri" w:eastAsia="Amiri" w:cs="Amiri"/>
          <w:color w:val="111111"/>
          <w:sz w:val="28"/>
          <w:sz w:val="28"/>
          <w:szCs w:val="28"/>
          <w:rtl w:val="true"/>
          <w:lang w:bidi="ar-SA"/>
        </w:rPr>
        <w:t>أنّ المسجد لايخرج عن المسجديّة أبداً،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الإجارة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قصد عنوان المسجديّة، لا مجرّد الصَّلاة فيه، كانت المدّة طويلة كمائة سنة أو أزيد لايبعد ذلك، لصدق المسجد عليه حينئذٍ</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محلّه، إذ لو اعتبر الدوام في المسجديّة، فلا مورد للإجارة المذكورة، وإلّا فلا وجه لاعتبار أنْ تكون المدّة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جميع ما ذكرناه، فإنّ الشكّ في أنّه هل يصحّ جعل الأرض التي استؤجرت لأن تُجعل مسجداً، وهل يتحقّق هذا العنوان بذلك أم لا؟ كافٍ في البناء على عدم التحقّق، وعدم ترتّب آثار المسجد عليها، ومع ذلك فالمسألة مشكلة، والاحتياط طريق النجاة</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1006780_73709187"/>
      <w:bookmarkStart w:id="282" w:name="_Toc95"/>
      <w:bookmarkEnd w:id="281"/>
      <w:r>
        <w:rPr>
          <w:rtl w:val="true"/>
        </w:rPr>
        <w:t>الشكّ في اعتبار قيدٍ في الموقوف عليه</w:t>
      </w:r>
      <w:bookmarkEnd w:id="28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الأوقاف العامّة إذا شكّ في اعتبار قيدٍ أو خصوصيّة في الموقوف عليهم يكون هو فاقداً له، كما لو شكّ في مدرسةٍ أنّها وقفٌ على مطلق المشتغلين، أو خصوص العدول منهم، أو على من لا مسكن له، أو نحو ذلك، فهل يجوز له أنْ يسكن فيها أم لا يجوز إلّاإذا كان واجداً لذلك القيد؟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يكون فيه حلالٌ وحرام فهو لك حلال أبداً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 ونحوه غيره، بدعوى أنّ وقف المدرسة فيه حلالٌ‌، وهو ما لم </w:t>
      </w:r>
    </w:p>
    <w:p>
      <w:pPr>
        <w:pStyle w:val="BookText"/>
        <w:rPr/>
      </w:pPr>
      <w:r>
        <w:rPr>
          <w:rFonts w:ascii="Amiri" w:hAnsi="Amiri" w:eastAsia="Amiri" w:cs="Amiri"/>
          <w:color w:val="111111"/>
          <w:sz w:val="28"/>
          <w:sz w:val="28"/>
          <w:szCs w:val="28"/>
          <w:rtl w:val="true"/>
          <w:lang w:bidi="ar-SA"/>
        </w:rPr>
        <w:t>يقيّد بقيدٍ، وحرامٌ وهو ما قُيّد بقيدٍ مفقودٍ فيه، فيحكم بجواز التصرّف ما لم يعلم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الأصل عدم الاشتراط، فأصل الوقف للمشتغلين مثلاً معلومٌ‌، وتقيّده بقيد مفقود فيه مرتفعٌ بالأصل، فالموضوع متحقّقٌ بضمّ الوجدان بالأصل، ويترتّب عليه حكمه، وهو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يدلّ على ثبوت الحلية فيما شكّ في حليّته وحرمته، فهو أصلٌ غير محرزٍ، ومن الثابت في محلّه حكومة الأصل التنزيلي وهو الاستصحاب عليه، وهوفي المقام يقتضي عدم الجواز لأصالة عدم الوقف بنحو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حرمة التصرّف في الأموال حتّى يثبت المجوّز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الاشتراط لا تثبت وقوع الوقف على المطلق، إذ غاية ما يدلّ عليه الأصل عدم أخذ القيد في الوقف، وهذا أعمٌّ من وقوعه على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العقد واقعٌ إمّا على المطلق أو المقيّد، فإذا انتفى الثاني يثبت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مثبتات الاُصول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حينئذٍ عدم جواز التصرّف</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علم أنّه وقف على جماعةٍ كالذّكور من أولاده مثلاً، وشكّ في أنّ الوقف عليهم خاصّة أو مع اشتراك الإناث، يكون ثبوت نصف الوقف على الذكور معلوماً، والنصف الآخر مردّداً بين أنْ يكون لهم أو للإناث، فيعامل معه معاملة المال المردّد بين شخصين أو طائفتين، وحكمه التنصيف لقاعدة العدل والإنصاف، هذا إذا كان الوقف بنحو التوزيع</w:t>
      </w:r>
      <w:r>
        <w:rPr>
          <w:rFonts w:eastAsia="Amiri" w:cs="Amiri" w:ascii="Amiri" w:hAnsi="Amiri"/>
          <w:color w:val="111111"/>
          <w:sz w:val="28"/>
          <w:szCs w:val="28"/>
          <w:rtl w:val="true"/>
          <w:lang w:bidi="ar-SA"/>
        </w:rPr>
        <w:t xml:space="preserve">. </w:t>
      </w:r>
      <w:bookmarkStart w:id="283" w:name="pg11823_118939"/>
    </w:p>
    <w:p>
      <w:pPr>
        <w:pStyle w:val="BookText"/>
        <w:rPr/>
      </w:pPr>
      <w:bookmarkEnd w:id="283"/>
      <w:r>
        <w:rPr>
          <w:rFonts w:ascii="Amiri" w:hAnsi="Amiri" w:eastAsia="Amiri" w:cs="Amiri"/>
          <w:color w:val="111111"/>
          <w:sz w:val="28"/>
          <w:sz w:val="28"/>
          <w:szCs w:val="28"/>
          <w:rtl w:val="true"/>
          <w:lang w:bidi="ar-SA"/>
        </w:rPr>
        <w:t>يفتقر السُّكنى والعُمري إلى إيجابٍ وقبول</w:t>
      </w:r>
    </w:p>
    <w:p>
      <w:pPr>
        <w:pStyle w:val="BookText"/>
        <w:rPr/>
      </w:pPr>
      <w:r>
        <w:rPr>
          <w:rFonts w:ascii="Amiri" w:hAnsi="Amiri" w:eastAsia="Amiri" w:cs="Amiri"/>
          <w:color w:val="111111"/>
          <w:sz w:val="28"/>
          <w:sz w:val="28"/>
          <w:szCs w:val="28"/>
          <w:rtl w:val="true"/>
          <w:lang w:bidi="ar-SA"/>
        </w:rPr>
        <w:t>وإنْ كان بنحو المصرف، بحيث لو كان شاملاً للإناث، جاز الاقتصار على الصرف في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المال في الذكور متيقّنُ الجواز، ويشكّ في جواز صرفه في الإناث،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الفرض السابق تجري أصالة عدم الوقف على الإناث، ويترتّب عليه كونه بتمامه للذكور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لا يثبت كون تمام المال للذكور، لعدم حجيّته في مثبتاته، بل الأصل بالنسبة إلى الزائد عن النصف عدم الوقف للذكور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ما في كلمات المحقّق القمّي رحمه الله حيث بنى على أنّه يقسّم المال على الجميع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كلامه قدس سره ما إذا لم يعلم أنّه وَقَف على الذكور خاصّة أو على الإناث كذلك، أو أنّه لمطلق أولاده كما هو المفروض في سؤالٍ ذكر ذلك جواباً عنه، وحينئذٍ ما أفاده متينٌ لكون المال حينئذٍ مردّداً بين طائفتين، ومقتضى قاعدة العدل والإنصاف توزيع المال بينهم بالسّوية</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1006782_73709187"/>
      <w:bookmarkStart w:id="285" w:name="_Toc96"/>
      <w:bookmarkEnd w:id="284"/>
      <w:r>
        <w:rPr>
          <w:rtl w:val="true"/>
        </w:rPr>
        <w:t>السُّكنى والعُمري والرُّقبي</w:t>
      </w:r>
      <w:bookmarkEnd w:id="285"/>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تتعلّق بالسُّكني والعُمري والرُّقبي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بأجمعها ثابتة بالإجماع، وبالنصوص المستفيضة الآتية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فيها في طيّ مسائل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يفتقر السُّكنى والعُمري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إيجابٍ وقبول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وقبضٍ‌، وليست ناقلة</w:t>
      </w:r>
    </w:p>
    <w:p>
      <w:pPr>
        <w:pStyle w:val="BookText"/>
        <w:rPr/>
      </w:pPr>
      <w:r>
        <w:rPr>
          <w:rFonts w:ascii="Amiri" w:hAnsi="Amiri" w:eastAsia="Amiri" w:cs="Amiri"/>
          <w:color w:val="111111"/>
          <w:sz w:val="28"/>
          <w:sz w:val="28"/>
          <w:szCs w:val="28"/>
          <w:rtl w:val="true"/>
          <w:lang w:bidi="ar-SA"/>
        </w:rPr>
        <w:t>بلا خلافٍ‌، إلّافيما لو أطلقها، ولم يقترنها بالعُمر أو المدّة، فاحتمل بعضهم عدم احتياجها حينئذٍ إلى القبول، ومستند الحكم أنّ الأصل عدم انتقال شيء إلى مِلْك الغير بدون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الاحتياج إلى القبول في صورة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حينئذٍ بمعنى إباحة السكنى، لجواز الرجوع فيها متى شاء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الرجوع إنّما هو بعد انقضاء المسمّى، وهذا لا ينافي انتقال المنفعة إليه، ولا لزومها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وتفتقر أيضاً إلى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عليه الإجماع في جملة من الكلمات</w:t>
      </w:r>
      <w:r>
        <w:rPr>
          <w:rStyle w:val="FootnoteAnchor"/>
          <w:rtl w:val="true"/>
        </w:rPr>
        <w:footnoteReference w:id="747"/>
      </w:r>
      <w:r>
        <w:rPr>
          <w:rFonts w:ascii="Amiri" w:hAnsi="Amiri" w:eastAsia="Amiri" w:cs="Amiri"/>
          <w:color w:val="111111"/>
          <w:sz w:val="28"/>
          <w:sz w:val="28"/>
          <w:szCs w:val="28"/>
          <w:rtl w:val="true"/>
          <w:lang w:bidi="ar-SA"/>
        </w:rPr>
        <w:t xml:space="preserve">، وهذا لا خلاف فيه ولا نزاع، إنّما الكلام في أنّه شرطٌ الصحّة أو اللّزوم‌؟ والمتيقّن من دليل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فيها قصد القُربة للأصل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بل إنّما هي تنقل المنفعة كما تشهد بهما النصوص المستفيضة</w:t>
      </w:r>
      <w:r>
        <w:rPr>
          <w:rStyle w:val="FootnoteAnchor"/>
          <w:rtl w:val="true"/>
        </w:rPr>
        <w:footnoteReference w:id="748"/>
      </w:r>
      <w:r>
        <w:rPr>
          <w:rFonts w:ascii="Amiri" w:hAnsi="Amiri" w:eastAsia="Amiri" w:cs="Amiri"/>
          <w:color w:val="111111"/>
          <w:sz w:val="28"/>
          <w:sz w:val="28"/>
          <w:szCs w:val="28"/>
          <w:rtl w:val="true"/>
          <w:lang w:bidi="ar-SA"/>
        </w:rPr>
        <w:t>المتضمّنة لأنّ من جَعَل سكنى داره لغيره يجبُ الوفاء به، وردّ العين بعده إليه، ويجوزُ بيعها بعد انقضاء المدّة أو قبله مع اشتراط أنْ لا يستحقّ المشتري السكنى في تلك المدّة، إذ لو كانت العين منتقلة عنه، لما جاز بيعها له،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سُكنى داره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تمليكها إيّاه،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حمران عن السكنى والعمرى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فيه عند شروطهم، إنْ كان شرط حياته فهي حياته، وإنْ كان لعقبه فهو لعقبه، كما شرط، حتّى يفنوا، ثم يردّ إلى صاحب الدار</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الكناني،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السُّكنى والعمري‌؟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جعل السّكني في حياته، فهو كما شرط، وإنْ كان جعلها له ولعقبه من بعده حتّى يفنى عقبه، فليس لهم أن يبيعوا ولا يورثوا، ثمّ ترجع الدار إلى صاحبها الأوّل</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الحسين بن نعيم،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جعل دار سكنى لرجلٍ أيّام حياته، أو جعلها له ولعقبه من بعده، هل هي له ولعقبه من بعده كما 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احتاج يبيعها،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فينقض بيع الدّار السُّكنى‌؟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لاينقض البيع السُّكنى كذلك،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لاينقض البيع الإجارة ولا السُّكنى، ولكن تبيعه على أنّ الذي اشتراه لا يملك ما اشترى حتّى تنقضي السكنى كما شرط، وكذا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الشيخ رحمه الله</w:t>
      </w:r>
      <w:r>
        <w:rPr>
          <w:rStyle w:val="FootnoteAnchor"/>
          <w:rtl w:val="true"/>
        </w:rPr>
        <w:footnoteReference w:id="752"/>
      </w:r>
      <w:r>
        <w:rPr>
          <w:rFonts w:ascii="Amiri" w:hAnsi="Amiri" w:eastAsia="Amiri" w:cs="Amiri"/>
          <w:color w:val="111111"/>
          <w:sz w:val="28"/>
          <w:sz w:val="28"/>
          <w:szCs w:val="28"/>
          <w:rtl w:val="true"/>
          <w:lang w:bidi="ar-SA"/>
        </w:rPr>
        <w:t>في العُمري من أنّها لا ترجع إلى المالك، ضعيفٌ لا مستند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له سوى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53"/>
      </w:r>
      <w:r>
        <w:rPr>
          <w:rFonts w:ascii="Amiri" w:hAnsi="Amiri" w:eastAsia="Amiri" w:cs="Amiri"/>
          <w:color w:val="111111"/>
          <w:sz w:val="28"/>
          <w:sz w:val="28"/>
          <w:szCs w:val="28"/>
          <w:rtl w:val="true"/>
          <w:lang w:bidi="ar-SA"/>
        </w:rPr>
        <w:t>من رواية جابر، ولعلّه أراد بها ما رواه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أعمر عُمرى له ولعقبه، فإنّما هي للّذي يعطاها لا ترجع إلى الذي أعطاها</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مضافاً إلى ضعف سنده محجوجٌ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يُسكن غيره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للسّكنى مدّة معيّنة كعشر سنين مثلاً، ويُسمّى بالرقبى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له مدّة عمر المالك أو الساكن، ويسمّى بالعُمرى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له من غير تعيين مدّة وهي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العمري كما يجوز تعليق العُمر على عمر المعمّر، يجوز إضافة عقبه إليه بحيث يجعل المنفعة بعده لهم مدّة عمرهم أو مدّة معيّنة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النصوص على مشروعيّة جميع تلكم، ولا يهمّ البحث في أنّ النسبة بين هذه العناوين الثلاثة عمومٌ مطلق بأنْ يكون السّكنى عامّة للجميع، وحينئذٍ إنْ اقترنت بالمدّة يطلق عليها الرقبى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اقترنت بالعُمر يقال لها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تكون النسبة عموماً من وجه كما عن الأكثر، لاجتماع السكنى مع كلّ منهما فيما لو قرن تمليك المنفعة بالسكنى ومشخّصات إحداهما كالسُّكنى مدّة العُمر في العُمري، ومدّةً في الرّقبى، وافتراقها عن كلّ منهما باقتران التمليك بالسكنى خاصّة، ويفترقان عنها بتجرّد التمليك عن الإسكان، وتقييده بالعمر أو المدّة، فإنّ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عيّن مدّةً لزمت، ولو ماتَ المالك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 له عمرك، فإنْ ماتَ الساكن بطلت،</w:t>
      </w:r>
    </w:p>
    <w:p>
      <w:pPr>
        <w:pStyle w:val="BookText"/>
        <w:rPr/>
      </w:pPr>
      <w:r>
        <w:rPr>
          <w:rFonts w:ascii="Amiri" w:hAnsi="Amiri" w:eastAsia="Amiri" w:cs="Amiri"/>
          <w:color w:val="111111"/>
          <w:sz w:val="28"/>
          <w:sz w:val="28"/>
          <w:szCs w:val="28"/>
          <w:rtl w:val="true"/>
          <w:lang w:bidi="ar-SA"/>
        </w:rPr>
        <w:t>ذلك كلّه اُمورٌ اصطلاحيّة لا مشاحة فيها، بناء على ما هو الحقّ من عدم اعتبار لفظٍ خاص في ما تُنشَأ به هذه العناوين، كما في سائر عناوين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جريان العُمري والرقبى في غير المسكن كلامٌ سنتعرّض 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عيّن مدّةً 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الرجوع ما لم ينقض المدّة،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المالك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المشهور، بل صرّح جماعة بجهالة القائل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دلّ على لزوم العقد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روايات تقدّمت جملة منها، دالّة على وجوب العمل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الشيخ</w:t>
      </w:r>
      <w:r>
        <w:rPr>
          <w:rStyle w:val="FootnoteAnchor"/>
          <w:rtl w:val="true"/>
        </w:rPr>
        <w:footnoteReference w:id="755"/>
      </w:r>
      <w:r>
        <w:rPr>
          <w:rFonts w:ascii="Amiri" w:hAnsi="Amiri" w:eastAsia="Amiri" w:cs="Amiri"/>
          <w:color w:val="111111"/>
          <w:sz w:val="28"/>
          <w:sz w:val="28"/>
          <w:szCs w:val="28"/>
          <w:rtl w:val="true"/>
          <w:lang w:bidi="ar-SA"/>
        </w:rPr>
        <w:t>والحلبي من عدم لزومها كالعُمرى، إمّا مطلقاً كما عن الأوّل، أو مع عدم قصد القُربة كما عن الثاني،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تبطل بموت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الساكن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الأكثر، بل عليه عامّة من تأخّر</w:t>
      </w:r>
      <w:r>
        <w:rPr>
          <w:rStyle w:val="FootnoteAnchor"/>
          <w:rtl w:val="true"/>
        </w:rPr>
        <w:footnoteReference w:id="756"/>
      </w:r>
      <w:r>
        <w:rPr>
          <w:rFonts w:ascii="Amiri" w:hAnsi="Amiri" w:eastAsia="Amiri" w:cs="Amiri"/>
          <w:color w:val="111111"/>
          <w:sz w:val="28"/>
          <w:sz w:val="28"/>
          <w:szCs w:val="28"/>
          <w:rtl w:val="true"/>
          <w:lang w:bidi="ar-SA"/>
        </w:rPr>
        <w:t>، لما مرّ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مات المالك، وأراد ورثته إخراج الساكن، نظر إلى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حياتي بطلت بموته، ولو مات الساكن قبله، انتقل الحقّ إلى ورثته مدّة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الدار، فإنْ كانت تحيط بها ثلث الميّت لم يكن لهم إخراجه، وإنْ كانت تنقص عنه كان ذلك لهم</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واستند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المالك لا يملك منفعة الدار بعد موته، وإنّما له أنْ يملكها إذا لم تزد على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وإلى خبر خالد بن نافع البجلي، عن أبي عبد اللّه عليه السلام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في حال حياته يملك المنفعة المرسلة، وله أن يملكها كما مرّ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لخالد الذي هو إماميٌّ مجهول، ولغيره، مع أنّه فيما لو جعل له مدّة عمر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حياتي، بطلت بموته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الساكن قبله، انتقل الحقّ إلى ورثته مدّة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العقد، والنصوص المشار إليها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خصوص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الإرث، وصحيح محمّد بن قيس، عن الإمام الباقر، عن أمير المؤمنين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في العُمري أنّها جائزة لمن أعمرها، فمن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يعيَّن كان للمالك إخراجه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أعمر شيئاً ما دام حَيّاً، فإنّه لورثته إذا توفّى</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السُّكنى،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مدّة معلومة، ولا عمراً أصلاً، صَحّ السُّكنى بلا خلافٍ‌،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للمالك إخراجه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لموثّق الحلبي،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رجلٍ‌أسكن رجلاً ولم يوقّت 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صاحب الدار إذا شاء</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 الآخر أو حسنه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الخلاف في أنّه هل يلزم الإسكان، ولو في الجملة كيومٍ ونحوه ممّا يُسمّى إسكاناً في العرف والعادة‌؟</w:t>
      </w:r>
    </w:p>
    <w:p>
      <w:pPr>
        <w:pStyle w:val="BookText"/>
        <w:rPr/>
      </w:pPr>
      <w:r>
        <w:rPr>
          <w:rFonts w:ascii="Amiri" w:hAnsi="Amiri" w:eastAsia="Amiri" w:cs="Amiri"/>
          <w:color w:val="111111"/>
          <w:sz w:val="28"/>
          <w:sz w:val="28"/>
          <w:szCs w:val="28"/>
          <w:rtl w:val="true"/>
          <w:lang w:bidi="ar-SA"/>
        </w:rPr>
        <w:t>أم هي حينئذٍ من العقود الجائزة‌؟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الشهيد الثاني</w:t>
      </w:r>
      <w:r>
        <w:rPr>
          <w:rStyle w:val="FootnoteAnchor"/>
          <w:rtl w:val="true"/>
        </w:rPr>
        <w:footnoteReference w:id="762"/>
      </w:r>
      <w:r>
        <w:rPr>
          <w:rFonts w:ascii="Amiri" w:hAnsi="Amiri" w:eastAsia="Amiri" w:cs="Amiri"/>
          <w:color w:val="111111"/>
          <w:sz w:val="28"/>
          <w:sz w:val="28"/>
          <w:szCs w:val="28"/>
          <w:rtl w:val="true"/>
          <w:lang w:bidi="ar-SA"/>
        </w:rPr>
        <w:t xml:space="preserve">إلى الأكثر،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والمحقّق الثاني</w:t>
      </w:r>
      <w:r>
        <w:rPr>
          <w:rStyle w:val="FootnoteAnchor"/>
          <w:rtl w:val="true"/>
        </w:rPr>
        <w:footnoteReference w:id="764"/>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الأوّل، وهو الأظهر لعموم وجوب الوفاء بالعقد ولزومه، وليس في نصوص الباب ماينافي ذلك، فإنّها تدلّ على أنّ له أن يُخرجه من الدّار متى شاء، ومن المعلوم أنّ الإخراج إنّما يكون بعد الإسكان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باع المسكن لم تبطل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السُّكنى بهذا النحو باطلة للغرر، والمتيقّن من الدليل صحّتها، فهي غير مشمولة لأدلّة وجوب الوفاء بالعقد كي يحكم بلزومها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الصحّة يقيّد دليل نفي الغَرر، فهو عقدٌ صحيحٌ مشمول لدليل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المالك والحال هذه، هل تبطل السُّكنى بالمرّة، لأنّها بعد تحقّق المسمّى من العقود الجائزة، وهي تبطل بموت أحد المتعاقدين‌؟ أم لا تبطل، غاية الأمر لورثة المالك إخراجه كما كان لنفسه‌؟</w:t>
      </w:r>
    </w:p>
    <w:p>
      <w:pPr>
        <w:pStyle w:val="BookText"/>
        <w:rPr/>
      </w:pPr>
      <w:r>
        <w:rPr>
          <w:rFonts w:ascii="Amiri" w:hAnsi="Amiri" w:eastAsia="Amiri" w:cs="Amiri"/>
          <w:color w:val="111111"/>
          <w:sz w:val="28"/>
          <w:sz w:val="28"/>
          <w:szCs w:val="28"/>
          <w:rtl w:val="true"/>
          <w:lang w:bidi="ar-SA"/>
        </w:rPr>
        <w:t>وجهان، أظهرهما الثاني، لما مرّ من عدم الدليل على هذه الكليّة، أي بطلان العقد الجائز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المسكن لم تبطل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بأمدٍ أو عمرٍ على المشهور، لصحيح الحسين بن نُعيم المتقدّم، وهو كما يدلّ على عدم بطلان السُّكنى، يدلّ على صحّة البيع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يُصغى إلى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68"/>
      </w:r>
      <w:r>
        <w:rPr>
          <w:rFonts w:ascii="Amiri" w:hAnsi="Amiri" w:eastAsia="Amiri" w:cs="Amiri"/>
          <w:color w:val="111111"/>
          <w:sz w:val="28"/>
          <w:sz w:val="28"/>
          <w:szCs w:val="28"/>
          <w:rtl w:val="true"/>
          <w:lang w:bidi="ar-SA"/>
        </w:rPr>
        <w:t xml:space="preserve">من الاستشكال في الصحّة،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بعدمها، نظراً إلى أنّ المقصود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وللساكن أن يسكن بنفسه ومَنْ جرت عادته بإسكانهم، كالولد والزّوجة، والخادم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إسكان غيره من دون إذنه ولا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البيع هو المنفعة، ولذا لا يجوزُ بيع ما لا منفعة فيه، وزمانُ استحقاق المنفعة في العُمري مجهولٌ‌، لكونه اجتهاداً في مقابل النّص، مع أنّه في نفسه غير تامّ‌، فإنّه يمكن أن يشتري العين مسلوبة المنفعة في مدّةٍ لغرضٍ له فيها، إنّما المانع عن صحّة البيع هو الجهل بالمبيع فقط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العلم بالمنفعة قطعاً، ولذا يصحّ بيع مالا يعلم منفعته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وللساكن أن يسكن بنفسه ومَنْ جرت عادته بإسكانهم، كالولد والزّوجة، والخادم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لإقتضاء إطلاق السّكنى بأقسامها الثلاثة حيث تتعلّق بالمسكن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والقاضي</w:t>
      </w:r>
      <w:r>
        <w:rPr>
          <w:rStyle w:val="FootnoteAnchor"/>
          <w:rtl w:val="true"/>
        </w:rPr>
        <w:footnoteReference w:id="771"/>
      </w:r>
      <w:r>
        <w:rPr>
          <w:rFonts w:ascii="Amiri" w:hAnsi="Amiri" w:eastAsia="Amiri" w:cs="Amiri"/>
          <w:color w:val="111111"/>
          <w:sz w:val="28"/>
          <w:sz w:val="28"/>
          <w:szCs w:val="28"/>
          <w:rtl w:val="true"/>
          <w:lang w:bidi="ar-SA"/>
        </w:rPr>
        <w:t>، وابن حمزة</w:t>
      </w:r>
      <w:r>
        <w:rPr>
          <w:rStyle w:val="FootnoteAnchor"/>
          <w:rtl w:val="true"/>
        </w:rPr>
        <w:footnoteReference w:id="772"/>
      </w:r>
      <w:r>
        <w:rPr>
          <w:rFonts w:ascii="Amiri" w:hAnsi="Amiri" w:eastAsia="Amiri" w:cs="Amiri"/>
          <w:color w:val="111111"/>
          <w:sz w:val="28"/>
          <w:sz w:val="28"/>
          <w:szCs w:val="28"/>
          <w:rtl w:val="true"/>
          <w:lang w:bidi="ar-SA"/>
        </w:rPr>
        <w:t>، من الاقتصار على ذكر الولد والأهل، يكون مرادهم منه التمثيل كما فهمه المتأخّرون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إسكانُ غيره من دون إذنه، ولا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اقتصاراً فيما خالف الأصل على مقدار الإذن والترخيص</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إسكان من شاء وإجارته، ونقله كيف شاء، محتجّاً بأنّه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ملك المنفعة بعقدٍ لازم، فيجوزُ له التصرّف فيها مطلقاً كما لو تملّكها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كما مرّ في أنّ السّكنى إنّما تكون تمليكاً للمنفعة، ولكن تمليك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بتمليك حصّة خاصّة منها، وهي قابليّة الدار مثلاً لسكنى الساكن نفسه، ومن يتعلّق به، لا مطلق مسكنيّة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وان صَحّ نقل المنفعة كيف شاء، ولكنّه لا يجوز على الثاني، إذ لا مملوك له حتّى يملّكه، والمُدّعى أنّ ظاهر السكنى هو كون نقل المنفعة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سكنى الدار بالمعنى القائم بالسُّكنى برغم كونها كليّةً ولها حصص، لكنّها ليست منفعة الدار، وبالمعنى القائم بالمسكن الذي هو موجودٌ بالقوّة، تكون جزئيّة بتبع وجود القابل، فلا تقبل التقييد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بالقوّة إذا كان مضائفه غير متعيّن، يكون هو أيضاً غير متعيّن قابلاً للتقييد، ومضائف مسكنية الدار القائم بالساكن غير متعيّن، لأنّ سكنى زيدٍ غير سكنى عمرو، وهكذا فمسكنيّة الدار أيضاً كذلك، ويقال إنّ مسكنيّتها بالقوّة بالنسبة إلى سُكنى زيد غير مسكنيتها بالإضافة إلى سُكنى عمرو، وهذا من شأن مقولة الإضافة والاُمور الموجودة بالقوّة، فكون الموجود بالقوّة جزئيّاً، لاينافي كونه لا متعيّن، فيقبل التعيّنات الخاصّة، ويقبل بقائه على حاله من عدم التعيّن، فيكون مطلقاً</w:t>
      </w:r>
      <w:r>
        <w:rPr>
          <w:rFonts w:eastAsia="Amiri" w:cs="Amiri" w:ascii="Amiri" w:hAnsi="Amiri"/>
          <w:color w:val="111111"/>
          <w:sz w:val="28"/>
          <w:szCs w:val="28"/>
          <w:rtl w:val="true"/>
          <w:lang w:bidi="ar-SA"/>
        </w:rPr>
        <w:t xml:space="preserve">. </w:t>
      </w:r>
      <w:bookmarkStart w:id="286" w:name="pg11823_118949"/>
    </w:p>
    <w:p>
      <w:pPr>
        <w:pStyle w:val="BookText"/>
        <w:rPr/>
      </w:pPr>
      <w:bookmarkEnd w:id="286"/>
      <w:r>
        <w:rPr>
          <w:rFonts w:ascii="Amiri" w:hAnsi="Amiri" w:eastAsia="Amiri" w:cs="Amiri"/>
          <w:color w:val="111111"/>
          <w:sz w:val="28"/>
          <w:sz w:val="28"/>
          <w:szCs w:val="28"/>
          <w:rtl w:val="true"/>
          <w:lang w:bidi="ar-SA"/>
        </w:rPr>
        <w:t>وكلّ ما يصحّ وقفه يصحّ إعماره كالمِلْك والعبد والأثاث</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1006784_73709187"/>
      <w:bookmarkStart w:id="288" w:name="_Toc97"/>
      <w:bookmarkEnd w:id="287"/>
      <w:r>
        <w:rPr>
          <w:rtl w:val="true"/>
        </w:rPr>
        <w:t>الحبس</w:t>
      </w:r>
      <w:bookmarkEnd w:id="288"/>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الحبس، ولم يتعرّض الأكثر لأحكامه مستوفى، ولم يتعرّضوا لعقده ولا لاعتبار القبض فيه وما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ذكروا ضابط صنفٍ من الحبس،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يصحّ وقفه يصحّ إعماره، كالمِلك والعبد والأثاث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يصحّ وقفه، يصحّ حبسه، لعموم أدلّة لزوم الوفاء بالعقد، وما دلّ على صحّة الوقف ولزومه، بناءً على ما تقدّم من عدم أخذ الدوام في الوقف، وعليه فجميع ما ذكرناه من الأحكام والشروط في الوقف جارية في الحبس، والظاهر أنّه لاخلاف بينهم في شيء منها، ولعلّه لذلك لم يستوفوا أحكامه في المقام، وقد مرّ في بعض مسائل الوقف ما يوضح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إعمار غير الدّار، كما إذا حَبَس فرسه مثلاً مدّة عمر المالك أو المحبوس له، والظاهر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لعموم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ولخصوص صحيح محمّدبن قيس، عن أبي جعفر عليه السلام، عن أميرالمؤمنين عليه السلام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في العُمري أنّها جائزة لمن أعمرها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لو حبس فرسه أو غلامه في خدمة بيوت العبادة، أو في سبيل اللّه، لزم ما دامت العين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يعقوب بن شعيب،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الخادم يخدمه،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لفلان تخدمه ما عاش، فإذا مات فهي حُرّة فتأبق الأمَة قبل أن يموت الرّجل بخمس سنين أو ستّة، ثمّ يجدها ورثته، ألَهُم أن يستخدموها قدر ما أبِقَتْ؟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فقد عُتقت</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يظهر منه أنّ إعمار الجارية كان جوازه مفروغاً عنه، والإمام عليه السلام قرّره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خبر عليّ بن معبد</w:t>
      </w:r>
      <w:r>
        <w:rPr>
          <w:rStyle w:val="FootnoteAnchor"/>
          <w:rtl w:val="true"/>
        </w:rPr>
        <w:footnoteReference w:id="77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جعله له غير موقّتٍ؟ الأظهر ذلك لإطلاق الأدلّة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لغير إنسانٍ‌، كما لو 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فرسه أو غلامه في خدمة بيوت العبادة، أو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مادامت العين 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كذلك للإجماع، وإطلاق أدلّة الوقف، والسيرة القطعيّة، وفي المقام روايتان تمسّك بهما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له، وفي سند إحداها ودلالة الاُخرى تأمّل، ولذلك فالإعراض عن ذكرهما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يَملك ما حَبَس له من البيت ونحوه،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أم لا بل يكون مالاً بلا مالك‌؟</w:t>
      </w:r>
    </w:p>
    <w:p>
      <w:pPr>
        <w:pStyle w:val="BookText"/>
        <w:rPr/>
      </w:pPr>
      <w:r>
        <w:rPr>
          <w:rFonts w:ascii="Amiri" w:hAnsi="Amiri" w:eastAsia="Amiri" w:cs="Amiri"/>
          <w:color w:val="111111"/>
          <w:sz w:val="28"/>
          <w:sz w:val="28"/>
          <w:szCs w:val="28"/>
          <w:rtl w:val="true"/>
          <w:lang w:bidi="ar-SA"/>
        </w:rPr>
        <w:t>لا يهمّنا التعرّض له لعدم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 أوّلاً وآخراً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9" w:name="pg11823_118952"/>
    </w:p>
    <w:p>
      <w:pPr>
        <w:pStyle w:val="BookText"/>
        <w:rPr/>
      </w:pPr>
      <w:bookmarkEnd w:id="289"/>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الوصايا</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1006786_73709187"/>
      <w:bookmarkStart w:id="291" w:name="_Toc98"/>
      <w:bookmarkEnd w:id="290"/>
      <w:r>
        <w:rPr>
          <w:rtl w:val="true"/>
        </w:rPr>
        <w:t>(</w:t>
      </w:r>
      <w:r>
        <w:rPr>
          <w:rtl w:val="true"/>
        </w:rPr>
        <w:t>الفصل الثالث في الوصايا</w:t>
      </w:r>
      <w:r>
        <w:rPr>
          <w:rtl w:val="true"/>
        </w:rPr>
        <w:t>)</w:t>
      </w:r>
      <w:bookmarkEnd w:id="291"/>
    </w:p>
    <w:p>
      <w:pPr>
        <w:pStyle w:val="BookText"/>
        <w:rPr/>
      </w:pPr>
      <w:r>
        <w:rPr>
          <w:rFonts w:ascii="Amiri" w:hAnsi="Amiri" w:eastAsia="Amiri" w:cs="Amiri"/>
          <w:color w:val="111111"/>
          <w:sz w:val="28"/>
          <w:sz w:val="28"/>
          <w:szCs w:val="28"/>
          <w:rtl w:val="true"/>
          <w:lang w:bidi="ar-SA"/>
        </w:rPr>
        <w:t>أمّا من الناحية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جمعُ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الناحية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عرّفها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مشتقّة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إليه بكذا، يصيه صية إذا وصل به، وأرضٌ واصية أي متّصلة النبات، فسمّي هذا التصرّف وصيّة لما فيه من وصلة القربة الواقعة بعد الموت بالقُرُبات المنجزة في الحياة، فكأنّه وَصَل تصرّفه في حياته بتصرّفه بعد مماته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مشتقّة من وصى يصي، وظاهرهم كونها مشتقّة من الثلاثي بمعنى الوصل</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وصى يصي، أو أوصى يوصي، أو وصى يوصي، وأصلها الوصل، سمّيت به لما فيها من وصلة التصرّف في حال الحياة به بعد الوفاة</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 وقريبٌ منهما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هؤلاء الترديد في أنّ الوصيّة مأخوذة من الثلاثي أو من الرّباعي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الوصايا جمع وصيّة، من أوصى يوصي، أو وصى يوصي،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له بشيء أو أوصيت إليه، إذا جَعلتَه وصيّك، والاسم الوصاية بالكسر والفتح، وأوصيته ووصيّته أيضاً توصية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الشيء بكذا إذا وصلته به، وذكر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منقولة من وصى يصي بالمعنى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نقلها من الوصيّة بمعنى العهد</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تماميّة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جمعٌ من أهل اللّغة في كتبهم كالصحاح</w:t>
      </w:r>
      <w:r>
        <w:rPr>
          <w:rStyle w:val="FootnoteAnchor"/>
          <w:rtl w:val="true"/>
        </w:rPr>
        <w:footnoteReference w:id="7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إنّما هي اسمُمصدر للإيصاءأو التوصية، لا مصدر للثلاثي، ولا اسمُ مصدرٍ له، وأنّها بمعنى العهد لا غير، كما ترشد إلى ذلك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وَصِيَّةً لِأَزْواجِهِمْ‌</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يُوصِينَ بِها أَوْ دَيْنٍ‌</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تلكم من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الرباعي المأخوذ منه الوصيّة أيضاً استعمل في ضمن سائر مشتقّاته في الكتاب بمعنى العهد، لاحظ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وَصّاكُمُ اَللّهُ بِهذا</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تَذَكَّرُونَ‌</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وَصّاكُمْ بِهِ لَعَلَّكُمْ تَعْقِلُونَ‌</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وَصَّيْنَا اَلَّذِينَ أُوتُوا اَلْكِتابَ‌</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حُسْناً</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يكون للشارع اصطلاحٌ خاصٌ في الوصيّة، وإنّما اُطلقت على التصرّف الخاص، وهو العهد في حال الحياة لما بعد الوفاة، لكونه من مصاديق معناها العام، فالصحيح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في عُرف المتشرّعة والفقهاء عبارة عن العهد بشيء من تمليك عينٍ أو منفعةٍ أو تسليطٍ على التصرّف في حال الحياة لما بعد الوفاة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أضفنا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تسليط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عمّا أُورد على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المنسوب إلى أكثر الأصحاب بأنّها تمليكُ عينٍ أو منفعة بعد الوفاة، بأنّه يلزم خروج الوصيّة بالولاية على الثُّلث، وبالولاية على الأطفال والمجانين،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أنّها من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فالمتعيّن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من إضافة قيد التبرعيّة لإخراج الوصيّة بالبيع والتمليك المعاوضي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تمليكيّة، أو 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على أقسام لأنّها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تكون تمليك عين أو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تسليطٌ على حقٍّ أو فكّ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عهداً متعلّقاً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عهداً متعلّقاً بنفسه كالوصيّة بما يتعلّق بتجهيزه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شرعيّتها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إجماع المسلمين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الآيات المتكاثرة،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المتواترة، يأتي إلى جملةٍ منها الإشارة، مضافاً إلى النصوص المستفيضة الواردة في فضلها، والآمرة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حقٌّ وقد أوصى رسول اللّه صلى الله عليه و آله، فينبغي للمسلم أن يوصي</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الكتاني،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الوصيّة‌؟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92" w:name="pg11823_118956"/>
    </w:p>
    <w:p>
      <w:pPr>
        <w:pStyle w:val="BookText"/>
        <w:rPr/>
      </w:pPr>
      <w:bookmarkEnd w:id="292"/>
      <w:r>
        <w:rPr>
          <w:rFonts w:ascii="Amiri" w:hAnsi="Amiri" w:eastAsia="Amiri" w:cs="Amiri"/>
          <w:color w:val="111111"/>
          <w:sz w:val="28"/>
          <w:sz w:val="28"/>
          <w:szCs w:val="28"/>
          <w:rtl w:val="true"/>
          <w:lang w:bidi="ar-SA"/>
        </w:rPr>
        <w:t>وهي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مسلم</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جعفر،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الموت، كان نقصاً في مروّته وعقله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الخاصي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لإمرئٍ مسلمٍ أن يبيت ليلته إلّاووصيّته تحت رأسه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قال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تأكّد الفضيلة، بل الظاهر عدم استفادة أزيد منها من مجموع النصوص، بعد ضَمّ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الوصيّة بالاُمور الواجبة، كالخمس والزكاة المفروضة، وسيأتي الكلام فيه</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1006788_73709187"/>
      <w:bookmarkStart w:id="294" w:name="_Toc99"/>
      <w:bookmarkEnd w:id="293"/>
      <w:r>
        <w:rPr>
          <w:rtl w:val="true"/>
        </w:rPr>
        <w:t>حكم القبول في الوصيّة</w:t>
      </w:r>
      <w:bookmarkEnd w:id="29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الفصل يقع في مطالب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ولابدَّ فيها من إيجابٍ وقبول</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الوصيّة، وما يلحق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فيها من 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8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في الجملة، بل عليه 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اعتبار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مراراً من أنّ بناء الشارع الأقدس على عدم الاعتناء بالالتزامات والبنائات النفسانيّة ما لم تبرز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وجوهٌ وبعضها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اعتباره مطلقاً، بل يكون الرّد مانعاً، اختاره بعض متأخّري المتأخّرين</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اعتباره في الوصيّة العهديّة، واعتباره في التمليكيّة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اعتباره فيها مطلقاً، وهو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باعتباره فيها اختلفوا في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شرط تأثيره على وجه النقل أو الكشف</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 لا دخل له في انتقال الملك، بل ينتقل المِلْك بمجرّد الموت، لكنّه متزلزلٌ‌، فإذا حصل القبول استقرّ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نُسِب الأوّل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809"/>
      </w:r>
      <w:r>
        <w:rPr>
          <w:rFonts w:ascii="Amiri" w:hAnsi="Amiri" w:eastAsia="Amiri" w:cs="Amiri"/>
          <w:color w:val="111111"/>
          <w:sz w:val="28"/>
          <w:sz w:val="28"/>
          <w:szCs w:val="28"/>
          <w:rtl w:val="true"/>
          <w:lang w:bidi="ar-SA"/>
        </w:rPr>
        <w:t>،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الثاني إلى الأكثر، والثالث 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الظاهر من استدلالاتهم، إرادتهم من الجزئيّة أو الشرطيّة، الجزئيّة أو الشرطيّة للوصيّة، وعليه ففي المقام قولٌ آخر اختاره بعض المعلّقين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اعتباره في تحقّق الوصيّة، بل هي من الإيقاعات، ولكنّه جزء السبب للملكيّة</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اعتبار القبول مطلقاً،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الوصيّة على إنشاء الموصى، فمقتضى إطلاق أدلّة نفوذ الوصيّة نفوذها وصحّتها، وترتّب الأثر عليها ولو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مسوقة لبيان حكم الوصيّة بعد إحرازما يعتبر فيها من شرائط الموصي والموصى له والموصى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w:t>
      </w:r>
      <w:r>
        <w:rPr>
          <w:rStyle w:val="FootnoteAnchor"/>
          <w:rtl w:val="true"/>
        </w:rPr>
        <w:footnoteReference w:id="813"/>
      </w:r>
      <w:r>
        <w:rPr>
          <w:rFonts w:ascii="Amiri" w:hAnsi="Amiri" w:eastAsia="Amiri" w:cs="Amiri"/>
          <w:color w:val="111111"/>
          <w:sz w:val="28"/>
          <w:sz w:val="28"/>
          <w:szCs w:val="28"/>
          <w:rtl w:val="true"/>
          <w:lang w:bidi="ar-SA"/>
        </w:rPr>
        <w:t xml:space="preserve">المشروعيّة مطلقة، سيّما بواسطة ما ورد في ذيلها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الظاهر في استثناء ذلك من حرمة التبديل ونفوذ الوصيّة، إذ الاستثناء دليل العموم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بينهم في صحّة القبول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القبول دخيلاً فيها، ولم تكن الوصيّة من الإيقاعات، لما صَحّ ذلك، لأنّه لا يعقل صدق العقد على ربط التزامٍ بالتزامٍ معدومٍ بموت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القادمة الدالّة عليوجوب العمل بالوصيّة على الموصى إليه إذا لم يردّ أو إذا رَدّ، ولكن يبلغ الموصي الرّد، فإنّ ذلك ينافي اعتبار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اعتبار القبول فيها مطلقاً، أو في خصوص التمليكيّة منها جزءاً أوشرطاً، أو في تحقّق الملكيّة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بينهم، بل عن غير واحدٍ دعوى الإجماع</w:t>
      </w:r>
      <w:r>
        <w:rPr>
          <w:rStyle w:val="FootnoteAnchor"/>
          <w:rtl w:val="true"/>
        </w:rPr>
        <w:footnoteReference w:id="815"/>
      </w:r>
      <w:r>
        <w:rPr>
          <w:rFonts w:ascii="Amiri" w:hAnsi="Amiri" w:eastAsia="Amiri" w:cs="Amiri"/>
          <w:color w:val="111111"/>
          <w:sz w:val="28"/>
          <w:sz w:val="28"/>
          <w:szCs w:val="28"/>
          <w:rtl w:val="true"/>
          <w:lang w:bidi="ar-SA"/>
        </w:rPr>
        <w:t>عليه، من كون الوصيّة التمليكيّة من العقود، واعتباره في العقد من الواضحات، ولازم ذلك كونه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ينافي ما لا خلاف فيه بينهم، من أنّه يصحّ القبول بعد الموت، بل في صحّة القبول قبل الموت قولان، ومن المعلوم أنّ الموت قبل القبول مانعٌ عن تحقّق العقد الذي حقيقته ربط أحد الالتزامين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ماذكروه من اعتبار التوالي بين الإيجاب والقبول، مستنداً إلى عدم صدق العقد مع الفصل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نفوذ الوصيّة التمليكيّة خصوصاً للأشخاص، ينافي قاعدة السلطنة على النفس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وقرّب بعضهم هذا الوجه بأنّ أدلّة الوصيّة غايتها الدلالة على نفوذ عهد الإنسان عند موته فيما كان قبله تحت سلطنته، وأنّ سلطنته عليه باقية إذا عهد فيه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بأمرٍ، وأمّا كونه سلطاناً عند موته على ما لم يكن سلطاناً عليه قبل ذلك، كما هو قضيّة المِلك القهريّ‌، فلا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نفوذ الوصيّة ليست مفادها ما ذُكر، بل مفادها نفوذ الوصيّة بقول مطلق، وأمّا قاعدة السلطنة فيدفعها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الدليل لامانع من الالتزام به، وكم له نظير، فإنّ حصول المِلك القهري كثير، أليس الإنسان يملك في ذمّة من أتلف ماله عوض ماله، وكذا من جَنى عليه بما يوجبُ الدية‌؟</w:t>
      </w:r>
    </w:p>
    <w:p>
      <w:pPr>
        <w:pStyle w:val="BookText"/>
        <w:rPr/>
      </w:pPr>
      <w:r>
        <w:rPr>
          <w:rFonts w:ascii="Amiri" w:hAnsi="Amiri" w:eastAsia="Amiri" w:cs="Amiri"/>
          <w:color w:val="111111"/>
          <w:sz w:val="28"/>
          <w:sz w:val="28"/>
          <w:szCs w:val="28"/>
          <w:rtl w:val="true"/>
          <w:lang w:bidi="ar-SA"/>
        </w:rPr>
        <w:t>وأليس الإرث من المِلك القهريّ‌، وكذا الوقف‌؟</w:t>
      </w:r>
    </w:p>
    <w:p>
      <w:pPr>
        <w:pStyle w:val="BookText"/>
        <w:rPr/>
      </w:pPr>
      <w:r>
        <w:rPr>
          <w:rFonts w:ascii="Amiri" w:hAnsi="Amiri" w:eastAsia="Amiri" w:cs="Amiri"/>
          <w:color w:val="111111"/>
          <w:sz w:val="28"/>
          <w:sz w:val="28"/>
          <w:szCs w:val="28"/>
          <w:rtl w:val="true"/>
          <w:lang w:bidi="ar-SA"/>
        </w:rPr>
        <w:t>وهكذا فلامانع من كون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التزم الأصحاب في الوصيّ بأنّه لو مات الموصي قبل الرّد ليس له أنْ يردّ، وأجابوا عن محذور إثبات الحقّ على الوصي قهراً، بأنّه لا محذور فيه مع دلالة الدليل عليه، فليكن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قاعدة السلطنة، وأدلّة نفوذ الوصيّة على فرض عدم تماميّة ما ذكرناه، إنّما يكون بجعل الرّد مانعاً، ولا يوجبُ كون القبول جزءاً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ويما ذكرناه يظهر اندفاع ما قيل من إنّ ذلك عديم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الشيخ الأعظم رحمه الله</w:t>
      </w:r>
      <w:r>
        <w:rPr>
          <w:rStyle w:val="FootnoteAnchor"/>
          <w:rtl w:val="true"/>
        </w:rPr>
        <w:footnoteReference w:id="816"/>
      </w:r>
      <w:r>
        <w:rPr>
          <w:rFonts w:ascii="Amiri" w:hAnsi="Amiri" w:eastAsia="Amiri" w:cs="Amiri"/>
          <w:color w:val="111111"/>
          <w:sz w:val="28"/>
          <w:sz w:val="28"/>
          <w:szCs w:val="28"/>
          <w:rtl w:val="true"/>
          <w:lang w:bidi="ar-SA"/>
        </w:rPr>
        <w:t>، وهو أصالة عدم انتقال المال مع عدم القبول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للرجوع إلى الأصل مع الدليل، وقد مرّ 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كون الوصيّة من الإيقاعات مطلقاً، وأنّ القول بدخل القبول فيها ضعيف، والإجماع المُدّعى عليه في الجملة بعد معلوميّة مدرك المُجمعين كما ترى‌، وأضعف من ذلك القول بكونها من الإيقاعات، ومع ذلك يعتبر القبول في تحقّق المِلْكيّة لقاعدة السلطنة، أو لأدلّة نفوذ الوصيّة، فهي إنّما تدلّ على نفوذها على نحو ما كان له في حال الحياة، إذ لا نتعقّل نفوذ الوصيّة وصحّتها، ومع ذلك لايترتّب عليها أثرها وهو الملكيّة، ولو اقتضى ما ذكر في وجهه شيئاً لاقتضى عدم صحّتها بدون القبول، ولو لا الإجماع وتسالم الكلّ لقلنا بعدم مانعيّة الرّد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قال المحدِّث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ظاهرهم الاتّفاق عليها</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وتكرّر في كلمات الشيخ الأعظم 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بقسميه عليها، وكفى بذلك حجّة لها</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ذلك بالنسبة إلى الموصى له، وأمّا الموصى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دليل الرّد المانع، مانعيّة الرّد بعد الموت وقبل القبول، ففي غير ذلك يُبنى على عدم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الرّد بعد الموت وقبل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الموت والقبول والقبض</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الموت وبعد القبول لكن قبل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كلماتهم كون مانعيّة الرّد فيها من الاُمور الثابتة والمسلّمة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الخلاف في عدم 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الشيخ</w:t>
      </w:r>
      <w:r>
        <w:rPr>
          <w:rStyle w:val="FootnoteAnchor"/>
          <w:rtl w:val="true"/>
        </w:rPr>
        <w:footnoteReference w:id="819"/>
      </w:r>
      <w:r>
        <w:rPr>
          <w:rFonts w:ascii="Amiri" w:hAnsi="Amiri" w:eastAsia="Amiri" w:cs="Amiri"/>
          <w:color w:val="111111"/>
          <w:sz w:val="28"/>
          <w:sz w:val="28"/>
          <w:szCs w:val="28"/>
          <w:rtl w:val="true"/>
          <w:lang w:bidi="ar-SA"/>
        </w:rPr>
        <w:t>وابن سعيد</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مانعيّته، وأنّ الرّد قبل القبض يؤثّر في البطلان، واستدلّا له باشتراط القبض في صحّتها، لاشتراكها مع الوقف والهبة في العلّة المقتضية، وهي العطيّة المتبرّع بها، مع أولويّة الحكم في الوصيّة، من حيث أنّها معلّقة فيها بخلاف العطيّة في الهبة والوقف، فإنّها فيهما 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اشتراط القبض فيها كما هو المشهور، وما ذكر في وجه اعتباره استحسانٌ محضٌ لا يمكن الاستناد إليه في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الوصيّة من العقود الجائزة عندهم، كما ادّعى الإجماع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فكيف لايؤثّر الرّد في بطلانها؟</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بالرّد بعد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جوازها بعد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كانت أو إيقاعاً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إطلاق الأدلّة، لا وجه للالتزام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تأثير الرّد في هذه الصورة أيضاً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لو كان الرّد في حال حياة الموصى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بطلانها إذا كان الموصي باقياً على إيجابه منتظراً لأن يبدو له فيقبله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بطلان الإيجاب في جميع الموارد بالرّد، ولذا قالوا في سائر العقود إنّه لو رَدّ بعد الإيجاب ليس له القبول بعده، ولو رَدّ الفضولي ليس له أنْ يجيزه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المشار إليه على فرض وجوده ليس تعبّديّاً، وإنّما يكون مدرك المجمعين عدم صدق العقد على الإيجاب والقبول المتخلّل بينهما الرّد، وأنّ الرّد يوجبُ حَلّ الالتزام الإيجابي، ويجعله كأن لم يكن، أو غير ذلك من الوجوه الفاسدة،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من البناء على الصحّة لو قبل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القبول على القول باعتباره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بعد الموت، صَحّ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قبل قبل وفاته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جماعةٍ منهم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صحّته، واختاره المحقّق الثاني رحمه الله، وعلّله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تمليكٌ بعد الوفاة، فالقبول قبله كالقبول قبل الوصيّة، وأنّ القبول إمّا كاشفٌ أو جزءُ السبب، وعلى كلّ تقديرٍ يمتنع اعتباره قبل الموت، إذ الكاشف عن الشيء وأن يتأخّر عنه، ويمتنع المِلك قبل وفاة الموصي، وإنْ جُعل جزء السبب لزم منه حصول الملك من حينه، وهو هنا ممتنع</w:t>
      </w:r>
      <w:r>
        <w:rPr>
          <w:rFonts w:eastAsia="Amiri" w:cs="Amiri" w:ascii="Amiri" w:hAnsi="Amiri"/>
          <w:color w:val="111111"/>
          <w:sz w:val="28"/>
          <w:szCs w:val="28"/>
          <w:rtl w:val="true"/>
          <w:lang w:bidi="ar-SA"/>
        </w:rPr>
        <w:t>)</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95" w:name="pg11823_118964"/>
    </w:p>
    <w:p>
      <w:pPr>
        <w:pStyle w:val="BookText"/>
        <w:rPr/>
      </w:pPr>
      <w:bookmarkEnd w:id="295"/>
      <w:r>
        <w:rPr>
          <w:rFonts w:ascii="Amiri" w:hAnsi="Amiri" w:eastAsia="Amiri" w:cs="Amiri"/>
          <w:color w:val="111111"/>
          <w:sz w:val="28"/>
          <w:sz w:val="28"/>
          <w:szCs w:val="28"/>
          <w:rtl w:val="true"/>
          <w:lang w:bidi="ar-SA"/>
        </w:rPr>
        <w:t>وتكفي الإشارة والكتابة مع قرينة الإرادة</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بعد الإيجاب ليس كالقبول قبله، وأيضاً أنّ القبول ليس إلّاالرضا بالإيجاب، فإذا صَحّ الإيجاب كيف يعقل عدم صحّة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يلتزم بكونه جزء السبب، ولكنّه لايستلزم حصول الملك من حينه لعدم كونه تمام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له القبول في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في الرّد، ظهر صحّة القبول بعد الرّد، سواءٌ كان الرّد في حال حياة الموصي أو بعد وفاته، إلّاأنْ يكون في حال الحياة والموصي يرفع اليد عن وصيّته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1006790_73709187"/>
      <w:bookmarkStart w:id="297" w:name="_Toc100"/>
      <w:bookmarkEnd w:id="296"/>
      <w:r>
        <w:rPr>
          <w:rtl w:val="true"/>
        </w:rPr>
        <w:t>الوصيّة بالفعل والكتابة</w:t>
      </w:r>
      <w:bookmarkEnd w:id="29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أنّه يكفي في تحقّق الوصيّة كلّ ما دلّ عليها من الألفاظ، لإطلاق الأدلّة،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دالّ عليها،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والكتابة، مع قرينة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الإنشاء بالفعل غير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في أبواب العقود المتقدّمة من أنّ جريان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الإنشاء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تقتضيه القاعدة، أي إطلاق أدلّة المعاملات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اتفقوا على أنّها من العقود، والعقدُ لايتحقّق بالفعل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من العقود كما مرّ، مع أنّ العقد ليس من مقولة اللّفظ، بل هو من مقولة المعنى، وحقيقته ربط أحد الالتزامين بالآخر، واللّفظ كالفعل مبرزٌ له لا أنّه مصداق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والتعذّر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الإنشاء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 أوضح من الإنشاء بسائر الأفعال، ولاينبغي التوقّف في صحّة إنشاء الوصيّة بها، لما نرى بالوجدان أنّ العقلاء في مقام تفيهم مراداتهم من الأمر والنهي وغيرهما يبرزونها بالإشارة، وليس الإنشاء إلّاإبراز الأمر النفساني بداعي تنفيذ العقلاء، والشارع ذلك الأمر، وليست هي كالإعطاء ذا وجوهٍ كي يُقال إنّها قاصرة عن إفادة المطلوب، وعليه فمقتضى العمومات قيامها مقام اللّفظ، وصحّة الوصيّة بالإشارة حتّى على القول بعدم صحّة الإنشاء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في ذلك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التعذّر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والتمكّن منه، فما في المتن وعن غيره من التقييد بالتعذّر، بل وبعدم القدرة على التوكيل، لا وجه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824"/>
      </w:r>
      <w:r>
        <w:rPr>
          <w:rFonts w:ascii="Amiri" w:hAnsi="Amiri" w:eastAsia="Amiri" w:cs="Amiri"/>
          <w:color w:val="111111"/>
          <w:sz w:val="28"/>
          <w:sz w:val="28"/>
          <w:szCs w:val="28"/>
          <w:rtl w:val="true"/>
          <w:lang w:bidi="ar-SA"/>
        </w:rPr>
        <w:t>من أنّه مع إمكان النطق لا تكفي الإشارة، لانتفاء دليل الصحّة كما ترى‌، فإنّه يتمّ لو كان دليل الاكتفاء بها الإجماع، وأمّا حيث عرفت أنّه العمومات والإطلاقات فلا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كونها بعنوان الوصيّة، فتدلّ على الاكتفاء بها العمومات على ما مرّ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الكتابة ليست مصداقاً في العرف والعادة لعنوان عقدٍ أو إيقاعٍ‌، فليست آلةً لإيجاد عنوان بها كما عن المحقّق النائيني رحمه الله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عناوين العقود والإيقاعات أسامٍ للاُمور الاعتباريّة النفسانيّة، واللّفظ وكذا ما يقوم مقامه مبرزٌ لذلك، وعليه فكما يصحّ الإخبار بالكتابة، كذلك يصحّ الإنشاء بها، لعدم الفرق بينهما من هذه الجهة، كما حُقّق في محلّه، ولا فرق في ذلك بين العاجز عن التكلّم كالأخرس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خبرٌ استدلّ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للقول بالبطلان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للتفصيل المنسوب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بين ما إذا عمل الورثة ببعض المكتوب فيلزمون بالعمل به، وبين ما إذا لم يعملوا ببعضه فلا يلزمون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بين الولد وغيره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هو الذي رواه إبراهيم بن محمّد الهمداني،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كتب كتاباً بخطّه، ولم يقل لورثته هذه وصيّتي، ولم يقل إنّي قد أوصيتُ‌، إلّاأنّه كتب كتاباً فيه ما أراد أن يُوصي به، هل يجبُ على ورثته القيام بما في الكتاب بخطّه، ولم يأمرهم بذلك‌؟</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ولدٌ، ينفذون كلّ شيء يجدون في كتاب أبيهم في وجه البِرّ وغيره</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ولدٌ ينفذون شيئاً منه، وجب عليهم أن ينفذوا كلّ شيء</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يجبُ العمل بما يوجد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به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يدلّ على الصحّة بالنسبة إلى الولد، فبعدم القول بالفصل تثبت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به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يدلّ على أنّ التنفيذ كذلك من خواصّ الولد، نظير قضاء الصَّلاة والصوم، فتدلّ على عدم حجيّة الكتابة المجرّدة عن القول، فتقيّد به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وللتفصيل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النقل الثاني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منطوقه يدلّ على صحّة الوصيّة بها للولد، ومفهومه يدلّ على عدم الصحّة بالنسبة إلى غيره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يناقش فيه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اعتبار سنده، فإنّ الصدوق يرويه عن أحمد بن زياد بن جعفر الهمداني، عن علي بن إبراهيم، عن أبيه، عن إبراهيم بن محمّد الهمداني، وأحمد بن زياد ثقة، وعليّ بن إبراهيم من الأجلّاء، وأبوه مقبولُ الحديث، بل من الثقات، وكذا إبراهيم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يظهر لي منه أنّه يدلّ على أنّ الكتابة المجرّدة، من دون أنْ تكون هناك قرينة تشهد بكونها بعنوان الوصيّة، وداعياً على إنشائها، لاتكون حجّة على الوصيّة، إذ من الجائز أنّه إنّما كتب ذلك لينظر فيه، ثمّ يوصي بعد ذلك، وهذا لا ربط له بما هو محلّ الكلام، بل هو الذي قاله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العمل بما يوجد بخطّه</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عمل الولد ببعض الوصيّة، كان ذلك اعترافاً منه بالعلم بأنّه أوصى بذلك، فيؤخذ باعترافه، وعليه فيمكن القول بدلالته على صحّة الإنشاء بها، إذ لو لم تصحّ لما كان وجهٌ لأخذ الولد باعترافه، ولا يحتمل الاختصاص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حتّى لا تُبادر بالإشكال</w:t>
      </w:r>
      <w:r>
        <w:rPr>
          <w:rFonts w:eastAsia="Amiri" w:cs="Amiri" w:ascii="Amiri" w:hAnsi="Amiri"/>
          <w:color w:val="111111"/>
          <w:sz w:val="28"/>
          <w:szCs w:val="28"/>
          <w:rtl w:val="true"/>
          <w:lang w:bidi="ar-SA"/>
        </w:rPr>
        <w:t>.</w:t>
      </w:r>
      <w:bookmarkStart w:id="298" w:name="pg11823_118969"/>
    </w:p>
    <w:p>
      <w:pPr>
        <w:pStyle w:val="Heading3"/>
        <w:numPr>
          <w:ilvl w:val="2"/>
          <w:numId w:val="1"/>
        </w:numPr>
        <w:rPr/>
      </w:pPr>
      <w:bookmarkStart w:id="299" w:name="__RefHeading___Toc11006792_73709187"/>
      <w:bookmarkStart w:id="300" w:name="_Toc101"/>
      <w:bookmarkEnd w:id="298"/>
      <w:bookmarkEnd w:id="299"/>
      <w:r>
        <w:rPr>
          <w:rtl w:val="true"/>
        </w:rPr>
        <w:t>حكم الوصيّة بأمرين وقبول الموصى له أحدهما</w:t>
      </w:r>
      <w:bookmarkEnd w:id="30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له بشيئين بإيجابٍ واحد، فَقبِل المُوصى له أحدهما وردّ الآخر، صَحّ فيما قبل، وبَطَل فيما 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لو أوصى له بشيء، فقبل بعضه مشاعاً أو مفروزاً، وردّ بعضه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الأعظم رحمه الله</w:t>
      </w:r>
      <w:r>
        <w:rPr>
          <w:rStyle w:val="FootnoteAnchor"/>
          <w:rtl w:val="true"/>
        </w:rPr>
        <w:footnoteReference w:id="829"/>
      </w:r>
      <w:r>
        <w:rPr>
          <w:rFonts w:ascii="Amiri" w:hAnsi="Amiri" w:eastAsia="Amiri" w:cs="Amiri"/>
          <w:color w:val="111111"/>
          <w:sz w:val="28"/>
          <w:sz w:val="28"/>
          <w:szCs w:val="28"/>
          <w:rtl w:val="true"/>
          <w:lang w:bidi="ar-SA"/>
        </w:rPr>
        <w:t>بانحلال العقد على الجملة إلى عقودٍ متعدّدة، كانحلال العقد المشروط إلى ذلك، ولذلك صَحّ تبعّض الصفقة، كما صَحّ العقد مع فوات وصف الصحّة، وغيره من الشروط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المطابقة بين الإيجاب والقبول، وهي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الوصيّة ليست من العقود المعتبر فيها المطابقة، لتحقّق اسم العقد الذي هو الإيجاب وقبول ذلك بالإيجاب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في الوصيّة لم يصدر من الموجب غير تعلّق قصد الإيصاء بكلّ منهما من غير مدخليّة لاجتماعهما وانفرادهما</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إلى هذا يرجع ما أفاده المحقّق الثاني رحمه الله</w:t>
      </w:r>
      <w:r>
        <w:rPr>
          <w:rStyle w:val="FootnoteAnchor"/>
          <w:rtl w:val="true"/>
        </w:rPr>
        <w:footnoteReference w:id="831"/>
      </w:r>
      <w:r>
        <w:rPr>
          <w:rFonts w:ascii="Amiri" w:hAnsi="Amiri" w:eastAsia="Amiri" w:cs="Amiri"/>
          <w:color w:val="111111"/>
          <w:sz w:val="28"/>
          <w:sz w:val="28"/>
          <w:szCs w:val="28"/>
          <w:rtl w:val="true"/>
          <w:lang w:bidi="ar-SA"/>
        </w:rPr>
        <w:t>من أنّ الوصيّة لمّا كانت تبرّعاً محضاً، لم ترتبط اجزائها بعضها ببعض، فكما يصحّ قبولها جميعاً يصحّ قبول بعضها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المختار من أنّ الوصيّة من الإيقاعات فالأمر ظاهرٌ، لأنّ الوصيّة قد تمّت بالإيجاب، غاية الأمر أنّ للموصى له رَدّ الوصيّة، فكما أنّ له رَدّ الكلّ له رَدّ </w:t>
      </w:r>
    </w:p>
    <w:p>
      <w:pPr>
        <w:pStyle w:val="BookText"/>
        <w:rPr/>
      </w:pPr>
      <w:r>
        <w:rPr>
          <w:rFonts w:ascii="Amiri" w:hAnsi="Amiri" w:eastAsia="Amiri" w:cs="Amiri"/>
          <w:color w:val="111111"/>
          <w:sz w:val="28"/>
          <w:sz w:val="28"/>
          <w:szCs w:val="28"/>
          <w:rtl w:val="true"/>
          <w:lang w:bidi="ar-SA"/>
        </w:rPr>
        <w:t>البعض، وكذلك على القول بأنّ القبول من قبيل الشرط لا جزءً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يشمل الوصيّة بالبعض، لأنّ كلّ جزءٍ وإنْ كان موضوعاً للوصيّة، لكنّه في حال الاجتماع، ولا يشمل حال الانفراد، فلا موضوع لدليل الصحّة والنفوذ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بما إذا أوصى بما يزيد على الثلث فلم يقبل الورثة، فإنّه لا إشكال في صحّة الوصيّة بالنسبة إلى الثُّلث، فيستكشف من ذلك شمول دليل الوصيّة للوصيّة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بأنّ الوصيّة بشيئين وصيّةٌ بكلّ منهما، لا أنّ الوصيّة توزّع عليهما، فلكلّ منهما نصف الوصيّة، فإنّ الوصيّة من قبيل الوجود، فكما أنّه لو أوجد شيئين في الخارج أو الذهن، يصحّ أنْ يقال إنّه أوجد كلّاً منهما، كذلك في الوجودات الاعتباريّة، فكلٍّ من الشيئين تعلّق به الوصيّة، فتشملها إطلاقات أدلّة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 القبول جزءٌ للعقد، فبعد انحلال العقد إلى عقدين، يكون قبول أحدهما مطابقاً لإيجابه، ولم يدلّ دليلٌ على اعتبار المطابقة بين القبول ومجموع ما أنشأ بإيجابٍ واحد، ولذلك بنينا على صحّة البيع مع تبعّض الصفقة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جميع ما ذكرناه بين ما لو علم من حال الموصي إرادته تمليك المجموع من حيث المجموع، وبين ما لو علم من حاله عدم قصد له في الاجتماع، إذ المدار في الإنشائيّات على الإنشاء، لا ما في نفس المُنشَأ، فما لم يشترط في الإنشاء جاز فيه التبعض، وإنْ كان غرضه الاجتماع</w:t>
      </w:r>
      <w:r>
        <w:rPr>
          <w:rFonts w:eastAsia="Amiri" w:cs="Amiri" w:ascii="Amiri" w:hAnsi="Amiri"/>
          <w:color w:val="111111"/>
          <w:sz w:val="28"/>
          <w:szCs w:val="28"/>
          <w:rtl w:val="true"/>
          <w:lang w:bidi="ar-SA"/>
        </w:rPr>
        <w:t>.</w:t>
      </w:r>
      <w:bookmarkStart w:id="301" w:name="pg11823_118971"/>
    </w:p>
    <w:p>
      <w:pPr>
        <w:pStyle w:val="BookText"/>
        <w:rPr/>
      </w:pPr>
      <w:bookmarkEnd w:id="301"/>
      <w:r>
        <w:rPr>
          <w:rFonts w:ascii="Amiri" w:hAnsi="Amiri" w:eastAsia="Amiri" w:cs="Amiri"/>
          <w:color w:val="111111"/>
          <w:sz w:val="28"/>
          <w:sz w:val="28"/>
          <w:szCs w:val="28"/>
          <w:rtl w:val="true"/>
          <w:lang w:bidi="ar-SA"/>
        </w:rPr>
        <w:t>وإنّما تصحّ في السائغ</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1006794_73709187"/>
      <w:bookmarkStart w:id="303" w:name="_Toc102"/>
      <w:bookmarkEnd w:id="302"/>
      <w:r>
        <w:rPr>
          <w:rtl w:val="true"/>
        </w:rPr>
        <w:t>لزوم الوصيّة بالأمر السائغ</w:t>
      </w:r>
      <w:bookmarkEnd w:id="30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في المعصية كمساعدة الظالم في ظلمه، بلا خلافٍ أجده فيه، وتشهد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محمّد بن سوقة،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الآية‌؟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التي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الموصى إليه إنْ خاف جنفاً من الموصي فيما أوصى به إليه ممّا لا يرضى اللّه عزّ ذكره من خلافِ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أي على الموصى إليه أن يردّه إلى الحقّ‌، وإلى ما يرضى اللّه عزّ وجلّ فيه من سبيل الخير</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المرسل المضمر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أطلق للموصى إليه أن يغيّر الوصيّة إذا لم تكن بالمعروف، وكان فيها حيفٌ‌، ويردّها إلى المعروف،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إِثْماً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التبديل في الخبرين ما لاينافي البطلان، لا أنّ المراد تبديل الوصيّة </w:t>
      </w:r>
    </w:p>
    <w:p>
      <w:pPr>
        <w:pStyle w:val="BookText"/>
        <w:rPr/>
      </w:pPr>
      <w:r>
        <w:rPr>
          <w:rFonts w:ascii="Amiri" w:hAnsi="Amiri" w:eastAsia="Amiri" w:cs="Amiri"/>
          <w:color w:val="111111"/>
          <w:sz w:val="28"/>
          <w:sz w:val="28"/>
          <w:szCs w:val="28"/>
          <w:rtl w:val="true"/>
          <w:lang w:bidi="ar-SA"/>
        </w:rPr>
        <w:t>فلو أوصى المسلم ببناء كنيسةٍ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بصرف المال في المحرّم إلى صرفه فيما هو حلال، إذ تبديل الوصيّة بما زاد على الثُّلث معناه البطلان فيما زاد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لبطلانها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أدلّة الوصيّة عنها، فهي باقية تحت أصالة المنع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وبعدم إمكان تنفيذها، فهي كالوصيّة بغير المقدور، إذ المتنع شرعاً كالمتنع عقلاً،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أوصى المسلم ببناء كنيسةٍ لم تصحّ‌</w:t>
      </w:r>
      <w:r>
        <w:rPr>
          <w:rFonts w:eastAsia="Amiri" w:cs="Amiri" w:ascii="Amiri" w:hAnsi="Amiri"/>
          <w:color w:val="111111"/>
          <w:sz w:val="28"/>
          <w:szCs w:val="28"/>
          <w:rtl w:val="true"/>
          <w:lang w:bidi="ar-SA"/>
        </w:rPr>
        <w:t>).</w:t>
      </w:r>
      <w:bookmarkStart w:id="304" w:name="pg11823_118973"/>
    </w:p>
    <w:p>
      <w:pPr>
        <w:pStyle w:val="BookText"/>
        <w:rPr/>
      </w:pPr>
      <w:bookmarkEnd w:id="304"/>
      <w:r>
        <w:rPr>
          <w:rFonts w:ascii="Amiri" w:hAnsi="Amiri" w:eastAsia="Amiri" w:cs="Amiri"/>
          <w:color w:val="111111"/>
          <w:sz w:val="28"/>
          <w:sz w:val="28"/>
          <w:szCs w:val="28"/>
          <w:rtl w:val="true"/>
          <w:lang w:bidi="ar-SA"/>
        </w:rPr>
        <w:t>وله الرجوع فيها</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1006796_73709187"/>
      <w:bookmarkStart w:id="306" w:name="_Toc103"/>
      <w:bookmarkEnd w:id="305"/>
      <w:r>
        <w:rPr>
          <w:rtl w:val="true"/>
        </w:rPr>
        <w:t>جواز رجوع الموصي في الوصيّة</w:t>
      </w:r>
      <w:bookmarkEnd w:id="30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الوصيّة متى شاء في مرضٍ أو صحّة، بلا خلافٍ أجده فيه، وبه صرّح غير واحد، وتشهد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بُريد العِجلي،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الوصيّة أن يرجع فيها ويُحدث في وصيّته ما دام حَيّاً</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مسكان،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أنّ المدبَّر من الثُّلث، وأنّ للرجل أن ينقض وصيّته فيزيد فيها وينقص منها ما لم يمت</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أن يرجع في ثلثه إنْ كان أوصى في صحّةٍ أو مرض</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عبيد بن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للموصي أن يرجع في وصيّته إنْ كان في صحّةٍ أو مرض</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إشكال فيما لو رجع قولاً أو فعلاً مع قصد الرجوع به، وكذا لا إشكال فيما إذا كان الفعل موجباً لعدم إمكان بقاء الوصيّة، كما لو باع ما أوصى به أو وهبه أو ماشاكل ممّا يوجب خروج المال عن ملكه، فينتفي بذلك موضوع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فيما لو تصرّف في الموصى به تصرّفاً أخرجه عن مسمّاه، من دون أن يقصد به الرجوع، كما لو أوصى بطعامٍ فطحنه، أو بدقيق فَعَجَنه أو خَبزه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غير واحدٍ</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الرجوع به، نظراً إلى أنّ الموصى به هو المسمّى باسمٍ خاص، فمع التغيير ينعدم موضوع الوصيّة، وهو مقتضٍ لبطلانها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أنّ الوصيّة على ما يفهم منها، تقتضي عدم التصرّف المنافي، وبقاء العين على حالها، كما يقال ذلك في النذر المعلّق، كما لو نذر أن يعطي داره لزيدٍ إنْ رُزق ولداً، فكأنّه نذر أن يُبقي الدار إلى أن تعطى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أنّ التصرّف المنافي حينئذٍ كاشفٌ عن رفع اليد عن الوصيّة، كذلك التصرّف المغيّر للعين كاشفٌ نوعي عن رفع اليد عن الوصيّة، ولازم الوجه الأوّل البطلان حتّى مع العلم بعدم قصد الرجوع، والثاني البطلان مع عدم إحراز عدم قصد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أنّ ما أفاده الشهيد الثاني رحمه الله</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بطلان الوصيّة لو فعل المغيّر للاسم لمصلحة العين، كدفع الدود عن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كان منشأ البطلان الوجه الثاني دون الأوّل، فتفريعه ذلك على الوجوه الأوّل غير تامّ‌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لو علّق الموصي وصيّته باسم الإشارة ونحوه ممّا لم يُذكر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الاسم، ثمّ تصرّف في الموصى به تصرّفاً مغيّراً، فحيث أنّ الوجه الأوّل لا يجري هنا، وينحصر الوجه في الثاني، فلو علم من قصده عدم الرجوع، لا تبطل الوصيّة بذلك، وإلى هذا نظر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لا ما توهّمه المحقّق والشهيد الثانيان</w:t>
      </w:r>
      <w:r>
        <w:rPr>
          <w:rStyle w:val="FootnoteAnchor"/>
          <w:rtl w:val="true"/>
        </w:rPr>
        <w:footnoteReference w:id="845"/>
      </w:r>
      <w:r>
        <w:rPr>
          <w:rFonts w:ascii="Amiri" w:hAnsi="Amiri" w:eastAsia="Amiri" w:cs="Amiri"/>
          <w:color w:val="111111"/>
          <w:sz w:val="28"/>
          <w:sz w:val="28"/>
          <w:szCs w:val="28"/>
          <w:rtl w:val="true"/>
          <w:lang w:bidi="ar-SA"/>
        </w:rPr>
        <w:t xml:space="preserve">من أنّه يفصّل بين الوصيّة بالمعيّن والوصيّة بالمطلق، وأنّه تصحّ الوصيّة بالمعيّن وإنْ تغيّر الاسم، بخلاف الوصيّة بالثاني، فإنّ الوصيّة تبطل بمجرّد تغيّر ما عنده من أفراده لو كان، فإنّ هذا شيء لايمكن أن يتفوّه به متفقِّهٌ فضلاً عمّن هو في الصف الأوّل من الفقهاء المحقّقين، فإنّه في الوصيّة بالمطلق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لاتبطل حتّى مع التصرّف المُتلِف للأفراد، لعدم كون التصرّف وارداً على ما هو متعلّق الوصيّة، وهذا من الوضوح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الموصي، فهل لورثته الرجوع ما لم يقبل الموصى له أم لا؟</w:t>
      </w:r>
    </w:p>
    <w:p>
      <w:pPr>
        <w:pStyle w:val="BookText"/>
        <w:rPr/>
      </w:pPr>
      <w:r>
        <w:rPr>
          <w:rFonts w:ascii="Amiri" w:hAnsi="Amiri" w:eastAsia="Amiri" w:cs="Amiri"/>
          <w:color w:val="111111"/>
          <w:sz w:val="28"/>
          <w:sz w:val="28"/>
          <w:szCs w:val="28"/>
          <w:rtl w:val="true"/>
          <w:lang w:bidi="ar-SA"/>
        </w:rPr>
        <w:t>الظاهر أنّه ليس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المختار من كون الوصيّة من الإيقاعات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باعتبار القبول فيها، فلأنّ رفع اليد عن الوصيّة إنّما يجوز للموصي، ولم يدلّ دليلٌ على جواز ذلك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الرجوع من ما تركه الموصي فهو لوارثه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كون ذلك من الحقوق، بل لعلّه من قبيل الحكم فلا يورث، مع أنّ المتيقّن الثابت هو رجوع الموصي، فلا يكون ذلك ممّا ترك الميّت، بل ينتفي بالموت لانتفاء موضوعه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البناء على جواز تصرّفهم فيه ظاهراً، ما لم ينكشف تعقّب القبول نظراً إلى استصحاب عدم القبول، بناءاً على جريانه في الاُمور الاستقباليّة، ولايجوز ذلك على ما اخترناه، لأنّ استصحاب عدم الرّد على المختار يقتضي عدم جواز التصرّف، وكون المال للموصى له</w:t>
      </w:r>
      <w:r>
        <w:rPr>
          <w:rFonts w:eastAsia="Amiri" w:cs="Amiri" w:ascii="Amiri" w:hAnsi="Amiri"/>
          <w:color w:val="111111"/>
          <w:sz w:val="28"/>
          <w:szCs w:val="28"/>
          <w:rtl w:val="true"/>
          <w:lang w:bidi="ar-SA"/>
        </w:rPr>
        <w:t>.</w:t>
      </w:r>
      <w:bookmarkStart w:id="307" w:name="pg11823_118977"/>
    </w:p>
    <w:p>
      <w:pPr>
        <w:pStyle w:val="BookText"/>
        <w:rPr/>
      </w:pPr>
      <w:bookmarkEnd w:id="307"/>
      <w:r>
        <w:rPr>
          <w:rFonts w:ascii="Amiri" w:hAnsi="Amiri" w:eastAsia="Amiri" w:cs="Amiri"/>
          <w:color w:val="111111"/>
          <w:sz w:val="28"/>
          <w:sz w:val="28"/>
          <w:szCs w:val="28"/>
          <w:rtl w:val="true"/>
          <w:lang w:bidi="ar-SA"/>
        </w:rPr>
        <w:t>ويشترط صحّة تصرّف الموصي،</w:t>
      </w:r>
    </w:p>
    <w:p>
      <w:pPr>
        <w:pStyle w:val="Heading3"/>
        <w:numPr>
          <w:ilvl w:val="2"/>
          <w:numId w:val="1"/>
        </w:numPr>
        <w:rPr/>
      </w:pPr>
      <w:bookmarkStart w:id="308" w:name="__RefHeading___Toc11006798_73709187"/>
      <w:bookmarkStart w:id="309" w:name="_Toc104"/>
      <w:bookmarkEnd w:id="308"/>
      <w:r>
        <w:rPr>
          <w:rtl w:val="true"/>
        </w:rPr>
        <w:t>البحث عن شرائط الموصي</w:t>
      </w:r>
      <w:bookmarkEnd w:id="309"/>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له شروطاً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جمعها المصنّف رحمه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صحّة تصرّف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تصحّ وصيّة غير البالغ بلا خلافٍ‌، وعليه الإجماع في الجملة، ولعلّه من القطعيّات كما صرّح به بعضهم، لما دلّ على رفع القلم عنه، وعدم جواز أمره، وعدم صحّة تصرّفاته من الكتاب</w:t>
      </w:r>
      <w:r>
        <w:rPr>
          <w:rStyle w:val="FootnoteAnchor"/>
          <w:rtl w:val="true"/>
        </w:rPr>
        <w:footnoteReference w:id="846"/>
      </w:r>
      <w:r>
        <w:rPr>
          <w:rFonts w:ascii="Amiri" w:hAnsi="Amiri" w:eastAsia="Amiri" w:cs="Amiri"/>
          <w:color w:val="111111"/>
          <w:sz w:val="28"/>
          <w:sz w:val="28"/>
          <w:szCs w:val="28"/>
          <w:rtl w:val="true"/>
          <w:lang w:bidi="ar-SA"/>
        </w:rPr>
        <w:t>والسُنّة</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وصيّة البالغ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فالمشهور أنّه تصحّ وصيّته إذا كان عاقلاً في وجوه المعروف</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الحِلّي</w:t>
      </w:r>
      <w:r>
        <w:rPr>
          <w:rStyle w:val="FootnoteAnchor"/>
          <w:rtl w:val="true"/>
        </w:rPr>
        <w:footnoteReference w:id="848"/>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w:t>
      </w:r>
    </w:p>
    <w:p>
      <w:pPr>
        <w:pStyle w:val="BookText"/>
        <w:rPr/>
      </w:pP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Style w:val="FootnoteAnchor"/>
          <w:rtl w:val="true"/>
        </w:rPr>
        <w:footnoteReference w:id="850"/>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له في ماله ما أعتق أو تصدّق أو أوصى على حَدٍّ معروف وحقّ فهو جائز</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البصري،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منصور،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وصيّة الغلام هل تجوز؟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ابنُ عشر سنين جازت وصيّته</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موثّق البصري عنه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وأبي أيّوب،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الغلام ابن عشرُ سنين يوصي‌؟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موضع الوصيّة جازت</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الغلام إذا حضره الموت فأوصى ولم يُدرك، جازت وصيّته لذوي الأرحام، ولم تجز للغرباء</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عشر سنين، وأوصى بثلث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ماله في حقّ‌، جازت وصيّته</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جميل،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وصدقته ووصيّته وإنْ لم يحتلم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موثّق محمّد بن مسلم عن أحدهما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فيما يستفاد من هذه النصوص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اشتملت بعض هذه النصوص على العقل، وبعضها على العشر سنين، ومقتضى الجمع بين قضيّتين شرطيّتين متضمّنتين لشرطين مع وحدة الجزاء، البناء على سببيّة كلّ من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بعض الأخبار جُعل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موضع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من الجميع إرادة أنْ تكون الوصيّة عقلائيّة واقعة في محلّها، فيعتبر كون الوصيّة في وجوه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محمّد بن مسلم متضمّنٌ لاختصاص جواز وصيّته بما كانت للأرحام، وأنّه لايجوز الوصيّة للغرباء، كما أنّ صحيح أبي بصير مذيّلٌ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ابنُ سبع سنين، فأوصى من ماله باليسير في حقّ جازت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لعدم عمل الأصحاب بهما يسقطان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رَدّ بعض النصوص إلى بعض، وإلغاء ما أعرض عنه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المتّجه ما أفاده المشهور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قدّمناه أنّ الإيراد عليها بأنّها مختلفة، بحيث لايمكن الجمع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العرفي بينها، فإثبات الحكم المخالف للأصل بها مشكلٌ‌، كما أفاده الشهيد الثاني</w:t>
      </w:r>
      <w:r>
        <w:rPr>
          <w:rStyle w:val="FootnoteAnchor"/>
          <w:rtl w:val="true"/>
        </w:rPr>
        <w:footnoteReference w:id="859"/>
      </w:r>
      <w:r>
        <w:rPr>
          <w:rFonts w:ascii="Amiri" w:hAnsi="Amiri" w:eastAsia="Amiri" w:cs="Amiri"/>
          <w:color w:val="111111"/>
          <w:sz w:val="28"/>
          <w:sz w:val="28"/>
          <w:szCs w:val="28"/>
          <w:rtl w:val="true"/>
          <w:lang w:bidi="ar-SA"/>
        </w:rPr>
        <w:t>، غير تامّ‌، مع أنّه لو تمّ عدم إمكان الجمع بينها، تعيّن الرجوع إلى أخبار الترجيح والتخيير، لا طرح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يبقى مع ما قدّمناه موردٌ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الروايات وإنْ كانت متظافرة، والأقوال مشهورة، لكن الأحوط عدم إنفاذ وصيّته مطلقاً حتّى يبلغ، لعدم مناط التصرّف في المال عنه</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في المقام رواية أُخرى‌، وهي رواية الحسن بن راشد، عن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ثماني سنين فجائزٌ أمره في ماله، وقد وجب عليه الفرائض والحدود، وإذا تمّ للجارية سبع سنين فكذلك</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كما أفاده المحقّق</w:t>
      </w:r>
      <w:r>
        <w:rPr>
          <w:rStyle w:val="FootnoteAnchor"/>
          <w:rtl w:val="true"/>
        </w:rPr>
        <w:footnoteReference w:id="862"/>
      </w:r>
      <w:r>
        <w:rPr>
          <w:rFonts w:ascii="Amiri" w:hAnsi="Amiri" w:eastAsia="Amiri" w:cs="Amiri"/>
          <w:color w:val="111111"/>
          <w:sz w:val="28"/>
          <w:sz w:val="28"/>
          <w:szCs w:val="28"/>
          <w:rtl w:val="true"/>
          <w:lang w:bidi="ar-SA"/>
        </w:rPr>
        <w:t>شاذّة، ومخالفة لإجماع المسلمين، لأنّها تدلّ على حصول البلوغ بذلك، فيتعيّن طرحها وإنْ عمل بها ابن الجُنيد</w:t>
      </w:r>
      <w:r>
        <w:rPr>
          <w:rStyle w:val="FootnoteAnchor"/>
          <w:rtl w:val="true"/>
        </w:rPr>
        <w:footnoteReference w:id="863"/>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تصحّ وصيّة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ولحديث رفع القلم المتقدّم آنفاً، وعدم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تصحّ وصيّة الأدواري منه إذا كانت في دور إفاقته، لأنّه حينئذٍ عاقل فلا مانع، وإطلاق الأدلّة يشملها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ثمّ جُنَّ لم تبطل، لعدم الموجب له حتّى على القول بأنّها من العقود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الجائزة، والقول ببطلان القعد الجائز بالجنون، فإنّ ذلك فيما يبطل بالموت، لا في مثل الوصيّة التي لا تبطل به قطعاً، بل هو ملزمٌ لها، فالإجماع على بطلان العقد الجائز بالجنون 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فلاتصحّ وصيّة المكرَه إلّاإذا جاز بعد رفع الإكراه إجماعاًلحديث نفي الإكراه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المختار من كونه رافعاً لجميع الأحكام التكليفيّة والوضعيّة، ويعضده أنّه قد استشهد به الإمام عليه السلام في بعض الأخبار لنفي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فلا تصحّ وصيّة السفيه، اعتبره جماعةٌ منهم ابن حمزة</w:t>
      </w:r>
      <w:r>
        <w:rPr>
          <w:rStyle w:val="FootnoteAnchor"/>
          <w:rtl w:val="true"/>
        </w:rPr>
        <w:footnoteReference w:id="864"/>
      </w:r>
      <w:r>
        <w:rPr>
          <w:rFonts w:ascii="Amiri" w:hAnsi="Amiri" w:eastAsia="Amiri" w:cs="Amiri"/>
          <w:color w:val="111111"/>
          <w:sz w:val="28"/>
          <w:sz w:val="28"/>
          <w:szCs w:val="28"/>
          <w:rtl w:val="true"/>
          <w:lang w:bidi="ar-SA"/>
        </w:rPr>
        <w:t xml:space="preserve">، والمصنّف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65"/>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866"/>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المشهور على ما اعترف به غير واحدٍ عدم اعتباره، وأنّه تصحّ وصيّته في البِرّ والمعروف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للاعتبار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وفاقاً لجامع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أدلّة الحَجْر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اختصاصها في حال الحياة واضحة المنع</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10" w:name="pg11823_118982"/>
    </w:p>
    <w:p>
      <w:pPr>
        <w:pStyle w:val="BookText"/>
        <w:rPr/>
      </w:pPr>
      <w:bookmarkEnd w:id="310"/>
      <w:r>
        <w:rPr>
          <w:rFonts w:ascii="Amiri" w:hAnsi="Amiri" w:eastAsia="Amiri" w:cs="Amiri"/>
          <w:color w:val="111111"/>
          <w:sz w:val="28"/>
          <w:sz w:val="28"/>
          <w:szCs w:val="28"/>
          <w:rtl w:val="true"/>
          <w:lang w:bidi="ar-SA"/>
        </w:rPr>
        <w:t>ولكن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دليلٌ على منع السفيه عن كلّ تصرّف، وإنّما دلّ على المنع عن تصرّفه في ماله، وظاهره كونه في مقام الامتنان عليه، لئلّا يذهب ماله هدراً، فلا يشمل التصرّف فيه في المقام الذي يوجبُ المنع حرمانه عن الانتفاع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ذلك صحّة تصرّفاته في ماله في حال حياته إذا كان بنفعه، ولم يلتزموا به، فالجمود على إطلاق أدلّة المنع يقتضي ذلك في الوصيّة المتعلّقة بماله، وأمّا في غيرها فلا مانع عن نفوذها، وإطلاق أدلّة الصحّة يقتضي البناء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جواز وصيّته، لعدم معارضتها لحقّ الغُرماء، لتقدّم الدين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قاتل نفسه، وسيأتي الكلام فيه عند تعرّض المصنّف رحمه الله لهذه المسألة</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1006800_73709187"/>
      <w:bookmarkStart w:id="312" w:name="_Toc105"/>
      <w:bookmarkEnd w:id="311"/>
      <w:r>
        <w:rPr>
          <w:rtl w:val="true"/>
        </w:rPr>
        <w:t>الوصيّة بالولاية على الأطفال</w:t>
      </w:r>
      <w:bookmarkEnd w:id="3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في أنّه يصحّ لكلٍّ من الأب والجَدّ الوصيّة بالولاية على الأطفال مع فقد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الإجماع بقسميه</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جملة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أوصى إلى رجلٍ بولده وبمال لهم، وأذن له عند الوصيّة أن يعمل بالمال، وأنْ يكون الربح بينه وبينهم‌؟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أجل أنّ أباه قد أذن له في ذلك وهو حيّ‌</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سعد بن إسماعيل، عن أبيه،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وصيّ أيتامٍ يدرك ايتامه فيعرض عليهم أن يأخذوا الذي لهم، فيأبون عليه،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 ويكرههم عليه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أنّه لا تصحّ الوصيّة بالولاية من أحدهما مع وجود الآخر، بل الظاهر عدم الخلاف فيه، وهو المتّجه، فإنّ أدلّة الوصيّة بالولاية لا إطلاق لها تشمل صورة وجود أحد الوليّين، وأمّا أدلّة ولاية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هو الأب أو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فدلالتها على ولايته على الصغير بالنسبة إلى ما بعد موته حتّى مع وجود الآخر غير ظاهرة، والشكّ فيها كافٍ في البناء على العدم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البيان يظهر أنّه لا تصحّ الوصيّة من الحاكم الشرعي أو الوصي بالولاية عليهم، إذ الحاكم وإنْ كانت له الولاية على الأيتام لأنّها من شؤون القضاة والحكّام، وقد جُعِل الحاكم قاضياً وحاكماً</w:t>
      </w:r>
      <w:r>
        <w:rPr>
          <w:rStyle w:val="FootnoteAnchor"/>
          <w:rtl w:val="true"/>
        </w:rPr>
        <w:footnoteReference w:id="873"/>
      </w:r>
      <w:r>
        <w:rPr>
          <w:rFonts w:ascii="Amiri" w:hAnsi="Amiri" w:eastAsia="Amiri" w:cs="Amiri"/>
          <w:color w:val="111111"/>
          <w:sz w:val="28"/>
          <w:sz w:val="28"/>
          <w:szCs w:val="28"/>
          <w:rtl w:val="true"/>
          <w:lang w:bidi="ar-SA"/>
        </w:rPr>
        <w:t>، ولازم ذلك ثبوت جميع ما للقضاء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والحاكم له، إلّاأنّه لم يثبت له ولاية نصب الوليّ بعده، فالمرجع 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الوصي فولايته مجعولة من قبل المُوصي، والمجعول ولاية نفسه لا أنْ تكون له ولاية على نصب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ليس للحاكم الوصيّة بالولاية، بأنّ الولاية على الصغير ثابتة للصنف لا للفرد، فإذا انعدم فردٌ قام فردٌ آخر ممّا حَلّ فيه طبيعة الصنف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فرضنا أنّ له الوصيّة بالولاية في نفسه فإنّ هذا الوجه مردودٌ، لأنّه إذا ثبت الولاية للصنف جاز لكلّ فردٍ منه القيام بها، ومع قيام واحدٍ منهم بها ليس لآخرين مزاحمته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عيّن أحدُ الأفراد شخصاً للتصدّي بعد وفاته، فكأنّه تصدّى للأمر بنفسه، فليس للآخرين مزاحمته، لكن العمدة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ولاية في ذلك لها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معتدّ به، للأصل بعد عدم الدليل</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لها الولاية بعد الأب إذا كانت رشيدة</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والأصحاب نقلوا عنه الفتوى دون الدليل، ولم أظفر بما يمكن أن يستدلّ به 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13" w:name="pg11823_118985"/>
    </w:p>
    <w:p>
      <w:pPr>
        <w:pStyle w:val="BookText"/>
        <w:rPr/>
      </w:pPr>
      <w:bookmarkEnd w:id="313"/>
      <w:r>
        <w:rPr>
          <w:rFonts w:ascii="Amiri" w:hAnsi="Amiri" w:eastAsia="Amiri" w:cs="Amiri"/>
          <w:color w:val="111111"/>
          <w:sz w:val="28"/>
          <w:sz w:val="28"/>
          <w:szCs w:val="28"/>
          <w:rtl w:val="true"/>
          <w:lang w:bidi="ar-SA"/>
        </w:rPr>
        <w:t>و وجود الموصي له</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1006802_73709187"/>
      <w:bookmarkStart w:id="315" w:name="_Toc106"/>
      <w:bookmarkEnd w:id="314"/>
      <w:r>
        <w:rPr>
          <w:rtl w:val="true"/>
        </w:rPr>
        <w:t>في المُوصى له</w:t>
      </w:r>
      <w:bookmarkEnd w:id="315"/>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المُوصي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الوصيّة، فلو أوصى لميّتٍ‌، أو لمن ظَنَّ وجوده، فبان ميّتاً عند الوصيّة لم تصحّ‌، وكذا لو أوصى لما تحمله المرأة في الزمان المستقبل، أو لمن يوجد من أولاد فلان، بلا خلافٍ أجده في شيء من تلكم،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عليها، كما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وعلّلوه بأنّ الوصيّة تمليك عين أو منفعة كما سلف من تعريفها، والمعدوم غير قابلٍ للتمليك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لا قتضى وجود الموصى له حين موت الموصي لا حين الوصيّة، فإنّ ظرف التملّك هو حين الموت، وأمّا قبله فالمال باقٍ على ملك الموصى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فيما إذا أوصى بشيء لمن سيوجد بنحو تعليق التملّك على وجوده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بقاءالمِلْك من حين الموت إلى زمان وجود الموصى له بلا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محذور في ذلك، وكم أموال بلا مالك، فليكن هذا منها، غاية الأمر من جهة تعلّق الوصيّة به لايكون من قبيل المباحات الأصليّة كي يكون لكلّ أحدٍ أن يتملّكه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من الاُمور الاعتباريّة، ووجودها عين الاعتبار العقلائي، فكما أنّ المملوك قد يكون كليّاً، والمالك أيضاً كذلك، فإنّه لا مانع من الالتزام بمالكيّة الميّت، وأثر اعتبار الملكيّة له انتقاله منه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إطلاقات الوصيّة في الكتاب والسُنّة منصرفة إلى الوصيّة للموجود</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للانصراف سوى الغلبة، وهي غير صالحة لأن تكون منشئاً للانصراف المقيّد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لا دليل على ذلك سوى الإجماع، وتسالم الأصحاب عليه، وعليه فلابدّ من الاقتصار فيه على القدر المتيقّن، وهو المعدوم حين موت الموصي والوصيّة التمليكيّة، وأمّا الوصيّة العهديّة التي ليس في الوصيّة إنشاء تمليكٍ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أوصى الميّت في إعطاء شيء أو وقفه أو نحو ذلك لمن يتولّد 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أجد مانعاً عن صحّتها، 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اشتراط الأصحاب الوجود في الموصى له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في كلماتهم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التمليكيّة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ولايعتبر في الموصى له أنْ لايكون وارثاً، فيجوز الوصيّة للوارث كما تجوز للأجنبي إجماعاً، حكاه جماعة</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أدلّة الوصيّة من الكتاب والسُنّة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والوالدان لابدّ أن يكونا وارثين وإنْ تخلّف ذلك في الأقربين على بعض الوجوه، إلّاأنْ يكون الأبوان ممنوعين من الإرث بكفرٍ ونحوه، واللّفظ أعمٌّ منه، فيشمل موضع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للوارث لا بأس بها</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الوصيّة للوارث‌؟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الحنّاط،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الميّت يوصي للوارث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قال جائزٌ له</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أبي بصير،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حَضَرَ أَحَدَكُمُ اَلْمَوْتُ إِنْ تَرَكَ خَيْراً اَلْوَصِيَّةُ لِلْوالِدَيْنِ وَ اَلْأَقْرَبِينَ‌</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منسوخة، نسختها آية الفرائض التي هي المواريث</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موثّق محمّد بن مسلم الذي استدلّ الإمام عليه السلام فيه بهذه الآية على جواز الوصيّة للوارث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 الوجوب، بل يمكن أنْ يقال إنّه لايستفاد منه أزيد من ذلك، من جهة أنّ ظاهر الآية هو الوجوب، وقد نسخ ذلك بآية المواريث</w:t>
      </w:r>
      <w:r>
        <w:rPr>
          <w:rStyle w:val="FootnoteAnchor"/>
          <w:rtl w:val="true"/>
        </w:rPr>
        <w:footnoteReference w:id="890"/>
      </w:r>
      <w:r>
        <w:rPr>
          <w:rFonts w:ascii="Amiri" w:hAnsi="Amiri" w:eastAsia="Amiri" w:cs="Amiri"/>
          <w:color w:val="111111"/>
          <w:sz w:val="28"/>
          <w:sz w:val="28"/>
          <w:szCs w:val="28"/>
          <w:rtl w:val="true"/>
          <w:lang w:bidi="ar-SA"/>
        </w:rPr>
        <w:t>، فلا ينافي الجواز بل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والأصحاب حملوا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الكافرين من الوالدين وغير الوارث من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أنّها منسوخة فيما يتعلّق بالوالدين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القاسم بن سليمان،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اعترف لوارثٍ بدين في مرضه‌؟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وصيّته لوارث، ولا اعترافٍ له بدين</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لا يصلح لمعارضته النصوص المتقدّمة، فيطرح أو يُحمل على التقيّة، أو على ما زاد عن الثُّلث</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16" w:name="pg11823_118989"/>
    </w:p>
    <w:p>
      <w:pPr>
        <w:pStyle w:val="BookText"/>
        <w:rPr/>
      </w:pPr>
      <w:bookmarkEnd w:id="316"/>
      <w:r>
        <w:rPr>
          <w:rFonts w:ascii="Amiri" w:hAnsi="Amiri" w:eastAsia="Amiri" w:cs="Amiri"/>
          <w:color w:val="111111"/>
          <w:sz w:val="28"/>
          <w:sz w:val="28"/>
          <w:szCs w:val="28"/>
          <w:rtl w:val="true"/>
          <w:lang w:bidi="ar-SA"/>
        </w:rPr>
        <w:t>والتكليف</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1006804_73709187"/>
      <w:bookmarkStart w:id="318" w:name="_Toc107"/>
      <w:bookmarkEnd w:id="317"/>
      <w:r>
        <w:rPr>
          <w:rtl w:val="true"/>
        </w:rPr>
        <w:t>اعتبار التكليف في الوصي</w:t>
      </w:r>
      <w:bookmarkEnd w:id="318"/>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بالبلوغ والعقل، فلا تصحّ الوصيّة إلى صبي بحيث يتصرّف حال صباه مطلقاً، ولو كان إلى البالغ منضمّاً، ولا إلى مجنونٍ كذلك، بلا خلافٍ في شيء من تلكم في الجملة، بل عليها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الوصيّة إلى صبيّ بأنْ يتصرّف حال صباه، واستدلّ له بقصوره بالصبا السّالب لأقواله وأفعاله عن منصب الوكالة، فضلاً عن الوصاية التي هي أعظم منها باعتبار كونها ولاية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الصبي ليس مسلوب القول والفعل، وإنّما هو ممنوعٌ عن التصرّف مستقلّاً، وعليه فإذا أوصى إليه بأنْ يتصرّف بإذن وليّه، فإنّه لا أرى في ذلك محذوراً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بأنْ يتصرّف معامليّاً مستقلّاً أو بالولاية على أولاده، وإنْ كانت 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فلكونه ممنوعاً عنه، وأمّا الثاني فلأنّه لا ولاية له على نفسه، فكيف يمكن أنْ يكون له الولاية على الغير، وفي غير ذينك من التصرّفات والاُمور التي يوصي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الموجب لعدم صحّة جعله وصيّاً فيها، فلو أوصى بأن </w:t>
      </w:r>
    </w:p>
    <w:p>
      <w:pPr>
        <w:pStyle w:val="BookText"/>
        <w:rPr/>
      </w:pPr>
      <w:r>
        <w:rPr>
          <w:rFonts w:ascii="Amiri" w:hAnsi="Amiri" w:eastAsia="Amiri" w:cs="Amiri"/>
          <w:color w:val="111111"/>
          <w:sz w:val="28"/>
          <w:sz w:val="28"/>
          <w:szCs w:val="28"/>
          <w:rtl w:val="true"/>
          <w:lang w:bidi="ar-SA"/>
        </w:rPr>
        <w:t>يصلّى عليه بناءً على شرعيّة عباداته، أو يتصدّى لتجهيزه، أو يكون هو المجري للصيغة في المعاملات الواقعة على ثلث ماله مثلاً، أو صرف الثُّلث في مصارفه وما شاكل، لا يوجب الوجه المزبور 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بأنّ‌الوصاية نوعُ ولايةٍ لايصلح الصبي لتصدّيها، و التلبّس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نعبّر عنها بالولاية حتّى يأتي هذا المحذور، ومجرّد أنّ له أنْ يتصرّف كالوكيل، لا تكون ولايةً التي هي اعتبار عقلائي خاص منشأ 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أنّه لادليل على المنع عنه مطلقاً سوى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تصحّ الوصيّة إلى الصبي منضمّاً إلى بالغ، وأنّه لايتصرّف الصغير قبل البلوغ، فإذا بلغ صار شريكاً، وللبالغ الاستقلال في التصرّف ما دام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هذه الأحكام مدلول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أوصى إلى امرأة وأشرك في الوصيّة معها صبيّاً؟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وتمضي المرأة الوصيّة، ولا تنتظر بلوغ الصبي، فإذا بلغ الصبي فليس له أن لا يرضى إلّاما كان من تبديلٍ أو تغيير، فإنّ له أن يردّه إلى ما أوصى به الميّت</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الصفّار،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إلى ولده وفيهم كبار قد أدركوا وفيهم صغار، أيجوز للكبار أن ينفذوا وصيّته، ويقضوا دَينه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لمن صَحّ على الميّت بشهود عدول قبل أن يُدرك الأوصياء الصغار؟</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الأكابر من الولد أن يقضوا دَين أبيهم، ولا يحبسوه بذلك</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زياد بن أبي الحلال</w:t>
      </w:r>
      <w:r>
        <w:rPr>
          <w:rStyle w:val="FootnoteAnchor"/>
          <w:rtl w:val="true"/>
        </w:rPr>
        <w:footnoteReference w:id="894"/>
      </w:r>
      <w:r>
        <w:rPr>
          <w:rFonts w:ascii="Amiri" w:hAnsi="Amiri" w:eastAsia="Amiri" w:cs="Amiri"/>
          <w:color w:val="111111"/>
          <w:sz w:val="28"/>
          <w:sz w:val="28"/>
          <w:szCs w:val="28"/>
          <w:rtl w:val="true"/>
          <w:lang w:bidi="ar-SA"/>
        </w:rPr>
        <w:t>ما يظهر منه عدم جواز الوصيّة إلى الصبي قبل بلوغ خمس سنين، ولكن لم يَعمل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الخلاف بين الأصحاب في وقت اعتبار البلوغ على قولين نقلهما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حال الوصيّة، وهذا القول اختيار الشيخ وابن إدريس</w:t>
      </w:r>
      <w:r>
        <w:rPr>
          <w:rStyle w:val="FootnoteAnchor"/>
          <w:rtl w:val="true"/>
        </w:rPr>
        <w:footnoteReference w:id="896"/>
      </w:r>
      <w:r>
        <w:rPr>
          <w:rFonts w:ascii="Amiri" w:hAnsi="Amiri" w:eastAsia="Amiri" w:cs="Amiri"/>
          <w:color w:val="111111"/>
          <w:sz w:val="28"/>
          <w:sz w:val="28"/>
          <w:szCs w:val="28"/>
          <w:rtl w:val="true"/>
          <w:lang w:bidi="ar-SA"/>
        </w:rPr>
        <w:t>، ونُسب إلى الأكثر، وظاهر المحقّق</w:t>
      </w:r>
      <w:r>
        <w:rPr>
          <w:rStyle w:val="FootnoteAnchor"/>
          <w:rtl w:val="true"/>
        </w:rPr>
        <w:footnoteReference w:id="897"/>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بحال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البلوغ إذا كان شرطاً، لزم تقدّمه على المشروط ولو بفترة وجيزة، فإذا كان شرطاً لصحّة الوصيّة، ولم تكن موجودة حال إنشائها، لم يكن العقد صحيحاً، لانتفاء الشرط المقتضي لانتفاء المشروط</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منهيّ وقت الوصيّة عن التفويض إلى من ليس بالصفات، والنهي المتوجّه إلى ركن المعاملة يقتضي فسادها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يجب أنْ يكون الوصيّ بحيث لو مات الموصى نافذ التصرّف مشتملاً على صفات الوصيّة، وهو هنا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مصادرة على المطلوب، إذ كون البلوغ شرطاً مقارناً للوصيّة أوّل الكلام، وكذا كونه منهيّاً وقت الوصيّة عن التفويض، وكذا اعتبار كونه مشتملاً للصفات نافذ التصرّف حين الوصيّة، فالأظهر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الوصيّة من العقود، وأنّ قبول الوصي جزءُ العقد، اتّجه اعتبار كون الوصي قابلاً للمعاهدة حال الوصيّة وواجداً للشرط، لا لما أفاده جمعٌ من المحقّقين</w:t>
      </w:r>
      <w:r>
        <w:rPr>
          <w:rStyle w:val="FootnoteAnchor"/>
          <w:rtl w:val="true"/>
        </w:rPr>
        <w:footnoteReference w:id="898"/>
      </w:r>
      <w:r>
        <w:rPr>
          <w:rFonts w:ascii="Amiri" w:hAnsi="Amiri" w:eastAsia="Amiri" w:cs="Amiri"/>
          <w:color w:val="111111"/>
          <w:sz w:val="28"/>
          <w:sz w:val="28"/>
          <w:szCs w:val="28"/>
          <w:rtl w:val="true"/>
          <w:lang w:bidi="ar-SA"/>
        </w:rPr>
        <w:t>من أنّ مناط المعاهدة والمعاقدة لايتحقّق بدون ذلك، لأنّ المعاهدة مع الغير تقتضي كونهما معاً كذلك في حال الإيجاب والقبول، إذ معيّة المتعاقدين إنّما هي معية شاعرٍ ملتفتٍ إلى ما يلزم للغير، ويلتزم الغير له، وإلّا فلا ينقدح القصد الجديّ في نفس العاقد إلى المعاهدة، مع من هو كالجدار أو كالحمار، وعلمه بالتفاته فيما بعد لايُصحّح المعاهدة معه فعلاً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العقد إنّما ينطبق على الالتزامين الواردين على موردٍ واحد، وليس منطبقاً على الإيجاب خاصّة، وإنّما شأن الموجب هو الالتزام النفساني وإبرازه، وهو إنّما يكون باقياً ما لم ترفع اليد عنه، فإذا كان باقياً حين القبول، التزم القابل الأهل لذلك حين القبول، فقد ارتبط الالتزامان لا محالة، وتحقّق عنوان العقد، مع أنّه لاينحصر دليل النفوذ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بل لأنّه بعدما لا ريب في أنّه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19" w:name="pg11823_118993"/>
    </w:p>
    <w:p>
      <w:pPr>
        <w:pStyle w:val="BookText"/>
        <w:rPr/>
      </w:pPr>
      <w:bookmarkEnd w:id="319"/>
      <w:r>
        <w:rPr>
          <w:rFonts w:ascii="Amiri" w:hAnsi="Amiri" w:eastAsia="Amiri" w:cs="Amiri"/>
          <w:color w:val="111111"/>
          <w:sz w:val="28"/>
          <w:sz w:val="28"/>
          <w:szCs w:val="28"/>
          <w:rtl w:val="true"/>
          <w:lang w:bidi="ar-SA"/>
        </w:rPr>
        <w:t>يعتبر في ترتيب العقلاء والشارع الأثر على الالتزام النفساني، أن يظهره لمن هو طرفه في المعاملة، فإذا كان الطرف غير قابل للتخاطب، فالإظهار له كلّا إظهار، فلأجل ذلك تعتبر قابليّة القابل للتخاطب حال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ذلك في سائر العقود، لم يتمّ في الوصيّة التي يصحّ إيجابها في حالٍ يكون القابل نائماً غير ملتفتٍ‌، أو غائباً، فلو كانت من العقود لاتكون على حَدّ سائر العقود، ولكن الذي يُسهّل الخَطب ما مرّ من عدم كونها من العقود، فلا إشكال في عدم البلوغ حين الوصيّة</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1006806_73709187"/>
      <w:bookmarkStart w:id="321" w:name="_Toc108"/>
      <w:bookmarkEnd w:id="320"/>
      <w:r>
        <w:rPr>
          <w:rtl w:val="true"/>
        </w:rPr>
        <w:t>اعتبار العقل في الوصيّ‌</w:t>
      </w:r>
      <w:bookmarkEnd w:id="321"/>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الوصى العقل، فلا يصحّ الإيصاء إلى مجنونٍ مطبقاً أو أدواراً في دور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اعتبار العقل، كالكلام في اعتبار البلوغ، فلا دليل له سوى الإجماع والخبر الآتي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المجنون الذي يكون فاقداً للقصد، وغير مميّزٍ، لا إشكال في بطلان الوصيّة إليه، لعدم صحّة تصرّفاته، وعدم صلوحه للوكالة، ومثلها الوصاية، بل هي أعظم منها، بل لو طرأ الجنون على الوصيّ قالوا بطلت وصيّته، ففي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يزيل الوصيّ إلّاذهاب عقلٍ أو ارتدادٍ، أو تبذيرٍ، أو خيانةٍ‌، أو ترك سُنّة، والسلطان وصيُّ من لا وصيّ له، والناظر لمن لا ناظر له</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والإسلام في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تعود الوصيّة بعود العقل‌؟ جزم المصنّف رحمه الله</w:t>
      </w:r>
      <w:r>
        <w:rPr>
          <w:rStyle w:val="FootnoteAnchor"/>
          <w:rtl w:val="true"/>
        </w:rPr>
        <w:footnoteReference w:id="901"/>
      </w:r>
      <w:r>
        <w:rPr>
          <w:rFonts w:ascii="Amiri" w:hAnsi="Amiri" w:eastAsia="Amiri" w:cs="Amiri"/>
          <w:color w:val="111111"/>
          <w:sz w:val="28"/>
          <w:sz w:val="28"/>
          <w:szCs w:val="28"/>
          <w:rtl w:val="true"/>
          <w:lang w:bidi="ar-SA"/>
        </w:rPr>
        <w:t xml:space="preserve">بالعدم، وتردّد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 وأرى أنّ عدم العود أظهر لعدم المقتضى للعود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المجنون يعتوره أدواراً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الصحّة، وتُحمل على أوقات الإفاقة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ما إذا طرأ الجنون، انصراف الوصيّة في ابتدائها إلى أوقات الإفاقة، وانصرافها هناك إلى دوام عَقله الذي لم يدم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الشرائط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خلاف في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الموصى مسلماً، فلا تصحّ وصيّة المسلم إلى الكافر ولو كان رحماً، بل ربما يدّعى عليه الإجماع، ولا دليل لهم على ذلك سوى دلالة آيتين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يتوجّه على الاستدلال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بقرينة ما قبلها نفي الجعل في الآخرة، مع أنّه قد ورد في خبر الهروي أنّ المراد من الآية نفي سبيل الحُجّة</w:t>
      </w:r>
      <w:r>
        <w:rPr>
          <w:rStyle w:val="FootnoteAnchor"/>
          <w:rtl w:val="true"/>
        </w:rPr>
        <w:footnoteReference w:id="905"/>
      </w:r>
      <w:r>
        <w:rPr>
          <w:rFonts w:ascii="IRNazanin" w:hAnsi="IRNazanin" w:eastAsia="IRNazanin"/>
          <w:color w:val="111111"/>
          <w:sz w:val="28"/>
          <w:sz w:val="28"/>
          <w:szCs w:val="28"/>
          <w:rtl w:val="true"/>
          <w:lang w:bidi="fa-IR"/>
        </w:rPr>
        <w:t>، مع</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322" w:name="pg11823_118995"/>
    </w:p>
    <w:p>
      <w:pPr>
        <w:pStyle w:val="BookText"/>
        <w:rPr/>
      </w:pPr>
      <w:bookmarkEnd w:id="322"/>
      <w:r>
        <w:rPr>
          <w:rFonts w:ascii="Amiri" w:hAnsi="Amiri" w:eastAsia="Amiri" w:cs="Amiri"/>
          <w:color w:val="111111"/>
          <w:sz w:val="28"/>
          <w:sz w:val="28"/>
          <w:szCs w:val="28"/>
          <w:rtl w:val="true"/>
          <w:lang w:bidi="ar-SA"/>
        </w:rPr>
        <w:t>أنّ السبيل ظاهره السلطنة، والوصيّ لا سلطنة له على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الاستدلال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يأخذه الموصي وليّاً وإنّما يجعله وصيّاً بعد موته، فالإنصاف أنّه لا دليل على المنع سوى الإجماع، إنْ لم نعتبر العدالة في الوصي، وإنْ لم يثبت فالأظهر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بالمنع، فإنّ المتيقّن منه هي الحرمة التكليفيّة دون بطلان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وصيّة الكافر لمثله، فلا إشكال في جوازها إنْ لم نعتبر العدالة في ديننا</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1006808_73709187"/>
      <w:bookmarkStart w:id="324" w:name="_Toc109"/>
      <w:bookmarkEnd w:id="323"/>
      <w:r>
        <w:rPr>
          <w:rtl w:val="true"/>
        </w:rPr>
        <w:t>اعتبار العدالة في الوصي</w:t>
      </w:r>
      <w:bookmarkEnd w:id="324"/>
    </w:p>
    <w:p>
      <w:pPr>
        <w:pStyle w:val="BookText"/>
        <w:rPr/>
      </w:pPr>
      <w:r>
        <w:rPr>
          <w:rFonts w:ascii="Amiri" w:hAnsi="Amiri" w:eastAsia="Amiri" w:cs="Amiri"/>
          <w:color w:val="111111"/>
          <w:sz w:val="28"/>
          <w:sz w:val="28"/>
          <w:szCs w:val="28"/>
          <w:rtl w:val="true"/>
          <w:lang w:bidi="ar-SA"/>
        </w:rPr>
        <w:t>وقد ذهب جماعةٌ منهم الشيخان</w:t>
      </w:r>
      <w:r>
        <w:rPr>
          <w:rStyle w:val="FootnoteAnchor"/>
          <w:rtl w:val="true"/>
        </w:rPr>
        <w:footnoteReference w:id="906"/>
      </w:r>
      <w:r>
        <w:rPr>
          <w:rFonts w:ascii="Amiri" w:hAnsi="Amiri" w:eastAsia="Amiri" w:cs="Amiri"/>
          <w:color w:val="111111"/>
          <w:sz w:val="28"/>
          <w:sz w:val="28"/>
          <w:szCs w:val="28"/>
          <w:rtl w:val="true"/>
          <w:lang w:bidi="ar-SA"/>
        </w:rPr>
        <w:t>، والقاضي</w:t>
      </w:r>
      <w:r>
        <w:rPr>
          <w:rStyle w:val="FootnoteAnchor"/>
          <w:rtl w:val="true"/>
        </w:rPr>
        <w:footnoteReference w:id="907"/>
      </w:r>
      <w:r>
        <w:rPr>
          <w:rFonts w:ascii="Amiri" w:hAnsi="Amiri" w:eastAsia="Amiri" w:cs="Amiri"/>
          <w:color w:val="111111"/>
          <w:sz w:val="28"/>
          <w:sz w:val="28"/>
          <w:szCs w:val="28"/>
          <w:rtl w:val="true"/>
          <w:lang w:bidi="ar-SA"/>
        </w:rPr>
        <w:t>، وابن حمزة</w:t>
      </w:r>
      <w:r>
        <w:rPr>
          <w:rStyle w:val="FootnoteAnchor"/>
          <w:rtl w:val="true"/>
        </w:rPr>
        <w:footnoteReference w:id="908"/>
      </w:r>
      <w:r>
        <w:rPr>
          <w:rFonts w:ascii="Amiri" w:hAnsi="Amiri" w:eastAsia="Amiri" w:cs="Amiri"/>
          <w:color w:val="111111"/>
          <w:sz w:val="28"/>
          <w:sz w:val="28"/>
          <w:szCs w:val="28"/>
          <w:rtl w:val="true"/>
          <w:lang w:bidi="ar-SA"/>
        </w:rPr>
        <w:t>، والديلمي</w:t>
      </w:r>
      <w:r>
        <w:rPr>
          <w:rStyle w:val="FootnoteAnchor"/>
          <w:rtl w:val="true"/>
        </w:rPr>
        <w:footnoteReference w:id="909"/>
      </w:r>
      <w:r>
        <w:rPr>
          <w:rFonts w:ascii="Amiri" w:hAnsi="Amiri" w:eastAsia="Amiri" w:cs="Amiri"/>
          <w:color w:val="111111"/>
          <w:sz w:val="28"/>
          <w:sz w:val="28"/>
          <w:szCs w:val="28"/>
          <w:rtl w:val="true"/>
          <w:lang w:bidi="ar-SA"/>
        </w:rPr>
        <w:t>، وابن زُهرة</w:t>
      </w:r>
      <w:r>
        <w:rPr>
          <w:rStyle w:val="FootnoteAnchor"/>
          <w:rtl w:val="true"/>
        </w:rPr>
        <w:footnoteReference w:id="910"/>
      </w:r>
      <w:r>
        <w:rPr>
          <w:rFonts w:ascii="Amiri" w:hAnsi="Amiri" w:eastAsia="Amiri" w:cs="Amiri"/>
          <w:color w:val="111111"/>
          <w:sz w:val="28"/>
          <w:sz w:val="28"/>
          <w:szCs w:val="28"/>
          <w:rtl w:val="true"/>
          <w:lang w:bidi="ar-SA"/>
        </w:rPr>
        <w:t>إلى اعتبار العدالة في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الوصاية استئمانٌ على مال الأطفال ومن يجري مجراهم من الفقراء والجهات التي لا يراعيها المالك، والفاسق ليس أهلاً للإستئمان على هذا الوجه، وإنْ كان أهلاً للوكالة، لوجوب التثبّت عند خبره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الوصيّة تتضمّن الركون باعتبار فعل ما أوصى إليه به من تفرقة المال، وإنفاقه وصرفه في الوجوه الشرعيّة، والفاسق ظالمٌ لا يجور الركون إليه،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الوصيّة استنابة على مال الغير، لا على مال الموصي، لانتقاله عنه بعد موته، وولاية الوصيّ إنّما تحصل بعد الموت، فيشترط في النائب العدالة كوكيل الوكيل، بل أولى، لأنّ تقصير وكيل الوكيل مجبورٌ بنظر الوكيل والموكّل، بخلاف الوصيّ فإنّه لا يشاركه فيها أحدٌ غالباً، ولا يتبع أفعاله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وبالنصوص</w:t>
      </w:r>
      <w:r>
        <w:rPr>
          <w:rStyle w:val="FootnoteAnchor"/>
          <w:rtl w:val="true"/>
        </w:rPr>
        <w:footnoteReference w:id="912"/>
      </w:r>
      <w:r>
        <w:rPr>
          <w:rFonts w:ascii="Amiri" w:hAnsi="Amiri" w:eastAsia="Amiri" w:cs="Amiri"/>
          <w:color w:val="111111"/>
          <w:sz w:val="28"/>
          <w:sz w:val="28"/>
          <w:szCs w:val="28"/>
          <w:rtl w:val="true"/>
          <w:lang w:bidi="ar-SA"/>
        </w:rPr>
        <w:t>الواردة فيمن مات وله أموال وورثة صغار، ولا وصيّ له، قد اشترطت عدالة المتولي لذلك، حيث أنّها تدلّ على أنّ المتولّي لأمر الوصاية لابدّ فيه من العدالة، ولا فرق بين تعيين الموصى أو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محلٌّ للأمانة كما في الوكالة والاستيداع، ونمنع كون الفسق مانعاً إذا لم يكن له دخلٌ في حفظ المال، مع أنّ الموصي إنّما يعينه في التصرّف في ماله، فكما أنّه لايعتبر في تصرّف نفسه العدالة، كذلك في من يعنيه للتصرّف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يخرج عن اختياره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ثلثه باقٍ تحت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التثبت عند خبره، لم يظهر لي ارتباطه بالدليل، مع أنّه إذا ائتمن يقبل قوله للنهي عن اتّهام المؤتمن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الوصاية ليست ركوناً، ومع التسليم فالممنوع الركون إلىا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 الظالم من الفاسق، لا مطلقاً، وكلّ فاسقٍ وإنْ كان ظالماً لنفسه، إلّاأنّ ظاهر الآية الركون إلى من يظلم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كونه استنابة على مال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المنع عن استنابة الفاسق على مال الغير فيما له أنْ يستنيب عليه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وكيل الوكيل، فنمنع اعتبار العدالة فيه، بل الأمر فيه يتبع إذن الموكّل أو ما تقتضيه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موضوعها تولّي عدول المسلمين الذين هم أحد الأولياء مع فقد الحاكم، ولا ربط لها بباب الوصاية والوصيّ‌، واعتبار العدالة في الوليّ لايستلزم اعتبارها في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أقوائيّة ما ذكره جماعةٌ منهم الحِلّي</w:t>
      </w:r>
      <w:r>
        <w:rPr>
          <w:rStyle w:val="FootnoteAnchor"/>
          <w:rtl w:val="true"/>
        </w:rPr>
        <w:footnoteReference w:id="913"/>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والمصنّف في بعض كتبه</w:t>
      </w:r>
      <w:r>
        <w:rPr>
          <w:rStyle w:val="FootnoteAnchor"/>
          <w:rtl w:val="true"/>
        </w:rPr>
        <w:footnoteReference w:id="915"/>
      </w:r>
      <w:r>
        <w:rPr>
          <w:rFonts w:ascii="Amiri" w:hAnsi="Amiri" w:eastAsia="Amiri" w:cs="Amiri"/>
          <w:color w:val="111111"/>
          <w:sz w:val="28"/>
          <w:sz w:val="28"/>
          <w:szCs w:val="28"/>
          <w:rtl w:val="true"/>
          <w:lang w:bidi="ar-SA"/>
        </w:rPr>
        <w:t>، من عدم اعتبار العدالة، للأصل، وإطلاق الأدلّة، ويؤيّده ما ورد في وصاية الأولاد وفيهم كبار وصغار، وأنّ الصبي يصيرُ وصيّاً بذلك عند بلوغه أو قبله، والتصرّف عند البلوغ</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وصاية الامرأة</w:t>
      </w:r>
      <w:r>
        <w:rPr>
          <w:rStyle w:val="FootnoteAnchor"/>
          <w:rtl w:val="true"/>
        </w:rPr>
        <w:footnoteReference w:id="917"/>
      </w:r>
      <w:r>
        <w:rPr>
          <w:rFonts w:ascii="Amiri" w:hAnsi="Amiri" w:eastAsia="Amiri" w:cs="Amiri"/>
          <w:color w:val="111111"/>
          <w:sz w:val="28"/>
          <w:sz w:val="28"/>
          <w:szCs w:val="28"/>
          <w:rtl w:val="true"/>
          <w:lang w:bidi="ar-SA"/>
        </w:rPr>
        <w:t>، التي من الغالب عدم عدالتها، وما ورد من وصيّة الإمام الكاظم عليه السلام جميع ولده</w:t>
      </w:r>
      <w:r>
        <w:rPr>
          <w:rStyle w:val="FootnoteAnchor"/>
          <w:rtl w:val="true"/>
        </w:rPr>
        <w:footnoteReference w:id="918"/>
      </w:r>
      <w:r>
        <w:rPr>
          <w:rFonts w:ascii="Amiri" w:hAnsi="Amiri" w:eastAsia="Amiri" w:cs="Amiri"/>
          <w:color w:val="111111"/>
          <w:sz w:val="28"/>
          <w:sz w:val="28"/>
          <w:szCs w:val="28"/>
          <w:rtl w:val="true"/>
          <w:lang w:bidi="ar-SA"/>
        </w:rPr>
        <w:t>ومنهم غير العدل، وجعل الولاية بيد عليّ عليه السلام،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لايُجدي على القول بالمنع من وصاية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تلكم من الأخبار التي لا يُنكَر ظهور ها في عدم اعتبار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تمّت دلالة ما مرّ على اعتبار العدالة، فهي إنّما تدلّ على اعتبار العدالة لا على مانعيّة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يصحّ استصحاب عدم الفسق، فتصحّ الوصيّة إلى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للتذكرة</w:t>
      </w:r>
      <w:r>
        <w:rPr>
          <w:rStyle w:val="FootnoteAnchor"/>
          <w:rtl w:val="true"/>
        </w:rPr>
        <w:footnoteReference w:id="9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هذا الشرط إنّما اعتبر ليحصل الوثوق بفعل الوصي، ويقبل خبره به، لا في صحّة الفعل في نفسه، فلو أوصى إلى من ظاهره العدالة وهو فاسقٌ في نفسه ففعل مقتضى الوصيّة، فالظاهر نفوذ فعله، وخروجه عن العهدة، ويمكن كون ظاهر الفسق أيضاً كذلك لو أوصى إليه فيما بينه وبين اللّه، وفعل مقتضاها، بل لو فعله كذلك لم يبعد الصحّة، وإنْ حكم ظاهراً بعدم وقوعه وضمانه ما ادّعى فعله</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فمرجعه إلى إنكار شرطيّة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للحكم بضمانه بعدما دلّ الدليل على أنّ الأمين لا 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فالأظهر عدم اعتبار العدالة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يقال بأنّه لو أوصى إلى عَدْلٍ ثمّ ظهر فسقه بعد موت الموصي، بطلت وصايته، ووجب عزله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الظاهر أنّ الباعث له على اختيار العدل مع جواز الوصيّة إلى غيره، إنّما هو عدالته والوثوق بأمانته، فإذا خرج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 العدالة، فاتَ الباعث، وخرج عن الاستئمان، إذ الظاهر أنّه لو كان حَيّاً لاستبدل به</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الجائز كون الباعث له على جعله وصيّاً، قرابته أو نحو تلك لا عدالته، وعليه فمجرّد الاحتمال لايكفي في الحكم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هو على الإنشاء لا على ما في نفس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جعله وصيّاً لا بعنوان أنّه عادلٌ لا وجه لبطلان وصيّته بظهور الفسق أو 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أنّ الباعث له على نصبه وصيّاً كونه عادلاً، فإنّ الآثار الوضعيّة تتبع الإنشاء، ولا ترتبط بما في النفس من المرجّحات، ولذا اشتهر أنّ تخلّف الدّواعي في باب المعاملات لا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 الوصي أنْ لا يكون وارثاً، ولا الذكوريّة، ولا الوحدة إجماعاً، لإطلاق الأدلّة ولجملة من النصوص</w:t>
      </w:r>
      <w:r>
        <w:rPr>
          <w:rStyle w:val="FootnoteAnchor"/>
          <w:rtl w:val="true"/>
        </w:rPr>
        <w:footnoteReference w:id="924"/>
      </w:r>
      <w:r>
        <w:rPr>
          <w:rFonts w:ascii="Amiri" w:hAnsi="Amiri" w:eastAsia="Amiri" w:cs="Amiri"/>
          <w:color w:val="111111"/>
          <w:sz w:val="28"/>
          <w:sz w:val="28"/>
          <w:szCs w:val="28"/>
          <w:rtl w:val="true"/>
          <w:lang w:bidi="ar-SA"/>
        </w:rPr>
        <w:t>في الأوّل، وخبر عليّ بن بقطين</w:t>
      </w:r>
      <w:r>
        <w:rPr>
          <w:rStyle w:val="FootnoteAnchor"/>
          <w:rtl w:val="true"/>
        </w:rPr>
        <w:footnoteReference w:id="925"/>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وأمّاخبرالسكوني، عن جعفربن محمّد، عن أبيه، عن آبائه، عن أميرالمؤمنين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لا يُوصى إليها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فلإعراض الأصحاب عنه، ومعارضته بخبر عليّ بن يقطين، لابدّ من طرحه، أو حمله على ما لو فقد بعض الشرائط السابقة كما يشعر به التعليل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25" w:name="pg11823_119000"/>
    </w:p>
    <w:p>
      <w:pPr>
        <w:pStyle w:val="BookText"/>
        <w:rPr/>
      </w:pPr>
      <w:bookmarkEnd w:id="325"/>
      <w:r>
        <w:rPr>
          <w:rFonts w:ascii="Amiri" w:hAnsi="Amiri" w:eastAsia="Amiri" w:cs="Amiri"/>
          <w:color w:val="111111"/>
          <w:sz w:val="28"/>
          <w:sz w:val="28"/>
          <w:szCs w:val="28"/>
          <w:rtl w:val="true"/>
          <w:lang w:bidi="ar-SA"/>
        </w:rPr>
        <w:t>والمِلك في الموصى به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1006810_73709187"/>
      <w:bookmarkStart w:id="327" w:name="_Toc110"/>
      <w:bookmarkEnd w:id="326"/>
      <w:r>
        <w:rPr>
          <w:rtl w:val="true"/>
        </w:rPr>
        <w:t>الموصى به وما يعتبر فيه</w:t>
      </w:r>
      <w:bookmarkEnd w:id="327"/>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عينٌ‌، أو منفعة، أو حقٌّ قابل للنقل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صحّة الوصيّة في الجميع، لعمومات الصحّة والنفوذ، كما أنّ المعروف بين الأصحاب أنّه إنْ كانت الوصيّة بمال أو منفعةٍ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في الموصى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الوصيّة بمال الغير، ولا بما لا يُملك، ولا بالمحرّمات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جواز التصرّف في مال الغير، كانت الوصيّة تمليكيّة أو عهديّة، وحينئذٍ فإنْ أوصى بمال الغير، بأنْ علّق التمليك على موت ذلك الغير، وأجاز ذلك الغير، صحّت الوصيّة، لأنّه بالإجازة تصير الوصيّة وصيّة المجيز ومستندةً إليه، وتصدق الوصيّة من المالك كما في سائر موارد الفضولي، بناءً على ما هو الحقّ من صحّة الفضولي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أوصى بمال الغير بأنْ علّق التمليك على موت نفسه، فأجازه ذلك الغير، لم تصحّ لا وصيّةً ولا تملّكيّاً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الوصيّة عرفاً عبارة عن تمليك المال معلّقاً على موت المالك لا على موت غيره،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لكَ بعد موت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يكون من الوصيّة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فللتعليق المُجمع على مبطليّته للعقود والإيقاعات سوى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بطلان ما لو أوصى بماله لزيدٍ إذا ماتَ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الوصيّة بما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على وجه التمليك، فبطلانها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على وجه العهد والتخصيص، وكانت فيه فائدة ولو نادرة بنحو تُصحّح التخصيص، فالأظهر صحّتها، إلّاأنّ فرض كون الشيء ممّا له فائدة ولو نادرة، مع عدم قابليّته للتملّك لا أتصوّره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فيه فائدة، لاتصحّ الوصيّة، لا تمليكيّةً ولا عهديّةً ولا تخصيصيّةً‌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الوصيّة بالمحرّمات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الملحوظ في الوصيّة المنفعة المحرّمة، مثل الشرب في الخمر، واللّعب بالآت اللّهو وما شاكل، فلا إشكال في البطلان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أوصى بصيرورتها مِلْكاً، وفرضنا عدم قابليّتها للملكيّة، فالبطلان ظاهر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أوصى بها للانتفاع بها منفعةً محلّلة، كما لو أوصى بالخمر للطلي أو للإسراج أو للتخليل أو نحو ذلك من الفوائد المحلّلة، فالظاهر صحّة الوصيّة بها على نحو التخصيص</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أنْ يوصي بانتقال حقّ الأولويّة الثابت له إلى الموصى له، وعليه فتصحّ الوصيّة بالكحول الذي لا يُشرب، وإنّما له استعمالات وفوائد اُخرى‌</w:t>
      </w:r>
      <w:r>
        <w:rPr>
          <w:rFonts w:eastAsia="Amiri" w:cs="Amiri" w:ascii="Amiri" w:hAnsi="Amiri"/>
          <w:color w:val="111111"/>
          <w:sz w:val="28"/>
          <w:szCs w:val="28"/>
          <w:rtl w:val="true"/>
          <w:lang w:bidi="ar-SA"/>
        </w:rPr>
        <w:t>.</w:t>
      </w:r>
      <w:bookmarkStart w:id="328" w:name="pg11823_119002"/>
    </w:p>
    <w:p>
      <w:pPr>
        <w:pStyle w:val="BookText"/>
        <w:rPr/>
      </w:pPr>
      <w:bookmarkEnd w:id="328"/>
      <w:r>
        <w:rPr>
          <w:rFonts w:ascii="Amiri" w:hAnsi="Amiri" w:eastAsia="Amiri" w:cs="Amiri"/>
          <w:color w:val="111111"/>
          <w:sz w:val="28"/>
          <w:sz w:val="28"/>
          <w:szCs w:val="28"/>
          <w:rtl w:val="true"/>
          <w:lang w:bidi="ar-SA"/>
        </w:rPr>
        <w:t>ولو جَرح نفسه بالمُهلِك ثمّ أوصى لم تصحّ‌،</w:t>
      </w:r>
    </w:p>
    <w:p>
      <w:pPr>
        <w:pStyle w:val="Heading3"/>
        <w:numPr>
          <w:ilvl w:val="2"/>
          <w:numId w:val="1"/>
        </w:numPr>
        <w:rPr/>
      </w:pPr>
      <w:bookmarkStart w:id="329" w:name="__RefHeading___Toc11006812_73709187"/>
      <w:bookmarkStart w:id="330" w:name="_Toc111"/>
      <w:bookmarkEnd w:id="329"/>
      <w:r>
        <w:rPr>
          <w:rtl w:val="true"/>
        </w:rPr>
        <w:t>حكم وصيّة القاتل نفسه</w:t>
      </w:r>
      <w:bookmarkEnd w:id="330"/>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بالمُهلك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شرب سُمّاً 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أوصى‌،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 مشعراً بالإجماع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صحيح أبي ولّاد حفص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نفسه متعمّداً فهو في نار جنّهم خالداً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أوصى بوصيّةٍ ثمّ قتل نفسه من ساعته، تنفذ وصيّته‌؟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أوصى قبل أن يُحدث حدثاً في نفسه من جراحةٍ أو قتلٍ اُجيزت وصيّته في ثلثه، وإنْ أوصى بوصيّة بعدما أحدث في نفسه من جراحةٍ أو قتلٍ لعلّه يموت، لم تجز وصيّته</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أفاده الحِلّي</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من أنّه لايجوز تخصيص القرآن بخبر الواحد، وحيث أنّه حيٌّ عاقلٌ مكلّفٌ‌، وأوصى بوصيّةٍ‌، وقد دلّ القرآن على نفوذ وصيّة كلّ حيّ عاقل، وأنّه لايجوز تبديلها، فالبناءُ على صحّة وصيّته متعيّنٌ‌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أنّ عموم القرآن يُخصّص بخبر الواحد الواجد لشرائط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إدريس لا بأس به</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حسنٌ‌</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بالقبول مع تيقّن رشده بعد الجرح، كان وجهاً</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بناء المصنّف رحمه الله والشهيد الثاني على تخصيص الكتاب بخبر الواحد والصحيح، مضافاً إلى أنّ فرض حجيّته في نفسه معمولٌ به بين الأصحاب، سيّما وأنّ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علّل عدم القبول بوجوه اُخر من دلالة فعله على سفهه، وعدم استقرار حياته، فيكون في حكم الميّت، وأنّ القاتل يُمنع من الميراث لغيره فيمنع عن نفسه، وأنّ قبول وصيّته نوعُ إرثٍ له، وإنْ كانت هذه الوجوه بيّنة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الخبر مختصٌّ بمن جَرَح نفسه لعلّه يموت لا لغرضٍ آخر، وما لو كان ذلك على وجه العصيان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إذا كان فَعَل ذلك عمداً، وبما لو ماتَ من ذلك، وبالوصيّة في ماله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ثُلثه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فلو أوصى بما يتعلّق بالتجهيز ونحوه ممّا لا تعلّق له بالمال، أو فعل ذلك سهواً أو خطئاً، أو لغرضٍ آخر، او على غير وجه العصيان، كما في الجهاد في سبيل اللّه، أو عوفي ثمّ أوصى‌، صحت الوصيّة في جميع هذه الموارد لعموم أدلّة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31" w:name="pg11823_119004"/>
    </w:p>
    <w:p>
      <w:pPr>
        <w:pStyle w:val="BookText"/>
        <w:rPr/>
      </w:pPr>
      <w:bookmarkEnd w:id="331"/>
      <w:r>
        <w:rPr>
          <w:rFonts w:ascii="Amiri" w:hAnsi="Amiri" w:eastAsia="Amiri" w:cs="Amiri"/>
          <w:color w:val="111111"/>
          <w:sz w:val="28"/>
          <w:sz w:val="28"/>
          <w:szCs w:val="28"/>
          <w:rtl w:val="true"/>
          <w:lang w:bidi="ar-SA"/>
        </w:rPr>
        <w:t>ولو تقدّمت الوصيّة صحّت، وتصحّ الوصيّة للحمل</w:t>
      </w:r>
    </w:p>
    <w:p>
      <w:pPr>
        <w:pStyle w:val="BookText"/>
        <w:rPr/>
      </w:pPr>
      <w:r>
        <w:rPr>
          <w:rFonts w:ascii="Amiri" w:hAnsi="Amiri" w:eastAsia="Amiri" w:cs="Amiri"/>
          <w:color w:val="111111"/>
          <w:sz w:val="28"/>
          <w:sz w:val="28"/>
          <w:szCs w:val="28"/>
          <w:rtl w:val="true"/>
          <w:lang w:bidi="ar-SA"/>
        </w:rPr>
        <w:t>ولو جرح نفسه برجاء أن يموت وأوصى ثمّ 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تصحّ وصيّته، لإطلاق أدلّة الوصيّة بعد اختصاص النَّص بما إذا ماتَ بذلك السبب‌؟</w:t>
      </w:r>
    </w:p>
    <w:p>
      <w:pPr>
        <w:pStyle w:val="BookText"/>
        <w:rPr/>
      </w:pPr>
      <w:r>
        <w:rPr>
          <w:rFonts w:ascii="Amiri" w:hAnsi="Amiri" w:eastAsia="Amiri" w:cs="Amiri"/>
          <w:color w:val="111111"/>
          <w:sz w:val="28"/>
          <w:sz w:val="28"/>
          <w:szCs w:val="28"/>
          <w:rtl w:val="true"/>
          <w:lang w:bidi="ar-SA"/>
        </w:rPr>
        <w:t xml:space="preserve">أم لا تصحّ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لايخلو من نظرٍ، مع فرض عدم تجدّد إنشاء تمليك، ولذا لو نساها ولم يجدّدها لم تنفذ على الأقوى‌</w:t>
      </w:r>
      <w:r>
        <w:rPr>
          <w:rFonts w:eastAsia="Amiri" w:cs="Amiri" w:ascii="Amiri" w:hAnsi="Amiri"/>
          <w:color w:val="111111"/>
          <w:sz w:val="28"/>
          <w:szCs w:val="28"/>
          <w:rtl w:val="true"/>
          <w:lang w:bidi="ar-SA"/>
        </w:rPr>
        <w:t>)</w:t>
      </w:r>
      <w:r>
        <w:rPr>
          <w:rStyle w:val="FootnoteAnchor"/>
          <w:rtl w:val="true"/>
        </w:rPr>
        <w:footnoteReference w:id="9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أوجههما الأوّل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كانت الوصيّة بعدما جَرَح نفسه بالمُهلِك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تقدّمت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إشكال في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فرقٍ بين أنْ يكون حين الوصيّة بانياً على أن يحدث ذلك بعدها، وما لو لم يكن بانياً عليه، لإطلاق الصحيح المتقدّم</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1006814_73709187"/>
      <w:bookmarkStart w:id="333" w:name="_Toc112"/>
      <w:bookmarkEnd w:id="332"/>
      <w:r>
        <w:rPr>
          <w:rtl w:val="true"/>
        </w:rPr>
        <w:t>الوصيّة للحمل</w:t>
      </w:r>
      <w:bookmarkEnd w:id="33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الوصيّة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حين الوصيّة، وإنْ لم تحلّه الحياة، والوجه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على ما ذكرناه في شرائط الموصى له، من أنّ مقتضى القاعدة صحّة الوصيّة للمعدوم، وإنّما لم نلتزم بها للإجماع فظاهرٌ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على القول الآخر، فالوجه فيه أنّ الحمل ليس معدوماً صرفاً لا يقبل </w:t>
      </w:r>
    </w:p>
    <w:p>
      <w:pPr>
        <w:pStyle w:val="BookText"/>
        <w:rPr/>
      </w:pPr>
      <w:r>
        <w:rPr>
          <w:rFonts w:ascii="Amiri" w:hAnsi="Amiri" w:eastAsia="Amiri" w:cs="Amiri"/>
          <w:color w:val="111111"/>
          <w:sz w:val="28"/>
          <w:sz w:val="28"/>
          <w:szCs w:val="28"/>
          <w:rtl w:val="true"/>
          <w:lang w:bidi="ar-SA"/>
        </w:rPr>
        <w:t>بشرط وقوعه حيّاً،</w:t>
      </w:r>
    </w:p>
    <w:p>
      <w:pPr>
        <w:pStyle w:val="BookText"/>
        <w:rPr/>
      </w:pPr>
      <w:r>
        <w:rPr>
          <w:rFonts w:ascii="Amiri" w:hAnsi="Amiri" w:eastAsia="Amiri" w:cs="Amiri"/>
          <w:color w:val="111111"/>
          <w:sz w:val="28"/>
          <w:sz w:val="28"/>
          <w:szCs w:val="28"/>
          <w:rtl w:val="true"/>
          <w:lang w:bidi="ar-SA"/>
        </w:rPr>
        <w:t>التملّك، بعد كون الملكيّة من الاُمور الاعتباريّة، وهي خفيفة المؤونة، فيوصي له وأنْ مات الموصي قبل أن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فيما طفحت به كلماتهم، من أنّه إنّما تصحّ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وقوعه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 ذلك بأنّ الحمل لو لم يولد حَيّاً، لا يقبل لأن يملك لعدم ترتّب أثر على ملكيّته، وبقياس الوصيّة على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ولد حَيّاً ومات في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 ما مرّ في الوقف، من أنّه إذا ملك وسقط ميّتاً بعد ولوج الروح فيه، يكون ذلك إرثاً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مدرك لاعتبار هذا الشرط سوى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المختار من كون الوصيّة من الإيقاعات، غاية الأمر أنّ للموصى له رَدّ الوصيّة، لا إشكال فيما سقط حَيّاً ومات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بأنّها من العقود، ويعتبر فيها القبول، فقد أشكل الأمر على القوم فيمن يقبل هذه الوصيّة،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يعتبر هنا قبول الوارث، لإمكانه في حقّه، وإنّما أسقطنا اعتباره عن الحمل لتعذّره، كما سقط اعتباره في الوصيّة للجهات العامّة، ووجه سقوطه عن الوارث، تلقّيه الملك عن المولود المالك لها بدون القبول، والمتّجه اعتبار القبول في الوصيّة للحمل مطلقاً، فيقبل وليّه ابتداءً أو وارثه هنا</w:t>
      </w:r>
      <w:r>
        <w:rPr>
          <w:rFonts w:eastAsia="Amiri" w:cs="Amiri" w:ascii="Amiri" w:hAnsi="Amiri"/>
          <w:color w:val="111111"/>
          <w:sz w:val="28"/>
          <w:szCs w:val="28"/>
          <w:rtl w:val="true"/>
          <w:lang w:bidi="ar-SA"/>
        </w:rPr>
        <w:t>)</w:t>
      </w:r>
      <w:r>
        <w:rPr>
          <w:rStyle w:val="FootnoteAnchor"/>
          <w:rtl w:val="true"/>
        </w:rPr>
        <w:footnoteReference w:id="9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34" w:name="pg11823_119006"/>
    </w:p>
    <w:p>
      <w:pPr>
        <w:pStyle w:val="BookText"/>
        <w:rPr/>
      </w:pPr>
      <w:bookmarkEnd w:id="334"/>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قبول الوارث فلا وجه له أصلاً، لأنّ الوارث يتلقّى المِلْك من المولود، وثبوت الملكيّة القهريّة له بحكم أدلّة الإرث ممّا لا كلام فيه، فملكيّته تتوقّف على ملكيّته للمولود، فلو توقّفت الملكيّة له على قبول الوارث، لزم الدور، مع أنّه لا وجه لاعتبار قبول غير من هو طرف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قبول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فاعتباره أيضاً لا يمكن تطبيقه على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ما دام حملاً لا دليل على ولايته عليه، بحيث يصحّ له عنه الهبة والبيع ونحوهما خصوصاً قبل ولوج الروح وبعد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ولايته ثابتة عليه، إلّاأنّ ظاهر الفتاوي المتضمّنة لاستقرار الوصيّة بانفصاله حَيّاً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فالمتّجه عدم اعتبار القبول في هذا المورد أيضاً</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1006816_73709187"/>
      <w:bookmarkStart w:id="336" w:name="_Toc113"/>
      <w:bookmarkEnd w:id="335"/>
      <w:r>
        <w:rPr>
          <w:rtl w:val="true"/>
        </w:rPr>
        <w:t>الوصيّة للكافر</w:t>
      </w:r>
      <w:bookmarkEnd w:id="33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للكافر أقوالٌ أنهاها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في الذّمي خاصّة إلى سبعة أقوال، لكن العمدة منها في الذّمي ثلاثة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الجواز مطلقاً، اختاره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والحِلّي</w:t>
      </w:r>
      <w:r>
        <w:rPr>
          <w:rStyle w:val="FootnoteAnchor"/>
          <w:rtl w:val="true"/>
        </w:rPr>
        <w:footnoteReference w:id="939"/>
      </w:r>
      <w:r>
        <w:rPr>
          <w:rFonts w:ascii="Amiri" w:hAnsi="Amiri" w:eastAsia="Amiri" w:cs="Amiri"/>
          <w:color w:val="111111"/>
          <w:sz w:val="28"/>
          <w:sz w:val="28"/>
          <w:szCs w:val="28"/>
          <w:rtl w:val="true"/>
          <w:lang w:bidi="ar-SA"/>
        </w:rPr>
        <w:t>، والمحقّق</w:t>
      </w:r>
      <w:r>
        <w:rPr>
          <w:rStyle w:val="FootnoteAnchor"/>
          <w:rtl w:val="true"/>
        </w:rPr>
        <w:footnoteReference w:id="940"/>
      </w:r>
      <w:r>
        <w:rPr>
          <w:rFonts w:ascii="IRNazanin" w:hAnsi="IRNazanin" w:eastAsia="IRNazanin"/>
          <w:color w:val="111111"/>
          <w:sz w:val="28"/>
          <w:sz w:val="28"/>
          <w:szCs w:val="28"/>
          <w:rtl w:val="true"/>
          <w:lang w:bidi="fa-IR"/>
        </w:rPr>
        <w:t>، والمصنّف رحمه الله</w:t>
      </w:r>
      <w:r>
        <w:rPr>
          <w:rStyle w:val="FootnoteAnchor"/>
          <w:rtl w:val="true"/>
        </w:rPr>
        <w:footnoteReference w:id="941"/>
      </w:r>
      <w:r>
        <w:rPr>
          <w:rFonts w:ascii="Amiri" w:hAnsi="Amiri" w:eastAsia="Amiri" w:cs="Amiri"/>
          <w:color w:val="111111"/>
          <w:sz w:val="28"/>
          <w:sz w:val="28"/>
          <w:szCs w:val="28"/>
          <w:rtl w:val="true"/>
          <w:lang w:bidi="ar-SA"/>
        </w:rPr>
        <w:t>وغيرهم</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وللذّمي دون الحربي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الجواز مطلقاً، هو قول القاضي</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كونه رحماً وأجنبيّاً، فتصحّ في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كذلك في الحربي، غاية الأمر يختلف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جمعٌ من الأساطين</w:t>
      </w:r>
      <w:r>
        <w:rPr>
          <w:rStyle w:val="FootnoteAnchor"/>
          <w:rtl w:val="true"/>
        </w:rPr>
        <w:footnoteReference w:id="944"/>
      </w:r>
      <w:r>
        <w:rPr>
          <w:rFonts w:ascii="Amiri" w:hAnsi="Amiri" w:eastAsia="Amiri" w:cs="Amiri"/>
          <w:color w:val="111111"/>
          <w:sz w:val="28"/>
          <w:sz w:val="28"/>
          <w:szCs w:val="28"/>
          <w:rtl w:val="true"/>
          <w:lang w:bidi="ar-SA"/>
        </w:rPr>
        <w:t xml:space="preserve">هو صحّة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للذّمي دون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الوصيّة للذّمي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لجوازها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أدلّة الوصيّة،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وما دلّ على الترغيب في البِرّ والإحسان</w:t>
      </w:r>
      <w:r>
        <w:rPr>
          <w:rStyle w:val="FootnoteAnchor"/>
          <w:rtl w:val="true"/>
        </w:rPr>
        <w:footnoteReference w:id="946"/>
      </w:r>
      <w:r>
        <w:rPr>
          <w:rFonts w:ascii="Amiri" w:hAnsi="Amiri" w:eastAsia="Amiri" w:cs="Amiri"/>
          <w:color w:val="111111"/>
          <w:sz w:val="28"/>
          <w:sz w:val="28"/>
          <w:szCs w:val="28"/>
          <w:rtl w:val="true"/>
          <w:lang w:bidi="ar-SA"/>
        </w:rPr>
        <w:t>، وجواز الصدقة على الكافر</w:t>
      </w:r>
      <w:r>
        <w:rPr>
          <w:rStyle w:val="FootnoteAnchor"/>
          <w:rtl w:val="true"/>
        </w:rPr>
        <w:footnoteReference w:id="947"/>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أوصى بماله في سبيل اللّه‌؟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لمن أوصى له، وإنْ كان يهوديّاً أو نصرانيّاً، إنّ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صحيحه الآخر عن أحدهما عليهما السلام</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الريّان بن شبيب، عن الإمام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 أوصت بوصيّةٍ لقومٍ نصارى‌، وأردتُ أن أصرف ذلك إلى قومٍ من أصحابنا مسلمين‌؟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الوصيّة على ما أوصت به،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بتقريب أنّ الآية متناولة للأرحام وغيرهم، والوصيّة لهم 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بين الآية والنصوص المتقدّمة، بحمل تلك النصوص على إرادة صحّة الوصيّة، وإبقاء الآية على ظاهرها من عدم الجواز، فتكون الوصيّة له كالبيع وقت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w:t>
      </w:r>
      <w:r>
        <w:rPr>
          <w:rStyle w:val="FootnoteAnchor"/>
          <w:rtl w:val="true"/>
        </w:rPr>
        <w:footnoteReference w:id="955"/>
      </w:r>
      <w:r>
        <w:rPr>
          <w:rFonts w:ascii="Amiri" w:hAnsi="Amiri" w:eastAsia="Amiri" w:cs="Amiri"/>
          <w:color w:val="111111"/>
          <w:sz w:val="28"/>
          <w:sz w:val="28"/>
          <w:szCs w:val="28"/>
          <w:rtl w:val="true"/>
          <w:lang w:bidi="ar-SA"/>
        </w:rPr>
        <w:t>من أنّ النهي عن الموادّة إنّما هو من حيث كونه يحادّ اللّه ورسوله، وإلّا لزم حرمة اللّطف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يقيّد إطلاق هذه الآية بالآية المتقدّمة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العطيّة، سيّما إذا كانت مكافاة أو تأليفاً موادّةٌ‌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تلكم ما ورد في الأرحام من الأمر بصلتهم</w:t>
      </w:r>
      <w:r>
        <w:rPr>
          <w:rStyle w:val="FootnoteAnchor"/>
          <w:rtl w:val="true"/>
        </w:rPr>
        <w:footnoteReference w:id="956"/>
      </w:r>
      <w:r>
        <w:rPr>
          <w:rFonts w:ascii="Amiri" w:hAnsi="Amiri" w:eastAsia="Amiri" w:cs="Amiri"/>
          <w:color w:val="111111"/>
          <w:sz w:val="28"/>
          <w:sz w:val="28"/>
          <w:szCs w:val="28"/>
          <w:rtl w:val="true"/>
          <w:lang w:bidi="ar-SA"/>
        </w:rPr>
        <w:t>، وفي الأبوين من الأمر بمصاحبتهما في الدُّنيا معروفاً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ظاهراً على التلازم بين الأمرين، مع أنّ ظاهر النصوص الجواز التكليفي أيضاً، فيقيّد بها إطلاق الآية، وعليه فلا إشكال في جواز وصيّة للذّمي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جواز الوصيّة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وبانصراف أدلّة الوصيّة إلى الوصيّة غير المحرّمة، وهذه محرّمة لآية النهي عن الموادّة</w:t>
      </w:r>
      <w:r>
        <w:rPr>
          <w:rStyle w:val="FootnoteAnchor"/>
          <w:rtl w:val="true"/>
        </w:rPr>
        <w:footnoteReference w:id="958"/>
      </w:r>
      <w:r>
        <w:rPr>
          <w:rFonts w:ascii="Amiri" w:hAnsi="Amiri" w:eastAsia="Amiri" w:cs="Amiri"/>
          <w:color w:val="111111"/>
          <w:sz w:val="28"/>
          <w:sz w:val="28"/>
          <w:szCs w:val="28"/>
          <w:rtl w:val="true"/>
          <w:lang w:bidi="ar-SA"/>
        </w:rPr>
        <w:t>، فالمتّبع فيها أصالة عدم المشروعيّة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الحربي لا يَملك فإنّ ماله فيءٌ للمسلمين، وقد تقدّم أنّه يشترط في الوصيّة قابليّة الموصى له للتملّك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أوّلاً، وعدم كونه تعبّديّاً كاشفا عن رأي المعصوم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حرمة الوصيّة للكافر، إذ لا دليل لها سوى آية النهي عن الموادّة، وقد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 حرمة الوصيّة لا تستلزم فسادها، وانصراف أدلّتها عن الوصيّة المحرّمة ممنوعٌ‌</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يلزم ممّا اُفيد أنّه يجوز أخذه منه، ولا يجب التسليم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أوصى لذكورٍ وإناثٍ تساووا، إلّامع التفضيل، وكذا الأعمام والأخوال، ولو أوصى لقرابته فهم المعروفون بنسبه والعشيرة والجيران والسبيل والبِرّ والفقراء كالوقف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وهذا لا يوجبُ بطلان الوصيّة، وعدم كونها مملّكة له، بل تصحّ الوصيّة، ويصير الموصى به مِلْكاً له، يترتّب عليه حكم سائر أملاكه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صحّة الوصيّة له أيضاً لإطلاق أدلّة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بشمول إطلاق النصوص الخاصّة المتقدّمة له، فإنّ اليهودي أو النصراني قد يكون ذميّاً، وقد يكون غير ملتزمٍ بشرائط الذمّة وحربيّاً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إلى الذّمي لا منشأ لها سوى الغلبة، وهي لا تصلح منشئاً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عموم فيهما، لكونهما نكرتين في سياق الإثبات، لاعموم فيهمالغةً‌، بل مطلقان ينصرفان بحكم التبادرإلى الملتزم منهما بشرائطالذمّة</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حجّة كالعام، وانصرافه ممنوعٌ لمنع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رحمه الله ذكر جملة من فروع الوصيّة للمملوك، فعلى ما بنينا عليه من إلغاء المباحث المتعلّقة بالإماء والعبيد لا نتعرّض لها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لذكورٍ وإناثٍ تساووا، إلّامع التفضيل، وكذا الأعمام والأخوال، ولو أوصى لقرابته فهم المعروفون بنسبه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في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والعشيرة والجيران والسبيل والبِرّ والفقراء كالوقف</w:t>
      </w:r>
      <w:r>
        <w:rPr>
          <w:rFonts w:eastAsia="Amiri" w:cs="Amiri" w:ascii="Amiri" w:hAnsi="Amiri"/>
          <w:color w:val="111111"/>
          <w:sz w:val="28"/>
          <w:szCs w:val="28"/>
          <w:rtl w:val="true"/>
          <w:lang w:bidi="ar-SA"/>
        </w:rPr>
        <w:t xml:space="preserve">).). </w:t>
      </w:r>
      <w:bookmarkStart w:id="337" w:name="pg11823_119011"/>
    </w:p>
    <w:p>
      <w:pPr>
        <w:pStyle w:val="BookText"/>
        <w:rPr/>
      </w:pPr>
      <w:bookmarkEnd w:id="337"/>
      <w:r>
        <w:rPr>
          <w:rFonts w:ascii="Amiri" w:hAnsi="Amiri" w:eastAsia="Amiri" w:cs="Amiri"/>
          <w:color w:val="111111"/>
          <w:sz w:val="28"/>
          <w:sz w:val="28"/>
          <w:szCs w:val="28"/>
          <w:rtl w:val="true"/>
          <w:lang w:bidi="ar-SA"/>
        </w:rPr>
        <w:t>ولو مات الموصي له قبله ولم يرجع، كانت لورثته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1006818_73709187"/>
      <w:bookmarkStart w:id="339" w:name="_Toc114"/>
      <w:bookmarkEnd w:id="338"/>
      <w:r>
        <w:rPr>
          <w:rtl w:val="true"/>
        </w:rPr>
        <w:t>حكم ما لو مات الموصى له قبل الموصي</w:t>
      </w:r>
      <w:bookmarkEnd w:id="33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الموصي 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عن وصيّته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960"/>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الوصيّة بموته قبل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بالتفصيل بين ما إذا علم أنّ غرض الموصي خصوص الموصى له فتبطل، وبين غيره فلورثته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التفصيل المذكور حقٌّ‌، وبه يُجمع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هو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المختار من عدم اعتبار القبول، وكون الرّد مانعاً، فلأنّ الموصى له لايملك المال في حياة الموصي كي ينتقل عنه إلى ورثته، وانتقال الموصى به إلى الموصى له بعد موت الموصي وإنْ كان ممكناً كالدّية، إلّاأنّ أدلّة الوصيّة لا إطلاق لها من هذه الجهة، ولا تدلّ عليه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المال بحيث ينتقل إلى الموصى له بعد موت الموصي من الحقوق، فينتقل ذلك إلى ورثته، لأنّ ما تركه الميّت من مال أو حقّ فلوارثه، ولازم ذلك صيرورته بموته ملكاً لورثته كما عن جماعةٍ في حقّ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ممنوعٌ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المقابل للملك والحكم بحسب الاصطلاح عبارة عن اعتبار السلطنة على شيء أو شخص في جهةٍ خاصّة، مثلاً حقّ الخيار عبارة عن السلطنة على الفسخ والإمضاء، وحقّ الشفعة عبارة عن السلطنة على ضَمّ حصّة الشريك إلى حصّته بتملّكه عليه قهراً، ولكن ليس ذلك حقيقة شرعيّة له، إذ مضافاً إلى عدم الدليل عليه، كثيراً ما يستعمل الحقّ في الأخبار في الحكم، وعليه فتشخيص كون مورد خاص من قبيل الحكم أو الحقّ بالمعنى الذي ذكرناه يتوقّف على ملاحظة الخصوصيّات والقرائن، ولا يستفاد ذلك من مجرّد إطلاق الحقّ عليه، هذا فضلاً عن أنّ الشيخ الأعظم رحمه الله</w:t>
      </w:r>
      <w:r>
        <w:rPr>
          <w:rStyle w:val="FootnoteAnchor"/>
          <w:rtl w:val="true"/>
        </w:rPr>
        <w:footnoteReference w:id="963"/>
      </w:r>
      <w:r>
        <w:rPr>
          <w:rFonts w:ascii="Amiri" w:hAnsi="Amiri" w:eastAsia="Amiri" w:cs="Amiri"/>
          <w:color w:val="111111"/>
          <w:sz w:val="28"/>
          <w:sz w:val="28"/>
          <w:szCs w:val="28"/>
          <w:rtl w:val="true"/>
          <w:lang w:bidi="ar-SA"/>
        </w:rPr>
        <w:t>قد جعل للحقّ أقساماً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لايقبل المعاوضة بالمال، أي لا يقبل النقل ولا الإسقاط، كحقّ الحضانة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الإسقاط ولا يقبل النقل، كحقّ الشفعة والخيار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قابلاً للنقل والانتقال والإسقاط، كحقّ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رحمه الله جعل ما يصحّ نقله وإسقاطه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ذلك فيه بالعوض ومجاناً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يصحّ ذلك فيه إلّامجاناً، كحقّ القسم، فإنّ لكلّ من الأزواج نقله إلى ضرّتها وإسقاطه، إلّاأنّه ليس لها أخذ المال بإزاء 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فحيثُ لا يعلم أنّ ما اُشير إليه من قبيل الحقّ أو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فرض كونه من قبيل الأوّل من أيّ قسم من أقسام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 القول المزبور صغرى وكبرى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باعتبار القبول فيها، فالبطلان أوضح، إذ مضافاً إلى ماذكرناه، يشهد له أنّ المفروض أنّ الإيجاب مختصٌّ بالموصى له، وحينئذٍ إنْ قبل الوارث لنفسه، لزم عدم مطابقة الإيجاب والقبول، وإنْ قبل للمورّث فهو ليس وكيلاً عنه، ولا وليّاً عليه، فلابدّ من البناء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المشهور، منها الخبر الصحيح الذي رواه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أوصى لآخر والموصى له غائبٌ‌، فتوفّى الموصى له الذي أوصى له قبل الموصي‌؟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لوارث الذي أوصي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أوصى لأحدٍ شاهداً كان أو غائباً، فتوفّى الموصى له قبل الموصي، فالوصيّة لوارث الذي أوصى له، إلّاأن يرجع في وصيّته قبل موته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Style w:val="FootnoteAnchor"/>
          <w:rtl w:val="true"/>
        </w:rPr>
        <w:footnoteReference w:id="965"/>
      </w:r>
      <w:r>
        <w:rPr>
          <w:rFonts w:ascii="Amiri" w:hAnsi="Amiri" w:eastAsia="Amiri" w:cs="Amiri"/>
          <w:color w:val="111111"/>
          <w:sz w:val="28"/>
          <w:sz w:val="28"/>
          <w:szCs w:val="28"/>
          <w:rtl w:val="true"/>
          <w:lang w:bidi="ar-SA"/>
        </w:rPr>
        <w:t xml:space="preserve">، وقبله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بأنّ محمّدبن قيس مشتركٌ بين جماعة أحدهم ضعيف، ولعلّه راوي الخبر، فهو ساقطٌ عن الحجيّة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 من المحقّقين على ما حُكي، أنّ الذي يروي عنه عاصم بن حميد هو البَجَلي الثقة، وعليه فلا إشكال في الخبر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في سنده شيءٌ لكان منجبراً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يذكر من هذه الطائفة خبران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عمر الباهلي،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أوصى إليّ وأمرني أن أعطي عمّاله في كلّ سنةٍ شيئاً، فمات العمّ؟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ورثته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مربوط بمسألتنا، وإنّما هو في الوصيّة بالتمليك في كلّ سنة، ويكون إيجاب التمليك من الوصي، ومقتضى القاعدة في تلك المسألة أيضاً البطلان، والخبر لجهالة رواية لايكون مستنداً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المثنّى بن عبد السلام،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أوصى له بوصيّةٍ فمات قبل أن يقبضها، ولم يترك عقباً؟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وارثاً أو مولى فادفعها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أعلم له وليّاً؟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على أن تقدر له على وليّ‌، فإنْ لم تجد، وعلم اللّه منك الجِدّ، فتصدّق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خصوص مورد عدم القبض، وظاهرٌ في وقوع القبول، فلا يدلّ على هذا القول، وعليه فالمستند خصوص صحيح محمّد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بطلان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وأبي بصير جميعاً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أوصى لرجلٍ فمات الموصى له قبل الموصي‌؟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أوصى لرجلٍ بوصيّة إنْ حَدَث به حدثٌ فمات الموصى له قبل الموصي‌؟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الطائفة الثانية غير ظاهرة في بطلان الوصيّة، إذ يمكن أنْ يكون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ليس بشيء قادحٍ في الوصيّة، لا أنّ الإيصاء ليس بشيء، فلا معارض لصحيح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فغاية الامر ظهورها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بينها وبين صحيح ابن قيس يقتضي حملها على إرادة أنّ الموت ليس بشيء، إذ حمل الظاهر على النّص أو الأظهر جمعٌ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إلّاعن ظهورها في بطلان الوصيّة، بنحو لا يصحّ حملها على غير ذلك، فهي معارضة مع صحيح ابن قيس، ويقدّم هو لأنّه المشهور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فأصل الحكم ممّا لا إشكال فيه، إنّما الإشكال في اُمور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يدّعى اختصاص الصحيح بما إذا لم يُعلم غرض الموصي خصوص شخص الموصى له على وجه التقييد، وأمّا فيما إذا عُلم ذلك فالمرجع إلى القواعد المقتضية للبطلان، ولم يذكروا وجهاً للاختصاص سوى الانصراف، وأنّ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لم يكن له وارثٌ فلورثة الموصي</w:t>
      </w:r>
    </w:p>
    <w:p>
      <w:pPr>
        <w:pStyle w:val="BookText"/>
        <w:rPr/>
      </w:pPr>
      <w:r>
        <w:rPr>
          <w:rFonts w:ascii="Amiri" w:hAnsi="Amiri" w:eastAsia="Amiri" w:cs="Amiri"/>
          <w:color w:val="111111"/>
          <w:sz w:val="28"/>
          <w:sz w:val="28"/>
          <w:szCs w:val="28"/>
          <w:rtl w:val="true"/>
          <w:lang w:bidi="ar-SA"/>
        </w:rPr>
        <w:t>ذلك هو المتيقّن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أرى له منشأً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كونه هو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يمنع عن التمسّك بالإطلاق، إذ الثابت في محلّه أنّ وجود القدر المتيقّن في مقام التخاطب ليس مانعاً عن الإطلاق، فضلاً عن المتيقّن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مات الموصى له قبل 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 وارثٌ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لورثة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وعن غيره</w:t>
      </w:r>
      <w:r>
        <w:rPr>
          <w:rStyle w:val="FootnoteAnchor"/>
          <w:rtl w:val="true"/>
        </w:rPr>
        <w:footnoteReference w:id="970"/>
      </w:r>
      <w:r>
        <w:rPr>
          <w:rFonts w:ascii="IRNazanin" w:hAnsi="IRNazanin" w:eastAsia="IRNazanin"/>
          <w:color w:val="111111"/>
          <w:sz w:val="28"/>
          <w:sz w:val="28"/>
          <w:szCs w:val="28"/>
          <w:rtl w:val="true"/>
          <w:lang w:bidi="fa-IR"/>
        </w:rPr>
        <w:t>، أم لا؟</w:t>
      </w:r>
    </w:p>
    <w:p>
      <w:pPr>
        <w:pStyle w:val="BookText"/>
        <w:rPr/>
      </w:pPr>
      <w:r>
        <w:rPr>
          <w:rFonts w:ascii="Amiri" w:hAnsi="Amiri" w:eastAsia="Amiri" w:cs="Amiri"/>
          <w:color w:val="111111"/>
          <w:sz w:val="28"/>
          <w:sz w:val="28"/>
          <w:szCs w:val="28"/>
          <w:rtl w:val="true"/>
          <w:lang w:bidi="ar-SA"/>
        </w:rPr>
        <w:t>وجهان، أوجههما الأوّل، لأنّ النّص وإنْ كان في وارث الموصى له، ولكنّه يدلّ على أنّ الوصيّة موروثة للوارث، فمقتضى إطلاق أدلّة الإرث ثبوتها لوارث الوارث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ينتقل الموصى به بموت الموصي إلى الميّت، ثمّ إلى الوارث، أو إليه ابتداءً من الموصى‌؟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الميّت بمنزلة المعدوم، فلا يقبل الملك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إشكال في أنّها تقسّم على حسب قسمة المواريث، ولو كانت منتقلة إلى الورثة من الموصي لم يكن لذلك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من الاُمور الاعتباريّة، ولا حقيقة لها وراء الاعتبار، ولذا ربما يكون المملوك كليّاً، وقد يكون المالك كذلك، وعليه فاعتبارها للميّت لا محذور فيه أصلاً، بل ظاهر الأدلّة الدالّة على انتفاع الميّت بالمال ذلك، وقد مرّ تفصيل القول في ذلك في المباحث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المانع من كون تقسيم الوصيّة في المقام بحكم الميراث من هذه الجهة إنْ دلّ على ذلك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النّص كون الوصيّة موروثة للوارث لا المال، فبعد انتقال الوصيّة إليهم إذا مات الموصي، ينتقل المال منه إليهم كما في سائر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المدار على الوارث حين موت الموصى له أو الوارث حين موت الموصى‌؟</w:t>
      </w:r>
    </w:p>
    <w:p>
      <w:pPr>
        <w:pStyle w:val="BookText"/>
        <w:rPr/>
      </w:pPr>
      <w:r>
        <w:rPr>
          <w:rFonts w:ascii="Amiri" w:hAnsi="Amiri" w:eastAsia="Amiri" w:cs="Amiri"/>
          <w:color w:val="111111"/>
          <w:sz w:val="28"/>
          <w:sz w:val="28"/>
          <w:szCs w:val="28"/>
          <w:rtl w:val="true"/>
          <w:lang w:bidi="ar-SA"/>
        </w:rPr>
        <w:t>وجهان، أظهرهما الأوّل، بناءً على ما عرفت من انتقال المال من الموصي إلى الورثة، وأنّه إنّما تنتقل الوصيّة إلى الورثة، فإنّ الوارث حين موت الموصى له حينئذٍ يرث الوصيّة، ولا يبقى شيءٌ حتّى يرثه الوارث حين موت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الورثة لا يرثون الوصيّة، بل يرثون المال، وأنّه إنّما ينتقل المال من الموصي إلى الموصى له ومنه إلى ورثته، كان الأوجه هو الثاني، لأنّ المدار على الوارث حين انتقال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أوصى له بأرضٍ‌، فمات قبل القبول، فهل ترث زوجته منها أو لا؟</w:t>
      </w:r>
    </w:p>
    <w:p>
      <w:pPr>
        <w:pStyle w:val="BookText"/>
        <w:rPr/>
      </w:pPr>
      <w:r>
        <w:rPr>
          <w:rFonts w:ascii="Amiri" w:hAnsi="Amiri" w:eastAsia="Amiri" w:cs="Amiri"/>
          <w:color w:val="111111"/>
          <w:sz w:val="28"/>
          <w:sz w:val="28"/>
          <w:szCs w:val="28"/>
          <w:rtl w:val="true"/>
          <w:lang w:bidi="ar-SA"/>
        </w:rPr>
        <w:t>وجهان مبنيّان على أنّ المنتقل إلى الورثة هو المال أو الوصيّة‌؟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لا ترث، وعلى الثاني ترث، إذ الدليل دلّ على محروميّتها عن </w:t>
      </w:r>
      <w:bookmarkStart w:id="340" w:name="pg11823_119018"/>
    </w:p>
    <w:p>
      <w:pPr>
        <w:pStyle w:val="BookText"/>
        <w:rPr/>
      </w:pPr>
      <w:bookmarkEnd w:id="340"/>
      <w:r>
        <w:rPr>
          <w:rFonts w:ascii="Amiri" w:hAnsi="Amiri" w:eastAsia="Amiri" w:cs="Amiri"/>
          <w:color w:val="111111"/>
          <w:sz w:val="28"/>
          <w:sz w:val="28"/>
          <w:szCs w:val="28"/>
          <w:rtl w:val="true"/>
          <w:lang w:bidi="ar-SA"/>
        </w:rPr>
        <w:t>وتصحّ الوصيّة بالحمل،</w:t>
      </w:r>
    </w:p>
    <w:p>
      <w:pPr>
        <w:pStyle w:val="BookText"/>
        <w:rPr/>
      </w:pPr>
      <w:r>
        <w:rPr>
          <w:rFonts w:ascii="Amiri" w:hAnsi="Amiri" w:eastAsia="Amiri" w:cs="Amiri"/>
          <w:color w:val="111111"/>
          <w:sz w:val="28"/>
          <w:sz w:val="28"/>
          <w:szCs w:val="28"/>
          <w:rtl w:val="true"/>
          <w:lang w:bidi="ar-SA"/>
        </w:rPr>
        <w:t>الأرض، لا عن مايؤدّي إلى ملكيّة الأرض، ودلالة الدليل على كونها على نحو الإرث، ولذا يجبُ أن تقسّم على نحو قسمة الميراث، لاتستلزم ترتّب الحكم الخاص لموروث خاص على الوصيّة بذلك الموروث،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أنّ الأظهر أنّ الوصيّة تورث، والمال ينتقل من الموصى إلى الورثة، فالأوجه أنّها ترث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يختصّ ذلك بالوصيّة التمليكيّة، أم يعمّ العهديّة، بأنْ يوصي إلى وصيّه أن يعطي زيداً مثلاً شيئاً؟</w:t>
      </w:r>
    </w:p>
    <w:p>
      <w:pPr>
        <w:pStyle w:val="BookText"/>
        <w:rPr/>
      </w:pPr>
      <w:r>
        <w:rPr>
          <w:rFonts w:ascii="Amiri" w:hAnsi="Amiri" w:eastAsia="Amiri" w:cs="Amiri"/>
          <w:color w:val="111111"/>
          <w:sz w:val="28"/>
          <w:sz w:val="28"/>
          <w:szCs w:val="28"/>
          <w:rtl w:val="true"/>
          <w:lang w:bidi="ar-SA"/>
        </w:rPr>
        <w:t>الأظهر هو الأوّل لاختصاص النّص بالتمليكيّة، وقد مرّ أنّ خبر الباهلي وإنْ دلّ على جريان هذا الحكم في العهديّة، إلّاأنّه ضعيف السند غير مجبور بالعمل</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1006820_73709187"/>
      <w:bookmarkStart w:id="342" w:name="_Toc115"/>
      <w:bookmarkEnd w:id="341"/>
      <w:r>
        <w:rPr>
          <w:rtl w:val="true"/>
        </w:rPr>
        <w:t>الوصيّة بالحمل</w:t>
      </w:r>
      <w:bookmarkEnd w:id="34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الوصيّة بالحَمل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وكذا بما تحمله الدابّة أو الشجرة، من غير فرقٍ في جواز الوصيّة بالمتجدّد بين المضبوط بمدّةٍ كالمتجدّد في هذه السنة، أو عشر سنين، أو عددٍ كأربعة، ولا في المضبوط بمدّةٍ بين المتّصل بالموت والمتأخّر كالسنة الفلانية من المتجدّد، كلّ ذلك لإطلاق أدلّة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المتجدّد بعد موت الموصى إنّما هو لورثته فكيف يوصى به‌؟</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بالوصيّة بسكنى الدّار مدّة مستقبلة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وهو أنّ المالك كما يملك العين الخارجيّة ملكيّة مرسلة غير </w:t>
      </w:r>
      <w:bookmarkStart w:id="343" w:name="pg11823_119019"/>
    </w:p>
    <w:p>
      <w:pPr>
        <w:pStyle w:val="BookText"/>
        <w:rPr/>
      </w:pPr>
      <w:bookmarkEnd w:id="343"/>
      <w:r>
        <w:rPr>
          <w:rFonts w:ascii="Amiri" w:hAnsi="Amiri" w:eastAsia="Amiri" w:cs="Amiri"/>
          <w:color w:val="111111"/>
          <w:sz w:val="28"/>
          <w:sz w:val="28"/>
          <w:szCs w:val="28"/>
          <w:rtl w:val="true"/>
          <w:lang w:bidi="ar-SA"/>
        </w:rPr>
        <w:t>ويستحبّ للقريب وإن كان وارثاً، وإذا أوصى إلى عَدلٍ ففسق بطلت، ويصحّ أن يوصي إلى المرأة، والصبيّ بشرط انضمامه إلى الكامل، وإلى المملوك بإذن مولاه، فيمضي الكامل الوصيّة إلى أن يبلغ الصبي، ثمّ يشتركان، ولا ينقض بعد بلوغه ما تقدّم ممّا هو سائغٌ‌، ولو أوصى الكافر إلى مثله صحّ‌، ولو أوصى إلى اثنين</w:t>
      </w:r>
    </w:p>
    <w:p>
      <w:pPr>
        <w:pStyle w:val="BookText"/>
        <w:rPr/>
      </w:pPr>
      <w:r>
        <w:rPr>
          <w:rFonts w:ascii="Amiri" w:hAnsi="Amiri" w:eastAsia="Amiri" w:cs="Amiri"/>
          <w:color w:val="111111"/>
          <w:sz w:val="28"/>
          <w:sz w:val="28"/>
          <w:szCs w:val="28"/>
          <w:rtl w:val="true"/>
          <w:lang w:bidi="ar-SA"/>
        </w:rPr>
        <w:t>محدودة بزمانٍ‌، كذلك يملك بتبع ملك العين منافعها المرسلة غير المحدودة، فله أنْ يوصي بها كيف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للقريب، وإنْ كان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فيه في شرائط الموصى له، كما أنّه قد مرّ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إفادة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أوصى إلى عَدلٍ فَفَسق بطلت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وعرفت أنّ فسقه لايوجب بطلان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ان يوصى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انضمامه إلى الكامل، وإلى المملوك بإذن مولاه، فيمضي الكامل الوصيّة إلى أن يبلغ الصبي ثمّ يشتركان، ولا ينقض بعد بلوغه ما تقدّم ممّا هو سائغٌ‌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الكافر إلى مثله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عرفت صحّة وصيّة المسلم إليه أيضاً</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1006822_73709187"/>
      <w:bookmarkStart w:id="345" w:name="_Toc116"/>
      <w:bookmarkEnd w:id="344"/>
      <w:r>
        <w:rPr>
          <w:rtl w:val="true"/>
        </w:rPr>
        <w:t>حكم ما لو أوصى إلى اثنين</w:t>
      </w:r>
      <w:bookmarkEnd w:id="345"/>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إلى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يشترط اجتماعهما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وشَرَط الاجتماع أو أطلق، فليس لأحدهما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يجوز لهما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الاجتماع أو أطلق، فليس لأحدهما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عليهما الاجتماع فيه، بمعنى صدوره عن رأيهما ونظرهما، وإنْ باشره أحدهما بلا خلافٍ في الأوّل، بل عليه 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xml:space="preserve">، وعلى الأشهر في الثاني،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عليه عامّة المتأخّرين</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مع شرط الاجتماع فظاهرٌ، لأنّ ولايتهما لم تثبت إلّاعلى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المستفاد عرفاً من الإطلاق إرادة الاجتماع فكذلك، وإلّا بأنْ حصل الاشتباه في المراد، فثبوت الولاية لهما بنحو الاجتماع معلومٌ‌، وثبوتها لكلّ واحدٍ منفرداً مشكوكٌ فيه،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مع ذلك بصحيح الصفّار،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أوصى إلى رجلين، أيجوز لأحدهما أن ينفرد بنصف التركة، والآخر بالنصف‌؟</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لهما أن يخالفا الميّت وأن يعملا على حسب ما أمرهما إنْ شاء اللّه تعالى‌</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 فهو يدلّ على جواز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 نفسه ظاهراً في الحرمة، ولكنّه لايكون ظاهراً في الكراهة أيضاً، وفي المقام أُريد منه الحرمة قطعاً،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يخالفا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حرمة مخالفة الميّت لتضمّنها التبديل المنهيّ عنه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يعملا على حسب ما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حمل الإطلاق على أمره بالاجتماع، ومع أمره به لا إشكال في عدم جواز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في أحد قوليه</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انفراد كلّ منهما مع الإطلاق، واستدلّ لهم بموثّق بُريد بن معاوية،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مات وأوصى إليّ وإلى آخر، أو إلى رجلين، فقال أحدهما خُذ نصف ما ترك، واعطني النصف ممّا ترك، فأبى عليه الآخر، فسألوا أبا عبداللّه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الاستدلال به يتوقّف على رجوع الإشارة إلى القسمة، والضمير المجرور إلى الطالب، مع أنّه يحتمل رجوع الإشارة إلى الإباء، والضمير إلى المطلوب، بل لعلّ هذا أولى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وغيرهما، لقُرب مرجع الإشارة، فهو أيضاً يدلّ على عدم جواز الانفراد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ويجبرهما الحاكم على الاجتماع، ولو تشاحّا</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الإشارة بذلك إلى البعيد، فحمله على القسمة أنسب باللّفظ</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المحكيّ عن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عدم وجود اللّام مع الإشارة، وإنّما هي موجودة في نسخة الشيخ، وعند دروان الأمر بين 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الأصل مقتضياً للبناء على الثاني، إلّاأنّه في المقام بما أنّ الشيخ أخذ الخبر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فالأوّل لو لم يكن أظهر، لا ريب في تساوي الاحتمالين، فيكون الخبر مجملاً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الإغماض عن جميع ذلك، وتسليم دلالته على ما استدلّ به له، فحيثُ يقع التعارض بينه وبين صحيح الصفّار، فإنْ قلنا بأنّ الجمع العرفي بينهما بحمل الظاهر على النّص أو الأظهر يقتضي حمل الموثّق على إرادة المنع عن الانفراد، كما فهمه المصنّف ومن بعده، وإلّا فيقدّم الصحيح للشهرة التي هي أوّل المرجّحات، ولأرجحيّة السند التي هي ثاني المرجّحات، فلا إشكال في أنّه ليس لكلّ منهما الانفراد،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يجبرهما الحاكم على الاجتماع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تشاحّا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وتعاسرا فأراد أحدهما نوعاً من التصرّف ومنعه الآخر، من غير أن يستبدل بهما مع الإمكان، لأنّ المفروض أنّ الميّت جعل لنفسه وصيّاً، فلا ولاية للحاكم فيه، وإنّما له الإجبار، لأنّه وليّ الممتنع عن أداء حقّ الغير، إذ ذلك شأنٌ من شؤون القضاة والحاكم، فيكون ثابتاً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تعذّر استبدل، ولو عجز أحدهما ضُمّ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الإجبار، ولم يمكن جمعهما،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بهما، لأنّهما بامتناعهما عن الاجتماع المشروط بحكم العدم، فللحاكم أن ينصب أميناً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بالتعاسر والتشاحّ يفسقان، فيخرجان عن الوصاية، فللحاكم نصب الأمين، وإنْ أمكن إجبارهما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من عدم اعتبار العدالة في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التشاح إنْ كان مستنداً إلى اعتقاد رجحان ما رأياه بحسب المصلحة لا التشهّي والمعاندة، فإنّه لا يوجب 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عجز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القيام بتمام ما يجب عليه من العمل بالوصيّة لمرضٍ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من يُعينه، فيكون النظر حينئذٍ للثلاثة بلا خلافٍ‌، إلّاعن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فإنّه ذهب إلى أنّه يضمّ الحاكم إلى الآخر لا إلى العاجز، فيكون النظر 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العاجز بعجزه عن القيام بتمام ما يجبُ عليه من العمل بالوصيّة لمرضٍ ونحوه، لا يخرجُ عن الوصاية، لجواز الوصيّة إلى العاجز كذلك ابتداءً إجماعاً</w:t>
      </w:r>
      <w:r>
        <w:rPr>
          <w:rStyle w:val="FootnoteAnchor"/>
          <w:rtl w:val="true"/>
        </w:rPr>
        <w:footnoteReference w:id="983"/>
      </w:r>
      <w:r>
        <w:rPr>
          <w:rFonts w:ascii="Amiri" w:hAnsi="Amiri" w:eastAsia="Amiri" w:cs="Amiri"/>
          <w:color w:val="111111"/>
          <w:sz w:val="28"/>
          <w:sz w:val="28"/>
          <w:szCs w:val="28"/>
          <w:rtl w:val="true"/>
          <w:lang w:bidi="ar-SA"/>
        </w:rPr>
        <w:t>، فكذا في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أحدهما عن القيام به أصلاً لموتٍ أو جنون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يستقلّ الآخر في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984"/>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9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87"/>
      </w:r>
      <w:r>
        <w:rPr>
          <w:rFonts w:ascii="IRNazanin" w:hAnsi="IRNazanin" w:eastAsia="IRNazanin"/>
          <w:color w:val="111111"/>
          <w:sz w:val="28"/>
          <w:sz w:val="28"/>
          <w:szCs w:val="28"/>
          <w:rtl w:val="true"/>
          <w:lang w:bidi="fa-IR"/>
        </w:rPr>
        <w:t>، والفخر</w:t>
      </w:r>
      <w:r>
        <w:rPr>
          <w:rStyle w:val="FootnoteAnchor"/>
          <w:rtl w:val="true"/>
        </w:rPr>
        <w:footnoteReference w:id="988"/>
      </w:r>
      <w:r>
        <w:rPr>
          <w:rFonts w:ascii="Amiri" w:hAnsi="Amiri" w:eastAsia="Amiri" w:cs="Amiri"/>
          <w:color w:val="111111"/>
          <w:sz w:val="28"/>
          <w:sz w:val="28"/>
          <w:szCs w:val="28"/>
          <w:rtl w:val="true"/>
          <w:lang w:bidi="ar-SA"/>
        </w:rPr>
        <w:t>، والشهيدين</w:t>
      </w:r>
      <w:r>
        <w:rPr>
          <w:rStyle w:val="FootnoteAnchor"/>
          <w:rtl w:val="true"/>
        </w:rPr>
        <w:footnoteReference w:id="989"/>
      </w:r>
      <w:r>
        <w:rPr>
          <w:rFonts w:ascii="Amiri" w:hAnsi="Amiri" w:eastAsia="Amiri" w:cs="Amiri"/>
          <w:color w:val="111111"/>
          <w:sz w:val="28"/>
          <w:sz w:val="28"/>
          <w:szCs w:val="28"/>
          <w:rtl w:val="true"/>
          <w:lang w:bidi="ar-SA"/>
        </w:rPr>
        <w:t>، وجماعة</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يضم الحاكم إلى الآخر أمينٌ من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الوصيّ لا ولاية للحاكم، ويضعف بأنّه بانفراده لم يجعل وصيّاً، والموصي لم يرض برأيه منفرداً، وإنّما جعلهما معاً وصيّاً، فلا وجه لتفرّده بالتصرّف، وحينئذٍ فيمكن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خلافُ الإجماع بسقوط الآخر عن الوصاية رأساً، إذ الولاية المجعولة له إنّما كانت ولايةً له لصاحبه، فمع تعذّر الجزء ينتفي الكلّ‌، فيرجع الأمر إلى الحاكم، وله أنْ يجعل أميناً من قبله، وحينئذٍ له أنْ يجعل الآخر وليّاً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الموصى لم يرض برأيه على الانفراد، فليس للحاكم تفويض جميع الأمر إليه، وإلّا لزم التبديل المنهيّ عنه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الموصي لم يرض برأيه في الوصاية التي جعلها، ولا عبرة بنظره فيما يجعله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له ذلك، كما أنّ له تفويض الأمر إلى غيره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شرط الاجتماع أو الإطلاق</w:t>
      </w:r>
      <w:r>
        <w:rPr>
          <w:rFonts w:eastAsia="Amiri" w:cs="Amiri" w:ascii="Amiri" w:hAnsi="Amiri"/>
          <w:color w:val="111111"/>
          <w:sz w:val="28"/>
          <w:szCs w:val="28"/>
          <w:rtl w:val="true"/>
          <w:lang w:bidi="ar-SA"/>
        </w:rPr>
        <w:t xml:space="preserve">.). </w:t>
      </w:r>
      <w:bookmarkStart w:id="346" w:name="pg11823_119025"/>
    </w:p>
    <w:p>
      <w:pPr>
        <w:pStyle w:val="BookText"/>
        <w:rPr/>
      </w:pPr>
      <w:bookmarkEnd w:id="346"/>
      <w:r>
        <w:rPr>
          <w:rFonts w:ascii="Amiri" w:hAnsi="Amiri" w:eastAsia="Amiri" w:cs="Amiri"/>
          <w:color w:val="111111"/>
          <w:sz w:val="28"/>
          <w:sz w:val="28"/>
          <w:szCs w:val="28"/>
          <w:rtl w:val="true"/>
          <w:lang w:bidi="ar-SA"/>
        </w:rPr>
        <w:t>ولو شرط الانفراد جاز، وتصرّف كلّ واحدٍ منهما، ويجوز الاقتسام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الانفراد، جاز تصرّف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 بلا خلافٍ ولا إشكال، لأنّ كلّاً منهما وصيٌّ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بالتنصيف أو التفاوت، إنْ لم يمنع عنه الموصي، ولم يحصل بالقسمة ضررٌ، ولكن ليست هذه القسمة حقيقيّة، فيجوز لكلّ منهما التصرّف في نصيب الآخر، لأنّ كلّاً منهما وصيٌّ في المجموع، وهذا كلّه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أنّه هل يجوز لهما الاجتماع حينئذٍ أم لا إذا لم يشترط عليهما عدم الاجتماع‌؟</w:t>
      </w:r>
    </w:p>
    <w:p>
      <w:pPr>
        <w:pStyle w:val="BookText"/>
        <w:rPr/>
      </w:pPr>
      <w:r>
        <w:rPr>
          <w:rFonts w:ascii="Amiri" w:hAnsi="Amiri" w:eastAsia="Amiri" w:cs="Amiri"/>
          <w:color w:val="111111"/>
          <w:sz w:val="28"/>
          <w:sz w:val="28"/>
          <w:szCs w:val="28"/>
          <w:rtl w:val="true"/>
          <w:lang w:bidi="ar-SA"/>
        </w:rPr>
        <w:t>منشأ الإشكال هو أنّ الاجتماع يقتضي صدوره عن رأي كلّ واحدٍ منهما، لكن شرط الانفراد اقتضى الرضا برأي كلّ واحدٍ، وهو حاصلٌ إنْ لم يكن هنا آكد ومخالفته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فُهم من شرطالانفراد بواسطة القرائن، الرّخصة لا التضييق، فإنّه لا إشكال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فهم التضييق، فلا إشكال في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يظهر شيءٌ‌، فالظاهر عدم الجواز، لأنّه ثبوت الولاية لهما منفردين معلومٌ‌، وثبوتها لهما مجتمعين مشكوكٌ فيه، فالمرجع حينئذٍ إلى أصالة الانتفاء</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1006824_73709187"/>
      <w:bookmarkStart w:id="348" w:name="_Toc117"/>
      <w:bookmarkEnd w:id="347"/>
      <w:r>
        <w:rPr>
          <w:rtl w:val="true"/>
        </w:rPr>
        <w:t>حكم رَدّ الوصيّة</w:t>
      </w:r>
      <w:bookmarkEnd w:id="34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أنّه كما أنّ للموصى له رَدّ الوصيّة، كذلك للوصي أن يردّ الوصاية ما دام الموصى له حَيّاً وإنْ كان قد قبلها، إلّا </w:t>
      </w:r>
    </w:p>
    <w:p>
      <w:pPr>
        <w:pStyle w:val="BookText"/>
        <w:rPr/>
      </w:pPr>
      <w:r>
        <w:rPr>
          <w:rFonts w:ascii="IRNazanin" w:hAnsi="IRNazanin" w:eastAsia="IRNazanin"/>
          <w:color w:val="111111"/>
          <w:sz w:val="28"/>
          <w:sz w:val="28"/>
          <w:szCs w:val="28"/>
          <w:rtl w:val="true"/>
          <w:lang w:bidi="fa-IR"/>
        </w:rPr>
        <w:t>عن الصدوق رحمه الله</w:t>
      </w:r>
      <w:r>
        <w:rPr>
          <w:rStyle w:val="FootnoteAnchor"/>
          <w:rtl w:val="true"/>
        </w:rPr>
        <w:footnoteReference w:id="991"/>
      </w:r>
      <w:r>
        <w:rPr>
          <w:rFonts w:ascii="Amiri" w:hAnsi="Amiri" w:eastAsia="Amiri" w:cs="Amiri"/>
          <w:color w:val="111111"/>
          <w:sz w:val="28"/>
          <w:sz w:val="28"/>
          <w:szCs w:val="28"/>
          <w:rtl w:val="true"/>
          <w:lang w:bidi="ar-SA"/>
        </w:rPr>
        <w:t xml:space="preserve">فيما إذا كان الموصي أباً أو كان الأمر منحصراً في الموصى إليه، فلم يجز الرّد فيهما،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كذلك إنْ لم ينعقد الإجماع على خلافه، ولا يمكن دعواه باعتبار إطلاق عبائر الأصحاب بجواز الرّد لعدم تبادر المقامين منه جدّاً</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الصدوق لعدم جواز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بمكاتبة علي بن الرّيان إلى أبي الحسن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يمتنع</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بأنّه قاصرُ السند بسهل، غريبٌ‌، فإنّه في كثير من الموارد صرّح بأنّ خبر سهل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الموارد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الفضيل،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يوصى إليه‌؟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بها إليه من بلدٍ فليس له ردّها، وإنْ كان في مصر يوجد غيره فذلك إليه</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وأيّد المصنّف رحمه الله</w:t>
      </w:r>
      <w:r>
        <w:rPr>
          <w:rStyle w:val="FootnoteAnchor"/>
          <w:rtl w:val="true"/>
        </w:rPr>
        <w:footnoteReference w:id="996"/>
      </w:r>
      <w:r>
        <w:rPr>
          <w:rFonts w:ascii="Amiri" w:hAnsi="Amiri" w:eastAsia="Amiri" w:cs="Amiri"/>
          <w:color w:val="111111"/>
          <w:sz w:val="28"/>
          <w:sz w:val="28"/>
          <w:szCs w:val="28"/>
          <w:rtl w:val="true"/>
          <w:lang w:bidi="ar-SA"/>
        </w:rPr>
        <w:t>الأوّل بأنّ امتناع الولد نوع عقوق، والثاني بأنّ من لايوجد غيره يتعيّن عليه، لأنّه فرض 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على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نصوص الإطلاق متعدّدة، وخبر التقييد واحد، فلا يصلح لتقييد إطلاقها، سيّما وأنّ إطلاق الأخبار معتضدٌ بإطلاق الفتاوى، والعقوق مبنيٌّ على أمر الوالد بذلك على وجه يؤذيه عدم القبول، ووجوب إطاعة الولد في مثل ذلك، وإنْ كان هو الظاهر، لكن محلّ البحث عدم قبول الوصيّة من حيث كونها كذلك، لا ما إذا اشتملت مع ذلك على أمرٍ بالقبول، ويمكن حمل المكاتبة المزبورة على ذلك، بل لعلّه الظاهر منها، فتخرج حينئذٍ عن محلّ البحث</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خبر التقييد واحدٌ، لا يصلح لتقييد إطلاق نصوص الرّد، لأنّها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غرائب الكلام، إذ إطلاق القرآن يقيّد بخبر الواحد كما اعترف به قدس سره في غير موضعٍ‌، فكيف لا يقيّد إطلاق النصوص المتعدّدة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 خبر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فيتوجّه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من عدم تبادر المقامين من إطلاق عبائر الأصحاب، حتّى مع معلوميّة فتوى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العقوق مبنيٌّ على أمر الوالد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يتحقّق مع طلبه منه ذلك، وإنْ لم يأمر به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فالإنصاف تماميّة ما أفاده الصدوق في الموردين، فالنصوص الدالّة على جواز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بلغ الموصي رَدّ الموصي إليه، صحّ الرّد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أوصى إلى رجلٍ وهو غائبٌ‌، فليس له أنْ يردّ وصيّته، وإنْ أوصى إليه وهو بالبلد فهو بالخيار، إنْ شاء قبل، وإنْ شاء لم يقبل</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أوصى‌الرّجل إلى أخيه وهو غائب، فليس له أنْ يردّ عليه وصيّته، لأنّه لو كان شاهداً فأبى أن يقبلها طلب غيره</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يقيّد إطلاقها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الرّد في الجملة، والأصحاب ذهبوا إلى أنّ له الرّد مع بلوغ الرّد إليه وهو حَيّ‌، وإليه أشار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بلغ الموصي رَدّ الموصى إليه صَحّ الرّد،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يستفاد من النصوص المشار إليها بجعل الغيبة والحضور كنايةً عن بلوغ الرّد إليه وهو حَيّ وعدمه، بقرينة التعليل في خبر منصور، والإجماع على عدم مدخليّة ذلك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ذهب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Style w:val="FootnoteAnchor"/>
          <w:rtl w:val="true"/>
        </w:rPr>
        <w:footnoteReference w:id="1002"/>
      </w:r>
      <w:r>
        <w:rPr>
          <w:rFonts w:ascii="Amiri" w:hAnsi="Amiri" w:eastAsia="Amiri" w:cs="Amiri"/>
          <w:color w:val="111111"/>
          <w:sz w:val="28"/>
          <w:sz w:val="28"/>
          <w:szCs w:val="28"/>
          <w:rtl w:val="true"/>
          <w:lang w:bidi="ar-SA"/>
        </w:rPr>
        <w:t>إلى أنّه يشترط مع بلوغ الموصى الرّد إمكان إقامته وصيّاً غيره، لعموم العلّة المنصوصة، ولانتفاء الفائدة بدونه، فعلى هذا لو كان حَيّاً ولكن لا يمكنه نصب أحدٍ، ولو بالإشارة، لم يصحّ الرّد، وهو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وإيراد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بكون المنساق من التعليل إرادة بيان واقع، فهو شبه الحكميّة، لا أنّ المراد من التعليل قصد إدارة الحكم مداره، ضرورة عدم لزوم طلب غيره، إذ قد لا يريد وصيّة غير هذا الذي ردّها</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واردٍ، لأنّ ظاهر التركيب كونه علّة للحكم، والعلّة تمكّنه من نصب غيره، لا النصب خارجاً، فلاينافي كونه علّة يدور الحكم مدارها، عدم لزوم طلب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فلو مات الموصي قبل الرّد أو بعده، ولم يبلغه، لم يكن للرّد أثر، وكانت الوصيّة لازمة للموصى إليه، وإنْ لم يقبلها أصلاً على المشهور في صورة عدم القبول، وإجماعاً في فرض القبول ثمّ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بن يسار،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يوصى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بها إليه من بلدٍ فليس له ردّها، وإنْ كان في مصر يوجد فيه غيره فذلك إليه</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 هشام بن سالم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يخذله على هذه الحال</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عليها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صراحتها في المطلوب، لاحتمال حملها على الاستحباب أو سبق القبول أو نحو ذلك ممّا لا بأس بحملها عليه، فإثبات الحكم العظيم المخالف للاُصول الشرعيّة والعقليّة بمثل ذلك مشكلٌ‌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49" w:name="pg11823_119030"/>
    </w:p>
    <w:p>
      <w:pPr>
        <w:pStyle w:val="BookText"/>
        <w:rPr/>
      </w:pPr>
      <w:bookmarkEnd w:id="349"/>
      <w:r>
        <w:rPr>
          <w:rFonts w:ascii="Amiri" w:hAnsi="Amiri" w:eastAsia="Amiri" w:cs="Amiri"/>
          <w:color w:val="111111"/>
          <w:sz w:val="28"/>
          <w:sz w:val="28"/>
          <w:szCs w:val="28"/>
          <w:rtl w:val="true"/>
          <w:lang w:bidi="ar-SA"/>
        </w:rPr>
        <w:t>ولو خان استبدل به الحاكم،</w:t>
      </w:r>
    </w:p>
    <w:p>
      <w:pPr>
        <w:pStyle w:val="BookText"/>
        <w:rPr/>
      </w:pP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إثبات حقّ على الموصى إليه على وجه قهري، وتسليط الموصي على إثبات وصيّته على من شاء مخالفٌ للأصل، مضافاً إلى استلزم ذلك للحرج العظيم، والضرر الكثير، في أكثر مواردها</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وهما منفيّان بالآية</w:t>
      </w:r>
      <w:r>
        <w:rPr>
          <w:rStyle w:val="FootnoteAnchor"/>
          <w:rtl w:val="true"/>
        </w:rPr>
        <w:footnoteReference w:id="1009"/>
      </w:r>
      <w:r>
        <w:rPr>
          <w:rFonts w:ascii="Amiri" w:hAnsi="Amiri" w:eastAsia="Amiri" w:cs="Amiri"/>
          <w:color w:val="111111"/>
          <w:sz w:val="28"/>
          <w:sz w:val="28"/>
          <w:szCs w:val="28"/>
          <w:rtl w:val="true"/>
          <w:lang w:bidi="ar-SA"/>
        </w:rPr>
        <w:t>والرواية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الصراحة لو سُلّم لايوجب عدم العمل بالأخبار بعد كونها ظاهرة في المطلوب، وكون أكثر الفقه ثابتة بالظواهر، وإثبات حقٍّ على الموصى إليه على وجه قهري وإنْ كان مخالفاً لقاعدة السلطنة</w:t>
      </w:r>
      <w:r>
        <w:rPr>
          <w:rStyle w:val="FootnoteAnchor"/>
          <w:rtl w:val="true"/>
        </w:rPr>
        <w:footnoteReference w:id="1011"/>
      </w:r>
      <w:r>
        <w:rPr>
          <w:rFonts w:ascii="Amiri" w:hAnsi="Amiri" w:eastAsia="Amiri" w:cs="Amiri"/>
          <w:color w:val="111111"/>
          <w:sz w:val="28"/>
          <w:sz w:val="28"/>
          <w:szCs w:val="28"/>
          <w:rtl w:val="true"/>
          <w:lang w:bidi="ar-SA"/>
        </w:rPr>
        <w:t>، لكنّها كسائر القواعد الشرعيّة قابلة للتقييد، فما المانع من تقييدها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والأحكام الضروريّة والحرجيّة وإنْ كانت مرفوعة، إلّاأنّ المدار على الضرر أو الحَرج الشخصي لا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جواز الرّد، إلّاإذا استلزم الضرر أو الحرج، فترتفع حينئذٍ حرمة الرّد كسائر الأحكام الشرعيّة</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1006826_73709187"/>
      <w:bookmarkStart w:id="351" w:name="_Toc118"/>
      <w:bookmarkEnd w:id="350"/>
      <w:r>
        <w:rPr>
          <w:rtl w:val="true"/>
        </w:rPr>
        <w:t>الوصيّة تبطل بخيانة الوصي</w:t>
      </w:r>
      <w:bookmarkEnd w:id="35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 به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أميناً بلا خلافٍ فيه،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يتوقّف عزله على عزل الحاكم، لو لم نشترط عدالته، </w:t>
      </w:r>
    </w:p>
    <w:p>
      <w:pPr>
        <w:pStyle w:val="BookText"/>
        <w:rPr/>
      </w:pPr>
      <w:r>
        <w:rPr>
          <w:rFonts w:ascii="Amiri" w:hAnsi="Amiri" w:eastAsia="Amiri" w:cs="Amiri"/>
          <w:color w:val="111111"/>
          <w:sz w:val="28"/>
          <w:sz w:val="28"/>
          <w:szCs w:val="28"/>
          <w:rtl w:val="true"/>
          <w:lang w:bidi="ar-SA"/>
        </w:rPr>
        <w:t>ولا يضمن الوصيّ إلّامع التفريط</w:t>
      </w:r>
    </w:p>
    <w:p>
      <w:pPr>
        <w:pStyle w:val="BookText"/>
        <w:rPr/>
      </w:pPr>
      <w:r>
        <w:rPr>
          <w:rFonts w:ascii="Amiri" w:hAnsi="Amiri" w:eastAsia="Amiri" w:cs="Amiri"/>
          <w:color w:val="111111"/>
          <w:sz w:val="28"/>
          <w:sz w:val="28"/>
          <w:szCs w:val="28"/>
          <w:rtl w:val="true"/>
          <w:lang w:bidi="ar-SA"/>
        </w:rPr>
        <w:t>فللحاكم حينئذٍ أن يعزل الخائن مراعاةً لحقّ الأطفال وأموال الصدقات ونحوها، وأمّا إذا اشترطنا عدالته، فإنّما ينعزل بنفس الفسق، وإنْ لم يعزله الحاكم</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وهو متينٌ‌، ولكن عرفت عدم اشتراط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لجواز عزل الحاكم بأنّ مِنْ وظائفه حفظ أموال القاصرين وحقوقهم، وأموال الصدقات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يقتضيه ذلك، منع الحاكم له عن استقلاله بالتصرّف، بل يجعل عليه ناظراً منفّذاً للوصاية معه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يفهم من الموصي إشراط وصايته بأمانته، وأنّه متى خان لم يكن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الآثار الوضعيّة تابعة للإنشاء، ولا ترتبط بما في النفس من المرجّحات، وعليه فالأولى أن يستدلّ له بالخبر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يزيل الوصيّ إلّاذهاب عقل أو ارتداد أو تبذير أو خيانة أو ترك سُنّة، والسلطان وصيُّ من لا وصيّ له، والناظر لمن لا ناظر له</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 سنده مجبورٌ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تاب ورجع فالظاهر عدم عود الوصاية، لعدم الدليل عليه، والأصل عدمه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الوصيّ إلّامع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مخالفة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شرط الوصيّة بلا 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أمين، ويكون استيلاء يده على المال بإذن مالكي وشرعي، والأمين لا يضمن إلّامع التعدّي أو التفريط كما سبق، وأمّا ما دلّ من النصوص بإطلاقه على الضمان فمحمولٌ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الدالّة على ضمانه بالتبديل فمستفيضة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مارد،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أوصى إلى رجلٍ وأمره أن يعتق عنه نسمةً بستّمائة درهم من ثُلثه، فانطلق الوصيّ فأعطى الستّمائة درهم رجلاً يحجّ بها عنه‌؟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يُغرم الوصيّ ستّمائة درهم من ماله، ويجعلها فيما أوصى الميّت في نسمة</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يستشكل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ظاهرهم في هذه المسألة أنّ غاية ما يوجبه التعدّي والتفريط، وجوب الضمان عليه مع بقائه على الوصاية، بل هو المستفاد من الصحيح، ولا يوجب ذلك عزله، مع أنّهم صرّحوا في المسألة السابقة بأنّ للحاكم أن يعزله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كلمات الأصحاب في المقام إنّما هي لبيان الضمان خاصّة، ولا نظر لهم إلى عزل الوصيّ وعدمه، وأمّا الصحيح فلم يفرض فيه الخيانة، ولعلّه كان فعله جهلاً بتخيل أنّه أنفع وأعود للميّت، بل ظاهره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52" w:name="pg11823_119033"/>
    </w:p>
    <w:p>
      <w:pPr>
        <w:pStyle w:val="BookText"/>
        <w:rPr/>
      </w:pPr>
      <w:bookmarkEnd w:id="352"/>
      <w:r>
        <w:rPr>
          <w:rFonts w:ascii="Amiri" w:hAnsi="Amiri" w:eastAsia="Amiri" w:cs="Amiri"/>
          <w:color w:val="111111"/>
          <w:sz w:val="28"/>
          <w:sz w:val="28"/>
          <w:szCs w:val="28"/>
          <w:rtl w:val="true"/>
          <w:lang w:bidi="ar-SA"/>
        </w:rPr>
        <w:t>وله أن يستوفي دَينه،</w:t>
      </w:r>
    </w:p>
    <w:p>
      <w:pPr>
        <w:pStyle w:val="Heading3"/>
        <w:numPr>
          <w:ilvl w:val="2"/>
          <w:numId w:val="1"/>
        </w:numPr>
        <w:rPr/>
      </w:pPr>
      <w:bookmarkStart w:id="353" w:name="__RefHeading___Toc11006828_73709187"/>
      <w:bookmarkStart w:id="354" w:name="_Toc119"/>
      <w:bookmarkEnd w:id="353"/>
      <w:r>
        <w:rPr>
          <w:rtl w:val="true"/>
        </w:rPr>
        <w:t>استيفاء الوصيّ دَينه من مال الميّت</w:t>
      </w:r>
      <w:bookmarkEnd w:id="354"/>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للوصي دينٌ على الميّت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يستوفي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 يده بلا خلافٍ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وصيّاً على وفاء الديون أو ما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وصيّاً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 إقامة البيّنة على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وصيّاً على وفاء الديون، فالظاهر أنّه يجوز له استيفاء دينه وإنْ أمكن له إقامة البيّنة، إذ هي إنّما تجبُ لإثبات الحقّ‌، والمفروض أنّه ثابتٌ عنده، وإلى ذلك نظر القوم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فائدتها احتمال كذب المدّعي، والمفروض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أنّه مخيّرٌ في جهات القضاء، فلا إشكال في أنّ له قضاء دينه، كما أنّ له ذلك لو علم بدين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بُريد بن معاوية، عن أبي عبد اللّه عليه السلام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أوصى إليَّ فسألته أن يشرك معي ذا قرابة له فَفَعل، وذكر الذي أوصى إليّ أنّ له قبل الذي أشركه في الوصيّة خمسين ومائة درهم </w:t>
      </w:r>
    </w:p>
    <w:p>
      <w:pPr>
        <w:pStyle w:val="BookText"/>
        <w:rPr/>
      </w:pPr>
      <w:r>
        <w:rPr>
          <w:rFonts w:ascii="Amiri" w:hAnsi="Amiri" w:eastAsia="Amiri" w:cs="Amiri"/>
          <w:color w:val="111111"/>
          <w:sz w:val="28"/>
          <w:sz w:val="28"/>
          <w:szCs w:val="28"/>
          <w:rtl w:val="true"/>
          <w:lang w:bidi="ar-SA"/>
        </w:rPr>
        <w:t>عنده، ورهن بها جاماً من فضّة، فلمّا هلك الرّجل أنشأ الوصي يدّعي أنّ له قبله أكرار حنطة‌؟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 البيّنة، و إلّافلا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له أنْ يأخذ ممّا في يديه شيئاً؟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عدا عليه، فأخذ ماله، فقدر على أن يأخذ من ماله ما أخذ، أكان ذلك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مثل هذا</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كونه أجنبيّاً عن المقام، فإنّ المفروض في مورده أنّ الوصي شخصان، وإناطة جواز تصرّفاتهما بنظرهما معاً، ومن المعلوم أنّه لا يجوز لغير الدائن أن يؤدّي الدين إلّامع إثباته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صورة ثبوت الدين عند الوصيّ‌، وفي فرض الخبر لم يثبت عند أحدهما، فلا ربط للخبر بما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وصيّاً على وفاء الديون، فحيث أنّ الدين إنّما يخرج من الأصل، فمخرج الدين غير المال الذي بيده، فالظاهر أنّه ليس له أنْ يأخذ منه مقاصّة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المقاصّة وإنْ كانت جائزة، إلّاأنّها عبارة عن أخذ دينه من مال المديون مع اجتماع الشرائط، والميّت بموته تنتقل ديونه إلى أمواله، والثُّلث والإرث إنّما يتعلّقان بأمواله بعد إخراجها، فما في يده متعلّق بالميّت، ودينه إنّما يكون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يقترض مع الملائة، أو يقوّم على نفسه ويأخذ اُجرة المثل مع الحاجة،</w:t>
      </w:r>
    </w:p>
    <w:p>
      <w:pPr>
        <w:pStyle w:val="BookText"/>
        <w:rPr/>
      </w:pPr>
      <w:r>
        <w:rPr>
          <w:rFonts w:ascii="Amiri" w:hAnsi="Amiri" w:eastAsia="Amiri" w:cs="Amiri"/>
          <w:color w:val="111111"/>
          <w:sz w:val="28"/>
          <w:sz w:val="28"/>
          <w:szCs w:val="28"/>
          <w:rtl w:val="true"/>
          <w:lang w:bidi="ar-SA"/>
        </w:rPr>
        <w:t>على الأموال الاُخر التي بيد الورثة، فليس مورداً للمقاصّة، وإلى ذلك أشار الإمام عليه السلام في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يظهر ما في الاستدلال للجواز بأنّه محسنٌ باستيفاء دينه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له أنْ يستوفي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يقترض مع الملائة، أو يقوّم على نفسه ويأخذ اُجرة المثل مع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للوصيّ أن يشتري من نفسه لنفسه، باعتبار ولايته على المال الذي يريد شرائه بالوصاية،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أنّه مأذونٌ في هذه المعاملة، والتغاير المعتبر في العقود بين الموجب والقابل يكفي الاعتباري منه، ولايعتبر التغاير الحقيقي، فإطلاقات أدلّة الإمضاء تدلّ على صحّته، ويشهد بها أيضاً خبر الهمداني المنجبر ضعفه بعمل الأكثر،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مع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للوصيّ أن يشتري من مال الميّت إذا بيع فيمن زاد يزيد ويأخذ لنفسه‌؟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اشترى صحيحاً</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55" w:name="pg11823_119036"/>
    </w:p>
    <w:p>
      <w:pPr>
        <w:pStyle w:val="BookText"/>
        <w:rPr/>
      </w:pPr>
      <w:bookmarkEnd w:id="355"/>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19"/>
      </w:r>
      <w:r>
        <w:rPr>
          <w:rFonts w:ascii="Amiri" w:hAnsi="Amiri" w:eastAsia="Amiri" w:cs="Amiri"/>
          <w:color w:val="111111"/>
          <w:sz w:val="28"/>
          <w:sz w:val="28"/>
          <w:szCs w:val="28"/>
          <w:rtl w:val="true"/>
          <w:lang w:bidi="ar-SA"/>
        </w:rPr>
        <w:t>، والحِلّي</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واستدلاله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بوجوب التغاير بين الموجب والقابل وهو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والأخبار المانعة عن شراء الوكيل لنفسه الذي هو بمنزلة الوصيّ‌</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وبفتوى 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المانعة عن شراء الوكيل لنفسه، قد عرفت في باب الوكالة أنّها محمولة على الحكم التنزيهي لدفع التهمة، ولا مانع من الالتزام به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مسعود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للوصي أن يقترض من ما في يده مع الملائة، والمستند النصوص الدالّة على جواز الاقتراض من مال اليتيم، الذي تحت يد الإنسان مع الملائة</w:t>
      </w:r>
      <w:r>
        <w:rPr>
          <w:rStyle w:val="FootnoteAnchor"/>
          <w:rtl w:val="true"/>
        </w:rPr>
        <w:footnoteReference w:id="1022"/>
      </w:r>
      <w:r>
        <w:rPr>
          <w:rFonts w:ascii="Amiri" w:hAnsi="Amiri" w:eastAsia="Amiri" w:cs="Amiri"/>
          <w:color w:val="111111"/>
          <w:sz w:val="28"/>
          <w:sz w:val="28"/>
          <w:szCs w:val="28"/>
          <w:rtl w:val="true"/>
          <w:lang w:bidi="ar-SA"/>
        </w:rPr>
        <w:t>، وقد مرّت النصوص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الاقتراض من المال الذي عُيّن لمصارف خاصّة، فإنْ علم من الوصيّة الإذن فيه فلا كلام، وإلّا فيمكن استفادة حكمه من تلك النصوص الواردة في الاقتراض من مال اليتيم، سيّما وأنْ مورد أكثرها كونه وصيّاً عليه</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1006830_73709187"/>
      <w:bookmarkStart w:id="357" w:name="_Toc120"/>
      <w:bookmarkEnd w:id="356"/>
      <w:r>
        <w:rPr>
          <w:rtl w:val="true"/>
        </w:rPr>
        <w:t>أخذ الوصيّ اُجرة عمله</w:t>
      </w:r>
      <w:bookmarkEnd w:id="357"/>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للوصي أخذ اُجرة المثل مع الحاجة، بلا خلافٍ فيه في الجملة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القول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وصيّاً على الأيتام، وتكون أموالهم تحت يده ويعمل 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وصيّاً على صرف مال الوصيّة في الموارد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اتّفاق الأصحاب على جواز أخذ العوض، اختلفوا فيما يؤخذ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أن يأخذ اُجرة المثل عن نظره في ماله، وهو مختار الشيخ في أحد أقواله</w:t>
      </w:r>
      <w:r>
        <w:rPr>
          <w:rStyle w:val="FootnoteAnchor"/>
          <w:rtl w:val="true"/>
        </w:rPr>
        <w:footnoteReference w:id="1023"/>
      </w:r>
      <w:r>
        <w:rPr>
          <w:rFonts w:ascii="Amiri" w:hAnsi="Amiri" w:eastAsia="Amiri" w:cs="Amiri"/>
          <w:color w:val="111111"/>
          <w:sz w:val="28"/>
          <w:sz w:val="28"/>
          <w:szCs w:val="28"/>
          <w:rtl w:val="true"/>
          <w:lang w:bidi="ar-SA"/>
        </w:rPr>
        <w:t>، والإسكافي</w:t>
      </w:r>
      <w:r>
        <w:rPr>
          <w:rStyle w:val="FootnoteAnchor"/>
          <w:rtl w:val="true"/>
        </w:rPr>
        <w:footnoteReference w:id="1024"/>
      </w:r>
      <w:r>
        <w:rPr>
          <w:rFonts w:ascii="Amiri" w:hAnsi="Amiri" w:eastAsia="Amiri" w:cs="Amiri"/>
          <w:color w:val="111111"/>
          <w:sz w:val="28"/>
          <w:sz w:val="28"/>
          <w:szCs w:val="28"/>
          <w:rtl w:val="true"/>
          <w:lang w:bidi="ar-SA"/>
        </w:rPr>
        <w:t xml:space="preserve">والمصنّف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والمحقّق</w:t>
      </w:r>
      <w:r>
        <w:rPr>
          <w:rStyle w:val="FootnoteAnchor"/>
          <w:rtl w:val="true"/>
        </w:rPr>
        <w:footnoteReference w:id="1026"/>
      </w:r>
      <w:r>
        <w:rPr>
          <w:rFonts w:ascii="Amiri" w:hAnsi="Amiri" w:eastAsia="Amiri" w:cs="Amiri"/>
          <w:color w:val="111111"/>
          <w:sz w:val="28"/>
          <w:sz w:val="28"/>
          <w:szCs w:val="28"/>
          <w:rtl w:val="true"/>
          <w:lang w:bidi="ar-SA"/>
        </w:rPr>
        <w:t>وغيرهم</w:t>
      </w:r>
      <w:r>
        <w:rPr>
          <w:rStyle w:val="FootnoteAnchor"/>
          <w:rtl w:val="true"/>
        </w:rPr>
        <w:footnoteReference w:id="1027"/>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الظاهر من روايات أصحابنا</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يأخذ قدر كفايته، ذهب إليه الشيخ في قوله الآخر</w:t>
      </w:r>
      <w:r>
        <w:rPr>
          <w:rStyle w:val="FootnoteAnchor"/>
          <w:rtl w:val="true"/>
        </w:rPr>
        <w:footnoteReference w:id="1029"/>
      </w:r>
      <w:r>
        <w:rPr>
          <w:rFonts w:ascii="Amiri" w:hAnsi="Amiri" w:eastAsia="Amiri" w:cs="Amiri"/>
          <w:color w:val="111111"/>
          <w:sz w:val="28"/>
          <w:sz w:val="28"/>
          <w:szCs w:val="28"/>
          <w:rtl w:val="true"/>
          <w:lang w:bidi="ar-SA"/>
        </w:rPr>
        <w:t>، والحِلّي</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يأخذ أقلّ الأمرين، فإنْ كانت كفايته أقلّ من اُجرة المثل، فله قدر الكفاية دون اُجرة المثل، وإنْ كانت اُجرة المثل أقلّ من الكفاية، فله الاُجرة دون الكفاية، واختاره جماعة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بين من قيّد الأخذ بالحاجة، ومن قال إنّه يجوز الأخذ ولو كان غنيّاً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والآية الشريفة والنصوص، هو أخذ اُجرة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فظاهرة، وأمّا الآية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 المراد من الأكل فيها هو التملّك، أو جميع التصرّفات حتّى المتوقّفة على الملك، وليس المراد منه معناه الموضوع له كما في الآيات الاُخر،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تَأْكُلُوها إِسْرافاً وَ بِداراً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إلى غيرها من الآيات المتضمّنة لهذه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الأكل اُريد به معناها الكنائي، وهو ما ذكر، وأمّا المعروف فظاهره إرادة ما هو المتعارف بين الناس، وعلى ذلك فتدلّ الآية الكريمة على أنّه يجوز لمن يتصدّى أمر الأيتام أن يأخذ من أموالهم ماهو المتعارف أخذه بإزاء العمل، وليس هو إلّااُجرة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فالاستدلال بالآية للقول الثاني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ظاهراً في جواز أخذ اُجرة المثل، مثل الخبر الصحيح الذي رواه هشام بن الحكم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تولّى مال اليتيم ما له أنْ يأكل منه‌؟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غيره يقوم به من الأجر لهم فليأكل بقدر ذلك</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وظهور هذه النصوص في إرادة المثل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كذلك، لكنّه قابلٌ للحمل عليه، كصحيح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القيّم لليتامى في الشراء لهم والبيع فيما يصلحهم، ألَهُ أن يأكل من أموالهم‌؟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يأكل من أموالهم بالمعروف كما قال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هو القوت، وإنّما عنى فليأكل بالمعروف الوصي لهم، والقيّم في أموالهم ما يصلحهم</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هو القوت، وإنّما عَنى الوصيّ أو القيّم في أموالهم ما يصلحهم</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قابلة للحمل على اُجرة المثل، بناءً على أنّ اُجرة المثل بحسب الغالب بالنسبة إلى من جُعل حرفته ذلك، لا تزيدُ على القوت فتحمل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هذا الحمل الآية والنصوص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الصباح،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المال قليلاً فلا يأكل منه شيئاً</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الآية سُئل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حبس نفسه في أموالهم، فلا يحترف لنفسه، فليأكل بالمعروف من أموالهم</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جملة من النصوص أنّ من تولّى إبل الأيتام أو مواشيهم أنّ له أنْ يصيب من لبنها</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رَدّ النصوص بعضها إلى بعض، يظهر أنّ المراد من الجميع اُجرة المثل، ويؤيّده أنّ العمل للأيتام يختلف كثرة وقلّةً باعتبار زيادة المال وقلّته، كما أنّ قوت الأشخاص يختلف، سيّما إذا قلنا بأنّ المراد قوته وقوت عياله، فلا ترديد في أنّ المراد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غَنِيًّا فَلْيَسْتَعْفِفْ‌</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عدم جواز أخذ الاُجرة مع عدم الحاجة، كما عن الحِلّي</w:t>
      </w:r>
      <w:r>
        <w:rPr>
          <w:rStyle w:val="FootnoteAnchor"/>
          <w:rtl w:val="true"/>
        </w:rPr>
        <w:footnoteReference w:id="1042"/>
      </w:r>
      <w:r>
        <w:rPr>
          <w:rFonts w:ascii="Amiri" w:hAnsi="Amiri" w:eastAsia="Amiri" w:cs="Amiri"/>
          <w:color w:val="111111"/>
          <w:sz w:val="28"/>
          <w:sz w:val="28"/>
          <w:szCs w:val="28"/>
          <w:rtl w:val="true"/>
          <w:lang w:bidi="ar-SA"/>
        </w:rPr>
        <w:t xml:space="preserve">،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الموثّق الذي رواه سماعة عن الإمام الصادق عليه السلام أنّه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يلي شيئاً لليتامى، وهو يحتاج، ليس له ما يقيمه، فهو يتقاضى أموالهم ويقوم في ضيعتهم، فليأكل بقدرٍ ولا يُسرف، وإنْ كان ضيعتهم لا تشغله عمّا يعالج بنفسه، فلايرزأنّ من أموالهم شيئاً</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58" w:name="pg11823_119041"/>
    </w:p>
    <w:p>
      <w:pPr>
        <w:pStyle w:val="BookText"/>
        <w:rPr/>
      </w:pPr>
      <w:bookmarkEnd w:id="358"/>
      <w:r>
        <w:rPr>
          <w:rFonts w:ascii="Amiri" w:hAnsi="Amiri" w:eastAsia="Amiri" w:cs="Amiri"/>
          <w:color w:val="111111"/>
          <w:sz w:val="28"/>
          <w:sz w:val="28"/>
          <w:szCs w:val="28"/>
          <w:rtl w:val="true"/>
          <w:lang w:bidi="ar-SA"/>
        </w:rPr>
        <w:t>وأن يوصي مع الإذن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الشيخ</w:t>
      </w:r>
      <w:r>
        <w:rPr>
          <w:rStyle w:val="FootnoteAnchor"/>
          <w:rtl w:val="true"/>
        </w:rPr>
        <w:footnoteReference w:id="1046"/>
      </w:r>
      <w:r>
        <w:rPr>
          <w:rFonts w:ascii="Amiri" w:hAnsi="Amiri" w:eastAsia="Amiri" w:cs="Amiri"/>
          <w:color w:val="111111"/>
          <w:sz w:val="28"/>
          <w:sz w:val="28"/>
          <w:szCs w:val="28"/>
          <w:rtl w:val="true"/>
          <w:lang w:bidi="ar-SA"/>
        </w:rPr>
        <w:t>، والإسكافي</w:t>
      </w:r>
      <w:r>
        <w:rPr>
          <w:rStyle w:val="FootnoteAnchor"/>
          <w:rtl w:val="true"/>
        </w:rPr>
        <w:footnoteReference w:id="1047"/>
      </w:r>
      <w:r>
        <w:rPr>
          <w:rFonts w:ascii="Amiri" w:hAnsi="Amiri" w:eastAsia="Amiri" w:cs="Amiri"/>
          <w:color w:val="111111"/>
          <w:sz w:val="28"/>
          <w:sz w:val="28"/>
          <w:szCs w:val="28"/>
          <w:rtl w:val="true"/>
          <w:lang w:bidi="ar-SA"/>
        </w:rPr>
        <w:t>، والمصنّف رحمه الله في بعض كتبه</w:t>
      </w:r>
      <w:r>
        <w:rPr>
          <w:rStyle w:val="FootnoteAnchor"/>
          <w:rtl w:val="true"/>
        </w:rPr>
        <w:footnoteReference w:id="1048"/>
      </w:r>
      <w:r>
        <w:rPr>
          <w:rFonts w:ascii="Amiri" w:hAnsi="Amiri" w:eastAsia="Amiri" w:cs="Amiri"/>
          <w:color w:val="111111"/>
          <w:sz w:val="28"/>
          <w:sz w:val="28"/>
          <w:szCs w:val="28"/>
          <w:rtl w:val="true"/>
          <w:lang w:bidi="ar-SA"/>
        </w:rPr>
        <w:t>من جواز الأخذ على كراهةٍ غيرُ تامٍّ‌، والعفّة لا تكون ظاهرة في الجواز كي توجبُ صرف ظهور الأمر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بعض النصوص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المال قليلاً أو كان ضيعتهم لاتشغله عمّا يعالج نفسه، أو أنّ عمله لوكان حفظ الدراهم والدنانير فلا يأخذ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من جهة أنّ هذه الأفعال لا اُجرة لها على العادة</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1006832_73709187"/>
      <w:bookmarkStart w:id="360" w:name="_Toc121"/>
      <w:bookmarkEnd w:id="359"/>
      <w:r>
        <w:rPr>
          <w:rtl w:val="true"/>
        </w:rPr>
        <w:t>حكم إيصاء الوصي</w:t>
      </w:r>
      <w:bookmarkEnd w:id="360"/>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بالموصى به إليه إلى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الموصي بلا خلافٍ لإطلاق الأدلّة،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أيضاً مع المنع، بل عليه الإجماع كما عن غير واحدٍ،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فيما إذا أطلق الموصي، فلم يأذن ولم يمنع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المفيد</w:t>
      </w:r>
      <w:r>
        <w:rPr>
          <w:rStyle w:val="FootnoteAnchor"/>
          <w:rtl w:val="true"/>
        </w:rPr>
        <w:footnoteReference w:id="1049"/>
      </w:r>
      <w:r>
        <w:rPr>
          <w:rFonts w:ascii="Amiri" w:hAnsi="Amiri" w:eastAsia="Amiri" w:cs="Amiri"/>
          <w:color w:val="111111"/>
          <w:sz w:val="28"/>
          <w:sz w:val="28"/>
          <w:szCs w:val="28"/>
          <w:rtl w:val="true"/>
          <w:lang w:bidi="ar-SA"/>
        </w:rPr>
        <w:t>، والتقيّ‌</w:t>
      </w:r>
      <w:r>
        <w:rPr>
          <w:rStyle w:val="FootnoteAnchor"/>
          <w:rtl w:val="true"/>
        </w:rPr>
        <w:footnoteReference w:id="1050"/>
      </w:r>
      <w:r>
        <w:rPr>
          <w:rFonts w:ascii="Amiri" w:hAnsi="Amiri" w:eastAsia="Amiri" w:cs="Amiri"/>
          <w:color w:val="111111"/>
          <w:sz w:val="28"/>
          <w:sz w:val="28"/>
          <w:szCs w:val="28"/>
          <w:rtl w:val="true"/>
          <w:lang w:bidi="ar-SA"/>
        </w:rPr>
        <w:t>، وابن زُهرة</w:t>
      </w:r>
      <w:r>
        <w:rPr>
          <w:rStyle w:val="FootnoteAnchor"/>
          <w:rtl w:val="true"/>
        </w:rPr>
        <w:footnoteReference w:id="1051"/>
      </w:r>
      <w:r>
        <w:rPr>
          <w:rFonts w:ascii="Amiri" w:hAnsi="Amiri" w:eastAsia="Amiri" w:cs="Amiri"/>
          <w:color w:val="111111"/>
          <w:sz w:val="28"/>
          <w:sz w:val="28"/>
          <w:szCs w:val="28"/>
          <w:rtl w:val="true"/>
          <w:lang w:bidi="ar-SA"/>
        </w:rPr>
        <w:t>، والحِلّي</w:t>
      </w:r>
      <w:r>
        <w:rPr>
          <w:rStyle w:val="FootnoteAnchor"/>
          <w:rtl w:val="true"/>
        </w:rPr>
        <w:footnoteReference w:id="1052"/>
      </w:r>
      <w:r>
        <w:rPr>
          <w:rFonts w:ascii="Amiri" w:hAnsi="Amiri" w:eastAsia="Amiri" w:cs="Amiri"/>
          <w:color w:val="111111"/>
          <w:sz w:val="28"/>
          <w:sz w:val="28"/>
          <w:szCs w:val="28"/>
          <w:rtl w:val="true"/>
          <w:lang w:bidi="ar-SA"/>
        </w:rPr>
        <w:t xml:space="preserve">، وأكثر المتأخّرين بل </w:t>
      </w:r>
    </w:p>
    <w:p>
      <w:pPr>
        <w:pStyle w:val="BookText"/>
        <w:rPr/>
      </w:pPr>
      <w:r>
        <w:rPr>
          <w:rFonts w:ascii="Amiri" w:hAnsi="Amiri" w:eastAsia="Amiri" w:cs="Amiri"/>
          <w:color w:val="111111"/>
          <w:sz w:val="28"/>
          <w:sz w:val="28"/>
          <w:szCs w:val="28"/>
          <w:rtl w:val="true"/>
          <w:lang w:bidi="ar-SA"/>
        </w:rPr>
        <w:t>عامّتهم</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تصحّ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0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والقاضي</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النَّص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الموصي أقام الوصي مقام نفسه، فيثبت له من الولاية ما ثبت له، ومن ذلك الاستنابة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الاستنابة من جملة التصرّفات التي يمكلها حَيّاً بالعموم، كما يملكها بالخصوص لورود النّص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الموصي أقامه مقام نفسه في فعله ما دام حَيّاً، ولم يقمه مقامه في جعل القائم مقام نفسه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الاستنابة في حال الحياة، الموجبة لكون الفعل فعل الوصي، غير الاستنابة بعد الموت غير المستندة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الاستنابة في حال الحياة تكون جائزة للوصي الرجوع فيها، بخلاف الاستنابة بعد الموت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الوجهين لا يخلوان عن المصادرة، بل الأظهر بحسب القاعدة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الجواز، لعدم ثبوت ولايةٍ له بعد الموت على ذلك، والأصل يقتضي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استنابته مباشرته بنفسه أو بوكيله الذي هو بمنزلته، ومجبور عمله بنظره، ومندرجٌ في وصايته، دون الايصاء إلى الغير المشتمل على الولاية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رواية استدلّ بها كلّ من الطرفين، وهي الرواية الصحيحة التي رواها الصفّار،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وصيّ رجلٍ‌، فمات وأوصى إلى رجلٍ‌، هل يلزم الوصيّ وصيّة الرّجل الذي كان هذا وصيّه‌؟</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بحقّه إنْ كان له قِبله حقٌّ إنْ شاء اللّه</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بها للقول بالجواز،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بالحقّ هنا حقّ الإيمان،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 إنْ كان مؤمناً وفائه لحقّه بسبب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يقتضي معونة المؤمن، وقصاء حوائجه التي أهمّها إنفاذ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إليه، بأنْ يوصي،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الموصي الأوّل، والمعنى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تلزم الوصيّ الثاني بحقّ الأوّل إن كان له قِبل الوصيّ الأوّل حقٌّ‌، بأن يكون قد أوصى إليه وأذِنَ له أن يوصي، فقد صار له قبله حقّ الوصيّة، فإذا أوصى بها لزمت الوصي الثاني، ومع هذا الاحتمال يصير الخبرُ مجملاً لايصحّ الاستدلال به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بها لعدم الجواز بما مرّ، وهو أيضاً غير ظاهر،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على ما يظهر منها بعد تعمّق النظر فيها، من أنّ المراد بالسؤال أنّ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يتعدّى المأذون، ويتولّى الحاكم من لا وصيّ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 أوصى إلى الغير فيما يتعلّق به، وجعله وصيّاً لنفسه، فهل يدخل في هذه الوصيّة وصيّة الموصي الأوّل، فيلزم الوصي الثاني العمل بها أيضاً أم لا؟ فكتب الجواب بما مضى‌، فلا وجه أيضاً للاستدلال به لكونه على هذا التقدير أيضاً مجملاً، ومقتضاه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للوصيّ الأوّل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الوصي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 جهة وصيّة الموصي الأوّل لزمه الوفاء به وإلّا فلا، ويكون المراد بالحقّ حينئذٍ حقّ التوصيّة إلى الوصي الثاني، بأنْ صرّح له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حاصل الجواب إلى أن وصيّة الأوّل لا تدخل في إطلاق وصيّة الموصى الثاني، إلّاأن يصرّح به، وهو كما ترى غير مورد النزاع، وإطلاقه وإن شمله، إلّا أنّه لاعبرة به بناء على ظهور وروده لبيان حكم غيره، فيكون الخبر بالنسبة إلى مورد النزاع من جواز وصيّة الوصي إلى الغير فيما أوصى به إليه الموصي وعدمه مجملاً محتملاً، لاختصاص الحكم فيه بالجواز مع الشرط بالموضع، المتّفق المجمع عليه، وهو صورة الإذن فيها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نقلنا كلامه رحمه الله بطوله من جهة أنّه أوّل ما نظرت في الرواية قبل مراجعة كلمات القوم فيها، خطر ذلك ببالي، فرأيتُ أنّه قدس سره تعرّض له وبيّنه بأحسن بيان، ولذلك اكتفيتُ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المأذونَ‌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ويتولّى الحاكم من لا وصيّ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أطفال، ولم يكن</w:t>
      </w:r>
      <w:r>
        <w:rPr>
          <w:rFonts w:eastAsia="Amiri" w:cs="Amiri" w:ascii="Amiri" w:hAnsi="Amiri"/>
          <w:color w:val="111111"/>
          <w:sz w:val="28"/>
          <w:szCs w:val="28"/>
          <w:rtl w:val="true"/>
          <w:lang w:bidi="ar-SA"/>
        </w:rPr>
        <w:t xml:space="preserve">). </w:t>
      </w:r>
      <w:bookmarkStart w:id="361" w:name="pg11823_119045"/>
    </w:p>
    <w:p>
      <w:pPr>
        <w:pStyle w:val="BookText"/>
        <w:rPr/>
      </w:pPr>
      <w:bookmarkEnd w:id="361"/>
      <w:r>
        <w:rPr>
          <w:rFonts w:ascii="Amiri" w:hAnsi="Amiri" w:eastAsia="Amiri" w:cs="Amiri"/>
          <w:color w:val="111111"/>
          <w:sz w:val="28"/>
          <w:sz w:val="28"/>
          <w:szCs w:val="28"/>
          <w:rtl w:val="true"/>
          <w:lang w:bidi="ar-SA"/>
        </w:rPr>
        <w:t>وتمضي الوصيّة بالثّلث فما دون، ولو زادت وقف الزائد على إجازة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وليّ من الأجداد، أو كان له وصايا أو حقوق أو ديون بلا خلافٍ‌، لأنّ ذلك من شؤون القضاة، وقد جعله الشارع الأقدس وكيلاً وقاضياً</w:t>
      </w:r>
      <w:r>
        <w:rPr>
          <w:rStyle w:val="FootnoteAnchor"/>
          <w:rtl w:val="true"/>
        </w:rPr>
        <w:footnoteReference w:id="1059"/>
      </w:r>
      <w:r>
        <w:rPr>
          <w:rFonts w:ascii="Amiri" w:hAnsi="Amiri" w:eastAsia="Amiri" w:cs="Amiri"/>
          <w:color w:val="111111"/>
          <w:sz w:val="28"/>
          <w:sz w:val="28"/>
          <w:szCs w:val="28"/>
          <w:rtl w:val="true"/>
          <w:lang w:bidi="ar-SA"/>
        </w:rPr>
        <w:t>، فيثبت له جميع ما للقضاة من الوظائف منها ذلك، ولأنّه من الاُمور الحسبيّة التي يريد الشارع الأقدس وجودها، وقد مرّ في مبحث الولايات</w:t>
      </w:r>
      <w:r>
        <w:rPr>
          <w:rStyle w:val="FootnoteAnchor"/>
          <w:rtl w:val="true"/>
        </w:rPr>
        <w:footnoteReference w:id="1060"/>
      </w:r>
      <w:r>
        <w:rPr>
          <w:rFonts w:ascii="Amiri" w:hAnsi="Amiri" w:eastAsia="Amiri" w:cs="Amiri"/>
          <w:color w:val="111111"/>
          <w:sz w:val="28"/>
          <w:sz w:val="28"/>
          <w:szCs w:val="28"/>
          <w:rtl w:val="true"/>
          <w:lang w:bidi="ar-SA"/>
        </w:rPr>
        <w:t>أنّه يتعيّن تصدّي الحاكم لهذه الاُمور، وبه يظهر أنّه مع فقده يتولّاه عدول المؤمنين</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1006834_73709187"/>
      <w:bookmarkStart w:id="363" w:name="_Toc122"/>
      <w:bookmarkEnd w:id="362"/>
      <w:r>
        <w:rPr>
          <w:rtl w:val="true"/>
        </w:rPr>
        <w:t>حكم الوصيّة الزائدة على الثُّلث</w:t>
      </w:r>
      <w:bookmarkEnd w:id="363"/>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وتمضي الوصيّة بالثُّلث فما دون، ولو 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لاتكون ماضية في الزائد،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الزائد على إجازة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 إلّا عن عليّ بن بابويه</w:t>
      </w:r>
      <w:r>
        <w:rPr>
          <w:rStyle w:val="FootnoteAnchor"/>
          <w:rtl w:val="true"/>
        </w:rPr>
        <w:footnoteReference w:id="1061"/>
      </w:r>
      <w:r>
        <w:rPr>
          <w:rFonts w:ascii="Amiri" w:hAnsi="Amiri" w:eastAsia="Amiri" w:cs="Amiri"/>
          <w:color w:val="111111"/>
          <w:sz w:val="28"/>
          <w:sz w:val="28"/>
          <w:szCs w:val="28"/>
          <w:rtl w:val="true"/>
          <w:lang w:bidi="ar-SA"/>
        </w:rPr>
        <w:t>من نفوذها مطلقاً، وحيث أنّ كلامه غير ظاهر في ذلك، فدعوى نفي الخلاف فيه، بل الإجماع عليه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عليه إجماع العلماء،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65"/>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معتبرة 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بأكثر من الثُّلث، وأعتق مماليكه في مرضه‌؟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أكثر من الثُّلث رَدّ إلى الثُّلث، وجاز العتق</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حمران،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عند موته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فلاناً وفلاناً، حتّى ذكر خمسة، فنظر في ثلثه، فلم يبلغ ثلثه أثمان قيمة المماليك الخمسة الذين أمر بعتقهم‌؟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الذين سمّاهم وبدأ بعتقهم فيقومون وينظر إلى ثلثه فيعتق منه أوّل شيء ذكر، ثمّ الثاني والثالث ثمّ الرابع ثمّ الخامس، فإنْ عجز الثُّلث كان في الذين سمّى أخيراً، لأنّه اعتق بعد مبلغ الثُّلث ما لا يملك، فلا يجوز له ذلك</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المستفيضة أو المتواترة الآتية جملة منها في ضمن الفروع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وبازائها نصوصٌ معارضة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مادام فيه الروح إذا أوصى به كلّه فهو جائز</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عبدوس،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رجلٌ بتركته متاع وغير ذلك لأبي محمّدٍ عليه السلام،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إليّ بجميع ما خلّف لك، وخلّف ابنتي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64" w:name="pg11823_119047"/>
    </w:p>
    <w:p>
      <w:pPr>
        <w:pStyle w:val="BookText"/>
        <w:rPr/>
      </w:pPr>
      <w:bookmarkEnd w:id="364"/>
      <w:r>
        <w:rPr>
          <w:rFonts w:ascii="Amiri" w:hAnsi="Amiri" w:eastAsia="Amiri" w:cs="Amiri"/>
          <w:color w:val="111111"/>
          <w:sz w:val="28"/>
          <w:sz w:val="28"/>
          <w:szCs w:val="28"/>
          <w:rtl w:val="true"/>
          <w:lang w:bidi="ar-SA"/>
        </w:rPr>
        <w:t>اُخت له، فرأيك في ذلك‌؟</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 خلّف وابعث به إليّ‌، فبعتُ وبعثتُ به إليه، فكتب عليه السلام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وصل</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لكنّها لإعراض الأصحاب عنها، ومعارضتها مع النصوص السابقة المشهورة بين الأصحاب، والّتي هي أكثر عدداً وأصَحّ سنداً، يتعيّن طرحها، ولا مورد لما ذكره الأصحاب في مقام الجمع بين الطائفتين من حمل هذه على محامل بعيدة، لما حُقّق في محلّه من أنّ ما اشتهر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في غير الجمع العرفي</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1006836_73709187"/>
      <w:bookmarkStart w:id="366" w:name="_Toc123"/>
      <w:bookmarkEnd w:id="365"/>
      <w:r>
        <w:rPr>
          <w:rtl w:val="true"/>
        </w:rPr>
        <w:t>إجازة الوارث الوصيّة بما زاد على الثُّلث</w:t>
      </w:r>
      <w:bookmarkEnd w:id="36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هذه المسألة يتحقّق ببيان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إجازة الورثة للوصيّة،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يجيزون الوصيّة بعد وفاة الموصي، فإنّه لا إشكال في صحّة الوصيّة بما زاد لو أجاز الورثة بعد وفاة الموصي،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إجماعٌ بقسميه</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أحمد بن محمّد، 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أحمد بن إسحاق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درّة بنت مقاتل توفّيت، وتركت ضيعة أشقاصاً في مواضع، وأوصت لسيّدنا في أشقاصها بما يبلغ أكثر من الثُّلث، </w:t>
      </w:r>
    </w:p>
    <w:p>
      <w:pPr>
        <w:pStyle w:val="BookText"/>
        <w:rPr/>
      </w:pPr>
      <w:r>
        <w:rPr>
          <w:rFonts w:ascii="Amiri" w:hAnsi="Amiri" w:eastAsia="Amiri" w:cs="Amiri"/>
          <w:color w:val="111111"/>
          <w:sz w:val="28"/>
          <w:sz w:val="28"/>
          <w:szCs w:val="28"/>
          <w:rtl w:val="true"/>
          <w:lang w:bidi="ar-SA"/>
        </w:rPr>
        <w:t>ونحن أوصيائها، وأحببنا إنهاء ذلك إلى سيّدنا، فإنْ أمرنا بإمضاء الوصيّة على وجهها أمضيناها، وإنْ أمرنا بغير ذلك انتهينا إلى أمره في جميع ما يأمر به إنْ شاء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لها في تركتها إلّاالثُّلث، وإنْ تفضّلتم وكنتم الورثة كان جائزاً لكم إنْ شاء اللّه</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لهم الرجوع في إجازتهم، لأنّ الوصيّة بالإجازة نفذت، فبطلانها بالرجوع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الوارث الوصيّة في حياة الموصي، ففي نفوذها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w:t>
      </w:r>
      <w:r>
        <w:rPr>
          <w:rStyle w:val="FootnoteAnchor"/>
          <w:rtl w:val="true"/>
        </w:rPr>
        <w:footnoteReference w:id="1073"/>
      </w:r>
      <w:r>
        <w:rPr>
          <w:rFonts w:ascii="IRNazanin" w:hAnsi="IRNazanin" w:eastAsia="IRNazanin"/>
          <w:color w:val="111111"/>
          <w:sz w:val="28"/>
          <w:sz w:val="28"/>
          <w:szCs w:val="28"/>
          <w:rtl w:val="true"/>
          <w:lang w:bidi="fa-IR"/>
        </w:rPr>
        <w:t>، وهو النفوذ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07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0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0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r>
        <w:rPr>
          <w:rStyle w:val="FootnoteAnchor"/>
          <w:rtl w:val="true"/>
        </w:rPr>
        <w:footnoteReference w:id="1080"/>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بالإجازة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قولان آخران في هذه المسألة لم أظفر بقائلهما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الإجازة حال مرض الموصي فتصحّ‌، وحال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صحّته فلا تصحّ‌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غنى الوارث فتصحّ إجازته بلا استدعاء، وبين فقره أو باستدعاء من الموصى فلا تصحّ‌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الأدلّة مع قطع النظر عن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المصنّف رحمه الله</w:t>
      </w:r>
      <w:r>
        <w:rPr>
          <w:rStyle w:val="FootnoteAnchor"/>
          <w:rtl w:val="true"/>
        </w:rPr>
        <w:footnoteReference w:id="1081"/>
      </w:r>
      <w:r>
        <w:rPr>
          <w:rFonts w:ascii="Amiri" w:hAnsi="Amiri" w:eastAsia="Amiri" w:cs="Amiri"/>
          <w:color w:val="111111"/>
          <w:sz w:val="28"/>
          <w:sz w:val="28"/>
          <w:szCs w:val="28"/>
          <w:rtl w:val="true"/>
          <w:lang w:bidi="ar-SA"/>
        </w:rPr>
        <w:t>للنفوذ بوجوه، وتبعه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بتقريب أنّ مقتضى عمومه صحّة الوصيّة مطلقاً، خرج عنه ما لو زادت على الثُّلث، ولم يجزه الوارث،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المرجع مع الشكّ إلى عموم ما دلّ على عدم صحّة الوصيّة بما زاد على الثُّلث، الذي هو أخصّ من عموم صحّة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نصوص عدم صحّة الوصيّة بما زاد على الثُّلث، قيّد إطلاقها بما دلّ على صحّتها مع إجازة الوارث، فالتمسّك بعمومها في صورة الشكّ 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حقٌّ للورثة، فإذا رضوا بالوصيّة، سقط حقّهم كما لو رضى المشتري بالعيب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الحقّ للورثة حال الحياة، فلا معنى لإسقاطه، وإذا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أُريد ثبوته بعد الموت، فإسقاطه حال الحياة من قبيل إسقاط مالم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إسقاط ما لم يجب إنْ كان بنحو الإسقاط على تقدير الثبوت،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اعتبار إجازة الوارث، لأنّه تصرّف من المالك في ملكه، لكن منع من الزيادة على الثُّلث إرفاقاً بالورثة، فإذا رضى الوارث زال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زوال المانع إنّما يتمّ على تقدير استمرار رضا الوارث، أمّا إذا ردّ بعد ذلك، فالإرفاق به يقتضي عدم صحّة الإجازة السابقة، والعملُ على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فعلاً كفاية الإجازة في حال الحياة، وأمّا أنّه لو ردّ بعد ذلك هل يؤثّر الرّد أم لا، فهي مسألة أُخرى سيأتي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الموصى به لا يخرجُ عن ملك الموصي والورثة، لأنّه إنْ برأ كان المال له، وإنْ مات كان للورثة، فإنْ كان للموصي فقد أوصى به، وإنْ كان للورثة فقد أجازوه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الكلام صورة الموت، فالمِلْك يكون للورثة، لكنّه بعد الموت لا قبله، فالإجازة قبله إجازةٌ من 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إجازة غير المالك التصرّف على تقدير ملكه لا مانع من تأثيرها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رجل أوصى بوصيّةٍ وورثته شهود، فأجازوا ذلك، فلمّا مات الرّجل نقضوا الوصيّة، هل لهم أن يردّوا ما أقرّوا به‌؟ </w:t>
      </w:r>
      <w:bookmarkStart w:id="367" w:name="pg11823_119051"/>
    </w:p>
    <w:p>
      <w:pPr>
        <w:pStyle w:val="BookText"/>
        <w:rPr/>
      </w:pPr>
      <w:bookmarkEnd w:id="367"/>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والوصيّة جائزة عليهم إذا أقرّوا بها في حياته</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منصور بن حازم</w:t>
      </w:r>
      <w:r>
        <w:rPr>
          <w:rStyle w:val="FootnoteAnchor"/>
          <w:rtl w:val="true"/>
        </w:rPr>
        <w:footnoteReference w:id="1084"/>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ودلالتها على نفوذ الوصيّة ظاهرة، ومع ذلك كلّه فلا يصغى إلى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لعدم النفوذ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إجازة في غير ما يستحقّونه بعد، فلا يلزمهم بحال</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1006838_73709187"/>
      <w:bookmarkStart w:id="369" w:name="_Toc124"/>
      <w:bookmarkEnd w:id="368"/>
      <w:r>
        <w:rPr>
          <w:rtl w:val="true"/>
        </w:rPr>
        <w:t>إجازه الوارث تنفيذٌ لعمل الموصي</w:t>
      </w:r>
      <w:bookmarkEnd w:id="369"/>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أنّه هل تكون إجازة الوارث تنفيذاً لعمل الموصى، بحيث لا يعتبر فيها شيءٌ ممّا يعتبر في الهبة، وينتقل المال من الموصي إلى الموصى له‌؟</w:t>
      </w:r>
    </w:p>
    <w:p>
      <w:pPr>
        <w:pStyle w:val="BookText"/>
        <w:rPr/>
      </w:pPr>
      <w:r>
        <w:rPr>
          <w:rFonts w:ascii="Amiri" w:hAnsi="Amiri" w:eastAsia="Amiri" w:cs="Amiri"/>
          <w:color w:val="111111"/>
          <w:sz w:val="28"/>
          <w:sz w:val="28"/>
          <w:szCs w:val="28"/>
          <w:rtl w:val="true"/>
          <w:lang w:bidi="ar-SA"/>
        </w:rPr>
        <w:t>أو ابتداءً تعدّ عطيّة من الوارث، فتفتقر صحّتها إلى القبض، بل القبول أيضاً، وينتقل المال من الوارث إلى الموصى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هو الأوّل،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مذهب الأصحاب، لايتحقّق فيه خلافٌ بينهم، وإنّما يذكر الآخر وجهاً أو احتمالاً وإنّما هو قول العامّة، والمرجّح عندهم ما اخترناه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لكلّ من القولين بوجوه استحسانيّة، والحقّ أنْ يقال إنّه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مقام الثبوت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أجاز البعض مضى في قدر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الالتزام بنفوذ وصيّة الموصي، وانتقال المال منه إلى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 المال له حتّى ما بعد موته، غاية الأمر بالنسبة إلى ثلثه يكون مشروطاً بالوصيّة، وبالنسبة إلى مازاد عليه يكون مشروطاً بها مع إجازة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لأنّه وإنْ كان المال للورثة، لكن كما يجوز تمليك مال الغير بإذنه بعدما صار ملكاً له، كذلك يجوز تمليكه من أوّل مايكون المقتضي لدخوله في ملكه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التقديرين، لا مانع من الالتزام بانتقال المال من الموصي إلى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فالموصي إنّما ينشأ التمليك، وليس من الوارث إنشاء تمليك، وإنّما كان منه إجازة ذلك الإنشاء، فهي تكون تنفيذاً لذلك لا ابتداء تمليك، والنصوص أيضاً ظاهرة في ذلك، لاحظ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والوصيّة جائزة عليهم إذا أقرّوا بها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كالصريح في أنّ المملّك هي الوصيّة التي أقرّوا بها لا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أنّها تنفيذ للوصيّة لا ابتداء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الوصيّة زائدة عن الثُّلث،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في قَدر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التبعيض بلا خلافٍ‌، وظاهر كلماتهم المفروغيّة عن جواز ذلك، وهي كذلك للعمومات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فيتمّ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أجاز الجميع البعض أو البعض، لاتّحاد الجميع في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70" w:name="pg11823_119053"/>
    </w:p>
    <w:p>
      <w:pPr>
        <w:pStyle w:val="BookText"/>
        <w:rPr/>
      </w:pPr>
      <w:bookmarkEnd w:id="370"/>
      <w:r>
        <w:rPr>
          <w:rFonts w:ascii="Amiri" w:hAnsi="Amiri" w:eastAsia="Amiri" w:cs="Amiri"/>
          <w:color w:val="111111"/>
          <w:sz w:val="28"/>
          <w:sz w:val="28"/>
          <w:szCs w:val="28"/>
          <w:rtl w:val="true"/>
          <w:lang w:bidi="ar-SA"/>
        </w:rPr>
        <w:t>ولو أجازوا قبل الموت صحّ‌، ويملك الموصي به بعد الموت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الواجب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مثالاً للتوزيع في ما لو أجاز بعض الورثة، وهو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نفرض التركة ستّة، وكان الموصى به ثلاثة، فتزيد الوصيّة على الثُّلث بسدس المجموع، فإذا كان للميّت ابنٌ وبنتٌ كان هذا السدس مشتركاًبينهما أثلاثاً، ولو أجاز الابن فقط صحّت الوصيّة في ثلثي السدس، وبطلت في ثلثه، فتصحّ الوصيّة في اثنين وثلثين من الثالث، وإنْ أجازت البنت صحت الوصيّة في اثنين وثلثٍ من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تصحّ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 الوصيّة عن الثُّلث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أجازوا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أجاز البعض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الموصى به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ما لو زادت الوصيّة على الثُّلث وأجاز الوارث، أو كانت بقدره فما 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توقّف الملكيّة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فقد مر الكلام فيهما مفصّلاً عند القول في شرطيّة القبول</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371" w:name="__RefHeading___Toc11006840_73709187"/>
      <w:bookmarkStart w:id="372" w:name="_Toc125"/>
      <w:bookmarkEnd w:id="371"/>
      <w:r>
        <w:rPr>
          <w:rtl w:val="true"/>
        </w:rPr>
        <w:t>حكم الايصاء بالواجب وغيره</w:t>
      </w:r>
      <w:bookmarkEnd w:id="37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بواجب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الواجب ماليّاً كالدين والحجّ‌، أم بدنياً كالصوم والصَّلاة، كما تقدّم </w:t>
      </w:r>
    </w:p>
    <w:p>
      <w:pPr>
        <w:pStyle w:val="BookText"/>
        <w:rPr/>
      </w:pPr>
      <w:r>
        <w:rPr>
          <w:rFonts w:ascii="Amiri" w:hAnsi="Amiri" w:eastAsia="Amiri" w:cs="Amiri"/>
          <w:color w:val="111111"/>
          <w:sz w:val="28"/>
          <w:sz w:val="28"/>
          <w:szCs w:val="28"/>
          <w:rtl w:val="true"/>
          <w:lang w:bidi="ar-SA"/>
        </w:rPr>
        <w:t>والباقي من الثّلث، ويبدأ بالأوّل فالأوّل في غير الواجب،</w:t>
      </w:r>
    </w:p>
    <w:p>
      <w:pPr>
        <w:pStyle w:val="BookText"/>
        <w:rPr/>
      </w:pPr>
      <w:r>
        <w:rPr>
          <w:rFonts w:ascii="Amiri" w:hAnsi="Amiri" w:eastAsia="Amiri" w:cs="Amiri"/>
          <w:color w:val="111111"/>
          <w:sz w:val="28"/>
          <w:sz w:val="28"/>
          <w:szCs w:val="28"/>
          <w:rtl w:val="true"/>
          <w:lang w:bidi="ar-SA"/>
        </w:rPr>
        <w:t>في كتاب الحجّ مفصّلاً</w:t>
      </w:r>
      <w:r>
        <w:rPr>
          <w:rStyle w:val="FootnoteAnchor"/>
          <w:rtl w:val="true"/>
        </w:rPr>
        <w:footnoteReference w:id="1089"/>
      </w:r>
      <w:r>
        <w:rPr>
          <w:rFonts w:ascii="Amiri" w:hAnsi="Amiri" w:eastAsia="Amiri" w:cs="Amiri"/>
          <w:color w:val="111111"/>
          <w:sz w:val="28"/>
          <w:sz w:val="28"/>
          <w:szCs w:val="28"/>
          <w:rtl w:val="true"/>
          <w:lang w:bidi="ar-SA"/>
        </w:rPr>
        <w:t>وعرفت أنّ الواجب يخرجُ من الأصل مطلقاً، لإطلاق الدين عليه في الأخبار، ودلالة النصوص على أنّ كلّ دينٍ يخرج من الأصل، والإيصاء به لا يوجبُ صرفه إلى الثُّلث، بلا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توفّى وأوصى أن يُحجّ عنه‌؟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فمن جميع المال، إنّه بمنزلة الدين الواجب، وإنْ كان قد حَجّ فمن ثلثه</w:t>
      </w:r>
      <w:r>
        <w:rPr>
          <w:rStyle w:val="FootnoteAnchor"/>
          <w:rtl w:val="true"/>
        </w:rPr>
        <w:footnoteReference w:id="1090"/>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الموثّق</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كما ترى صريحان في أنّ الوصيّة للحجّ لا توجبُ إخراجه من الثُّلث، بل يخرج من الأصل مطلقاً، وما فيهما من التعليل ظاهرٌ في العموم لكلّ ما هو بمنزلة الدين، فيشملان جميع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من الثُّلث، ويبدأ بالأوّل فالأوّل في غير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يستوفى الثُّلث، ويبطل فيما زاد عليه إنْ لم يجز الورثة،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حمران، عن أبي جعفر عليه السلام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أوصى عند موته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فلاناً وفلاناً، حتّى ذكر خمسة، فنظر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جمع تساووا في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ثُلثه فلم يبلغ ثلثه أثمان قيمة المماليك الخمسة الذين أمر بعتقهم‌؟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الذين سمّاهم وبدأ بعتقهم فيقوّمون، وينظر إلى ثلثه فيعتق منه أوّل شيء ذُكر ثمّ الثاني والثالث ثمّ الرابع ثمّ الخامس، فإنْ عجز الثُّلث كان في الذين سمّى أخيراً لأنّه أعتق بعد مبلغ الثُّلث ما لا يملك، فلا يجوز له ذلك</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منجبرٌ بالشهرة، وبرواية ابن أبي محبوب المُجمع على تصحيح ما يصحّ عنه عن موجبه، ومورده وإنْ كان خاصّاً إلّاأنّ التعليل ظاهر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أوصى به من الواجب وغيره في الثُّلث، بأنْ صرّح بإخراجه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تساووا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بمقتضى الوصيّة، وحينئذٍ إنْ كان الثُّلث وافياًبالجميع، فلا كلام، وإلّا فيبدأ بالواجب، وإنْ تأخّر في الذكر، بلا خلافٍ ظاهر، والتعليل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من أهلي ماتت وأوصت إليّ بثلث مالها، وأمرت أن يعتق عنها ويتصدّق ويحجّ عنها، فنظرتُ فيه فلم يبلغ‌؟</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فإنّه فريضة من فرائض اللّه عزّ وجلّ‌، واجعل ما بقي طائفة في العتق، وطائفة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في ذلك، مضافاً إلى أولويّة الواجب عن غيره، مع حصول تيقّن براءة الوصي بصرفه فيه، بخلاف ما لو صرفه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أوصى بالأزيد أو بتمام تركته، ولم يعلم كونها في واجبٍ حَيّ‌، تنفذ أوّلاً حتّى يتوقّف الزائد على إجازة الورثة، فقد يقال 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بالأوّل حيث إنّه وجّه كلام والد الصدوق</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 جميع الوصايا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ما إذا لم يعلم كون الموصى به واجباً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جماعة من المحقّقين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96"/>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وغيرهما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بحمل ما دلّ من الأخبار على أنّه إذا أوصى بماله فهو جائز، وأنّه أحقّ بماله ما دام فيه الروح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مقتضى عمومات وجوب العمل بالوصيّة، خروجها عن الأصل، خرج عنها صورة العلم بكونها ندبيّة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إذا كانت الحالة السابقة هو الوجوب، كما إذا علم وجوب الحجّ عليه سابقاً، ولم يعلم أنّه أتى به أم لا، يجري الاستصحاب، ويحكم بالخروج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الصحّة في الوصيّة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جميعاً ضعيفة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تلك النصوص لابدّ من طرحها، لا حملها على خلاف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الخارج عن عمومات وجوب العمل بالوصيّة، الوصيّة بغير الواجب فيما زاد على الثُّلث، فالتمسّك بالعمومات حينئذٍ تمسّكٌ بالعام في الشبهة المصداقيّة، وهو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استصحاب بقاء تكليف الميّت لاينفع في تكليف الوارث، لأنّ تكليفه بالإخراج فرعُ تكليف الميّت حتّى يتعلّق الحقّ بأصل التركة، وثبوت تكليف الميّت فرع شكّه وإجرائه الاستصحاب، لا شكّ الوارث، وحال الميّت غير معلوم أنّه متيقّنٌ بأحد الطرفين أو 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ولايقاس المقام بما لو شكّ في نجاسة يد شخصٍ وهو نائم، مع العلم بنجاسته سابقاً، الذي لا إشكال في جريان الاستصحاب في يده، مع أنّ حال النائم غير معلومة، إذ في المقيس عليه لا يتوقّف الحكم بنجاسته بالنسبة إلى هذا الشخص على ثبوت نجاسته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فوجوب الإخراج من الأصل فرعُ ثبوت تكليف الميّت واشتغال ذمّته بالنسبة إليه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أصالة صحّة الوصيّة وضعاً، فلا أساس لهذا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أنّ الأصل عدم تصرّف الإنسان في مال غيره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أنّهذا الأصل لايجري في المقام بعد عدم كون الإيصاءبما للوارث 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شيء ممّا ذكروه في وجه الخروج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عدم النفوذ ما لم يثبت كونها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النصوص في ذلك، لأنّ الظاهر منها أنّه يقف نفوذ الوصيّة على إجازة الورثة بمجرّد اشتمال الوصيّة على الأزيد من الثُّلث، وإنّما خرج عن ذلك ما لو علم كون ما أوصى به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أنّ‌المستفاد منها الحكم بعدم نفوذ الوصيّة حتّى يعلم أنّ صدورها منه بسببٍ من الأسباب التي توجب الخروج من الأصل عملاً بظاهر مادلّ‌على تعلّق حقّ الوارث بالزائد من الثُّلث حتّى يعلم خلافه، وأصالة النفوذ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حيث لا تعارض حقّ الغير،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توقّف نفوذ الوصيّة بالأزيد من الثُّلث على إجازة الورثة، إنّما هو في مقام بيان الحكم الواقعي، خرج عنه الوصيّة بالواجب، وهو في المقام مشكوكٌ فيه، فالتمسّك بذلك الدليل العام يعدّ تمسّكاً بالعام في الشبهة المصداقيّة،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بظاهر ما دلّ على تعلّق حقّ الوارث بالزائد من الثُّلث حتّى يعلم خلافه، إذ لم نقف على ذلك الدليل المغيّا بالغاية المشار إليها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 في ذيل كلامه أنّ أدلّة صحّة الوصيّة بما زاد على الثُّلث، مع وجود السبب المقتضي، تعارض أدلّة رَدّ الوصيّة فيما زاد على الثُّلث، والنسبة عمومٌ من وجه، وتُقدّم الثانية، إذ الطائفة الثانية أخصّ مطلق من الأُولى، فتقدّم عليها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73" w:name="pg11823_119059"/>
    </w:p>
    <w:p>
      <w:pPr>
        <w:pStyle w:val="BookText"/>
        <w:rPr/>
      </w:pPr>
      <w:bookmarkEnd w:id="373"/>
      <w:r>
        <w:rPr>
          <w:rFonts w:ascii="Amiri" w:hAnsi="Amiri" w:eastAsia="Amiri" w:cs="Amiri"/>
          <w:color w:val="111111"/>
          <w:sz w:val="28"/>
          <w:sz w:val="28"/>
          <w:szCs w:val="28"/>
          <w:rtl w:val="true"/>
          <w:lang w:bidi="ar-SA"/>
        </w:rPr>
        <w:t>ولكنّه لايصحّ الاستدلال بها في المقام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ما أوصى به واجباً غير معلوم، والأصل عدمه، وبهذا الأصل الموصوعي يدخل في الأخبار الدالّة على عدم صحّتها إذا كانت أزيد من الثُّلث، إذ الخارج منها كونها بالواجب</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1006842_73709187"/>
      <w:bookmarkStart w:id="375" w:name="_Toc126"/>
      <w:bookmarkEnd w:id="374"/>
      <w:r>
        <w:rPr>
          <w:rtl w:val="true"/>
        </w:rPr>
        <w:t>إذا أجاز الورثة ثمّ ادّعوا الظنّ بقلّة المال</w:t>
      </w:r>
      <w:bookmarkEnd w:id="375"/>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بما يزيد على الثُّلث، فأجاز الورثة أوّلاً،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 قليل،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الوصيّة بمقدارٍ من المال، مشاعٍ في التركة، كنصف ماله مثلاً، قضى عليهم بما ظنّوه، وعليهم الحلف على الزائد، فلو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ظننا أنّه ألف درهمٍ فبان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قُضي عليهم بثلث الألف دينار بالوصيّة، وسدس الألف درهم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بعين معيّنة كدارٍ مثلاً، لم يلتفت إلى دعواهم، ذكره جماعة من الأصحاب</w:t>
      </w:r>
      <w:r>
        <w:rPr>
          <w:rStyle w:val="FootnoteAnchor"/>
          <w:rtl w:val="true"/>
        </w:rPr>
        <w:footnoteReference w:id="109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 صريحاً</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بين المسألتين في القبول، 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 xml:space="preserve">الميل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xml:space="preserve">، وجعله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03"/>
      </w:r>
      <w:r>
        <w:rPr>
          <w:rFonts w:ascii="IRNazanin" w:hAnsi="IRNazanin" w:eastAsia="IRNazanin"/>
          <w:color w:val="111111"/>
          <w:sz w:val="28"/>
          <w:sz w:val="28"/>
          <w:szCs w:val="28"/>
          <w:rtl w:val="true"/>
          <w:lang w:bidi="fa-IR"/>
        </w:rPr>
        <w:t xml:space="preserve">وجهاً،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04"/>
      </w:r>
      <w:r>
        <w:rPr>
          <w:rFonts w:ascii="Amiri" w:hAnsi="Amiri" w:eastAsia="Amiri" w:cs="Amiri"/>
          <w:color w:val="111111"/>
          <w:sz w:val="28"/>
          <w:sz w:val="28"/>
          <w:szCs w:val="28"/>
          <w:rtl w:val="true"/>
          <w:lang w:bidi="ar-SA"/>
        </w:rPr>
        <w:t xml:space="preserve">احتمالاً،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الأوجه</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بينهما في عدم القبول،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xml:space="preserve">وتبعه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وجمعٌ من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إنّما يقبل قولهم في المسألة الأُولى لأصالة عدم العلم بالزائد، مضافاً إلى أنّ المال ممّا يخفى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دعواهم يمكن أنْ تكون صادقة، ولا يمكن الإطّلاع على صدق ظنّهم إلّامن قبلهم، لأنّ الظنّ من الاُمور النفسانيّة، فلو لم يكتف فيه باليمين، لزم الضرر، لتعذّر إقامة البيّنة على دعواهم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ولأصالة عدم الإجازة، وإنّما لايقبل في الثانية، لأنّ الإجازة هنا تضمّنت معلوماً وهو الدار مثلاً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عدم القبول في الأوّل بما مرّ، ولعدمه في الثانية بأنّ الإجازة وإنْ وقعت على معلوم وهو الدار في المثال، لكن كونه مقدار الثُّلث أو ماقاربه ممّا تسامحوا فيه مجهولاً، ولا يعرف إلّابمعرفة مجموع التركة، والأصل عدمه، ولكن الاُصول المشار إليها لا أثر لها في المقام أصلا، وذلك لأنّ الخلاف في المقام ليس في ما تعلّقت الإجازة به، لأنّه معلومٌ في كلتا المسألتين، وإنّما المجيز يدّعي أنّه تخيّل قلّة ما يجيزه</w:t>
      </w:r>
      <w:r>
        <w:rPr>
          <w:rFonts w:eastAsia="Amiri" w:cs="Amiri" w:ascii="Amiri" w:hAnsi="Amiri"/>
          <w:color w:val="111111"/>
          <w:sz w:val="28"/>
          <w:szCs w:val="28"/>
          <w:rtl w:val="true"/>
          <w:lang w:bidi="ar-SA"/>
        </w:rPr>
        <w:t xml:space="preserve">.). </w:t>
      </w:r>
      <w:bookmarkStart w:id="376" w:name="pg11823_119061"/>
    </w:p>
    <w:p>
      <w:pPr>
        <w:pStyle w:val="BookText"/>
        <w:rPr/>
      </w:pPr>
      <w:bookmarkEnd w:id="376"/>
      <w:r>
        <w:rPr>
          <w:rFonts w:ascii="Amiri" w:hAnsi="Amiri" w:eastAsia="Amiri" w:cs="Amiri"/>
          <w:color w:val="111111"/>
          <w:sz w:val="28"/>
          <w:sz w:val="28"/>
          <w:szCs w:val="28"/>
          <w:rtl w:val="true"/>
          <w:lang w:bidi="ar-SA"/>
        </w:rPr>
        <w:t>وعليه 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البناء على عدم الاعتناء بما يدّعيه، وذلك لأنّه قد تكرّر منّا في هذا الشرح أنّ الآثار الوضعيّة لا تتبع ما في النفس من الترجّحات، ولا تأثير فيها على الإنشاء، فلو اشترى شيئاً لغرضٍ من الأغراض، ولم يتحقّق ذلك في الخارج، لا يبطل الشراء ولايثبت له الخيار، وهذا هو الفارق بين الآثار الوضعيّة والتكليفيّة، فإنّ الآثار التكليفيّة تتبع الترجّحات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ففي المقام بما أنّ الوارث أجاز الوصيّة الواقعة في الخارج، وكونه ظانّاً بقلّة الموصى به من قبيل الأغراض والدّواعي، فتخلّفه لا يؤثّر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رفع أثر الإجازة حديث لاضرر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تقدّم منّا من أنّ المال الموصى به وإنْ زاد على الثُّلث ينتقل من الموصى إلى الموصى له لو أجاز الوارث، يكون ذلك من قبيل عدم النفع لا الضرر، فلا مورد لحديث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عدم القبول في كلتا المسألتين، واللّه العالم</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1006844_73709187"/>
      <w:bookmarkStart w:id="378" w:name="_Toc127"/>
      <w:bookmarkEnd w:id="377"/>
      <w:r>
        <w:rPr>
          <w:rtl w:val="true"/>
        </w:rPr>
        <w:t>المدار في استحقاق الثُّلث على حال الوفاة</w:t>
      </w:r>
      <w:bookmarkEnd w:id="378"/>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لاخلاف بين الأصحاب في أنّ المدار على استحقاق الثُّلث بحال وفاة الموصي لا حال الوصيّة، وقد ادّعى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ويقتضيه ظهور الأدلّة، بل صراحة بعضها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في المقام مسألة أُخرى خلطت بما هو عنوان هذه المسألة،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لو قال الموصي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اعطوا ثلث مالي لزيدٍ أو نصفه أو ربعه أو ما شاكل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هذا المقدار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وفرضنا أنّ ماله زاد بعد الوصيّة وقبل الوفاة، فإنّ هذا المفروض يباين مسألتنا، وهي ما لو أوصى بشيء ثمّ مات وكان ذلك الشيء أزيد من ثلث ماله حين الوصيّة وبقدره، أو أقلّ حين الوفاة، والحكم في ما هو معنونٌ في المقام ما ذُكر، وأمّا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الزيادة متوقّعاً حصولها فظاهر إيصاء الموصي قصده لها أيضاً، وإلّا فظاهرٌ أنّه غير قاصدٍ لها، بل ظاهر الحمل إرادة حال الوصيّة، كما في سائر الموارد التي يحمل فيها العنوان على ما يكون حال الخطاب، مثلاً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أتصدّق بنصف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هي الأموال الموجودة حال النذر لا ما يتجدّد بعد، وإلى هذا نظر المحقّق الثاني قدس سره، حيث قال بعد ذكر ما هو محلّ الكلام، وأنّ المدار على الثُّلث حال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يستقيم فيما إذا أوصى بقدرٍ معلوم، أمّا إذا أوصى بثلث تركته، وكان في وقت الوصيّة قليلاً، فتجدّد له مالٌ كثير بالإرث أو الوصيّة أو بالاكتساب، ففي تعلّق الوصيّة بثلث المتجدّد مع عدم العلم بارادة الموصي للموجود وقت الوصيّة والمتجدّد نظرٌ، ظاهر منشأه قرائن الأحوال على أنّ الموصي لم يرد ثلث المجدّد حيث لايكون تجدّده متوقّعاً، وقد تقدّم الإشكال فيما لو أوصى لأقرب الناس إليه، وله ابنٌ وابن ابنٍ فمات الابن، فإنّ استحقاق ابن الابن لها لايخلو من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الفرق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فيما هو عنوان البحث يكون النفوذ بمقدار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الثُّلث حكماً شرعيّاً غير مُنشأ للموصي، فالمتّبع فيه الدليل، وقد مرّ ظهوره في الثُّلث حين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هذه المسألة، فالثلث هو موردٍ إنشاء الموصي، وفيه لابدّ من رعاية إنشائه، ولا ريب أنّه يكون منشئاً لثلث ما يتجدّد إذا لم يكن متوقّعاً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حصوله أو أُنشأت ثلث ما هو داخلٌ في ملكه حين الوفاة، فإنّه لا إشكال حينئذٍ في أنّ المدار عليه أيضاً، إلّاأنّه غير ما هو معنونٌ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يرد على المحقّق الثاني 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يلزم العمل بإطلاق الوصيّة، إلّاإذا كان هناك قرينة قطعيّة على عدم إرادته الزيادة المتجدّدة</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يضعف ما أورده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ماعرفت من أنّه في 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القطعيّة على عدم إرادة الزيادة المتجدّد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رفع اليد عن الإطلاق، وجود ما يصلح للقرينيّة، ولا تعتبر القرينة القطعيّة، هذا ما يقتضيه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المقام نصوصاً خاصّة، تدلّ على أنّ المال المتجدّد أيضاً يلاحظ في مثل هذه الوصيّة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لرجلٍ بوصيّةٍ من ماله ثلثٌ أو ربعٌ‌، فيُقتل الرّجل خطئاً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 لهذه الوصيّة من ماله ومن ديته</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بثلثه ثمّ قُتل خَطئاً، فإنّ ثلث ديته داخلٌ في وصيّته</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أنّ الحكم بجواز الوصيّة من ديته التي هي مالٌ لم يكن يتوقّعه، من جهة كونها مالاً له لا لخصوصيّةٍ في الدّية، وعليه فالبناء على أنّ المدار في هذه المسألة أيضاً على القدر المشاع في مجموع المال الموجود حال الوفاة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أنّه لا فرق في احتساب الدّية من التركة، وخروج الثُّلث منها، بين ما إذا كان القتل خطئاً، أو كان عمداً وصالح أوليائه قاتله على الدّية، للنصوص الدالّة على أنّ تلك الدّية أيضاً بحكم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الحميد،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وعليه دَين، ولم يترك مالاً، واتّخذ أهله الدّية من قاتله، عليهم أن يقضوا دينه‌؟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يترك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أخذوا الدّية فعليهم أن يقضوا دينه</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نحوه خبر يحيى الأزرق، عن أبي الحسن عليه السلام</w:t>
      </w:r>
      <w:r>
        <w:rPr>
          <w:rStyle w:val="FootnoteAnchor"/>
          <w:rtl w:val="true"/>
        </w:rPr>
        <w:footnoteReference w:id="1114"/>
      </w:r>
      <w:r>
        <w:rPr>
          <w:rFonts w:ascii="IRNazanin" w:hAnsi="IRNazanin" w:eastAsia="IRNazanin"/>
          <w:color w:val="111111"/>
          <w:sz w:val="28"/>
          <w:sz w:val="28"/>
          <w:szCs w:val="28"/>
          <w:rtl w:val="true"/>
          <w:lang w:bidi="fa-IR"/>
        </w:rPr>
        <w:t>، فإنّ إطلاقهما شاملٌ للعمد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الحسن موسى بن جعفر عليه السلام، 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قُتل عمداً وصالح أوليائه قاتله على الدّية، فعلى من الدَّين، على أوليائه أم من الدّية، أو إمام المسلمين‌؟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79" w:name="pg11823_119065"/>
    </w:p>
    <w:p>
      <w:pPr>
        <w:pStyle w:val="BookText"/>
        <w:rPr/>
      </w:pPr>
      <w:bookmarkEnd w:id="379"/>
      <w:r>
        <w:rPr>
          <w:rFonts w:ascii="IRNazanin" w:hAnsi="IRNazanin" w:eastAsia="IRNazanin"/>
          <w:color w:val="111111"/>
          <w:sz w:val="28"/>
          <w:sz w:val="28"/>
          <w:szCs w:val="28"/>
          <w:rtl w:val="true"/>
          <w:lang w:bidi="fa-IR"/>
        </w:rPr>
        <w:t>ولو أوصى بجزء ماله، السُبع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يؤدّوا دينه من ديته التي صالح عليها أوليائه، فإنّه أحقّ بدَينه من غيره</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11006846_73709187"/>
      <w:bookmarkStart w:id="381" w:name="_Toc128"/>
      <w:bookmarkEnd w:id="380"/>
      <w:r>
        <w:rPr>
          <w:rtl w:val="true"/>
        </w:rPr>
        <w:t>حكم الوصيّة المبهمة</w:t>
      </w:r>
      <w:bookmarkEnd w:id="381"/>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الوصايا المبهة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بجزء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تكن هناك قرينة من عرفٍ أو عادةٍ على تعيينه،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المفيد</w:t>
      </w:r>
      <w:r>
        <w:rPr>
          <w:rStyle w:val="FootnoteAnchor"/>
          <w:rtl w:val="true"/>
        </w:rPr>
        <w:footnoteReference w:id="1116"/>
      </w:r>
      <w:r>
        <w:rPr>
          <w:rFonts w:ascii="Amiri" w:hAnsi="Amiri" w:eastAsia="Amiri" w:cs="Amiri"/>
          <w:color w:val="111111"/>
          <w:sz w:val="28"/>
          <w:sz w:val="28"/>
          <w:szCs w:val="28"/>
          <w:rtl w:val="true"/>
          <w:lang w:bidi="ar-SA"/>
        </w:rPr>
        <w:t>، والإسكافي</w:t>
      </w:r>
      <w:r>
        <w:rPr>
          <w:rStyle w:val="FootnoteAnchor"/>
          <w:rtl w:val="true"/>
        </w:rPr>
        <w:footnoteReference w:id="1117"/>
      </w:r>
      <w:r>
        <w:rPr>
          <w:rFonts w:ascii="Amiri" w:hAnsi="Amiri" w:eastAsia="Amiri" w:cs="Amiri"/>
          <w:color w:val="111111"/>
          <w:sz w:val="28"/>
          <w:sz w:val="28"/>
          <w:szCs w:val="28"/>
          <w:rtl w:val="true"/>
          <w:lang w:bidi="ar-SA"/>
        </w:rPr>
        <w:t>، والديلمي</w:t>
      </w:r>
      <w:r>
        <w:rPr>
          <w:rStyle w:val="FootnoteAnchor"/>
          <w:rtl w:val="true"/>
        </w:rPr>
        <w:footnoteReference w:id="1118"/>
      </w:r>
      <w:r>
        <w:rPr>
          <w:rFonts w:ascii="Amiri" w:hAnsi="Amiri" w:eastAsia="Amiri" w:cs="Amiri"/>
          <w:color w:val="111111"/>
          <w:sz w:val="28"/>
          <w:sz w:val="28"/>
          <w:szCs w:val="28"/>
          <w:rtl w:val="true"/>
          <w:lang w:bidi="ar-SA"/>
        </w:rPr>
        <w:t>، والقاضي</w:t>
      </w:r>
      <w:r>
        <w:rPr>
          <w:rStyle w:val="FootnoteAnchor"/>
          <w:rtl w:val="true"/>
        </w:rPr>
        <w:footnoteReference w:id="1119"/>
      </w:r>
      <w:r>
        <w:rPr>
          <w:rFonts w:ascii="Amiri" w:hAnsi="Amiri" w:eastAsia="Amiri" w:cs="Amiri"/>
          <w:color w:val="111111"/>
          <w:sz w:val="28"/>
          <w:sz w:val="28"/>
          <w:szCs w:val="28"/>
          <w:rtl w:val="true"/>
          <w:lang w:bidi="ar-SA"/>
        </w:rPr>
        <w:t>، وابن زُهرة</w:t>
      </w:r>
      <w:r>
        <w:rPr>
          <w:rStyle w:val="FootnoteAnchor"/>
          <w:rtl w:val="true"/>
        </w:rPr>
        <w:footnoteReference w:id="1120"/>
      </w:r>
      <w:r>
        <w:rPr>
          <w:rFonts w:ascii="Amiri" w:hAnsi="Amiri" w:eastAsia="Amiri" w:cs="Amiri"/>
          <w:color w:val="111111"/>
          <w:sz w:val="28"/>
          <w:sz w:val="28"/>
          <w:szCs w:val="28"/>
          <w:rtl w:val="true"/>
          <w:lang w:bidi="ar-SA"/>
        </w:rPr>
        <w:t>، والمصنّف رحمه الله هنا، وجماعة</w:t>
      </w:r>
      <w:r>
        <w:rPr>
          <w:rStyle w:val="FootnoteAnchor"/>
          <w:rtl w:val="true"/>
        </w:rPr>
        <w:footnoteReference w:id="1121"/>
      </w:r>
      <w:r>
        <w:rPr>
          <w:rFonts w:ascii="Amiri" w:hAnsi="Amiri" w:eastAsia="Amiri" w:cs="Amiri"/>
          <w:color w:val="111111"/>
          <w:sz w:val="28"/>
          <w:sz w:val="28"/>
          <w:szCs w:val="28"/>
          <w:rtl w:val="true"/>
          <w:lang w:bidi="ar-SA"/>
        </w:rPr>
        <w:t xml:space="preserve">، وهو أنّه سيكون للموصى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المنسوب إلى الأكثر</w:t>
      </w:r>
      <w:r>
        <w:rPr>
          <w:rStyle w:val="FootnoteAnchor"/>
          <w:rtl w:val="true"/>
        </w:rPr>
        <w:footnoteReference w:id="1122"/>
      </w:r>
      <w:r>
        <w:rPr>
          <w:rFonts w:ascii="Amiri" w:hAnsi="Amiri" w:eastAsia="Amiri" w:cs="Amiri"/>
          <w:color w:val="111111"/>
          <w:sz w:val="28"/>
          <w:sz w:val="28"/>
          <w:szCs w:val="28"/>
          <w:rtl w:val="true"/>
          <w:lang w:bidi="ar-SA"/>
        </w:rPr>
        <w:t>، بل عن ابن زُهرة الإجماع عليه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العُشر، ذهب إليه الصدوقان</w:t>
      </w:r>
      <w:r>
        <w:rPr>
          <w:rStyle w:val="FootnoteAnchor"/>
          <w:rtl w:val="true"/>
        </w:rPr>
        <w:footnoteReference w:id="1123"/>
      </w:r>
      <w:r>
        <w:rPr>
          <w:rFonts w:ascii="Amiri" w:hAnsi="Amiri" w:eastAsia="Amiri" w:cs="Amiri"/>
          <w:color w:val="111111"/>
          <w:sz w:val="28"/>
          <w:sz w:val="28"/>
          <w:szCs w:val="28"/>
          <w:rtl w:val="true"/>
          <w:lang w:bidi="ar-SA"/>
        </w:rPr>
        <w:t>والطوسي في كتابي الأخبار</w:t>
      </w:r>
      <w:r>
        <w:rPr>
          <w:rStyle w:val="FootnoteAnchor"/>
          <w:rtl w:val="true"/>
        </w:rPr>
        <w:footnoteReference w:id="112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25"/>
      </w:r>
      <w:r>
        <w:rPr>
          <w:rFonts w:ascii="IRNazanin" w:hAnsi="IRNazanin" w:eastAsia="IRNazanin"/>
          <w:color w:val="111111"/>
          <w:sz w:val="28"/>
          <w:sz w:val="28"/>
          <w:szCs w:val="28"/>
          <w:rtl w:val="true"/>
          <w:lang w:bidi="fa-IR"/>
        </w:rPr>
        <w:t>، وولده</w:t>
      </w:r>
      <w:r>
        <w:rPr>
          <w:rStyle w:val="FootnoteAnchor"/>
          <w:rtl w:val="true"/>
        </w:rPr>
        <w:footnoteReference w:id="1126"/>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والمحقّق الثاني</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هو النصوص، فتدلّ على الأوّل 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الصحيح الذي رواه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السّهم واحدٌ من ثمانية،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w:t>
      </w:r>
      <w:r>
        <w:rPr>
          <w:rStyle w:val="FootnoteAnchor"/>
          <w:rtl w:val="true"/>
        </w:rPr>
        <w:footnoteReference w:id="1130"/>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 إسماعيل بن همّام</w:t>
      </w:r>
      <w:r>
        <w:rPr>
          <w:rStyle w:val="FootnoteAnchor"/>
          <w:rtl w:val="true"/>
        </w:rPr>
        <w:footnoteReference w:id="1132"/>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مستفيضة كادت تبلغ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المرويّ عن عبد اللّه بن سنان، عن عبد الرحمن بن سيابة،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أوصت إليّ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يُقضى به دَيني، وجزءٌ منه لفلانة، فسألت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لها شيئاً، ما أدري ما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عليه السلام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ابن أبي ليلى، لها عُشر الثُّلث، إنّ اللّه تعالى أمر إبراهيم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عَلى كُلِّ جَبَلٍ مِنْهُنَّ جُزْءاً</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وكانت الجبال يومئذٍ عشرة، فالجزء هو العُشر من الشيء</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معناه خبر معاوية بن عمّار، عنه عليه السلام</w:t>
      </w:r>
      <w:r>
        <w:rPr>
          <w:rStyle w:val="FootnoteAnchor"/>
          <w:rtl w:val="true"/>
        </w:rPr>
        <w:footnoteReference w:id="1135"/>
      </w:r>
      <w:r>
        <w:rPr>
          <w:rFonts w:ascii="Amiri" w:hAnsi="Amiri" w:eastAsia="Amiri" w:cs="Amiri"/>
          <w:color w:val="111111"/>
          <w:sz w:val="28"/>
          <w:sz w:val="28"/>
          <w:szCs w:val="28"/>
          <w:rtl w:val="true"/>
          <w:lang w:bidi="ar-SA"/>
        </w:rPr>
        <w:t>، ومثله حَسَن أبان بن تغلب عن أبي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والسَّهم الثُّمن،</w:t>
      </w:r>
    </w:p>
    <w:p>
      <w:pPr>
        <w:pStyle w:val="BookText"/>
        <w:rPr/>
      </w:pPr>
      <w:r>
        <w:rPr>
          <w:rFonts w:ascii="Amiri" w:hAnsi="Amiri" w:eastAsia="Amiri" w:cs="Amiri"/>
          <w:color w:val="111111"/>
          <w:sz w:val="28"/>
          <w:sz w:val="28"/>
          <w:szCs w:val="28"/>
          <w:rtl w:val="true"/>
          <w:lang w:bidi="ar-SA"/>
        </w:rPr>
        <w:t>جعفر عليه السلام</w:t>
      </w:r>
      <w:r>
        <w:rPr>
          <w:rStyle w:val="FootnoteAnchor"/>
          <w:rtl w:val="true"/>
        </w:rPr>
        <w:footnoteReference w:id="1136"/>
      </w:r>
      <w:r>
        <w:rPr>
          <w:rFonts w:ascii="Amiri" w:hAnsi="Amiri" w:eastAsia="Amiri" w:cs="Amiri"/>
          <w:color w:val="111111"/>
          <w:sz w:val="28"/>
          <w:sz w:val="28"/>
          <w:szCs w:val="28"/>
          <w:rtl w:val="true"/>
          <w:lang w:bidi="ar-SA"/>
        </w:rPr>
        <w:t>، وخبر أبي بصير عن أبي عبداللّه عليه السلام</w:t>
      </w:r>
      <w:r>
        <w:rPr>
          <w:rStyle w:val="FootnoteAnchor"/>
          <w:rtl w:val="true"/>
        </w:rPr>
        <w:footnoteReference w:id="1137"/>
      </w:r>
      <w:r>
        <w:rPr>
          <w:rFonts w:ascii="Amiri" w:hAnsi="Amiri" w:eastAsia="Amiri" w:cs="Amiri"/>
          <w:color w:val="111111"/>
          <w:sz w:val="28"/>
          <w:sz w:val="28"/>
          <w:szCs w:val="28"/>
          <w:rtl w:val="true"/>
          <w:lang w:bidi="ar-SA"/>
        </w:rPr>
        <w:t>، وغير هذه المجموعة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وإنْ كانت أكثرها ضعيفة السند، إلّاأنّ فيها الحسن، بل والصحيح، فإنّ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xml:space="preserve">ذكر أنّ حديث ابن سنان صحيحٌ‌، ولم يذكر في سنده ابن سيّابة، بل جعل الراوي عن الإمام عبد اللّه بن سنان بلا واسطة، وقد رواه الشيخ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هذا الخبر صحيحاً، وكذلك الشهيد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صحيحاً، فالطائفتان متعارضتان، وحيث أنّ كلّاً من القولين مشهورٌ بين الأصحاب فلا مورد للمرجّح الأوّل من مرجّحات باب التعارض، فيتعيّن الرجوع إلى ثاني المرجّحات، وهي صفات الراوي، وهي تقتضي تقديم النصوص الاُولى لأصحيّة إسنادها، وعليه فالمتّجه أنّه السُّبع</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الموصى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الأشهر، بل عليه عامّة من تأخّر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39"/>
      </w:r>
      <w:r>
        <w:rPr>
          <w:rFonts w:ascii="IRNazanin" w:hAnsi="IRNazanin" w:eastAsia="IRNazanin"/>
          <w:color w:val="111111"/>
          <w:sz w:val="28"/>
          <w:sz w:val="28"/>
          <w:szCs w:val="28"/>
          <w:rtl w:val="true"/>
          <w:lang w:bidi="fa-IR"/>
        </w:rPr>
        <w:t>، والنصوص</w:t>
      </w:r>
      <w:r>
        <w:rPr>
          <w:rStyle w:val="FootnoteAnchor"/>
          <w:rtl w:val="true"/>
        </w:rPr>
        <w:footnoteReference w:id="1140"/>
      </w:r>
      <w:r>
        <w:rPr>
          <w:rFonts w:ascii="Amiri" w:hAnsi="Amiri" w:eastAsia="Amiri" w:cs="Amiri"/>
          <w:color w:val="111111"/>
          <w:sz w:val="28"/>
          <w:sz w:val="28"/>
          <w:szCs w:val="28"/>
          <w:rtl w:val="true"/>
          <w:lang w:bidi="ar-SA"/>
        </w:rPr>
        <w:t>دالّة عليه، كصحيح البزنطي المتقدّم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والشيء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بمثل نصيب أحد الورثة صحّت من الثّلث، فإنْ لم يزد أو أجازوا كان الموصى له كأحدهم، فلو أوصى بمثل نصيب ابنه، وليس له سواه، اُعطي النصف مع الإجازة، والثّلث بدونها، ولو كان له ابنان فالثُّلث، ولو اختلفوا اُعطي الأقلّ‌، إلّاأن يعيّن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1141"/>
      </w:r>
      <w:r>
        <w:rPr>
          <w:rFonts w:ascii="Amiri" w:hAnsi="Amiri" w:eastAsia="Amiri" w:cs="Amiri"/>
          <w:color w:val="111111"/>
          <w:sz w:val="28"/>
          <w:sz w:val="28"/>
          <w:szCs w:val="28"/>
          <w:rtl w:val="true"/>
          <w:lang w:bidi="ar-SA"/>
        </w:rPr>
        <w:t>والشيخ وابن زُهرة</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السُّدس، للرضوي</w:t>
      </w:r>
      <w:r>
        <w:rPr>
          <w:rStyle w:val="FootnoteAnchor"/>
          <w:rtl w:val="true"/>
        </w:rPr>
        <w:footnoteReference w:id="1143"/>
      </w:r>
      <w:r>
        <w:rPr>
          <w:rFonts w:ascii="Amiri" w:hAnsi="Amiri" w:eastAsia="Amiri" w:cs="Amiri"/>
          <w:color w:val="111111"/>
          <w:sz w:val="28"/>
          <w:sz w:val="28"/>
          <w:szCs w:val="28"/>
          <w:rtl w:val="true"/>
          <w:lang w:bidi="ar-SA"/>
        </w:rPr>
        <w:t>، والعامي</w:t>
      </w:r>
      <w:r>
        <w:rPr>
          <w:rStyle w:val="FootnoteAnchor"/>
          <w:rtl w:val="true"/>
        </w:rPr>
        <w:footnoteReference w:id="1144"/>
      </w:r>
      <w:r>
        <w:rPr>
          <w:rFonts w:ascii="Amiri" w:hAnsi="Amiri" w:eastAsia="Amiri" w:cs="Amiri"/>
          <w:color w:val="111111"/>
          <w:sz w:val="28"/>
          <w:sz w:val="28"/>
          <w:szCs w:val="28"/>
          <w:rtl w:val="true"/>
          <w:lang w:bidi="ar-SA"/>
        </w:rPr>
        <w:t>، وقول أياس بن معاوية، وكلٌّ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والنصوص</w:t>
      </w:r>
      <w:r>
        <w:rPr>
          <w:rStyle w:val="FootnoteAnchor"/>
          <w:rtl w:val="true"/>
        </w:rPr>
        <w:footnoteReference w:id="1145"/>
      </w:r>
      <w:r>
        <w:rPr>
          <w:rFonts w:ascii="Amiri" w:hAnsi="Amiri" w:eastAsia="Amiri" w:cs="Amiri"/>
          <w:color w:val="111111"/>
          <w:sz w:val="28"/>
          <w:sz w:val="28"/>
          <w:szCs w:val="28"/>
          <w:rtl w:val="true"/>
          <w:lang w:bidi="ar-SA"/>
        </w:rPr>
        <w:t>هنا متّفقة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أوصى بمثل نصيب أحد الورثة، صحّت من الثُّلث، فإنْ لم يزد أو أجازوا كان الموصى له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هم يرثون المال بالإرث، وهذا بالوصيّة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أوصى بمثل نصيب ابنه، وليس له سواه، اُعطي النصف مع الإجازة، والثُّلث بدونها، ولوكان له ابنان فالثلث</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له ابنٌ وبنت،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اعطوا زيداً كأحد ولدي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 الأقلّ‌، إلّاأن يعيّن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المتيقّن، والزائد مشكوك فيه، هذا 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الموصى له يكون بمنزلة وارثٍ آخر، فيضاف إلى الورثة، ويتساوى الموصى له والورثة إنْ تساووا، وإنْ تفاضلوا جُعِل كأقلّهم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جماعةٍمن العامّة</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يُعطى مثل نصيب المعيّن، أو مثل نصيب أحدهم إذا كانوا متساويين من أصل المال، ويقسّم الباقي، بين الورثة إن تعدّدوا، لأنّ نصيب الوارث قبل الوصيّة من أصل المال، فإذا أوصى له بمثل نصيب ابنه، وله ابنٌ واحد، فالوصيّة بجميع المال، وإنْ كان له اثنان فبنصفه، وإنْ كانوا ثلثة فبثُلثه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وجعله قريباً من الصواب، ثمّ رجّح مذهب الأصحاب، وأجاب عن حجّتهم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التماثل يقتضي شيئين، والوارث لايستحقّ شيئاً إلّابعد الوصيّة النافذة بالوارث الموصى له بمثل نصيبه، ولانصيب له إلّابعد الوصيّة، فحينئذٍ يجبُ أنْ يكون مال الموصى له مماثلاً لنصيبه بعد الوصيّة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ذكروه من أنّ الوصيّة مع الواحد بالجميع، ومع الاثنين بالنصف، ومع الثلاثة بالثّلث، لا يكون هناك نصيبٌ للوارث مماثل لنصيب الموصى له، وهو خلاف مدلول الوصيّة، فيكون تبديلاً لها، والضابط عندها أن يعتبر نصيب الموصى له بعد الوصيّة، فتقام فريضة الميراث، ويزاد عليها مثل سهم الموصى بنصيبه، وعند اُولئك الباقين يعتبر نصيب الموصى له بنصيبه لو لم يكن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382" w:name="pg11823_119070"/>
    </w:p>
    <w:p>
      <w:pPr>
        <w:pStyle w:val="BookText"/>
        <w:rPr/>
      </w:pPr>
      <w:bookmarkEnd w:id="382"/>
      <w:r>
        <w:rPr>
          <w:rFonts w:ascii="Amiri" w:hAnsi="Amiri" w:eastAsia="Amiri" w:cs="Amiri"/>
          <w:color w:val="111111"/>
          <w:sz w:val="28"/>
          <w:sz w:val="28"/>
          <w:szCs w:val="28"/>
          <w:rtl w:val="true"/>
          <w:lang w:bidi="ar-SA"/>
        </w:rPr>
        <w:t>ولو نسي الوصي وجهاً رجع ميراثاً</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1006848_73709187"/>
      <w:bookmarkStart w:id="384" w:name="_Toc129"/>
      <w:bookmarkEnd w:id="383"/>
      <w:r>
        <w:rPr>
          <w:rtl w:val="true"/>
        </w:rPr>
        <w:t>حكم نسيان مورد الوصيّة</w:t>
      </w:r>
      <w:bookmarkEnd w:id="384"/>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بوجوه،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الوصيّ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أو أكثر، صرف المنسي في وجوه البِرّ، وكذا لو نسى جميع الوجوه، أو كان وجهاً واحداً فنسيه، أو لم يعلم به من الأوّل، أو غير ذلك ممّا تعذّر الصرف في مصرفها،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قدس سره</w:t>
      </w:r>
      <w:r>
        <w:rPr>
          <w:rStyle w:val="FootnoteAnchor"/>
          <w:rtl w:val="true"/>
        </w:rPr>
        <w:footnoteReference w:id="1148"/>
      </w:r>
      <w:r>
        <w:rPr>
          <w:rFonts w:ascii="Amiri" w:hAnsi="Amiri" w:eastAsia="Amiri" w:cs="Amiri"/>
          <w:color w:val="111111"/>
          <w:sz w:val="28"/>
          <w:sz w:val="28"/>
          <w:szCs w:val="28"/>
          <w:rtl w:val="true"/>
          <w:lang w:bidi="ar-SA"/>
        </w:rPr>
        <w:t>في بعض فتاويه والحِلّي</w:t>
      </w:r>
      <w:r>
        <w:rPr>
          <w:rStyle w:val="FootnoteAnchor"/>
          <w:rtl w:val="true"/>
        </w:rPr>
        <w:footnoteReference w:id="1149"/>
      </w:r>
      <w:r>
        <w:rPr>
          <w:rFonts w:ascii="Amiri" w:hAnsi="Amiri" w:eastAsia="Amiri" w:cs="Amiri"/>
          <w:color w:val="111111"/>
          <w:sz w:val="28"/>
          <w:sz w:val="28"/>
          <w:szCs w:val="28"/>
          <w:rtl w:val="true"/>
          <w:lang w:bidi="ar-SA"/>
        </w:rPr>
        <w:t xml:space="preserve">والمصنّف هنا، 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محمّد بن الرّيان،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أسأله عن إنسان أوصى بوصيّة فلم يحفظ الوصيّ إلّاباباً واحداً، كيف يصنع في الباقي‌؟</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أبي عُمير، عن زيد النرسي، عن عليّ بن زيد صاحب السابري،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إليَّ رجلٌ بتركته، فأمرني أن أحجّ بها عنه، فنظرتُ في ذلك فإذا هي شيء يسير لا يكفي للحجّ‌، فسألت أبا حنيفة وفقهاء أهل الكوفة، فقالوا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تصدّق بها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جعفر بن محمّد عليهما السلام في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إلّاأن لا يكون يبلغ ما يحجّ به من مكّة، فإنْ كان لا يبلغ ما يحجّ به من مكّة، فليس عليك ضمان، وإنْ كان يبلغ ما يحجّ به من مكّة فأنت ضامن</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وتعضدهما النصوص الكثيرة الواردة في نظائر المسألة، لاحظ ماورد في المنذور للكعبة</w:t>
      </w:r>
      <w:r>
        <w:rPr>
          <w:rStyle w:val="FootnoteAnchor"/>
          <w:rtl w:val="true"/>
        </w:rPr>
        <w:footnoteReference w:id="1152"/>
      </w:r>
      <w:r>
        <w:rPr>
          <w:rFonts w:ascii="Amiri" w:hAnsi="Amiri" w:eastAsia="Amiri" w:cs="Amiri"/>
          <w:color w:val="111111"/>
          <w:sz w:val="28"/>
          <w:sz w:val="28"/>
          <w:szCs w:val="28"/>
          <w:rtl w:val="true"/>
          <w:lang w:bidi="ar-SA"/>
        </w:rPr>
        <w:t>، وماورد في الوصيّة بألف درهمٍ لها</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الكعبة لا تأكل ولا تشرب، وما جُعل هَدياً لها فهو لزوّارها</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غيره ونحوه ماورد في غير هذين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المستفاد من هذه النصوص أنّ كلّ ما أوصى به لوجهٍ فنسي ذلك بالكليّة أو تعذّر صرفه فيه، يُصرف في وجوه البِرّ، فعلى هذا لا يُصغى إلى ما استدلّ به للقول الآخر ببطلان الوصيّة بامتناع القيام بها، مع أنّ الملازمة ممنوعة، هذا فضلاً عن أنّ المال خرج عن ملك الموصي، فلا موجب لرجوعه ميراثاً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لو أوصى لجهةٍ من الجهات، أو لطائفةٍ من الطوائف غير المعلوم، أو لشخصٍ مردّد بين أشخاص غير محصورين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85" w:name="pg11823_119072"/>
    </w:p>
    <w:p>
      <w:pPr>
        <w:pStyle w:val="BookText"/>
        <w:rPr/>
      </w:pPr>
      <w:bookmarkEnd w:id="385"/>
      <w:r>
        <w:rPr>
          <w:rFonts w:ascii="Amiri" w:hAnsi="Amiri" w:eastAsia="Amiri" w:cs="Amiri"/>
          <w:color w:val="111111"/>
          <w:sz w:val="28"/>
          <w:sz w:val="28"/>
          <w:szCs w:val="28"/>
          <w:rtl w:val="true"/>
          <w:lang w:bidi="ar-SA"/>
        </w:rPr>
        <w:t>ويعمل بالأخير من المتضادّين، فإن لم يتضادّا عُمل بهما، ولو قصّر الثُّلث بدأ بالأوّل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أوصى لشخصٍ وتردّد بين شخصين، أو أشخاص محصورين، فالنصوص المتقدّمة غير شاملة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مورده عدم حفظ الوصي بقول مطلق، فلا يشمل ما لو حفظ في الجملة، وفي مثل ذلك لابدّ من الرجوع إلى القاعدة في المال المردّد بين شخصين أو أشخاص، وهي تقتضي التوزيع بالسوية كما مرّ الكلام في ذلك غير مرّة</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1006850_73709187"/>
      <w:bookmarkStart w:id="387" w:name="_Toc130"/>
      <w:bookmarkEnd w:id="386"/>
      <w:r>
        <w:rPr>
          <w:rtl w:val="true"/>
        </w:rPr>
        <w:t>حكم الوصايا المضادّة</w:t>
      </w:r>
      <w:bookmarkEnd w:id="387"/>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بالأخير من المتضادّين، فإنْ لم يتضادّا 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يزدا على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قصّر الثُّلث بدأ بالأوّل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ببيان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يتحقّق التضادّ باتّحاد الموصى به، واختلاف الموصى له، كما لو أوصى بدارٍ معيّنةٍ لزيد، ثمّ أوصى بها لعمرو، أو أوصى بمبلغٍ معيّن لزيدٍ،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أوصيتُ به لزيدٍ فهو لعمرو</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إشكال في أنّه يعمل بالأخيرة من الوصيّتين، لأنّ الثانية حينئذٍ تكون رجوعاً عن الأُولى‌، ولكنّه يتمّ مع عدم نسيان الأولى، وأمّا مع نسيانها والذهول عنها، فلايكون هذه رجوعاً عن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كلّ من الوصيّتين مطلقة، كما إذا أوصى لزيدٍ بمائة، ثمّ أوصى لعمرو بمائة، أو أوصى لزيدٍ بدار، ثمّ أوصى بدارٍ آخر لعمرو، وزادتا على الثُّلث، صحّت الأُولى‌، وتوقّفت الثانية على الإجازة كما مرّ الكلام فيه، وعرفت أنّ ما ورد من النّص في العتق بواسطة ما فيه من التعليل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أوصى بثلثه لواحدٍ، وبثلثه لآخر، فهل هي وصايا متضادّة فيعمل بالأخيرة، أم لا فبالأُولى‌؟</w:t>
      </w:r>
    </w:p>
    <w:p>
      <w:pPr>
        <w:pStyle w:val="BookText"/>
        <w:rPr/>
      </w:pPr>
      <w:r>
        <w:rPr>
          <w:rFonts w:ascii="Amiri" w:hAnsi="Amiri" w:eastAsia="Amiri" w:cs="Amiri"/>
          <w:color w:val="111111"/>
          <w:sz w:val="28"/>
          <w:sz w:val="28"/>
          <w:szCs w:val="28"/>
          <w:rtl w:val="true"/>
          <w:lang w:bidi="ar-SA"/>
        </w:rPr>
        <w:t xml:space="preserve">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 الأصحاب قد اختلف فيها اختلافاً كثيراً، وكذلك الفتوى حتّى من الرّجل الواحد في الكتب المتعدّدة بل الكتاب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الحِلّي، والمحقّق الكركي</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الوصيّة أنْ تكون نافذة، فيجب حملها على ما يقتضي النفوذ بحسب الإمكان، وإنّما تكون الثانية نافذة إذا كان متعلّقها هو الثُّلث الذي يجوز للمريض الوصيّة به، فيجب حملها عليه، كما يجب حمل إطلاق بيع الشريك النصف على استحقاقه، حملاً للبيع على معناه الحقيقي، وحينئذٍ التضادّ في مثل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بثلثٍ لزيدٍ، وبثلثٍ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الثاني ناسخاً للأوّل فيقدّم، وأوليمنه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مالي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يتوجّه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الإطلاق في الوصيّة وغيرها من العقود إنّما يُحمل على الصحيح، وأمّا النافذة بحيث لايترتّب عليه فسخٌ بوجهٍ فلا اعتبار به قطعاً، ألا ترى أنّ الوصيّة بجميع المال توصف بالصحّة، ووقوف مازاد على الثُّلث على الإجازة، ولا يقول أحدٌ أنّها ليست 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88" w:name="pg11823_119074"/>
    </w:p>
    <w:p>
      <w:pPr>
        <w:pStyle w:val="BookText"/>
        <w:rPr/>
      </w:pPr>
      <w:bookmarkEnd w:id="388"/>
      <w:r>
        <w:rPr>
          <w:rFonts w:ascii="Amiri" w:hAnsi="Amiri" w:eastAsia="Amiri" w:cs="Amiri"/>
          <w:color w:val="111111"/>
          <w:sz w:val="28"/>
          <w:sz w:val="28"/>
          <w:szCs w:val="28"/>
          <w:rtl w:val="true"/>
          <w:lang w:bidi="ar-SA"/>
        </w:rPr>
        <w:t>وتثبت الوصيّة بالمال بشاهدين، وبشاهدٍ وامرأتين، وبشاهدٍ ويمين وأربع نساء، وتُقبل الواحدة في الربع، والاثنتان في النصف،</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التركة مستحقّة للموصي حال حياته إجماعاً، فقد أوصى بما يستحقّه، ومن ثمَّ حكموا بصحّة وصيّته بما زاد على الثُّلث، وصحّة هبته له وإنْ توقّف على إجازة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الوصيّة إنّما يقتضي إرادة معنى ما تعلّقت به، وأمّا الصحّة والفساد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النفوذ لعدم المانع أو عدمه لمانعٍ‌، أو لفقد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فخارجتان عن مدلول الوصيّة، فحيث أنّ الوصيّة الثانية تعلّقت بما أخرجه قبل ذلك عن ملكه، فهي مقرونة بالمانع، فلا تصحّ إلّامع الإجازة، وإلى ذلك أشار الإمام عليه السلام في الصحيح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أعتق بعدمبلغ الثُّلث مالا يملك، فلايجوز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ثُلثي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ثلثي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الثاني فسخاً للأوّل ومضادّاً معه، إذ ظاهرهما أنّه أوصى بشيء واحدٍ مرّتين، فتدبّر حتّى لا يشتبه عليك الأمر</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1006852_73709187"/>
      <w:bookmarkStart w:id="390" w:name="_Toc131"/>
      <w:bookmarkEnd w:id="389"/>
      <w:r>
        <w:rPr>
          <w:rtl w:val="true"/>
        </w:rPr>
        <w:t>ما يثبت به الوصيّة</w:t>
      </w:r>
      <w:bookmarkEnd w:id="39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وتثبت الوصيّة بالمال بشاهدين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وبشاهدٍ وامرأتين، وبشاهدٍ ويمين وأربع نساء، وتُقبل الواحدة في الربع، والاثنتان في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والثُّلث في الثلاثة أرباع</w:t>
      </w:r>
      <w:r>
        <w:rPr>
          <w:rFonts w:eastAsia="Amiri" w:cs="Amiri" w:ascii="Amiri" w:hAnsi="Amiri"/>
          <w:color w:val="111111"/>
          <w:sz w:val="28"/>
          <w:szCs w:val="28"/>
          <w:rtl w:val="true"/>
          <w:lang w:bidi="ar-SA"/>
        </w:rPr>
        <w:t xml:space="preserve">. </w:t>
      </w:r>
      <w:bookmarkStart w:id="391" w:name="pg11823_119075"/>
    </w:p>
    <w:p>
      <w:pPr>
        <w:pStyle w:val="BookText"/>
        <w:rPr/>
      </w:pPr>
      <w:bookmarkEnd w:id="391"/>
      <w:r>
        <w:rPr>
          <w:rFonts w:ascii="Amiri" w:hAnsi="Amiri" w:eastAsia="Amiri" w:cs="Amiri"/>
          <w:color w:val="111111"/>
          <w:sz w:val="28"/>
          <w:sz w:val="28"/>
          <w:szCs w:val="28"/>
          <w:rtl w:val="true"/>
          <w:lang w:bidi="ar-SA"/>
        </w:rPr>
        <w:t>ولاتثبت الولاية إلّابرجلين، وتصرّفات المريض من الثّلث وإن كانت 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الإقرار فإن كان متّهماً فكذلك، وإلّا فمن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تثبت الولاية إلّابرجلين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هذه الاُمور، وقد أشبعنا الكلام في الجميع، بل وفي شهادة أهل الذمّة بها وفروعها في كتاب الشهادات</w:t>
      </w:r>
      <w:r>
        <w:rPr>
          <w:rStyle w:val="FootnoteAnchor"/>
          <w:rtl w:val="true"/>
        </w:rPr>
        <w:footnoteReference w:id="1158"/>
      </w:r>
      <w:r>
        <w:rPr>
          <w:rFonts w:ascii="Amiri" w:hAnsi="Amiri" w:eastAsia="Amiri" w:cs="Amiri"/>
          <w:color w:val="111111"/>
          <w:sz w:val="28"/>
          <w:sz w:val="28"/>
          <w:szCs w:val="28"/>
          <w:rtl w:val="true"/>
          <w:lang w:bidi="ar-SA"/>
        </w:rPr>
        <w:t>، وسيمرّ عليك فلا أرى وجهاً لإعادة ماذكرناه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وتصرّفات المريض من الثُّلث وإنْ كانت 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رحمه الله وجماعة، وقد مرّ في كتاب الحَجر</w:t>
      </w:r>
      <w:r>
        <w:rPr>
          <w:rStyle w:val="FootnoteAnchor"/>
          <w:rtl w:val="true"/>
        </w:rPr>
        <w:footnoteReference w:id="1159"/>
      </w:r>
      <w:r>
        <w:rPr>
          <w:rFonts w:ascii="Amiri" w:hAnsi="Amiri" w:eastAsia="Amiri" w:cs="Amiri"/>
          <w:color w:val="111111"/>
          <w:sz w:val="28"/>
          <w:sz w:val="28"/>
          <w:szCs w:val="28"/>
          <w:rtl w:val="true"/>
          <w:lang w:bidi="ar-SA"/>
        </w:rPr>
        <w:t>تفصيل الكلام في ذلك، وعرفت أنّ الأظهر كون منجزات المريض من الأصل لا من الثُّلث</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1006854_73709187"/>
      <w:bookmarkStart w:id="393" w:name="_Toc132"/>
      <w:bookmarkEnd w:id="392"/>
      <w:r>
        <w:rPr>
          <w:rtl w:val="true"/>
        </w:rPr>
        <w:t>حكم إقرار المريض بالدين</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المرض الذي يموت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ينفذ من الأصل مطلقاً، وهو مذهب الديلمي</w:t>
      </w:r>
      <w:r>
        <w:rPr>
          <w:rStyle w:val="FootnoteAnchor"/>
          <w:rtl w:val="true"/>
        </w:rPr>
        <w:footnoteReference w:id="1160"/>
      </w:r>
      <w:r>
        <w:rPr>
          <w:rFonts w:ascii="Amiri" w:hAnsi="Amiri" w:eastAsia="Amiri" w:cs="Amiri"/>
          <w:color w:val="111111"/>
          <w:sz w:val="28"/>
          <w:sz w:val="28"/>
          <w:szCs w:val="28"/>
          <w:rtl w:val="true"/>
          <w:lang w:bidi="ar-SA"/>
        </w:rPr>
        <w:t>، والحِلّي</w:t>
      </w:r>
      <w:r>
        <w:rPr>
          <w:rStyle w:val="FootnoteAnchor"/>
          <w:rtl w:val="true"/>
        </w:rPr>
        <w:footnoteReference w:id="1161"/>
      </w:r>
      <w:r>
        <w:rPr>
          <w:rFonts w:ascii="Amiri" w:hAnsi="Amiri" w:eastAsia="Amiri" w:cs="Amiri"/>
          <w:color w:val="111111"/>
          <w:sz w:val="28"/>
          <w:sz w:val="28"/>
          <w:szCs w:val="28"/>
          <w:rtl w:val="true"/>
          <w:lang w:bidi="ar-SA"/>
        </w:rPr>
        <w:t>مدّعياً عليه الإجماع</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الثُّلث، وإليه أشار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وإنْلم يكن 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الشيخين</w:t>
      </w:r>
      <w:r>
        <w:rPr>
          <w:rStyle w:val="FootnoteAnchor"/>
          <w:rtl w:val="true"/>
        </w:rPr>
        <w:footnoteReference w:id="1162"/>
      </w:r>
      <w:r>
        <w:rPr>
          <w:rFonts w:ascii="IRNazanin" w:hAnsi="IRNazanin" w:eastAsia="IRNazanin"/>
          <w:color w:val="111111"/>
          <w:sz w:val="28"/>
          <w:sz w:val="28"/>
          <w:szCs w:val="28"/>
          <w:rtl w:val="true"/>
          <w:lang w:bidi="fa-IR"/>
        </w:rPr>
        <w:t>، والمصنّف رحمه الله</w:t>
      </w:r>
      <w:r>
        <w:rPr>
          <w:rStyle w:val="FootnoteAnchor"/>
          <w:rtl w:val="true"/>
        </w:rPr>
        <w:footnoteReference w:id="11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والمحقّق</w:t>
      </w:r>
      <w:r>
        <w:rPr>
          <w:rStyle w:val="FootnoteAnchor"/>
          <w:rtl w:val="true"/>
        </w:rPr>
        <w:footnoteReference w:id="1164"/>
      </w:r>
      <w:r>
        <w:rPr>
          <w:rFonts w:ascii="Amiri" w:hAnsi="Amiri" w:eastAsia="Amiri" w:cs="Amiri"/>
          <w:color w:val="111111"/>
          <w:sz w:val="28"/>
          <w:sz w:val="28"/>
          <w:szCs w:val="28"/>
          <w:rtl w:val="true"/>
          <w:lang w:bidi="ar-SA"/>
        </w:rPr>
        <w:t>والأكثر</w:t>
      </w:r>
      <w:r>
        <w:rPr>
          <w:rStyle w:val="FootnoteAnchor"/>
          <w:rtl w:val="true"/>
        </w:rPr>
        <w:footnoteReference w:id="1165"/>
      </w:r>
      <w:r>
        <w:rPr>
          <w:rFonts w:ascii="Amiri" w:hAnsi="Amiri" w:eastAsia="Amiri" w:cs="Amiri"/>
          <w:color w:val="111111"/>
          <w:sz w:val="28"/>
          <w:sz w:val="28"/>
          <w:szCs w:val="28"/>
          <w:rtl w:val="true"/>
          <w:lang w:bidi="ar-SA"/>
        </w:rPr>
        <w:t>، وأضاف جمعٌ منهم قيداً آخر لخروجه من الأصل، وهو كونه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الإقرار لأجنبي، فالتفصيل بين كونه متّهماً فمن الثُّلث، وغير متّهمٍ فمن الأصل، وإنْ كان للوارث فمن الثُّلث مطلقاً، وهو مذهب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الحكم للأجنبي بكونه من الأصل، وتقييد ذلك في الوارث بعدم التهمة،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ولم يذكر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اُخر، وقد أنهاها بعضهم إلى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تقتضي خروجه من الأصل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لعموم ما دلّ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إقرار العقلاء على أنفسهم جائز</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قيل من أنّه بإقراره يريد إبراء ذمّته من حقٍّ عليه، ولا يمكن التوصّل إليه إلّابالإقرار، فلو لم يُقبل إقراره بقيت ذمّته مشغولة، وبقي المقرّ له ممنوعاً من حقّه، وكلاهما مفسدة، واقتضت الحكمة قبول قوله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يحتمل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الإقرار لما ذكره، يحتمل أنْ يكون لمجرّد حرمان الوارث ومنعه وإنْ ذمّته غير مشغولة</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اخترناه من كون منجّزات المريض من الأصل، فلو كان قصده ذلك كان له التوصّل إليه بالهبة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الإقرار إنْ كان للوارث يفصل بين كونه متّهماً فمن الثُّلث، وغير متّهمٍ فمن الأصل، كصحيح منصور بن حازم،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أوصى لبعض ورثته أنّ له عليه دَيناً؟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الميّت مرضيّاً فاعطه الذي أوصي له</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بالمرضيّ ليس هو كونه عدلاً، بل ظاهره ما يقابل كونه 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هذا التفصيل بالنسبة إلى الإقرار للأجنبي، كصحيح ابن مسكان، عن العلاء بيّاع السابري،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استودعت رجلاً مالاً، فلمّا حضرها الموت،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الذي دفعته إليك لفلانة، وماتت المرأة، فأتى أولياؤها الرّجل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لصاحبتنا مالٌ ولا نراه إلّاعندك، فاحلف لنا ما لها قِبلك شيءٌ‌، أفيحلف لهم‌؟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مأمونة فيحلف لهم، وإنْ كانت متّهمة فلا يحلف، ويضع الأمر على ما كان، فإنّما لها من مالها ثلثه</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وهاتان الطائفتان لا تعارض بنهما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المقرّ به للوارث مطلقاً يخرج من الثُّلث، كصحيح إسماعيل بن جابر،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أقرَّ لوارثٍ له وهو مريض بدينٍ له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إذا أقرّ به دون الثُّلث</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ظاهره غير مرادٍ، لأنّه اعتبر نقصان المقرّ به عن الثُّلث، وليس ذلك شرطاً إجماعاً</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إرادة الثُّلث فما دون، فقد وقع التعبير بمثل هذه العبارة في جملةٍ من موارد الأحكام، وعليه 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أي اثنتين فما فوق، فلا إشكال من هذه الجهة، لكنّه أعمٌّ مطلقاً من الطائفة الأُولى فيقيّد إطلاقه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الإخراج من الأصل في الإقرار للوارث، كصحيح أبي ولّاد،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مريض أقرَّ عند الموت لوارثٍ بدين 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الطائفة أيضاً أعمٌّ مطلقاً من الأُولى‌، فيقيّد إطلاقها بها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رَدّ الإقرار مطلقاً، كخبر السكوني، عن جعفرٍ، عن أبيه،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يردّ النِحلة في الوصيّة، وما أقرَّ به عند موته، بلا ثبتٍ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بيّنة ردّه</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النحلة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يجعلها من قبيلها، فيكون الجار والمجرور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أُخرى ودالّة على رَدّ الإقرار مطلقاً، ولكنّه حيث لم يعمل بظاهره أحدٌ، فلذا حَمله الشيخ</w:t>
      </w:r>
      <w:r>
        <w:rPr>
          <w:rStyle w:val="FootnoteAnchor"/>
          <w:rtl w:val="true"/>
        </w:rPr>
        <w:footnoteReference w:id="1176"/>
      </w:r>
      <w:r>
        <w:rPr>
          <w:rFonts w:ascii="Amiri" w:hAnsi="Amiri" w:eastAsia="Amiri" w:cs="Amiri"/>
          <w:color w:val="111111"/>
          <w:sz w:val="28"/>
          <w:sz w:val="28"/>
          <w:szCs w:val="28"/>
          <w:rtl w:val="true"/>
          <w:lang w:bidi="ar-SA"/>
        </w:rPr>
        <w:t>على إرادة رَدّه من الأصل، وإنْ أُخرج من الثُّلث، فيقيّد حينئذٍ إطلاقه بالطائفتين الأوليتين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التفصيل بين كونه مليّاً وغيره، كصحيح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أقرَّ لوارثٍ بدين في مرضه، أيجوز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مليّاً</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 الآخر عنه عليه السلام</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والضمير الذي يكون اسم كان يحتمل رجوعه إلى الوارث، والغرض من ذكر ملائته كون ذلك قرينةً على صدق المقرّ له، ويحتمل رجوعه إلى المقرّ، ويجعل ذلك كنايةً عن صدقه وأمانته، وعلى التقديرين يتّحد مفادهما مع مفاد الأُولى‌، وإنّما يجعل الملائة كنايةً عمّا ذكر من جهة عدم القائل بظاهرها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مجموع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المقرّ متّهماً، فيخرج من الثُّلث، وإلّا فمن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بحكمٍ يتعلّق بمطلق المرض الذي يحصل به الموت، وإنْ لم يكن مخوفاً،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يهمّنا البحث في أنّ العدالة وعدم الاتّهام متساويان بحسب المصاديق، وأنّ العادل غير متّهمٍ والفاسق متّهم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تكون النسبة بينهما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عادلٍ بحسب الموازين الظاهريّة متّهمٌ‌، وربَّ فاسقٍ موثوقٌ به من هذه الجهة كما هو الأظهر، بعد كون المدار على الاتّهام وعدمه، وأنّ الظاهر من كونه مرضيّاً كونه غير متّهم لا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أنّ المأخوذ في بعض النصوص الإقرار عند حضور الموت، وفي بعضها الإقرار في مرض الموت بشرط كونه قريباً منه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قاله المصنّف رحمه الله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بحكم يتعلّق بمطلق المرض الذي يحصل به الموت، وإنْ لم يكن مخوفاً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الإطلاق من حيث كون المرض مخوفاً أو غير مخوفٍ‌، لا من حيث ما يتطاول مدّته بعد الإقرار به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لو أقرَّ في ابتداء السِّل وطال مرضه إلى أن مات، لا يكون إقراره مشمولاً لهذا الحكم، وإلى هذا نظر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حيث نقل في السِّل أقوالاً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بمخوفٍ في ابتدائه، وإنْ كان مخوفاً في آخر، لأنّ مدّته تتطاول، فابتدائه لا يخاف منه الموت عاجلاً، فإذا انتهى خيفَ‌</w:t>
      </w:r>
      <w:r>
        <w:rPr>
          <w:rFonts w:eastAsia="Amiri" w:cs="Amiri" w:ascii="Amiri" w:hAnsi="Amiri"/>
          <w:color w:val="111111"/>
          <w:sz w:val="28"/>
          <w:szCs w:val="28"/>
          <w:rtl w:val="true"/>
          <w:lang w:bidi="ar-SA"/>
        </w:rPr>
        <w:t xml:space="preserve">.). </w:t>
      </w:r>
      <w:bookmarkStart w:id="394" w:name="pg11823_119081"/>
    </w:p>
    <w:p>
      <w:pPr>
        <w:pStyle w:val="BookText"/>
        <w:rPr/>
      </w:pPr>
      <w:bookmarkEnd w:id="394"/>
      <w:r>
        <w:rPr>
          <w:rFonts w:ascii="Amiri" w:hAnsi="Amiri" w:eastAsia="Amiri" w:cs="Amiri"/>
          <w:color w:val="111111"/>
          <w:sz w:val="28"/>
          <w:sz w:val="28"/>
          <w:szCs w:val="28"/>
          <w:rtl w:val="true"/>
          <w:lang w:bidi="ar-SA"/>
        </w:rPr>
        <w:t>ويُحتسب من التركة أرش الجناية والدّية</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1006856_73709187"/>
      <w:bookmarkStart w:id="396" w:name="_Toc133"/>
      <w:bookmarkEnd w:id="395"/>
      <w:r>
        <w:rPr>
          <w:rtl w:val="true"/>
        </w:rPr>
        <w:t>احتساب أرش الجناية والدية من التركة</w:t>
      </w:r>
      <w:bookmarkEnd w:id="396"/>
    </w:p>
    <w:p>
      <w:pPr>
        <w:pStyle w:val="BookText"/>
        <w:rPr/>
      </w:pPr>
      <w:r>
        <w:rPr>
          <w:rFonts w:ascii="Amiri" w:hAnsi="Amiri" w:eastAsia="Amiri" w:cs="Amiri"/>
          <w:color w:val="111111"/>
          <w:sz w:val="28"/>
          <w:sz w:val="28"/>
          <w:szCs w:val="28"/>
          <w:rtl w:val="true"/>
          <w:lang w:bidi="ar-SA"/>
        </w:rPr>
        <w:t>المسألة التاسعة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ويُحتسب من التركة أرش الجناية والدّية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فتتعلّق بهما الديون والوصايا وسائر ما يتعلّق بالتركة، من غير فرقٍ في الدّية بين دية الخطاء ودية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Style w:val="FootnoteAnchor"/>
          <w:rtl w:val="true"/>
        </w:rPr>
        <w:footnoteReference w:id="1181"/>
      </w:r>
      <w:r>
        <w:rPr>
          <w:rFonts w:ascii="Amiri" w:hAnsi="Amiri" w:eastAsia="Amiri" w:cs="Amiri"/>
          <w:color w:val="111111"/>
          <w:sz w:val="28"/>
          <w:sz w:val="28"/>
          <w:szCs w:val="28"/>
          <w:rtl w:val="true"/>
          <w:lang w:bidi="ar-SA"/>
        </w:rPr>
        <w:t>الكثيرة الواردة في الأبواب المتفرّقة، وقد مرّ الكلام في الدية في آخر المسألة الثالثة عشرة، وبه يظهر حال أرش الجناية مع أنّ النّص الخاص 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فيهما موافق للاعتبار، لأنّ الميّت أحقّ بنفسه من غيره، ووجّهه بعض الأساطين</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كان المقتول عمداً أو من أُورد عليه الجناية هو الذي ملك نفس قاتله عوضاً عنه، أو ملك إيراد الجناية بمثل ما أُورد عليه، وكانت الولاية على ما ملكه عفواً أو استيفاءً أو إبدالاً بالمال لوليه، فلو صالح القاتل بالدية، والجاني بالأرش، تدخل هي في ملكه لا في ملك الوليّ‌، فيكون سبيلهما سبيل سائر أمواله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النصوص الخاصّة تُغنينا عن هذه الوجوه الاعتباريّة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وتصحّ الوصيّة على كلّ من للموصي عليه ولاية التصرّف كالأب، ولو انتفت صحّت في إخراج الحقوق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الوصيّة على كلّ من للموصى عليه ولاية التصرّف كالأب، ولو انتفت، صحت في إخراج الحقوق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هذه المسألة في ذيل المطلب الثاني في شرائط الموصي، وعرفت أنّه إنّما تصحّ وصيّة الأب والجدّ بالولاية على الصغار، ولا تصحّ وصيّة الحاكم والوصي بها، وعرفت حكم وصيّة الأب أو الجد بها مع وجود الآخر، كما عرفت حكم الوصيّة بإخراج الحقوق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ما يتعلّق بخصوص هذه العبارة،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 الوصيّة على كلٍّ من للموصى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فيه وصيّة الأب مع وجود الجَدّ، لأنّه يصدق أنّ الموصى له عليه ولاية، مع أنّ المشهور المنصور أنّه ليس له جعل الولاية للغير مع وجود الجَدّ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في إخراج الحقوق إلى غير الورثة، وكانوا كباراً، ليس للوصي التصرّف في التركة لأجل ذلك إلّابإذنهم، إمّا لأنّهم شركاء في المال، أو لأنّ تمام المال لهم، على القولين في انتقال التركة إليهم بالموت مطلقاً، أو بمقدارٍ لايُقابل الموصى به والدين، فإنْ أذنوا فلا كلام، وإلّا أجبرهم على الأداء من المال أو من أموالهم الاُخر، فإنْ لم يمكن ذلك رفع أمره إلى الحاكم ليلزمهم بأحد الأمرين، وإنْ لم يمكن ذلك أيضاً جاز له أنْ يبيع من التركة ما يقضي به الوصيّة ويوفي به الدين</w:t>
      </w:r>
      <w:r>
        <w:rPr>
          <w:rFonts w:eastAsia="Amiri" w:cs="Amiri" w:ascii="Amiri" w:hAnsi="Amiri"/>
          <w:color w:val="111111"/>
          <w:sz w:val="28"/>
          <w:szCs w:val="28"/>
          <w:rtl w:val="true"/>
          <w:lang w:bidi="ar-SA"/>
        </w:rPr>
        <w:t xml:space="preserve">. </w:t>
      </w:r>
      <w:bookmarkStart w:id="397" w:name="pg11823_119083"/>
    </w:p>
    <w:p>
      <w:pPr>
        <w:pStyle w:val="BookText"/>
        <w:rPr/>
      </w:pPr>
      <w:bookmarkEnd w:id="397"/>
      <w:r>
        <w:rPr>
          <w:rFonts w:ascii="Amiri" w:hAnsi="Amiri" w:eastAsia="Amiri" w:cs="Amiri"/>
          <w:color w:val="111111"/>
          <w:sz w:val="28"/>
          <w:sz w:val="28"/>
          <w:szCs w:val="28"/>
          <w:rtl w:val="true"/>
          <w:lang w:bidi="ar-SA"/>
        </w:rPr>
        <w:t>ولو أوصى بإخراج بعض ولده من الميراث لم تصحّ‌</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1006858_73709187"/>
      <w:bookmarkStart w:id="399" w:name="_Toc134"/>
      <w:bookmarkEnd w:id="398"/>
      <w:r>
        <w:rPr>
          <w:rtl w:val="true"/>
        </w:rPr>
        <w:t>حكم الوصيّة باخراج الولد من الميراث</w:t>
      </w:r>
      <w:bookmarkEnd w:id="399"/>
    </w:p>
    <w:p>
      <w:pPr>
        <w:pStyle w:val="BookText"/>
        <w:rPr/>
      </w:pPr>
      <w:r>
        <w:rPr>
          <w:rFonts w:ascii="Amiri" w:hAnsi="Amiri" w:eastAsia="Amiri" w:cs="Amiri"/>
          <w:color w:val="111111"/>
          <w:sz w:val="28"/>
          <w:sz w:val="28"/>
          <w:szCs w:val="28"/>
          <w:rtl w:val="true"/>
          <w:lang w:bidi="ar-SA"/>
        </w:rPr>
        <w:t>المسألة الحادية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بإخراج بعض ولده من الميراث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بل عليه الإجماع، إذ لم يخالف في المسألة بكليتها غير الصدوقين</w:t>
      </w:r>
      <w:r>
        <w:rPr>
          <w:rStyle w:val="FootnoteAnchor"/>
          <w:rtl w:val="true"/>
        </w:rPr>
        <w:footnoteReference w:id="1183"/>
      </w:r>
      <w:r>
        <w:rPr>
          <w:rFonts w:ascii="Amiri" w:hAnsi="Amiri" w:eastAsia="Amiri" w:cs="Amiri"/>
          <w:color w:val="111111"/>
          <w:sz w:val="28"/>
          <w:sz w:val="28"/>
          <w:szCs w:val="28"/>
          <w:rtl w:val="true"/>
          <w:lang w:bidi="ar-SA"/>
        </w:rPr>
        <w:t>، والشيخ</w:t>
      </w:r>
      <w:r>
        <w:rPr>
          <w:rStyle w:val="FootnoteAnchor"/>
          <w:rtl w:val="true"/>
        </w:rPr>
        <w:footnoteReference w:id="1184"/>
      </w:r>
      <w:r>
        <w:rPr>
          <w:rFonts w:ascii="Amiri" w:hAnsi="Amiri" w:eastAsia="Amiri" w:cs="Amiri"/>
          <w:color w:val="111111"/>
          <w:sz w:val="28"/>
          <w:sz w:val="28"/>
          <w:szCs w:val="28"/>
          <w:rtl w:val="true"/>
          <w:lang w:bidi="ar-SA"/>
        </w:rPr>
        <w:t>، والأولان التزما بالصحّة في الولد الذي قد أحدث الحَدَث المذكور في الخبر الآتي، والشيخ التزم بها فيه في الجملة، حملاً للخبر الآتي على أنّه قضيّة في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فالإجماع على عدم الصحّة في الجملة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للبطلان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ذلك، وإلى أنّها مخالفة للكتاب والسنّة فتلغو، وإلى أنّها من الحيث في الوصيّة الذي ورد فيه أنّه من الكبائر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السكوني، 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اُبالي أضررت بولدي أو سرقتهم ذلك المال</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مسعدة، عن جعفر بن محمّد، عن أبيه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عَدل في وصيّته، كان </w:t>
      </w:r>
    </w:p>
    <w:p>
      <w:pPr>
        <w:pStyle w:val="BookText"/>
        <w:rPr/>
      </w:pPr>
      <w:r>
        <w:rPr>
          <w:rFonts w:ascii="Amiri" w:hAnsi="Amiri" w:eastAsia="Amiri" w:cs="Amiri"/>
          <w:color w:val="111111"/>
          <w:sz w:val="28"/>
          <w:sz w:val="28"/>
          <w:szCs w:val="28"/>
          <w:rtl w:val="true"/>
          <w:lang w:bidi="ar-SA"/>
        </w:rPr>
        <w:t>كمَن تصدّق بها في حياته، ومَن جار في وصيّته لقي اللّه عزّ وجلّ يوم القيامة وهو عنه معرضٌ‌</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سعد بن سعد،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له ابنٌ يدّعيه فنفاه وأخرجه من الميراث، وأنا وصيّه، فكيف أصنع‌؟</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الولد لإقراره بالمشهد، لا يدفعه الوصيّ عن شيء قد علمه</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المجموعة من الأخبار ما رواه الصدوق والشيخ عن وصيّ عليّ بن السِّري،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السِّري توفّي وأوصى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ابنه جعفر وقع على اُمّ ولدٍ له، فأمرني أن أُخرجه من الميراث‌؟</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إن كنتَ صادقاً فسيصيبه خَبل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فقدّمني إلى أبي يوسف القاضي،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أنا جعفر ابن علي السِّري، وهذا وصيّ أبي فمُره فليدفع إليّ ميراثي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جعفرُ بن علي السِّري وأنا وصيّ علي ابن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إليه ماله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أُريد أن اُكلِّمك،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فدنوتُ حتّى لايسمع أحدٌ كلامي،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وقع على اُمّ ولد لأبيه، فأمرني أبوه وأوصى إليّ أن أخرجه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الميراث ولا اُورثه شيئاً، فأتيت موسى بن جعفر عليه السلام بالمدينة فأخبرته وسألته فأمرني أن أُخرجه من الميراث ولا اُورّثه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أمرك‌؟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فاستحلفني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ما أمرك، فالقول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الخَبل بعد ذلك</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وصيّ السِّري الرّاوي للخبر مجهولُ الاسم والوثاقة، ولا يُعمل بخبره، وأيضاً في طريقه المعلّى وهو مشتركٌ بين الثقة والضعيف، مع أنّ الأصحاب أعرضوا عنه، وهو معارضٌ بما مرّ، فلا سبيل إلى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بعدم الصحّة، وقع الخلاف في 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تبطل رأسا كما عن الأكثر؟</w:t>
      </w:r>
    </w:p>
    <w:p>
      <w:pPr>
        <w:pStyle w:val="BookText"/>
        <w:rPr/>
      </w:pPr>
      <w:r>
        <w:rPr>
          <w:rFonts w:ascii="Amiri" w:hAnsi="Amiri" w:eastAsia="Amiri" w:cs="Amiri"/>
          <w:color w:val="111111"/>
          <w:sz w:val="28"/>
          <w:sz w:val="28"/>
          <w:szCs w:val="28"/>
          <w:rtl w:val="true"/>
          <w:lang w:bidi="ar-SA"/>
        </w:rPr>
        <w:t xml:space="preserve">أم تكون هذه الوصيّة جارية مجرى الوصيّة بجميع ماله لمن عدا الولد، فتمضي في الثُّلث خاصّة، وإنْ لم يجز الولد، ويكون للمُخرج نصيبه من الباقي بموجب الفريضة، وهو مختار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 الخراساني</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استظهره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إخراجه من الميراث أعمٌّ من الوصيّة، فالمال يكون لباقي الورثة، وإنْ لزم رجوع الحصّة إليهم، إلّاأنّ ذلك ليس للوصيّة، بل لاستحقاقهم التركة حيث لا توارث، وربما لا يُعلم حين الوصيّة من يرثه ولا يخطر بباله، فلا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دلالة في اللّفظ مطابقةً ولا تضمّناً ولا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إشكال في الصحّة لو أوصى بإخراجه من الثُّلث، ويكون ذلك وصيّة بصرف الثُّلث في غيره، فكذلك في المقام، فإنّه لايعتبر في الوصيّة سوى العهد بما أراده، ولا يعتبر فيها قصد عنوان الوصيّة، وعلى ذلك فالإيصاء بإخراجه من الميراث إيصاءٌ بصَرف المال كلّه في باقي الورثة، فيترتّب عليها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فما أفاده المصنّف رحمه الله هو الأوجه، واللّه العالم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فيما يتعلّق بمباحث الوصايا، وقد تمّ الجزء الثلاثون، ويتلوه الجزء الحادي والثلاثون من أوّل مباحث النكاح، والحمد للّه أوّلاً وآخراً، وصلّى اللّه على سيّدنا محمّد وعلى آله الطيّبين الطاهرين المعصومين</w:t>
      </w:r>
      <w:r>
        <w:rPr>
          <w:rFonts w:eastAsia="Amiri" w:cs="Amiri" w:ascii="Amiri" w:hAnsi="Amiri"/>
          <w:color w:val="111111"/>
          <w:sz w:val="28"/>
          <w:szCs w:val="28"/>
          <w:rtl w:val="true"/>
          <w:lang w:bidi="ar-SA"/>
        </w:rPr>
        <w:t>.</w:t>
      </w:r>
      <w:bookmarkStart w:id="400" w:name="pg11823_119087"/>
    </w:p>
    <w:p>
      <w:pPr>
        <w:pStyle w:val="Heading2"/>
        <w:numPr>
          <w:ilvl w:val="1"/>
          <w:numId w:val="1"/>
        </w:numPr>
        <w:rPr/>
      </w:pPr>
      <w:bookmarkStart w:id="401" w:name="__RefHeading___Toc11006860_73709187"/>
      <w:bookmarkStart w:id="402" w:name="_Toc135"/>
      <w:bookmarkEnd w:id="400"/>
      <w:bookmarkEnd w:id="401"/>
      <w:r>
        <w:rPr>
          <w:rtl w:val="true"/>
        </w:rPr>
        <w:t>فهرس الموضوعات</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اعتبار رضا المضمون له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التعليق في الضمان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لا يعتبر العلم بمقدار الدين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انتقال المال إلى ذمّة الضامن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ضمان الحالّ والمؤجّل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رجوع الضامن على المضمون عنه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عدم اشتراط العلم بقَدر المضمون عنه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ضمان الأعيان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الضمان المُستَحدث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ضمان العُهدة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الحوالة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الحوالة من العقود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الحوالة لازمة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إذا أحال المشتري بالثمن رَدّ البيع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حكم الحوالة المستحدثة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الكفالة </w:t>
      </w:r>
      <w:r>
        <w:rPr>
          <w:rFonts w:eastAsia="Amiri" w:cs="Amiri" w:ascii="Amiri" w:hAnsi="Amiri"/>
          <w:color w:val="111111"/>
          <w:sz w:val="28"/>
          <w:szCs w:val="28"/>
          <w:lang w:bidi="ar-SA"/>
        </w:rPr>
        <w:t>57</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شرائط الكفالة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الكفيل مخيَّر بين دفع المكفول أو ما عليه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إطلاق الغريم من يد صاحب الحقّ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حكم الصُّلح مع الإنكار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حكم الصُّلح المحلّل للحرام أو العكس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عدم اعتبار العلم بالمقدار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وقوع الصُّلح من الشريكين على كون الربح والخسران لأحدهما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لو ادّعى أحدهما درهمين في يدهما والآخر في أحدهما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حكم من أودعه إنسانٌ درهمين وآخر درهماً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حكم اشتباه الثوبين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إقرار العاقل على نفسه جائز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بيان ما به يتحقّق الإقرار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حكم تعلّق الإقرار بالشرط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حكم مالو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شهد فلانٌ فهو 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ما يعتبر في المُقرّ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بيان ما يعتبر في المُقرّ له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المقرّ به وما يشترط فيه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تعقيب الإقرار بما ينافيه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الاستثناء المتعقّب للإقرار </w:t>
      </w:r>
      <w:r>
        <w:rPr>
          <w:rFonts w:eastAsia="IRNazanin" w:cs="IRNazanin"/>
          <w:color w:val="111111"/>
          <w:sz w:val="28"/>
          <w:szCs w:val="28"/>
          <w:lang w:bidi="fa-IR"/>
        </w:rPr>
        <w:t>114</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من فروع الإقرار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الإقرار بالولد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الوكالة من العقود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اعتبار التنجيز في الوكالة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اعتبار العلم في الوكالة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الوكالة جائزة من الطرفين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اشتراط الوكالة في عقد لازم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موارد بطلان الوكالة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ما تصحّ فيه الوكالة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عدم جواز تعدّي الوكيل المأذون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اعتبار أهليّة التصرّف في الموكّل والوكيل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حكم اكراه الوكيل والموكّل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وكالة الكافر عن المسلم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اختلاف الموكّل والوكيل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بيان ما تثبت به الوكالة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الهبات وتوابعها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تعريف الهبة وبيان حقيقتها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الهبة من العقود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القبض شرط في صحّة الهبة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حكم الهبة من حيث اللّزوم والجواز </w:t>
      </w:r>
      <w:r>
        <w:rPr>
          <w:rFonts w:eastAsia="Amiri" w:cs="Amiri" w:ascii="Amiri" w:hAnsi="Amiri"/>
          <w:color w:val="111111"/>
          <w:sz w:val="28"/>
          <w:szCs w:val="28"/>
          <w:lang w:bidi="ar-SA"/>
        </w:rPr>
        <w:t>197</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الهبة لذي الرحم وهبة أحد الزوجين للآخر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لزوم الهبة بالتلف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التصرّف من ملزمات الهبة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لزوم الهبة المعوّضة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في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جريان المعاطاة في الوقف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اشتراط القبول في الوقف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شرائط الوقف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يعتبر في الوقف الإقباض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بطلان الوقف بموت الواقف قبل القبض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اشتراط القبض في الوقف على الجهات العامّة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عدم اعتبار التنجيز في الوقف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عدم اعتبار الدوام في الوقف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الوقف على النفس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حكم ما لو شرط الواقف شرطاً لنفسه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بيان صور إمكان انتفاع الواقف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شرط عود الوقف مِلْكاً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الوقف على من ينقرض غالباً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شرائط الموقوف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شرائط الواقف </w:t>
      </w:r>
      <w:r>
        <w:rPr>
          <w:rFonts w:eastAsia="IRNazanin" w:cs="IRNazanin"/>
          <w:color w:val="111111"/>
          <w:sz w:val="28"/>
          <w:szCs w:val="28"/>
          <w:lang w:bidi="fa-IR"/>
        </w:rPr>
        <w:t>257</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شرائط الموقوف عليه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اشتراط تعيين الموقوف عليه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جعل الواقف النظر لنفسه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الوقف على الكافر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فيما يتعلّق بألفاظ الوقف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إذا بطلت المصلحة الموقوف عليها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حكم تغيير الوقف عن هيئته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مصارف تعمير الأملاك الموقوفة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حكم استيجار الأرض لتُجعل مسجداً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الشكّ في اعتبار قيدٍ في الموقوف عليه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السُّكنى والعُمري والرُّقبي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الحبس </w:t>
      </w:r>
      <w:r>
        <w:rPr>
          <w:rFonts w:eastAsia="IRNazanin" w:cs="IRNazanin"/>
          <w:color w:val="111111"/>
          <w:sz w:val="28"/>
          <w:szCs w:val="28"/>
          <w:lang w:bidi="fa-IR"/>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في 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حكم القبول في الوصيّة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الوصيّة بالفعل والكتابة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حكم الوصيّة بأمرين وقبول الموصى له أحدهما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لزوم الوصيّة بالأمر السائغ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جواز رجوع الموصي في الوصيّة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البحث عن شرائط الموصي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الوصيّة بالولاية على الأطفال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في المُوصى له </w:t>
      </w:r>
      <w:r>
        <w:rPr>
          <w:rFonts w:eastAsia="Amiri" w:cs="Amiri" w:ascii="Amiri" w:hAnsi="Amiri"/>
          <w:color w:val="111111"/>
          <w:sz w:val="28"/>
          <w:szCs w:val="28"/>
          <w:lang w:bidi="ar-SA"/>
        </w:rPr>
        <w:t>347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التكليف في الوصي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اعتبار العقل في الوصيّ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اعتبار العدالة في الوصي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الموصى به وما يعتبر فيه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حكم وصيّة القاتل نفسه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الوصيّة للحمل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الوصيّة للكافر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حكم ما لو مات الموصى له قبل الموصي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الوصيّة بالحمل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حكم ما لو أوصى إلى اثنين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حكم رَدّ الوصيّة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الوصيّة تبطل بخيانة الوصي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استيفاء الوصيّ دَينه من مال الميّت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أخذ الوصيّ اُجرة عمله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حكم إيصاء الوصي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حكم الوصيّة الزائدة على الثُّلث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إجازة الوارث الوصيّة بما زاد على الثُّلث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إجازه الوارث تنفيذٌ لعمل الموصي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حكم الايصاء بالواجب وغيره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إذا أجاز الورثة ثمّ ادّعوا الظنّ بقلّة المال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المدار في استحقاق الثُّلث على حال الوفاة </w:t>
      </w:r>
      <w:r>
        <w:rPr>
          <w:rFonts w:eastAsia="Amiri" w:cs="Amiri" w:ascii="Amiri" w:hAnsi="Amiri"/>
          <w:color w:val="111111"/>
          <w:sz w:val="28"/>
          <w:szCs w:val="28"/>
          <w:lang w:bidi="ar-SA"/>
        </w:rPr>
        <w:t>423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الوصيّة المبهمة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نسيان مورد الوصيّة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حكم الوصايا المضادّة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ما يثبت به الوصيّة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حكم إقرار المريض بالدين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احتساب أرش الجناية والدية من التركة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حكم الوصيّة باخراج الولد من الميراث </w:t>
      </w:r>
      <w:r>
        <w:rPr>
          <w:rFonts w:eastAsia="Amiri" w:cs="Amiri" w:ascii="Amiri" w:hAnsi="Amiri"/>
          <w:color w:val="111111"/>
          <w:sz w:val="28"/>
          <w:szCs w:val="28"/>
          <w:lang w:bidi="ar-SA"/>
        </w:rPr>
        <w:t>445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الطبع القديم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الضمان،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الضمان،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الأوّل في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في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الطبع الجديد،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المضمون له فإنّه يشترط رضاه، فلو ضمن من غيررضا المضمون له لم يصحّ‌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الضمان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 الكفالات والضمانات والحوالات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والقاضي ابن البرّاج كما 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 وكما هو ظاهر 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نفي الحَرج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البيع وبيان حقيقته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ascii="IRNazanin" w:hAnsi="IRNazanin" w:eastAsia="IRNazanin"/>
          <w:b w:val="false"/>
          <w:b w:val="false"/>
          <w:bCs w:val="false"/>
          <w:i w:val="false"/>
          <w:i w:val="false"/>
          <w:iCs w:val="false"/>
          <w:color w:val="333333"/>
          <w:sz w:val="20"/>
          <w:sz w:val="20"/>
          <w:szCs w:val="20"/>
          <w:rtl w:val="true"/>
        </w:rPr>
        <w:t>، الطبع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السيّد البروجردي قدس سره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ascii="IRNazanin" w:hAnsi="IRNazanin" w:eastAsia="IRNazanin"/>
          <w:b w:val="false"/>
          <w:b w:val="false"/>
          <w:bCs w:val="false"/>
          <w:i w:val="false"/>
          <w:i w:val="false"/>
          <w:iCs w:val="false"/>
          <w:color w:val="333333"/>
          <w:sz w:val="20"/>
          <w:sz w:val="20"/>
          <w:szCs w:val="20"/>
          <w:rtl w:val="true"/>
        </w:rPr>
        <w:t>، الطبع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السيّد الخوئي قدس سره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5/405</w:t>
      </w:r>
      <w:r>
        <w:rPr>
          <w:rFonts w:ascii="IRNazanin" w:hAnsi="IRNazanin" w:eastAsia="IRNazanin"/>
          <w:b w:val="false"/>
          <w:b w:val="false"/>
          <w:bCs w:val="false"/>
          <w:i w:val="false"/>
          <w:i w:val="false"/>
          <w:iCs w:val="false"/>
          <w:color w:val="333333"/>
          <w:sz w:val="20"/>
          <w:sz w:val="20"/>
          <w:szCs w:val="20"/>
          <w:rtl w:val="true"/>
        </w:rPr>
        <w:t>، الطبع الجديد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الطبعة القديمة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رضا المضمون 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الطبع الجديد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باب الضمانات والكفالات والحوالات والوكالات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 الكفالات والضمانات والحوالات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غير واحد من الأعلام إرسال المسلّمات؛ كالمبسوط والسرائر والتذكرة، وفي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بعدذكر المسألة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فيه عندنا ولا إشكال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الإجارة والوديعة وتوابعها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الغصب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الثاني في الحقّ المضمون وأنواعه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بين علمائنا اعتبار رضى المحال عليه في الحوالة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كتاب الحوالة،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الأُولى عن المحتال والثانية عن المحال إليه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 في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صاحب الجواهر هذه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الصفحات الاُولى من هذا الجزء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يعتبر العلم بمقدار الدَّين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الكاشاني الشيخ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26/165</w:t>
      </w:r>
      <w:r>
        <w:rPr>
          <w:rFonts w:ascii="IRNazanin" w:hAnsi="IRNazanin" w:eastAsia="IRNazanin"/>
          <w:b w:val="false"/>
          <w:b w:val="false"/>
          <w:bCs w:val="false"/>
          <w:i w:val="false"/>
          <w:i w:val="false"/>
          <w:iCs w:val="false"/>
          <w:color w:val="333333"/>
          <w:sz w:val="20"/>
          <w:sz w:val="20"/>
          <w:szCs w:val="20"/>
          <w:rtl w:val="true"/>
        </w:rPr>
        <w:t>، والسيّد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أوائل هذا الجزء، 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26/184</w:t>
      </w:r>
      <w:r>
        <w:rPr>
          <w:rFonts w:ascii="IRNazanin" w:hAnsi="IRNazanin" w:eastAsia="IRNazanin"/>
          <w:b w:val="false"/>
          <w:b w:val="false"/>
          <w:bCs w:val="false"/>
          <w:i w:val="false"/>
          <w:i w:val="false"/>
          <w:iCs w:val="false"/>
          <w:color w:val="333333"/>
          <w:sz w:val="20"/>
          <w:sz w:val="20"/>
          <w:szCs w:val="20"/>
          <w:rtl w:val="true"/>
        </w:rPr>
        <w:t>، وفي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18/19723479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34172</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15846</w:t>
      </w:r>
      <w:r>
        <w:rPr>
          <w:rFonts w:ascii="IRNazanin" w:hAnsi="IRNazanin" w:eastAsia="IRNazanin"/>
          <w:b w:val="false"/>
          <w:b w:val="false"/>
          <w:bCs w:val="false"/>
          <w:i w:val="false"/>
          <w:i w:val="false"/>
          <w:iCs w:val="false"/>
          <w:color w:val="333333"/>
          <w:sz w:val="20"/>
          <w:sz w:val="20"/>
          <w:szCs w:val="20"/>
          <w:rtl w:val="true"/>
        </w:rPr>
        <w:t>، والسنن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الثامن من بحوث الكفالة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يصحّ ضمان مال ولا نفس إلّابأجل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السادس عشر من بحوث الكفالة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كتاب التجارة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الوجه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السلف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كتاب التجارة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ج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الإجارة والوديعة وتوابعها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المال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تذكرة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وجامع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والروضة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وتذكرة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لزيد عليَّ ألف درهم مؤجّلاً إلى الوقت الفلاني، وجبَ عليه ذلك في الأجل المذكور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9/333</w:t>
      </w:r>
      <w:r>
        <w:rPr>
          <w:rFonts w:ascii="IRNazanin" w:hAnsi="IRNazanin" w:eastAsia="IRNazanin"/>
          <w:b w:val="false"/>
          <w:b w:val="false"/>
          <w:bCs w:val="false"/>
          <w:i w:val="false"/>
          <w:i w:val="false"/>
          <w:iCs w:val="false"/>
          <w:color w:val="333333"/>
          <w:sz w:val="20"/>
          <w:sz w:val="20"/>
          <w:szCs w:val="20"/>
          <w:rtl w:val="true"/>
        </w:rPr>
        <w:t>، والشهيد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الإقرار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والتحقيق أنّ هذا ليس باب تعقيب الإقرار بالمنافي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قال درهم ودرهم إلّادرهماً فإنْ قلنا الاستثناء يرجع إلى الجملتين، كان إقراراً بدرهم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قلنا يرجع إلى الجملة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إقراراً بدرهمين وبطل الاستثناء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قال لفلان عليَّ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ما نذهب إليه أنّ الاستثناء إذا تعقّب جملاً معطوفة بعضها على بعض بالواو، أنّه يرجع إلى الجميع يجب أن نقول إنّه يصحّ ويكون إقراراً بدرهم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قال له عليَّ درهم ودرهم إلّادرهماً، فقد أسقط الاستثناء من الدرهمين درهماً، فلو رجع إلى الجملتين معاً من الكلام صار عَبثاً ولغواً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والمحقّق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الجنيد كما 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 ايضاً، والمحقّق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النصوص الواردة في الموارد المخصوصة، بل يستفاد منها أنّ حجيّته كانت أمراً مفروغاً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رسالتنا القواعد الثلاث المطبوعة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33758</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من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باختصار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وحكي عن المحقّق في الشرائع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الكتابة لازمة من جهة السيّد، جائزة من جهة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28098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25683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الفصل الثاث من هذا الجزء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الوكالات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9/491</w:t>
      </w:r>
      <w:r>
        <w:rPr>
          <w:rFonts w:ascii="IRNazanin" w:hAnsi="IRNazanin" w:eastAsia="IRNazanin"/>
          <w:b w:val="false"/>
          <w:b w:val="false"/>
          <w:bCs w:val="false"/>
          <w:i w:val="false"/>
          <w:i w:val="false"/>
          <w:iCs w:val="false"/>
          <w:color w:val="333333"/>
          <w:sz w:val="20"/>
          <w:sz w:val="20"/>
          <w:szCs w:val="20"/>
          <w:rtl w:val="true"/>
        </w:rPr>
        <w:t>، فبعد ذكره المسألة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نعلم فيه خلافاً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عوالي الآلي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16065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ادّعى العلّامة الإجماع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يتّضح وجهه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إلى المشهور عن المحقّق مع اختلاف عمّا ذكر هنا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القول قول الوكيل ما لم يكن وكالته بجُعل وهو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24196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تصريحه بنصف المهر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للشيخ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لذلك المحقّق الخونساري في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النحلة والهبة،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الهبات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العلّامة في نهج الحقّ صاحب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28/182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مات الواهب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الإقباض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بطلت الهبة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النحلة والهبة،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الأوّل في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العطيّة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ذكر أحكام الهبة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الهبة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باب النحل والهبة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 الشهيد في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العطيّة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بنى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 إنّ ذلك وقفٌ‌، ولم يوجبه على نفسه بالقول والنطق بالوقفيّة، لم يزل عن ملكه عن ذلك، لأنّ الأصل الملكيّة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والوقف حكمٌ شرعيّ يحتاج إلى دليل شرعي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22/285</w:t>
      </w:r>
      <w:r>
        <w:rPr>
          <w:rFonts w:ascii="IRNazanin" w:hAnsi="IRNazanin" w:eastAsia="IRNazanin"/>
          <w:b w:val="false"/>
          <w:b w:val="false"/>
          <w:bCs w:val="false"/>
          <w:i w:val="false"/>
          <w:i w:val="false"/>
          <w:iCs w:val="false"/>
          <w:color w:val="333333"/>
          <w:sz w:val="20"/>
          <w:sz w:val="20"/>
          <w:szCs w:val="20"/>
          <w:rtl w:val="true"/>
        </w:rPr>
        <w:t>، بحث المعاطاة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الألفاظ</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الأقرب أن يقول إنْ كان الوقف على جهة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يشترطالقبول لعدم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الوقف على شخص أوجماعة معينين فالأقرب اشتراط القبول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24446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بين أصحابنا في أنّ القبض شرط لصحّة الوقف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ولايلزم إلّابالإقباض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قال في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والقبض شرط في صحّته فلو وقف ولم يقبض ثمّ مات كان ميراثاً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الوقف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 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حكاه عن المحقّق القمّي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أتى على الغلام عشر سنين، جاز عتقه وصدقته إذا كان على جهة المعروف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الواقف مختاراً مالكاً للتبرّع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24450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24451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24426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24399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وج </w:t>
      </w:r>
      <w:r>
        <w:rPr>
          <w:rFonts w:eastAsia="IRNazanin" w:cs="IRNazanin"/>
          <w:b w:val="false"/>
          <w:bCs w:val="false"/>
          <w:i w:val="false"/>
          <w:iCs w:val="false"/>
          <w:color w:val="333333"/>
          <w:sz w:val="20"/>
          <w:szCs w:val="20"/>
        </w:rPr>
        <w:t>26/157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والأجداد، وج </w:t>
      </w:r>
      <w:r>
        <w:rPr>
          <w:rFonts w:eastAsia="IRNazanin" w:cs="IRNazanin"/>
          <w:b w:val="false"/>
          <w:bCs w:val="false"/>
          <w:i w:val="false"/>
          <w:iCs w:val="false"/>
          <w:color w:val="333333"/>
          <w:sz w:val="20"/>
          <w:szCs w:val="20"/>
        </w:rPr>
        <w:t>26/319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وج </w:t>
      </w:r>
      <w:r>
        <w:rPr>
          <w:rFonts w:eastAsia="IRNazanin" w:cs="IRNazanin"/>
          <w:b w:val="false"/>
          <w:bCs w:val="false"/>
          <w:i w:val="false"/>
          <w:iCs w:val="false"/>
          <w:color w:val="333333"/>
          <w:sz w:val="20"/>
          <w:szCs w:val="20"/>
        </w:rPr>
        <w:t>9/408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مع اختلاف يسير في الألفاظ</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والقاضي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24416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15855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15856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من كتاب الصَّلاة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الوقف،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24742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من كتاب الحجّ‌</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5/368</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كتاب النكاح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كتاب الحجّ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كتاب التجارة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فإنّه بعد ذكره المسألة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عدم جواز التغيير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السكنى والتحبيس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24459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24462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الآ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24466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24465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24464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6/2525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24540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24550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24545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24546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قوّاه السيّد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الوصيّة العهديّة والتمليكيّة، ووافقه غير واحد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تعليقة السيّد البروجردي قدس سره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 والمواريث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28/265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مع تصرّف في نقل العبارة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 والمواريث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24746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24747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24654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24651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24665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24653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ascii="IRNazanin" w:hAnsi="IRNazanin" w:eastAsia="IRNazanin"/>
          <w:b w:val="false"/>
          <w:b w:val="false"/>
          <w:bCs w:val="false"/>
          <w:i w:val="false"/>
          <w:i w:val="false"/>
          <w:iCs w:val="false"/>
          <w:color w:val="333333"/>
          <w:sz w:val="20"/>
          <w:sz w:val="20"/>
          <w:szCs w:val="20"/>
          <w:rtl w:val="true"/>
        </w:rPr>
        <w:t>، وأيضاً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وج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24452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صرّح باختصاصها بأبواب البِرّ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بلغ عشر سنين فصاعداً من الصبيان، فيما يتعلّق بأبواب البِرّ خاصّة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24885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24788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28/364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24617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الإصفهاني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الأوصياء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24427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24801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24800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حسن لولا معارضة النّص المشهور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الأول في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والشهيد الثاني في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كتاب الجهاد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كتاب الزكاة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24734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24730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24716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24719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24720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وابن سعيد في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24694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24689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28/416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24688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24690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24689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24691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إحياء الموات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24741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24887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24881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الوكالة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22448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22450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22457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22449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22451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24847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24843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24839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24598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24595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24580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24839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24835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28/283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والسيّد الخوئي في موسوعته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24804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24805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24803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الوصايا المبهمة عن تفسير العياشي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حكى قول أياس</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24823</w:t>
      </w:r>
      <w:r>
        <w:rPr>
          <w:rFonts w:ascii="IRNazanin" w:hAnsi="IRNazanin" w:eastAsia="IRNazanin"/>
          <w:b w:val="false"/>
          <w:b w:val="false"/>
          <w:bCs w:val="false"/>
          <w:i w:val="false"/>
          <w:i w:val="false"/>
          <w:iCs w:val="false"/>
          <w:color w:val="333333"/>
          <w:sz w:val="20"/>
          <w:sz w:val="20"/>
          <w:szCs w:val="20"/>
          <w:rtl w:val="true"/>
        </w:rPr>
        <w:t>، وفقه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16291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لإبن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24830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24742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كتاب الحجّ‌</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29/394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22/617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22/614</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24632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حاشيته على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اليزدي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حصل للموصى بعد الموت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24555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24562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24882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24883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75943</Words>
  <Characters>337512</Characters>
  <CharactersWithSpaces>409912</CharactersWithSpaces>
  <Paragraphs>3968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2026-08-22T08:18:27Z</dcterms:created>
  <dc:creator>ghaemiyeh.com</dc:creator>
  <dc:description/>
  <dc:language>en-US</dc:language>
  <cp:lastModifiedBy/>
  <dcterms:modified xsi:type="dcterms:W3CDTF">2026-08-22T11:48:42Z</dcterms:modified>
  <cp:revision>1</cp:revision>
  <dc:subject/>
  <dc:title>فقه الصادق علیه السلام جلد 30</dc:title>
</cp:coreProperties>
</file>

<file path=docProps/custom.xml><?xml version="1.0" encoding="utf-8"?>
<Properties xmlns="http://schemas.openxmlformats.org/officeDocument/2006/custom-properties" xmlns:vt="http://schemas.openxmlformats.org/officeDocument/2006/docPropsVTypes"/>
</file>