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98890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298892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298894_73709187">
            <w:r>
              <w:rPr>
                <w:webHidden/>
                <w:rStyle w:val="IndexLink"/>
                <w:rtl w:val="true"/>
              </w:rPr>
              <w:t>كتاب الطهارة</w:t>
            </w:r>
            <w:r>
              <w:rPr>
                <w:rStyle w:val="IndexLink"/>
                <w:rtl w:val="true"/>
              </w:rPr>
              <w:tab/>
            </w:r>
            <w:r>
              <w:rPr>
                <w:rStyle w:val="IndexLink"/>
              </w:rPr>
              <w:t>13</w:t>
            </w:r>
          </w:hyperlink>
        </w:p>
        <w:p>
          <w:pPr>
            <w:pStyle w:val="Contents3"/>
            <w:tabs>
              <w:tab w:val="clear" w:pos="8459"/>
              <w:tab w:val="right" w:pos="9026" w:leader="dot"/>
            </w:tabs>
            <w:rPr/>
          </w:pPr>
          <w:hyperlink w:anchor="__RefHeading___Toc10298896_73709187">
            <w:r>
              <w:rPr>
                <w:webHidden/>
                <w:rStyle w:val="IndexLink"/>
                <w:rtl w:val="true"/>
              </w:rPr>
              <w:t>الباب الأوّل</w:t>
            </w:r>
            <w:r>
              <w:rPr>
                <w:rStyle w:val="IndexLink"/>
                <w:rtl w:val="true"/>
              </w:rPr>
              <w:t xml:space="preserve">: </w:t>
            </w:r>
            <w:r>
              <w:rPr>
                <w:rStyle w:val="IndexLink"/>
                <w:rtl w:val="true"/>
              </w:rPr>
              <w:t>في المياه</w:t>
            </w:r>
            <w:r>
              <w:rPr>
                <w:rStyle w:val="IndexLink"/>
                <w:rtl w:val="true"/>
              </w:rPr>
              <w:tab/>
            </w:r>
            <w:r>
              <w:rPr>
                <w:rStyle w:val="IndexLink"/>
              </w:rPr>
              <w:t>13</w:t>
            </w:r>
          </w:hyperlink>
        </w:p>
        <w:p>
          <w:pPr>
            <w:pStyle w:val="Contents4"/>
            <w:tabs>
              <w:tab w:val="clear" w:pos="8176"/>
              <w:tab w:val="right" w:pos="9026" w:leader="dot"/>
            </w:tabs>
            <w:rPr/>
          </w:pPr>
          <w:hyperlink w:anchor="__RefHeading___Toc10298898_73709187">
            <w:r>
              <w:rPr>
                <w:webHidden/>
                <w:rStyle w:val="IndexLink"/>
                <w:rtl w:val="true"/>
              </w:rPr>
              <w:t>المطلق والمضاف</w:t>
            </w:r>
            <w:r>
              <w:rPr>
                <w:rStyle w:val="IndexLink"/>
                <w:rtl w:val="true"/>
              </w:rPr>
              <w:tab/>
            </w:r>
            <w:r>
              <w:rPr>
                <w:rStyle w:val="IndexLink"/>
              </w:rPr>
              <w:t>13</w:t>
            </w:r>
          </w:hyperlink>
        </w:p>
        <w:p>
          <w:pPr>
            <w:pStyle w:val="Contents5"/>
            <w:tabs>
              <w:tab w:val="clear" w:pos="7892"/>
              <w:tab w:val="right" w:pos="9026" w:leader="dot"/>
            </w:tabs>
            <w:rPr/>
          </w:pPr>
          <w:hyperlink w:anchor="__RefHeading___Toc10298900_73709187">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0298902_73709187">
            <w:r>
              <w:rPr>
                <w:webHidden/>
                <w:rStyle w:val="IndexLink"/>
                <w:rtl w:val="true"/>
              </w:rPr>
              <w:t>المطلق</w:t>
            </w:r>
            <w:r>
              <w:rPr>
                <w:rStyle w:val="IndexLink"/>
                <w:rtl w:val="true"/>
              </w:rPr>
              <w:tab/>
            </w:r>
            <w:r>
              <w:rPr>
                <w:rStyle w:val="IndexLink"/>
              </w:rPr>
              <w:t>18</w:t>
            </w:r>
          </w:hyperlink>
        </w:p>
        <w:p>
          <w:pPr>
            <w:pStyle w:val="Contents6"/>
            <w:tabs>
              <w:tab w:val="clear" w:pos="7609"/>
              <w:tab w:val="right" w:pos="9026" w:leader="dot"/>
            </w:tabs>
            <w:rPr/>
          </w:pPr>
          <w:hyperlink w:anchor="__RefHeading___Toc10298904_73709187">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0298906_73709187">
            <w:r>
              <w:rPr>
                <w:webHidden/>
                <w:rStyle w:val="IndexLink"/>
                <w:rtl w:val="true"/>
              </w:rPr>
              <w:t>القسم الأوّل</w:t>
            </w:r>
            <w:r>
              <w:rPr>
                <w:rStyle w:val="IndexLink"/>
                <w:rtl w:val="true"/>
              </w:rPr>
              <w:t xml:space="preserve">: </w:t>
            </w:r>
            <w:r>
              <w:rPr>
                <w:rStyle w:val="IndexLink"/>
                <w:rtl w:val="true"/>
              </w:rPr>
              <w:t>الماء الجاري</w:t>
            </w:r>
            <w:r>
              <w:rPr>
                <w:rStyle w:val="IndexLink"/>
                <w:rtl w:val="true"/>
              </w:rPr>
              <w:tab/>
            </w:r>
            <w:r>
              <w:rPr>
                <w:rStyle w:val="IndexLink"/>
              </w:rPr>
              <w:t>18</w:t>
            </w:r>
          </w:hyperlink>
        </w:p>
        <w:p>
          <w:pPr>
            <w:pStyle w:val="Contents6"/>
            <w:tabs>
              <w:tab w:val="clear" w:pos="7609"/>
              <w:tab w:val="right" w:pos="9026" w:leader="dot"/>
            </w:tabs>
            <w:rPr/>
          </w:pPr>
          <w:hyperlink w:anchor="__RefHeading___Toc10298908_73709187">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0298910_73709187">
            <w:r>
              <w:rPr>
                <w:webHidden/>
                <w:rStyle w:val="IndexLink"/>
                <w:rtl w:val="true"/>
              </w:rPr>
              <w:t>الشكّ في وجود المادّة وعدمه</w:t>
            </w:r>
            <w:r>
              <w:rPr>
                <w:rStyle w:val="IndexLink"/>
                <w:rtl w:val="true"/>
              </w:rPr>
              <w:tab/>
            </w:r>
            <w:r>
              <w:rPr>
                <w:rStyle w:val="IndexLink"/>
              </w:rPr>
              <w:t>22</w:t>
            </w:r>
          </w:hyperlink>
        </w:p>
        <w:p>
          <w:pPr>
            <w:pStyle w:val="Contents6"/>
            <w:tabs>
              <w:tab w:val="clear" w:pos="7609"/>
              <w:tab w:val="right" w:pos="9026" w:leader="dot"/>
            </w:tabs>
            <w:rPr/>
          </w:pPr>
          <w:hyperlink w:anchor="__RefHeading___Toc10298912_73709187">
            <w:r>
              <w:rPr>
                <w:webHidden/>
                <w:rStyle w:val="IndexLink"/>
                <w:rtl w:val="true"/>
              </w:rPr>
              <w:t>الماء المُتغيّر</w:t>
            </w:r>
            <w:r>
              <w:rPr>
                <w:rStyle w:val="IndexLink"/>
                <w:rtl w:val="true"/>
              </w:rPr>
              <w:tab/>
            </w:r>
            <w:r>
              <w:rPr>
                <w:rStyle w:val="IndexLink"/>
              </w:rPr>
              <w:t>25</w:t>
            </w:r>
          </w:hyperlink>
        </w:p>
        <w:p>
          <w:pPr>
            <w:pStyle w:val="Contents6"/>
            <w:tabs>
              <w:tab w:val="clear" w:pos="7609"/>
              <w:tab w:val="right" w:pos="9026" w:leader="dot"/>
            </w:tabs>
            <w:rPr/>
          </w:pPr>
          <w:hyperlink w:anchor="__RefHeading___Toc10298914_73709187">
            <w:r>
              <w:rPr>
                <w:webHidden/>
                <w:rStyle w:val="IndexLink"/>
                <w:rtl w:val="true"/>
              </w:rPr>
              <w:t>ما يعتبر في النجاسة</w:t>
            </w:r>
            <w:r>
              <w:rPr>
                <w:rStyle w:val="IndexLink"/>
                <w:rtl w:val="true"/>
              </w:rPr>
              <w:tab/>
            </w:r>
            <w:r>
              <w:rPr>
                <w:rStyle w:val="IndexLink"/>
              </w:rPr>
              <w:t>28</w:t>
            </w:r>
          </w:hyperlink>
        </w:p>
        <w:p>
          <w:pPr>
            <w:pStyle w:val="Contents6"/>
            <w:tabs>
              <w:tab w:val="clear" w:pos="7609"/>
              <w:tab w:val="right" w:pos="9026" w:leader="dot"/>
            </w:tabs>
            <w:rPr/>
          </w:pPr>
          <w:hyperlink w:anchor="__RefHeading___Toc10298916_73709187">
            <w:r>
              <w:rPr>
                <w:webHidden/>
                <w:rStyle w:val="IndexLink"/>
                <w:rtl w:val="true"/>
              </w:rPr>
              <w:t>زوال التغيّر بنفسه</w:t>
            </w:r>
            <w:r>
              <w:rPr>
                <w:rStyle w:val="IndexLink"/>
                <w:rtl w:val="true"/>
              </w:rPr>
              <w:tab/>
            </w:r>
            <w:r>
              <w:rPr>
                <w:rStyle w:val="IndexLink"/>
              </w:rPr>
              <w:t>37</w:t>
            </w:r>
          </w:hyperlink>
        </w:p>
        <w:p>
          <w:pPr>
            <w:pStyle w:val="Contents6"/>
            <w:tabs>
              <w:tab w:val="clear" w:pos="7609"/>
              <w:tab w:val="right" w:pos="9026" w:leader="dot"/>
            </w:tabs>
            <w:rPr/>
          </w:pPr>
          <w:hyperlink w:anchor="__RefHeading___Toc10298918_73709187">
            <w:r>
              <w:rPr>
                <w:webHidden/>
                <w:rStyle w:val="IndexLink"/>
                <w:rtl w:val="true"/>
              </w:rPr>
              <w:t>ماء المطر</w:t>
            </w:r>
            <w:r>
              <w:rPr>
                <w:rStyle w:val="IndexLink"/>
                <w:rtl w:val="true"/>
              </w:rPr>
              <w:tab/>
            </w:r>
            <w:r>
              <w:rPr>
                <w:rStyle w:val="IndexLink"/>
              </w:rPr>
              <w:t>40</w:t>
            </w:r>
          </w:hyperlink>
        </w:p>
        <w:p>
          <w:pPr>
            <w:pStyle w:val="Contents6"/>
            <w:tabs>
              <w:tab w:val="clear" w:pos="7609"/>
              <w:tab w:val="right" w:pos="9026" w:leader="dot"/>
            </w:tabs>
            <w:rPr/>
          </w:pPr>
          <w:hyperlink w:anchor="__RefHeading___Toc10298920_73709187">
            <w:r>
              <w:rPr>
                <w:webHidden/>
                <w:rStyle w:val="IndexLink"/>
                <w:rtl w:val="true"/>
              </w:rPr>
              <w:t>ماء المطر المجتمع</w:t>
            </w:r>
            <w:r>
              <w:rPr>
                <w:rStyle w:val="IndexLink"/>
                <w:rtl w:val="true"/>
              </w:rPr>
              <w:tab/>
            </w:r>
            <w:r>
              <w:rPr>
                <w:rStyle w:val="IndexLink"/>
              </w:rPr>
              <w:t>43</w:t>
            </w:r>
          </w:hyperlink>
        </w:p>
        <w:p>
          <w:pPr>
            <w:pStyle w:val="Contents6"/>
            <w:tabs>
              <w:tab w:val="clear" w:pos="7609"/>
              <w:tab w:val="right" w:pos="9026" w:leader="dot"/>
            </w:tabs>
            <w:rPr/>
          </w:pPr>
          <w:hyperlink w:anchor="__RefHeading___Toc10298922_73709187">
            <w:r>
              <w:rPr>
                <w:webHidden/>
                <w:rStyle w:val="IndexLink"/>
                <w:rtl w:val="true"/>
              </w:rPr>
              <w:t>ماء الحمّام</w:t>
            </w:r>
            <w:r>
              <w:rPr>
                <w:rStyle w:val="IndexLink"/>
                <w:rtl w:val="true"/>
              </w:rPr>
              <w:tab/>
            </w:r>
            <w:r>
              <w:rPr>
                <w:rStyle w:val="IndexLink"/>
              </w:rPr>
              <w:t>51</w:t>
            </w:r>
          </w:hyperlink>
        </w:p>
        <w:p>
          <w:pPr>
            <w:pStyle w:val="Contents6"/>
            <w:tabs>
              <w:tab w:val="clear" w:pos="7609"/>
              <w:tab w:val="right" w:pos="9026" w:leader="dot"/>
            </w:tabs>
            <w:rPr/>
          </w:pPr>
          <w:hyperlink w:anchor="__RefHeading___Toc10298924_73709187">
            <w:r>
              <w:rPr>
                <w:webHidden/>
                <w:rStyle w:val="IndexLink"/>
                <w:rtl w:val="true"/>
              </w:rPr>
              <w:t>تقوّي السّافل بالعالي</w:t>
            </w:r>
            <w:r>
              <w:rPr>
                <w:rStyle w:val="IndexLink"/>
                <w:rtl w:val="true"/>
              </w:rPr>
              <w:tab/>
            </w:r>
            <w:r>
              <w:rPr>
                <w:rStyle w:val="IndexLink"/>
              </w:rPr>
              <w:t>55</w:t>
            </w:r>
          </w:hyperlink>
        </w:p>
        <w:p>
          <w:pPr>
            <w:pStyle w:val="Contents6"/>
            <w:tabs>
              <w:tab w:val="clear" w:pos="7609"/>
              <w:tab w:val="right" w:pos="9026" w:leader="dot"/>
            </w:tabs>
            <w:rPr/>
          </w:pPr>
          <w:hyperlink w:anchor="__RefHeading___Toc10298926_73709187">
            <w:r>
              <w:rPr>
                <w:webHidden/>
                <w:rStyle w:val="IndexLink"/>
                <w:rtl w:val="true"/>
              </w:rPr>
              <w:t>القسم الثاني</w:t>
            </w:r>
            <w:r>
              <w:rPr>
                <w:rStyle w:val="IndexLink"/>
                <w:rtl w:val="true"/>
              </w:rPr>
              <w:t xml:space="preserve">: </w:t>
            </w:r>
            <w:r>
              <w:rPr>
                <w:rStyle w:val="IndexLink"/>
                <w:rtl w:val="true"/>
              </w:rPr>
              <w:t>الماء الرّاكد</w:t>
            </w:r>
            <w:r>
              <w:rPr>
                <w:rStyle w:val="IndexLink"/>
                <w:rtl w:val="true"/>
              </w:rPr>
              <w:tab/>
            </w:r>
            <w:r>
              <w:rPr>
                <w:rStyle w:val="IndexLink"/>
              </w:rPr>
              <w:t>60</w:t>
            </w:r>
          </w:hyperlink>
        </w:p>
        <w:p>
          <w:pPr>
            <w:pStyle w:val="Contents6"/>
            <w:tabs>
              <w:tab w:val="clear" w:pos="7609"/>
              <w:tab w:val="right" w:pos="9026" w:leader="dot"/>
            </w:tabs>
            <w:rPr/>
          </w:pPr>
          <w:hyperlink w:anchor="__RefHeading___Toc10298928_73709187">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0298930_73709187">
            <w:r>
              <w:rPr>
                <w:webHidden/>
                <w:rStyle w:val="IndexLink"/>
                <w:rtl w:val="true"/>
              </w:rPr>
              <w:t>مساحة الكُرّ</w:t>
            </w:r>
            <w:r>
              <w:rPr>
                <w:rStyle w:val="IndexLink"/>
                <w:rtl w:val="true"/>
              </w:rPr>
              <w:tab/>
            </w:r>
            <w:r>
              <w:rPr>
                <w:rStyle w:val="IndexLink"/>
              </w:rPr>
              <w:t>63</w:t>
            </w:r>
          </w:hyperlink>
        </w:p>
        <w:p>
          <w:pPr>
            <w:pStyle w:val="Contents6"/>
            <w:tabs>
              <w:tab w:val="clear" w:pos="7609"/>
              <w:tab w:val="right" w:pos="9026" w:leader="dot"/>
            </w:tabs>
            <w:rPr/>
          </w:pPr>
          <w:hyperlink w:anchor="__RefHeading___Toc10298932_73709187">
            <w:r>
              <w:rPr>
                <w:webHidden/>
                <w:rStyle w:val="IndexLink"/>
                <w:rtl w:val="true"/>
              </w:rPr>
              <w:t>مشكوك الكريَّة مع سبق القلّة</w:t>
            </w:r>
            <w:r>
              <w:rPr>
                <w:rStyle w:val="IndexLink"/>
                <w:rtl w:val="true"/>
              </w:rPr>
              <w:tab/>
            </w:r>
            <w:r>
              <w:rPr>
                <w:rStyle w:val="IndexLink"/>
              </w:rPr>
              <w:t>73</w:t>
            </w:r>
          </w:hyperlink>
        </w:p>
        <w:p>
          <w:pPr>
            <w:pStyle w:val="Contents6"/>
            <w:tabs>
              <w:tab w:val="clear" w:pos="7609"/>
              <w:tab w:val="right" w:pos="9026" w:leader="dot"/>
            </w:tabs>
            <w:rPr/>
          </w:pPr>
          <w:hyperlink w:anchor="__RefHeading___Toc10298934_73709187">
            <w:r>
              <w:rPr>
                <w:webHidden/>
                <w:rStyle w:val="IndexLink"/>
                <w:rtl w:val="true"/>
              </w:rPr>
              <w:t>حدوث الكريَّة والملاقاة في آنٍ واحد</w:t>
            </w:r>
            <w:r>
              <w:rPr>
                <w:rStyle w:val="IndexLink"/>
                <w:rtl w:val="true"/>
              </w:rPr>
              <w:tab/>
            </w:r>
            <w:r>
              <w:rPr>
                <w:rStyle w:val="IndexLink"/>
              </w:rPr>
              <w:t>76</w:t>
            </w:r>
          </w:hyperlink>
        </w:p>
        <w:p>
          <w:pPr>
            <w:pStyle w:val="Contents6"/>
            <w:tabs>
              <w:tab w:val="clear" w:pos="7609"/>
              <w:tab w:val="right" w:pos="9026" w:leader="dot"/>
            </w:tabs>
            <w:rPr/>
          </w:pPr>
          <w:hyperlink w:anchor="__RefHeading___Toc10298936_73709187">
            <w:r>
              <w:rPr>
                <w:webHidden/>
                <w:rStyle w:val="IndexLink"/>
                <w:rtl w:val="true"/>
              </w:rPr>
              <w:t>المتمّم كراً بطاهر أو نجس</w:t>
            </w:r>
            <w:r>
              <w:rPr>
                <w:rStyle w:val="IndexLink"/>
                <w:rtl w:val="true"/>
              </w:rPr>
              <w:tab/>
            </w:r>
            <w:r>
              <w:rPr>
                <w:rStyle w:val="IndexLink"/>
              </w:rPr>
              <w:t>81</w:t>
            </w:r>
          </w:hyperlink>
        </w:p>
        <w:p>
          <w:pPr>
            <w:pStyle w:val="Contents6"/>
            <w:tabs>
              <w:tab w:val="clear" w:pos="7609"/>
              <w:tab w:val="right" w:pos="9026" w:leader="dot"/>
            </w:tabs>
            <w:rPr/>
          </w:pPr>
          <w:hyperlink w:anchor="__RefHeading___Toc10298938_73709187">
            <w:r>
              <w:rPr>
                <w:webHidden/>
                <w:rStyle w:val="IndexLink"/>
                <w:rtl w:val="true"/>
              </w:rPr>
              <w:t>اعتبار الامتزاج</w:t>
            </w:r>
            <w:r>
              <w:rPr>
                <w:rStyle w:val="IndexLink"/>
                <w:rtl w:val="true"/>
              </w:rPr>
              <w:tab/>
            </w:r>
            <w:r>
              <w:rPr>
                <w:rStyle w:val="IndexLink"/>
              </w:rPr>
              <w:t>87</w:t>
            </w:r>
          </w:hyperlink>
        </w:p>
        <w:p>
          <w:pPr>
            <w:pStyle w:val="Contents6"/>
            <w:tabs>
              <w:tab w:val="clear" w:pos="7609"/>
              <w:tab w:val="right" w:pos="9026" w:leader="dot"/>
            </w:tabs>
            <w:rPr/>
          </w:pPr>
          <w:hyperlink w:anchor="__RefHeading___Toc10298940_73709187">
            <w:r>
              <w:rPr>
                <w:webHidden/>
                <w:rStyle w:val="IndexLink"/>
                <w:rtl w:val="true"/>
              </w:rPr>
              <w:t>اعتبار الدفعة</w:t>
            </w:r>
            <w:r>
              <w:rPr>
                <w:rStyle w:val="IndexLink"/>
                <w:rtl w:val="true"/>
              </w:rPr>
              <w:tab/>
            </w:r>
            <w:r>
              <w:rPr>
                <w:rStyle w:val="IndexLink"/>
              </w:rPr>
              <w:t>91</w:t>
            </w:r>
          </w:hyperlink>
        </w:p>
        <w:p>
          <w:pPr>
            <w:pStyle w:val="Contents6"/>
            <w:tabs>
              <w:tab w:val="clear" w:pos="7609"/>
              <w:tab w:val="right" w:pos="9026" w:leader="dot"/>
            </w:tabs>
            <w:rPr/>
          </w:pPr>
          <w:hyperlink w:anchor="__RefHeading___Toc10298942_73709187">
            <w:r>
              <w:rPr>
                <w:webHidden/>
                <w:rStyle w:val="IndexLink"/>
                <w:rtl w:val="true"/>
              </w:rPr>
              <w:t>الماء القليل</w:t>
            </w:r>
            <w:r>
              <w:rPr>
                <w:rStyle w:val="IndexLink"/>
                <w:rtl w:val="true"/>
              </w:rPr>
              <w:tab/>
            </w:r>
            <w:r>
              <w:rPr>
                <w:rStyle w:val="IndexLink"/>
              </w:rPr>
              <w:t>94</w:t>
            </w:r>
          </w:hyperlink>
        </w:p>
        <w:p>
          <w:pPr>
            <w:pStyle w:val="Contents6"/>
            <w:tabs>
              <w:tab w:val="clear" w:pos="7609"/>
              <w:tab w:val="right" w:pos="9026" w:leader="dot"/>
            </w:tabs>
            <w:rPr/>
          </w:pPr>
          <w:hyperlink w:anchor="__RefHeading___Toc10298944_73709187">
            <w:r>
              <w:rPr>
                <w:webHidden/>
                <w:rStyle w:val="IndexLink"/>
                <w:rtl w:val="true"/>
              </w:rPr>
              <w:t>القسم الثالث</w:t>
            </w:r>
            <w:r>
              <w:rPr>
                <w:rStyle w:val="IndexLink"/>
                <w:rtl w:val="true"/>
              </w:rPr>
              <w:t xml:space="preserve">: </w:t>
            </w:r>
            <w:r>
              <w:rPr>
                <w:rStyle w:val="IndexLink"/>
                <w:rtl w:val="true"/>
              </w:rPr>
              <w:t>ماء البئر</w:t>
            </w:r>
            <w:r>
              <w:rPr>
                <w:rStyle w:val="IndexLink"/>
                <w:rtl w:val="true"/>
              </w:rPr>
              <w:tab/>
            </w:r>
            <w:r>
              <w:rPr>
                <w:rStyle w:val="IndexLink"/>
              </w:rPr>
              <w:t>104</w:t>
            </w:r>
          </w:hyperlink>
        </w:p>
        <w:p>
          <w:pPr>
            <w:pStyle w:val="Contents6"/>
            <w:tabs>
              <w:tab w:val="clear" w:pos="7609"/>
              <w:tab w:val="right" w:pos="9026" w:leader="dot"/>
            </w:tabs>
            <w:rPr/>
          </w:pPr>
          <w:hyperlink w:anchor="__RefHeading___Toc10298946_73709187">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0298948_73709187">
            <w:r>
              <w:rPr>
                <w:webHidden/>
                <w:rStyle w:val="IndexLink"/>
                <w:rtl w:val="true"/>
              </w:rPr>
              <w:t>عدم تنجّس ماء البئر</w:t>
            </w:r>
            <w:r>
              <w:rPr>
                <w:rStyle w:val="IndexLink"/>
                <w:rtl w:val="true"/>
              </w:rPr>
              <w:tab/>
            </w:r>
            <w:r>
              <w:rPr>
                <w:rStyle w:val="IndexLink"/>
              </w:rPr>
              <w:t>109</w:t>
            </w:r>
          </w:hyperlink>
        </w:p>
        <w:p>
          <w:pPr>
            <w:pStyle w:val="Contents6"/>
            <w:tabs>
              <w:tab w:val="clear" w:pos="7609"/>
              <w:tab w:val="right" w:pos="9026" w:leader="dot"/>
            </w:tabs>
            <w:rPr/>
          </w:pPr>
          <w:hyperlink w:anchor="__RefHeading___Toc10298950_73709187">
            <w:r>
              <w:rPr>
                <w:webHidden/>
                <w:rStyle w:val="IndexLink"/>
                <w:rtl w:val="true"/>
              </w:rPr>
              <w:t>مقدار النزح</w:t>
            </w:r>
            <w:r>
              <w:rPr>
                <w:rStyle w:val="IndexLink"/>
                <w:rtl w:val="true"/>
              </w:rPr>
              <w:tab/>
            </w:r>
            <w:r>
              <w:rPr>
                <w:rStyle w:val="IndexLink"/>
              </w:rPr>
              <w:t>114</w:t>
            </w:r>
          </w:hyperlink>
        </w:p>
        <w:p>
          <w:pPr>
            <w:pStyle w:val="Contents6"/>
            <w:tabs>
              <w:tab w:val="clear" w:pos="7609"/>
              <w:tab w:val="right" w:pos="9026" w:leader="dot"/>
            </w:tabs>
            <w:rPr/>
          </w:pPr>
          <w:hyperlink w:anchor="__RefHeading___Toc10298952_73709187">
            <w:r>
              <w:rPr>
                <w:webHidden/>
                <w:rStyle w:val="IndexLink"/>
                <w:rtl w:val="true"/>
              </w:rPr>
              <w:t>القسم الرابع</w:t>
            </w:r>
            <w:r>
              <w:rPr>
                <w:rStyle w:val="IndexLink"/>
                <w:rtl w:val="true"/>
              </w:rPr>
              <w:t xml:space="preserve">: </w:t>
            </w:r>
            <w:r>
              <w:rPr>
                <w:rStyle w:val="IndexLink"/>
                <w:rtl w:val="true"/>
              </w:rPr>
              <w:t>الأسئار</w:t>
            </w:r>
            <w:r>
              <w:rPr>
                <w:rStyle w:val="IndexLink"/>
                <w:rtl w:val="true"/>
              </w:rPr>
              <w:tab/>
            </w:r>
            <w:r>
              <w:rPr>
                <w:rStyle w:val="IndexLink"/>
              </w:rPr>
              <w:t>121</w:t>
            </w:r>
          </w:hyperlink>
        </w:p>
        <w:p>
          <w:pPr>
            <w:pStyle w:val="Contents6"/>
            <w:tabs>
              <w:tab w:val="clear" w:pos="7609"/>
              <w:tab w:val="right" w:pos="9026" w:leader="dot"/>
            </w:tabs>
            <w:rPr/>
          </w:pPr>
          <w:hyperlink w:anchor="__RefHeading___Toc10298954_73709187">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0298956_73709187">
            <w:r>
              <w:rPr>
                <w:webHidden/>
                <w:rStyle w:val="IndexLink"/>
                <w:rtl w:val="true"/>
              </w:rPr>
              <w:t>سؤر حرام اللَّحم</w:t>
            </w:r>
            <w:r>
              <w:rPr>
                <w:rStyle w:val="IndexLink"/>
                <w:rtl w:val="true"/>
              </w:rPr>
              <w:tab/>
            </w:r>
            <w:r>
              <w:rPr>
                <w:rStyle w:val="IndexLink"/>
              </w:rPr>
              <w:t>125</w:t>
            </w:r>
          </w:hyperlink>
        </w:p>
        <w:p>
          <w:pPr>
            <w:pStyle w:val="Contents6"/>
            <w:tabs>
              <w:tab w:val="clear" w:pos="7609"/>
              <w:tab w:val="right" w:pos="9026" w:leader="dot"/>
            </w:tabs>
            <w:rPr/>
          </w:pPr>
          <w:hyperlink w:anchor="__RefHeading___Toc10298958_73709187">
            <w:r>
              <w:rPr>
                <w:webHidden/>
                <w:rStyle w:val="IndexLink"/>
                <w:rtl w:val="true"/>
              </w:rPr>
              <w:t>بحث عن حجيّة البيِّنة</w:t>
            </w:r>
            <w:r>
              <w:rPr>
                <w:rStyle w:val="IndexLink"/>
                <w:rtl w:val="true"/>
              </w:rPr>
              <w:tab/>
            </w:r>
            <w:r>
              <w:rPr>
                <w:rStyle w:val="IndexLink"/>
              </w:rPr>
              <w:t>130</w:t>
            </w:r>
          </w:hyperlink>
        </w:p>
        <w:p>
          <w:pPr>
            <w:pStyle w:val="Contents6"/>
            <w:tabs>
              <w:tab w:val="clear" w:pos="7609"/>
              <w:tab w:val="right" w:pos="9026" w:leader="dot"/>
            </w:tabs>
            <w:rPr/>
          </w:pPr>
          <w:hyperlink w:anchor="__RefHeading___Toc10298960_73709187">
            <w:r>
              <w:rPr>
                <w:webHidden/>
                <w:rStyle w:val="IndexLink"/>
                <w:rtl w:val="true"/>
              </w:rPr>
              <w:t>خبر الواحد</w:t>
            </w:r>
            <w:r>
              <w:rPr>
                <w:rStyle w:val="IndexLink"/>
                <w:rtl w:val="true"/>
              </w:rPr>
              <w:tab/>
            </w:r>
            <w:r>
              <w:rPr>
                <w:rStyle w:val="IndexLink"/>
              </w:rPr>
              <w:t>132</w:t>
            </w:r>
          </w:hyperlink>
        </w:p>
        <w:p>
          <w:pPr>
            <w:pStyle w:val="Contents6"/>
            <w:tabs>
              <w:tab w:val="clear" w:pos="7609"/>
              <w:tab w:val="right" w:pos="9026" w:leader="dot"/>
            </w:tabs>
            <w:rPr/>
          </w:pPr>
          <w:hyperlink w:anchor="__RefHeading___Toc10298962_73709187">
            <w:r>
              <w:rPr>
                <w:webHidden/>
                <w:rStyle w:val="IndexLink"/>
                <w:rtl w:val="true"/>
              </w:rPr>
              <w:t>إخبار ذي اليد</w:t>
            </w:r>
            <w:r>
              <w:rPr>
                <w:rStyle w:val="IndexLink"/>
                <w:rtl w:val="true"/>
              </w:rPr>
              <w:tab/>
            </w:r>
            <w:r>
              <w:rPr>
                <w:rStyle w:val="IndexLink"/>
              </w:rPr>
              <w:t>134</w:t>
            </w:r>
          </w:hyperlink>
        </w:p>
        <w:p>
          <w:pPr>
            <w:pStyle w:val="Contents6"/>
            <w:tabs>
              <w:tab w:val="clear" w:pos="7609"/>
              <w:tab w:val="right" w:pos="9026" w:leader="dot"/>
            </w:tabs>
            <w:rPr/>
          </w:pPr>
          <w:hyperlink w:anchor="__RefHeading___Toc10298964_73709187">
            <w:r>
              <w:rPr>
                <w:webHidden/>
                <w:rStyle w:val="IndexLink"/>
                <w:rtl w:val="true"/>
              </w:rPr>
              <w:t>البحث عن حكم الظنون</w:t>
            </w:r>
            <w:r>
              <w:rPr>
                <w:rStyle w:val="IndexLink"/>
                <w:rtl w:val="true"/>
              </w:rPr>
              <w:tab/>
            </w:r>
            <w:r>
              <w:rPr>
                <w:rStyle w:val="IndexLink"/>
              </w:rPr>
              <w:t>137</w:t>
            </w:r>
          </w:hyperlink>
        </w:p>
        <w:p>
          <w:pPr>
            <w:pStyle w:val="Contents6"/>
            <w:tabs>
              <w:tab w:val="clear" w:pos="7609"/>
              <w:tab w:val="right" w:pos="9026" w:leader="dot"/>
            </w:tabs>
            <w:rPr/>
          </w:pPr>
          <w:hyperlink w:anchor="__RefHeading___Toc10298966_73709187">
            <w:r>
              <w:rPr>
                <w:webHidden/>
                <w:rStyle w:val="IndexLink"/>
                <w:rtl w:val="true"/>
              </w:rPr>
              <w:t>تعارض البيّنتين</w:t>
            </w:r>
            <w:r>
              <w:rPr>
                <w:rStyle w:val="IndexLink"/>
                <w:rtl w:val="true"/>
              </w:rPr>
              <w:tab/>
            </w:r>
            <w:r>
              <w:rPr>
                <w:rStyle w:val="IndexLink"/>
              </w:rPr>
              <w:t>139</w:t>
            </w:r>
          </w:hyperlink>
        </w:p>
        <w:p>
          <w:pPr>
            <w:pStyle w:val="Contents6"/>
            <w:tabs>
              <w:tab w:val="clear" w:pos="7609"/>
              <w:tab w:val="right" w:pos="9026" w:leader="dot"/>
            </w:tabs>
            <w:rPr/>
          </w:pPr>
          <w:hyperlink w:anchor="__RefHeading___Toc10298968_73709187">
            <w:r>
              <w:rPr>
                <w:webHidden/>
                <w:rStyle w:val="IndexLink"/>
                <w:rtl w:val="true"/>
              </w:rPr>
              <w:t>في اعتبار علم الوسواسي وعدمه</w:t>
            </w:r>
            <w:r>
              <w:rPr>
                <w:rStyle w:val="IndexLink"/>
                <w:rtl w:val="true"/>
              </w:rPr>
              <w:tab/>
            </w:r>
            <w:r>
              <w:rPr>
                <w:rStyle w:val="IndexLink"/>
              </w:rPr>
              <w:t>140</w:t>
            </w:r>
          </w:hyperlink>
        </w:p>
        <w:p>
          <w:pPr>
            <w:pStyle w:val="Contents6"/>
            <w:tabs>
              <w:tab w:val="clear" w:pos="7609"/>
              <w:tab w:val="right" w:pos="9026" w:leader="dot"/>
            </w:tabs>
            <w:rPr/>
          </w:pPr>
          <w:hyperlink w:anchor="__RefHeading___Toc10298970_73709187">
            <w:r>
              <w:rPr>
                <w:webHidden/>
                <w:rStyle w:val="IndexLink"/>
                <w:rtl w:val="true"/>
              </w:rPr>
              <w:t>ذكر السبب في الشهادة</w:t>
            </w:r>
            <w:r>
              <w:rPr>
                <w:rStyle w:val="IndexLink"/>
                <w:rtl w:val="true"/>
              </w:rPr>
              <w:tab/>
            </w:r>
            <w:r>
              <w:rPr>
                <w:rStyle w:val="IndexLink"/>
              </w:rPr>
              <w:t>142</w:t>
            </w:r>
          </w:hyperlink>
        </w:p>
        <w:p>
          <w:pPr>
            <w:pStyle w:val="Contents6"/>
            <w:tabs>
              <w:tab w:val="clear" w:pos="7609"/>
              <w:tab w:val="right" w:pos="9026" w:leader="dot"/>
            </w:tabs>
            <w:rPr/>
          </w:pPr>
          <w:hyperlink w:anchor="__RefHeading___Toc10298972_73709187">
            <w:r>
              <w:rPr>
                <w:webHidden/>
                <w:rStyle w:val="IndexLink"/>
                <w:rtl w:val="true"/>
              </w:rPr>
              <w:t>ذكر الموجب في الشهادة</w:t>
            </w:r>
            <w:r>
              <w:rPr>
                <w:rStyle w:val="IndexLink"/>
                <w:rtl w:val="true"/>
              </w:rPr>
              <w:tab/>
            </w:r>
            <w:r>
              <w:rPr>
                <w:rStyle w:val="IndexLink"/>
              </w:rPr>
              <w:t>144</w:t>
            </w:r>
          </w:hyperlink>
        </w:p>
        <w:p>
          <w:pPr>
            <w:pStyle w:val="Contents6"/>
            <w:tabs>
              <w:tab w:val="clear" w:pos="7609"/>
              <w:tab w:val="right" w:pos="9026" w:leader="dot"/>
            </w:tabs>
            <w:rPr/>
          </w:pPr>
          <w:hyperlink w:anchor="__RefHeading___Toc10298974_7370918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0298976_73709187">
            <w:r>
              <w:rPr>
                <w:webHidden/>
                <w:rStyle w:val="IndexLink"/>
                <w:rtl w:val="true"/>
              </w:rPr>
              <w:t>القسم الأوّل من اختلاف شهادة الشاهدين</w:t>
            </w:r>
            <w:r>
              <w:rPr>
                <w:rStyle w:val="IndexLink"/>
                <w:rtl w:val="true"/>
              </w:rPr>
              <w:tab/>
            </w:r>
            <w:r>
              <w:rPr>
                <w:rStyle w:val="IndexLink"/>
              </w:rPr>
              <w:t>145</w:t>
            </w:r>
          </w:hyperlink>
        </w:p>
        <w:p>
          <w:pPr>
            <w:pStyle w:val="Contents6"/>
            <w:tabs>
              <w:tab w:val="clear" w:pos="7609"/>
              <w:tab w:val="right" w:pos="9026" w:leader="dot"/>
            </w:tabs>
            <w:rPr/>
          </w:pPr>
          <w:hyperlink w:anchor="__RefHeading___Toc10298978_73709187">
            <w:r>
              <w:rPr>
                <w:webHidden/>
                <w:rStyle w:val="IndexLink"/>
                <w:rtl w:val="true"/>
              </w:rPr>
              <w:t>القسم الثاني من اختلاف شهادة الشاهدين</w:t>
            </w:r>
            <w:r>
              <w:rPr>
                <w:rStyle w:val="IndexLink"/>
                <w:rtl w:val="true"/>
              </w:rPr>
              <w:tab/>
            </w:r>
            <w:r>
              <w:rPr>
                <w:rStyle w:val="IndexLink"/>
              </w:rPr>
              <w:t>148</w:t>
            </w:r>
          </w:hyperlink>
        </w:p>
        <w:p>
          <w:pPr>
            <w:pStyle w:val="Contents6"/>
            <w:tabs>
              <w:tab w:val="clear" w:pos="7609"/>
              <w:tab w:val="right" w:pos="9026" w:leader="dot"/>
            </w:tabs>
            <w:rPr/>
          </w:pPr>
          <w:hyperlink w:anchor="__RefHeading___Toc10298980_73709187">
            <w:r>
              <w:rPr>
                <w:webHidden/>
                <w:rStyle w:val="IndexLink"/>
                <w:rtl w:val="true"/>
              </w:rPr>
              <w:t>القسم الثالث من اختلاف شهادة الشاهدين</w:t>
            </w:r>
            <w:r>
              <w:rPr>
                <w:rStyle w:val="IndexLink"/>
                <w:rtl w:val="true"/>
              </w:rPr>
              <w:tab/>
            </w:r>
            <w:r>
              <w:rPr>
                <w:rStyle w:val="IndexLink"/>
              </w:rPr>
              <w:t>151</w:t>
            </w:r>
          </w:hyperlink>
        </w:p>
        <w:p>
          <w:pPr>
            <w:pStyle w:val="Contents6"/>
            <w:tabs>
              <w:tab w:val="clear" w:pos="7609"/>
              <w:tab w:val="right" w:pos="9026" w:leader="dot"/>
            </w:tabs>
            <w:rPr/>
          </w:pPr>
          <w:hyperlink w:anchor="__RefHeading___Toc10298982_73709187">
            <w:r>
              <w:rPr>
                <w:webHidden/>
                <w:rStyle w:val="IndexLink"/>
                <w:rtl w:val="true"/>
              </w:rPr>
              <w:t>الماء المشكوك فيه</w:t>
            </w:r>
            <w:r>
              <w:rPr>
                <w:rStyle w:val="IndexLink"/>
                <w:rtl w:val="true"/>
              </w:rPr>
              <w:tab/>
            </w:r>
            <w:r>
              <w:rPr>
                <w:rStyle w:val="IndexLink"/>
              </w:rPr>
              <w:t>153</w:t>
            </w:r>
          </w:hyperlink>
        </w:p>
        <w:p>
          <w:pPr>
            <w:pStyle w:val="Contents6"/>
            <w:tabs>
              <w:tab w:val="clear" w:pos="7609"/>
              <w:tab w:val="right" w:pos="9026" w:leader="dot"/>
            </w:tabs>
            <w:rPr/>
          </w:pPr>
          <w:hyperlink w:anchor="__RefHeading___Toc10298984_73709187">
            <w:r>
              <w:rPr>
                <w:webHidden/>
                <w:rStyle w:val="IndexLink"/>
                <w:rtl w:val="true"/>
              </w:rPr>
              <w:t>الشكّ في إطلاق الماء وإضافته</w:t>
            </w:r>
            <w:r>
              <w:rPr>
                <w:rStyle w:val="IndexLink"/>
                <w:rtl w:val="true"/>
              </w:rPr>
              <w:tab/>
            </w:r>
            <w:r>
              <w:rPr>
                <w:rStyle w:val="IndexLink"/>
              </w:rPr>
              <w:t>159</w:t>
            </w:r>
          </w:hyperlink>
        </w:p>
        <w:p>
          <w:pPr>
            <w:pStyle w:val="Contents6"/>
            <w:tabs>
              <w:tab w:val="clear" w:pos="7609"/>
              <w:tab w:val="right" w:pos="9026" w:leader="dot"/>
            </w:tabs>
            <w:rPr/>
          </w:pPr>
          <w:hyperlink w:anchor="__RefHeading___Toc10298986_73709187">
            <w:r>
              <w:rPr>
                <w:webHidden/>
                <w:rStyle w:val="IndexLink"/>
                <w:rtl w:val="true"/>
              </w:rPr>
              <w:t>حكم العلم إجمالاً بنجاسة الماء أو إضافته</w:t>
            </w:r>
            <w:r>
              <w:rPr>
                <w:rStyle w:val="IndexLink"/>
                <w:rtl w:val="true"/>
              </w:rPr>
              <w:tab/>
            </w:r>
            <w:r>
              <w:rPr>
                <w:rStyle w:val="IndexLink"/>
              </w:rPr>
              <w:t>160</w:t>
            </w:r>
          </w:hyperlink>
        </w:p>
        <w:p>
          <w:pPr>
            <w:pStyle w:val="Contents6"/>
            <w:tabs>
              <w:tab w:val="clear" w:pos="7609"/>
              <w:tab w:val="right" w:pos="9026" w:leader="dot"/>
            </w:tabs>
            <w:rPr/>
          </w:pPr>
          <w:hyperlink w:anchor="__RefHeading___Toc10298988_73709187">
            <w:r>
              <w:rPr>
                <w:webHidden/>
                <w:rStyle w:val="IndexLink"/>
                <w:rtl w:val="true"/>
              </w:rPr>
              <w:t>الملاقي لطرف الشبهة</w:t>
            </w:r>
            <w:r>
              <w:rPr>
                <w:rStyle w:val="IndexLink"/>
                <w:rtl w:val="true"/>
              </w:rPr>
              <w:tab/>
            </w:r>
            <w:r>
              <w:rPr>
                <w:rStyle w:val="IndexLink"/>
              </w:rPr>
              <w:t>163</w:t>
            </w:r>
          </w:hyperlink>
        </w:p>
        <w:p>
          <w:pPr>
            <w:pStyle w:val="Contents6"/>
            <w:tabs>
              <w:tab w:val="clear" w:pos="7609"/>
              <w:tab w:val="right" w:pos="9026" w:leader="dot"/>
            </w:tabs>
            <w:rPr/>
          </w:pPr>
          <w:hyperlink w:anchor="__RefHeading___Toc10298990_73709187">
            <w:r>
              <w:rPr>
                <w:webHidden/>
                <w:rStyle w:val="IndexLink"/>
                <w:rtl w:val="true"/>
              </w:rPr>
              <w:t>انحصار الماء في المشتبهين</w:t>
            </w:r>
            <w:r>
              <w:rPr>
                <w:rStyle w:val="IndexLink"/>
                <w:rtl w:val="true"/>
              </w:rPr>
              <w:tab/>
            </w:r>
            <w:r>
              <w:rPr>
                <w:rStyle w:val="IndexLink"/>
              </w:rPr>
              <w:t>165</w:t>
            </w:r>
          </w:hyperlink>
        </w:p>
        <w:p>
          <w:pPr>
            <w:pStyle w:val="Contents6"/>
            <w:tabs>
              <w:tab w:val="clear" w:pos="7609"/>
              <w:tab w:val="right" w:pos="9026" w:leader="dot"/>
            </w:tabs>
            <w:rPr/>
          </w:pPr>
          <w:hyperlink w:anchor="__RefHeading___Toc10298992_73709187">
            <w:r>
              <w:rPr>
                <w:webHidden/>
                <w:rStyle w:val="IndexLink"/>
                <w:rtl w:val="true"/>
              </w:rPr>
              <w:t>حكم الإناء المشكوك مالكه</w:t>
            </w:r>
            <w:r>
              <w:rPr>
                <w:rStyle w:val="IndexLink"/>
                <w:rtl w:val="true"/>
              </w:rPr>
              <w:tab/>
            </w:r>
            <w:r>
              <w:rPr>
                <w:rStyle w:val="IndexLink"/>
              </w:rPr>
              <w:t>168</w:t>
            </w:r>
          </w:hyperlink>
        </w:p>
        <w:p>
          <w:pPr>
            <w:pStyle w:val="Contents6"/>
            <w:tabs>
              <w:tab w:val="clear" w:pos="7609"/>
              <w:tab w:val="right" w:pos="9026" w:leader="dot"/>
            </w:tabs>
            <w:rPr/>
          </w:pPr>
          <w:hyperlink w:anchor="__RefHeading___Toc10298994_73709187">
            <w:r>
              <w:rPr>
                <w:webHidden/>
                <w:rStyle w:val="IndexLink"/>
                <w:rtl w:val="true"/>
              </w:rPr>
              <w:t>حكم استعمال المشتبه بالغصب</w:t>
            </w:r>
            <w:r>
              <w:rPr>
                <w:rStyle w:val="IndexLink"/>
                <w:rtl w:val="true"/>
              </w:rPr>
              <w:tab/>
            </w:r>
            <w:r>
              <w:rPr>
                <w:rStyle w:val="IndexLink"/>
              </w:rPr>
              <w:t>171</w:t>
            </w:r>
          </w:hyperlink>
        </w:p>
        <w:p>
          <w:pPr>
            <w:pStyle w:val="Contents5"/>
            <w:tabs>
              <w:tab w:val="clear" w:pos="7892"/>
              <w:tab w:val="right" w:pos="9026" w:leader="dot"/>
            </w:tabs>
            <w:rPr/>
          </w:pPr>
          <w:hyperlink w:anchor="__RefHeading___Toc10298996_73709187">
            <w:r>
              <w:rPr>
                <w:webHidden/>
                <w:rStyle w:val="IndexLink"/>
                <w:rtl w:val="true"/>
              </w:rPr>
              <w:t>الماء المضاف</w:t>
            </w:r>
            <w:r>
              <w:rPr>
                <w:rStyle w:val="IndexLink"/>
                <w:rtl w:val="true"/>
              </w:rPr>
              <w:tab/>
            </w:r>
            <w:r>
              <w:rPr>
                <w:rStyle w:val="IndexLink"/>
              </w:rPr>
              <w:t>172</w:t>
            </w:r>
          </w:hyperlink>
        </w:p>
        <w:p>
          <w:pPr>
            <w:pStyle w:val="Contents6"/>
            <w:tabs>
              <w:tab w:val="clear" w:pos="7609"/>
              <w:tab w:val="right" w:pos="9026" w:leader="dot"/>
            </w:tabs>
            <w:rPr/>
          </w:pPr>
          <w:hyperlink w:anchor="__RefHeading___Toc10298998_7370918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0299000_73709187">
            <w:r>
              <w:rPr>
                <w:webHidden/>
                <w:rStyle w:val="IndexLink"/>
                <w:rtl w:val="true"/>
              </w:rPr>
              <w:t>عدم مطهّريّة المضاف من الخبث</w:t>
            </w:r>
            <w:r>
              <w:rPr>
                <w:rStyle w:val="IndexLink"/>
                <w:rtl w:val="true"/>
              </w:rPr>
              <w:tab/>
            </w:r>
            <w:r>
              <w:rPr>
                <w:rStyle w:val="IndexLink"/>
              </w:rPr>
              <w:t>177</w:t>
            </w:r>
          </w:hyperlink>
        </w:p>
        <w:p>
          <w:pPr>
            <w:pStyle w:val="Contents6"/>
            <w:tabs>
              <w:tab w:val="clear" w:pos="7609"/>
              <w:tab w:val="right" w:pos="9026" w:leader="dot"/>
            </w:tabs>
            <w:rPr/>
          </w:pPr>
          <w:hyperlink w:anchor="__RefHeading___Toc10299002_73709187">
            <w:r>
              <w:rPr>
                <w:webHidden/>
                <w:rStyle w:val="IndexLink"/>
                <w:rtl w:val="true"/>
              </w:rPr>
              <w:t>إذا شكّ في مائع أنّه مضافٌ أو مطلق</w:t>
            </w:r>
            <w:r>
              <w:rPr>
                <w:rStyle w:val="IndexLink"/>
                <w:rtl w:val="true"/>
              </w:rPr>
              <w:tab/>
            </w:r>
            <w:r>
              <w:rPr>
                <w:rStyle w:val="IndexLink"/>
              </w:rPr>
              <w:t>181</w:t>
            </w:r>
          </w:hyperlink>
        </w:p>
        <w:p>
          <w:pPr>
            <w:pStyle w:val="Contents6"/>
            <w:tabs>
              <w:tab w:val="clear" w:pos="7609"/>
              <w:tab w:val="right" w:pos="9026" w:leader="dot"/>
            </w:tabs>
            <w:rPr/>
          </w:pPr>
          <w:hyperlink w:anchor="__RefHeading___Toc10299004_73709187">
            <w:r>
              <w:rPr>
                <w:webHidden/>
                <w:rStyle w:val="IndexLink"/>
                <w:rtl w:val="true"/>
              </w:rPr>
              <w:t>حكم إلقاء الماء المضاف على الكُرّ</w:t>
            </w:r>
            <w:r>
              <w:rPr>
                <w:rStyle w:val="IndexLink"/>
                <w:rtl w:val="true"/>
              </w:rPr>
              <w:tab/>
            </w:r>
            <w:r>
              <w:rPr>
                <w:rStyle w:val="IndexLink"/>
              </w:rPr>
              <w:t>183</w:t>
            </w:r>
          </w:hyperlink>
        </w:p>
        <w:p>
          <w:pPr>
            <w:pStyle w:val="Contents6"/>
            <w:tabs>
              <w:tab w:val="clear" w:pos="7609"/>
              <w:tab w:val="right" w:pos="9026" w:leader="dot"/>
            </w:tabs>
            <w:rPr/>
          </w:pPr>
          <w:hyperlink w:anchor="__RefHeading___Toc10299006_73709187">
            <w:r>
              <w:rPr>
                <w:webHidden/>
                <w:rStyle w:val="IndexLink"/>
                <w:rtl w:val="true"/>
              </w:rPr>
              <w:t>في حكم الوضوء بهذا الماء المشكوك</w:t>
            </w:r>
            <w:r>
              <w:rPr>
                <w:rStyle w:val="IndexLink"/>
                <w:rtl w:val="true"/>
              </w:rPr>
              <w:tab/>
            </w:r>
            <w:r>
              <w:rPr>
                <w:rStyle w:val="IndexLink"/>
              </w:rPr>
              <w:t>185</w:t>
            </w:r>
          </w:hyperlink>
        </w:p>
        <w:p>
          <w:pPr>
            <w:pStyle w:val="Contents5"/>
            <w:tabs>
              <w:tab w:val="clear" w:pos="7892"/>
              <w:tab w:val="right" w:pos="9026" w:leader="dot"/>
            </w:tabs>
            <w:rPr/>
          </w:pPr>
          <w:hyperlink w:anchor="__RefHeading___Toc10299008_73709187">
            <w:r>
              <w:rPr>
                <w:webHidden/>
                <w:rStyle w:val="IndexLink"/>
                <w:rtl w:val="true"/>
              </w:rPr>
              <w:t>مسائل</w:t>
            </w:r>
            <w:r>
              <w:rPr>
                <w:rStyle w:val="IndexLink"/>
                <w:rtl w:val="true"/>
              </w:rPr>
              <w:t>:</w:t>
              <w:tab/>
            </w:r>
            <w:r>
              <w:rPr>
                <w:rStyle w:val="IndexLink"/>
              </w:rPr>
              <w:t>186</w:t>
            </w:r>
          </w:hyperlink>
        </w:p>
        <w:p>
          <w:pPr>
            <w:pStyle w:val="Contents6"/>
            <w:tabs>
              <w:tab w:val="clear" w:pos="7609"/>
              <w:tab w:val="right" w:pos="9026" w:leader="dot"/>
            </w:tabs>
            <w:rPr/>
          </w:pPr>
          <w:hyperlink w:anchor="__RefHeading___Toc10299010_73709187">
            <w:r>
              <w:rPr>
                <w:webHidden/>
                <w:rStyle w:val="IndexLink"/>
                <w:rtl w:val="true"/>
              </w:rPr>
              <w:t>الأولى</w:t>
            </w:r>
            <w:r>
              <w:rPr>
                <w:rStyle w:val="IndexLink"/>
                <w:rtl w:val="true"/>
              </w:rPr>
              <w:t xml:space="preserve">: </w:t>
            </w:r>
            <w:r>
              <w:rPr>
                <w:rStyle w:val="IndexLink"/>
                <w:rtl w:val="true"/>
              </w:rPr>
              <w:t>الماءُ المُستَعمل في رفع الحَدَث طاهرٌ ومطهّرٌ</w:t>
            </w:r>
            <w:r>
              <w:rPr>
                <w:rStyle w:val="IndexLink"/>
                <w:rtl w:val="true"/>
              </w:rPr>
              <w:tab/>
            </w:r>
            <w:r>
              <w:rPr>
                <w:rStyle w:val="IndexLink"/>
              </w:rPr>
              <w:t>186</w:t>
            </w:r>
          </w:hyperlink>
        </w:p>
        <w:p>
          <w:pPr>
            <w:pStyle w:val="Contents6"/>
            <w:tabs>
              <w:tab w:val="clear" w:pos="7609"/>
              <w:tab w:val="right" w:pos="9026" w:leader="dot"/>
            </w:tabs>
            <w:rPr/>
          </w:pPr>
          <w:hyperlink w:anchor="__RefHeading___Toc10299012_73709187">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0299014_73709187">
            <w:r>
              <w:rPr>
                <w:webHidden/>
                <w:rStyle w:val="IndexLink"/>
                <w:rtl w:val="true"/>
              </w:rPr>
              <w:t>الماء المستعمل في رفع الحدث</w:t>
            </w:r>
            <w:r>
              <w:rPr>
                <w:rStyle w:val="IndexLink"/>
                <w:rtl w:val="true"/>
              </w:rPr>
              <w:tab/>
            </w:r>
            <w:r>
              <w:rPr>
                <w:rStyle w:val="IndexLink"/>
              </w:rPr>
              <w:t>186</w:t>
            </w:r>
          </w:hyperlink>
        </w:p>
        <w:p>
          <w:pPr>
            <w:pStyle w:val="Contents6"/>
            <w:tabs>
              <w:tab w:val="clear" w:pos="7609"/>
              <w:tab w:val="right" w:pos="9026" w:leader="dot"/>
            </w:tabs>
            <w:rPr/>
          </w:pPr>
          <w:hyperlink w:anchor="__RefHeading___Toc10299016_73709187">
            <w:r>
              <w:rPr>
                <w:webHidden/>
                <w:rStyle w:val="IndexLink"/>
                <w:rtl w:val="true"/>
              </w:rPr>
              <w:t>الثانية</w:t>
            </w:r>
            <w:r>
              <w:rPr>
                <w:rStyle w:val="IndexLink"/>
                <w:rtl w:val="true"/>
              </w:rPr>
              <w:t xml:space="preserve">: </w:t>
            </w:r>
            <w:r>
              <w:rPr>
                <w:rStyle w:val="IndexLink"/>
                <w:rtl w:val="true"/>
              </w:rPr>
              <w:t>المستعمل في إزالة النجاسة نجس</w:t>
            </w:r>
            <w:r>
              <w:rPr>
                <w:rStyle w:val="IndexLink"/>
                <w:rtl w:val="true"/>
              </w:rPr>
              <w:tab/>
            </w:r>
            <w:r>
              <w:rPr>
                <w:rStyle w:val="IndexLink"/>
              </w:rPr>
              <w:t>194</w:t>
            </w:r>
          </w:hyperlink>
        </w:p>
        <w:p>
          <w:pPr>
            <w:pStyle w:val="Contents6"/>
            <w:tabs>
              <w:tab w:val="clear" w:pos="7609"/>
              <w:tab w:val="right" w:pos="9026" w:leader="dot"/>
            </w:tabs>
            <w:rPr/>
          </w:pPr>
          <w:hyperlink w:anchor="__RefHeading___Toc10299018_73709187">
            <w:r>
              <w:rPr>
                <w:webHidden/>
                <w:rStyle w:val="IndexLink"/>
                <w:rtl w:val="true"/>
              </w:rPr>
              <w:t>الماءُ المستعمل في الاستنجاء</w:t>
            </w:r>
            <w:r>
              <w:rPr>
                <w:rStyle w:val="IndexLink"/>
                <w:rtl w:val="true"/>
              </w:rPr>
              <w:tab/>
            </w:r>
            <w:r>
              <w:rPr>
                <w:rStyle w:val="IndexLink"/>
              </w:rPr>
              <w:t>194</w:t>
            </w:r>
          </w:hyperlink>
        </w:p>
        <w:p>
          <w:pPr>
            <w:pStyle w:val="Contents6"/>
            <w:tabs>
              <w:tab w:val="clear" w:pos="7609"/>
              <w:tab w:val="right" w:pos="9026" w:leader="dot"/>
            </w:tabs>
            <w:rPr/>
          </w:pPr>
          <w:hyperlink w:anchor="__RefHeading___Toc10299020_73709187">
            <w:r>
              <w:rPr>
                <w:webHidden/>
                <w:rStyle w:val="IndexLink"/>
                <w:rtl w:val="true"/>
              </w:rPr>
              <w:t>الماء المستعمل في رفع الخبث</w:t>
            </w:r>
            <w:r>
              <w:rPr>
                <w:rStyle w:val="IndexLink"/>
                <w:rtl w:val="true"/>
              </w:rPr>
              <w:tab/>
            </w:r>
            <w:r>
              <w:rPr>
                <w:rStyle w:val="IndexLink"/>
              </w:rPr>
              <w:t>199</w:t>
            </w:r>
          </w:hyperlink>
        </w:p>
        <w:p>
          <w:pPr>
            <w:pStyle w:val="Contents6"/>
            <w:tabs>
              <w:tab w:val="clear" w:pos="7609"/>
              <w:tab w:val="right" w:pos="9026" w:leader="dot"/>
            </w:tabs>
            <w:rPr/>
          </w:pPr>
          <w:hyperlink w:anchor="__RefHeading___Toc10299022_73709187">
            <w:r>
              <w:rPr>
                <w:webHidden/>
                <w:rStyle w:val="IndexLink"/>
                <w:rtl w:val="true"/>
              </w:rPr>
              <w:t>شرائط طهارة ماء الاستنجاء</w:t>
            </w:r>
            <w:r>
              <w:rPr>
                <w:rStyle w:val="IndexLink"/>
                <w:rtl w:val="true"/>
              </w:rPr>
              <w:tab/>
            </w:r>
            <w:r>
              <w:rPr>
                <w:rStyle w:val="IndexLink"/>
              </w:rPr>
              <w:t>210</w:t>
            </w:r>
          </w:hyperlink>
        </w:p>
        <w:p>
          <w:pPr>
            <w:pStyle w:val="Contents6"/>
            <w:tabs>
              <w:tab w:val="clear" w:pos="7609"/>
              <w:tab w:val="right" w:pos="9026" w:leader="dot"/>
            </w:tabs>
            <w:rPr/>
          </w:pPr>
          <w:hyperlink w:anchor="__RefHeading___Toc10299024_73709187">
            <w:r>
              <w:rPr>
                <w:webHidden/>
                <w:rStyle w:val="IndexLink"/>
                <w:rtl w:val="true"/>
              </w:rPr>
              <w:t>حكم خروج الدود مع الغائط</w:t>
            </w:r>
            <w:r>
              <w:rPr>
                <w:rStyle w:val="IndexLink"/>
                <w:rtl w:val="true"/>
              </w:rPr>
              <w:tab/>
            </w:r>
            <w:r>
              <w:rPr>
                <w:rStyle w:val="IndexLink"/>
              </w:rPr>
              <w:t>212</w:t>
            </w:r>
          </w:hyperlink>
        </w:p>
        <w:p>
          <w:pPr>
            <w:pStyle w:val="Contents6"/>
            <w:tabs>
              <w:tab w:val="clear" w:pos="7609"/>
              <w:tab w:val="right" w:pos="9026" w:leader="dot"/>
            </w:tabs>
            <w:rPr/>
          </w:pPr>
          <w:hyperlink w:anchor="__RefHeading___Toc10299026_73709187">
            <w:r>
              <w:rPr>
                <w:webHidden/>
                <w:rStyle w:val="IndexLink"/>
                <w:rtl w:val="true"/>
              </w:rPr>
              <w:t>حكم خروج الغائط من المخرج غير الطبيعي</w:t>
            </w:r>
            <w:r>
              <w:rPr>
                <w:rStyle w:val="IndexLink"/>
                <w:rtl w:val="true"/>
              </w:rPr>
              <w:tab/>
            </w:r>
            <w:r>
              <w:rPr>
                <w:rStyle w:val="IndexLink"/>
              </w:rPr>
              <w:t>213</w:t>
            </w:r>
          </w:hyperlink>
        </w:p>
        <w:p>
          <w:pPr>
            <w:pStyle w:val="Contents6"/>
            <w:tabs>
              <w:tab w:val="clear" w:pos="7609"/>
              <w:tab w:val="right" w:pos="9026" w:leader="dot"/>
            </w:tabs>
            <w:rPr/>
          </w:pPr>
          <w:hyperlink w:anchor="__RefHeading___Toc10299028_73709187">
            <w:r>
              <w:rPr>
                <w:webHidden/>
                <w:rStyle w:val="IndexLink"/>
                <w:rtl w:val="true"/>
              </w:rPr>
              <w:t>الشكّ في حقيقة ماء الغُسالة</w:t>
            </w:r>
            <w:r>
              <w:rPr>
                <w:rStyle w:val="IndexLink"/>
                <w:rtl w:val="true"/>
              </w:rPr>
              <w:tab/>
            </w:r>
            <w:r>
              <w:rPr>
                <w:rStyle w:val="IndexLink"/>
              </w:rPr>
              <w:t>214</w:t>
            </w:r>
          </w:hyperlink>
        </w:p>
        <w:p>
          <w:pPr>
            <w:pStyle w:val="Contents6"/>
            <w:tabs>
              <w:tab w:val="clear" w:pos="7609"/>
              <w:tab w:val="right" w:pos="9026" w:leader="dot"/>
            </w:tabs>
            <w:rPr/>
          </w:pPr>
          <w:hyperlink w:anchor="__RefHeading___Toc10299030_73709187">
            <w:r>
              <w:rPr>
                <w:webHidden/>
                <w:rStyle w:val="IndexLink"/>
                <w:rtl w:val="true"/>
              </w:rPr>
              <w:t>حُكم الغُسل في ماء الكُرّ</w:t>
            </w:r>
            <w:r>
              <w:rPr>
                <w:rStyle w:val="IndexLink"/>
                <w:rtl w:val="true"/>
              </w:rPr>
              <w:tab/>
            </w:r>
            <w:r>
              <w:rPr>
                <w:rStyle w:val="IndexLink"/>
              </w:rPr>
              <w:t>215</w:t>
            </w:r>
          </w:hyperlink>
        </w:p>
        <w:p>
          <w:pPr>
            <w:pStyle w:val="Contents6"/>
            <w:tabs>
              <w:tab w:val="clear" w:pos="7609"/>
              <w:tab w:val="right" w:pos="9026" w:leader="dot"/>
            </w:tabs>
            <w:rPr/>
          </w:pPr>
          <w:hyperlink w:anchor="__RefHeading___Toc10299032_73709187">
            <w:r>
              <w:rPr>
                <w:webHidden/>
                <w:rStyle w:val="IndexLink"/>
                <w:rtl w:val="true"/>
              </w:rPr>
              <w:t>الثالثة</w:t>
            </w:r>
            <w:r>
              <w:rPr>
                <w:rStyle w:val="IndexLink"/>
                <w:rtl w:val="true"/>
              </w:rPr>
              <w:t xml:space="preserve">: </w:t>
            </w:r>
            <w:r>
              <w:rPr>
                <w:rStyle w:val="IndexLink"/>
                <w:rtl w:val="true"/>
              </w:rPr>
              <w:t>غُسالة الحمّام نجسة</w:t>
            </w:r>
            <w:r>
              <w:rPr>
                <w:rStyle w:val="IndexLink"/>
                <w:rtl w:val="true"/>
              </w:rPr>
              <w:tab/>
            </w:r>
            <w:r>
              <w:rPr>
                <w:rStyle w:val="IndexLink"/>
              </w:rPr>
              <w:t>216</w:t>
            </w:r>
          </w:hyperlink>
        </w:p>
        <w:p>
          <w:pPr>
            <w:pStyle w:val="Contents6"/>
            <w:tabs>
              <w:tab w:val="clear" w:pos="7609"/>
              <w:tab w:val="right" w:pos="9026" w:leader="dot"/>
            </w:tabs>
            <w:rPr/>
          </w:pPr>
          <w:hyperlink w:anchor="__RefHeading___Toc10299034_73709187">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0299036_73709187">
            <w:r>
              <w:rPr>
                <w:webHidden/>
                <w:rStyle w:val="IndexLink"/>
                <w:rtl w:val="true"/>
              </w:rPr>
              <w:t>غُسالة الحمّام</w:t>
            </w:r>
            <w:r>
              <w:rPr>
                <w:rStyle w:val="IndexLink"/>
                <w:rtl w:val="true"/>
              </w:rPr>
              <w:tab/>
            </w:r>
            <w:r>
              <w:rPr>
                <w:rStyle w:val="IndexLink"/>
              </w:rPr>
              <w:t>216</w:t>
            </w:r>
          </w:hyperlink>
        </w:p>
        <w:p>
          <w:pPr>
            <w:pStyle w:val="Contents6"/>
            <w:tabs>
              <w:tab w:val="clear" w:pos="7609"/>
              <w:tab w:val="right" w:pos="9026" w:leader="dot"/>
            </w:tabs>
            <w:rPr/>
          </w:pPr>
          <w:hyperlink w:anchor="__RefHeading___Toc10299038_73709187">
            <w:r>
              <w:rPr>
                <w:webHidden/>
                <w:rStyle w:val="IndexLink"/>
                <w:rtl w:val="true"/>
              </w:rPr>
              <w:t>الرابعة</w:t>
            </w:r>
            <w:r>
              <w:rPr>
                <w:rStyle w:val="IndexLink"/>
                <w:rtl w:val="true"/>
              </w:rPr>
              <w:t xml:space="preserve">: </w:t>
            </w:r>
            <w:r>
              <w:rPr>
                <w:rStyle w:val="IndexLink"/>
                <w:rtl w:val="true"/>
              </w:rPr>
              <w:t>الماءُ النجس لا يجوزُ استعماله في الطهارة</w:t>
            </w:r>
            <w:r>
              <w:rPr>
                <w:rStyle w:val="IndexLink"/>
                <w:rtl w:val="true"/>
              </w:rPr>
              <w:tab/>
            </w:r>
            <w:r>
              <w:rPr>
                <w:rStyle w:val="IndexLink"/>
              </w:rPr>
              <w:t>220</w:t>
            </w:r>
          </w:hyperlink>
        </w:p>
        <w:p>
          <w:pPr>
            <w:pStyle w:val="Contents6"/>
            <w:tabs>
              <w:tab w:val="clear" w:pos="7609"/>
              <w:tab w:val="right" w:pos="9026" w:leader="dot"/>
            </w:tabs>
            <w:rPr/>
          </w:pPr>
          <w:hyperlink w:anchor="__RefHeading___Toc10299040_73709187">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0299042_73709187">
            <w:r>
              <w:rPr>
                <w:webHidden/>
                <w:rStyle w:val="IndexLink"/>
                <w:rtl w:val="true"/>
              </w:rPr>
              <w:t>عدم جواز استعمال الماء النجس</w:t>
            </w:r>
            <w:r>
              <w:rPr>
                <w:rStyle w:val="IndexLink"/>
                <w:rtl w:val="true"/>
              </w:rPr>
              <w:tab/>
            </w:r>
            <w:r>
              <w:rPr>
                <w:rStyle w:val="IndexLink"/>
              </w:rPr>
              <w:t>220</w:t>
            </w:r>
          </w:hyperlink>
        </w:p>
        <w:p>
          <w:pPr>
            <w:pStyle w:val="Contents6"/>
            <w:tabs>
              <w:tab w:val="clear" w:pos="7609"/>
              <w:tab w:val="right" w:pos="9026" w:leader="dot"/>
            </w:tabs>
            <w:rPr/>
          </w:pPr>
          <w:hyperlink w:anchor="__RefHeading___Toc10299044_73709187">
            <w:r>
              <w:rPr>
                <w:webHidden/>
                <w:rStyle w:val="IndexLink"/>
                <w:rtl w:val="true"/>
              </w:rPr>
              <w:t>حكم سقي الأطفال الماء النجس</w:t>
            </w:r>
            <w:r>
              <w:rPr>
                <w:rStyle w:val="IndexLink"/>
                <w:rtl w:val="true"/>
              </w:rPr>
              <w:tab/>
            </w:r>
            <w:r>
              <w:rPr>
                <w:rStyle w:val="IndexLink"/>
              </w:rPr>
              <w:t>224</w:t>
            </w:r>
          </w:hyperlink>
        </w:p>
        <w:p>
          <w:pPr>
            <w:pStyle w:val="Contents6"/>
            <w:tabs>
              <w:tab w:val="clear" w:pos="7609"/>
              <w:tab w:val="right" w:pos="9026" w:leader="dot"/>
            </w:tabs>
            <w:rPr/>
          </w:pPr>
          <w:hyperlink w:anchor="__RefHeading___Toc10299046_73709187">
            <w:r>
              <w:rPr>
                <w:webHidden/>
                <w:rStyle w:val="IndexLink"/>
                <w:rtl w:val="true"/>
              </w:rPr>
              <w:t>بيع الماء النجس</w:t>
            </w:r>
            <w:r>
              <w:rPr>
                <w:rStyle w:val="IndexLink"/>
                <w:rtl w:val="true"/>
              </w:rPr>
              <w:tab/>
            </w:r>
            <w:r>
              <w:rPr>
                <w:rStyle w:val="IndexLink"/>
              </w:rPr>
              <w:t>225</w:t>
            </w:r>
          </w:hyperlink>
        </w:p>
        <w:p>
          <w:pPr>
            <w:pStyle w:val="Contents3"/>
            <w:tabs>
              <w:tab w:val="clear" w:pos="8459"/>
              <w:tab w:val="right" w:pos="9026" w:leader="dot"/>
            </w:tabs>
            <w:rPr/>
          </w:pPr>
          <w:hyperlink w:anchor="__RefHeading___Toc10299048_73709187">
            <w:r>
              <w:rPr>
                <w:webHidden/>
                <w:rStyle w:val="IndexLink"/>
                <w:rtl w:val="true"/>
              </w:rPr>
              <w:t>الباب الثاني</w:t>
            </w:r>
            <w:r>
              <w:rPr>
                <w:rStyle w:val="IndexLink"/>
                <w:rtl w:val="true"/>
              </w:rPr>
              <w:t xml:space="preserve">: </w:t>
            </w:r>
            <w:r>
              <w:rPr>
                <w:rStyle w:val="IndexLink"/>
                <w:rtl w:val="true"/>
              </w:rPr>
              <w:t>في الوضوء</w:t>
            </w:r>
            <w:r>
              <w:rPr>
                <w:rStyle w:val="IndexLink"/>
                <w:rtl w:val="true"/>
              </w:rPr>
              <w:tab/>
            </w:r>
            <w:r>
              <w:rPr>
                <w:rStyle w:val="IndexLink"/>
              </w:rPr>
              <w:t>229</w:t>
            </w:r>
          </w:hyperlink>
        </w:p>
        <w:p>
          <w:pPr>
            <w:pStyle w:val="Contents4"/>
            <w:tabs>
              <w:tab w:val="clear" w:pos="8176"/>
              <w:tab w:val="right" w:pos="9026" w:leader="dot"/>
            </w:tabs>
            <w:rPr/>
          </w:pPr>
          <w:hyperlink w:anchor="__RefHeading___Toc10299050_7370918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0299052_73709187">
            <w:r>
              <w:rPr>
                <w:webHidden/>
                <w:rStyle w:val="IndexLink"/>
                <w:rtl w:val="true"/>
              </w:rPr>
              <w:t>الفصل الأوّل</w:t>
            </w:r>
            <w:r>
              <w:rPr>
                <w:rStyle w:val="IndexLink"/>
                <w:rtl w:val="true"/>
              </w:rPr>
              <w:t xml:space="preserve">: </w:t>
            </w:r>
            <w:r>
              <w:rPr>
                <w:rStyle w:val="IndexLink"/>
                <w:rtl w:val="true"/>
              </w:rPr>
              <w:t>في موجبه</w:t>
            </w:r>
            <w:r>
              <w:rPr>
                <w:rStyle w:val="IndexLink"/>
                <w:rtl w:val="true"/>
              </w:rPr>
              <w:tab/>
            </w:r>
            <w:r>
              <w:rPr>
                <w:rStyle w:val="IndexLink"/>
              </w:rPr>
              <w:t>229</w:t>
            </w:r>
          </w:hyperlink>
        </w:p>
        <w:p>
          <w:pPr>
            <w:pStyle w:val="Contents5"/>
            <w:tabs>
              <w:tab w:val="clear" w:pos="7892"/>
              <w:tab w:val="right" w:pos="9026" w:leader="dot"/>
            </w:tabs>
            <w:rPr/>
          </w:pPr>
          <w:hyperlink w:anchor="__RefHeading___Toc10299054_7370918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0299056_73709187">
            <w:r>
              <w:rPr>
                <w:webHidden/>
                <w:rStyle w:val="IndexLink"/>
                <w:rtl w:val="true"/>
              </w:rPr>
              <w:t>(</w:t>
            </w:r>
            <w:r>
              <w:rPr>
                <w:rStyle w:val="IndexLink"/>
                <w:rtl w:val="true"/>
              </w:rPr>
              <w:t>إنّما يجبُ</w:t>
            </w:r>
            <w:r>
              <w:rPr>
                <w:rStyle w:val="IndexLink"/>
                <w:rtl w:val="true"/>
              </w:rPr>
              <w:t xml:space="preserve">) </w:t>
            </w:r>
            <w:r>
              <w:rPr>
                <w:rStyle w:val="IndexLink"/>
                <w:rtl w:val="true"/>
              </w:rPr>
              <w:t>الوضوء باُمور</w:t>
            </w:r>
            <w:r>
              <w:rPr>
                <w:rStyle w:val="IndexLink"/>
                <w:rtl w:val="true"/>
              </w:rPr>
              <w:t>:</w:t>
              <w:tab/>
            </w:r>
            <w:r>
              <w:rPr>
                <w:rStyle w:val="IndexLink"/>
              </w:rPr>
              <w:t>229</w:t>
            </w:r>
          </w:hyperlink>
        </w:p>
        <w:p>
          <w:pPr>
            <w:pStyle w:val="Contents6"/>
            <w:tabs>
              <w:tab w:val="clear" w:pos="7609"/>
              <w:tab w:val="right" w:pos="9026" w:leader="dot"/>
            </w:tabs>
            <w:rPr/>
          </w:pPr>
          <w:hyperlink w:anchor="__RefHeading___Toc10299058_73709187">
            <w:r>
              <w:rPr>
                <w:webHidden/>
                <w:rStyle w:val="IndexLink"/>
                <w:rtl w:val="true"/>
              </w:rPr>
              <w:t>الأوّل والثاني</w:t>
            </w:r>
            <w:r>
              <w:rPr>
                <w:rStyle w:val="IndexLink"/>
                <w:rtl w:val="true"/>
              </w:rPr>
              <w:t xml:space="preserve">: </w:t>
            </w:r>
            <w:r>
              <w:rPr>
                <w:rStyle w:val="IndexLink"/>
                <w:rtl w:val="true"/>
              </w:rPr>
              <w:t>البول والغائط</w:t>
            </w:r>
            <w:r>
              <w:rPr>
                <w:rStyle w:val="IndexLink"/>
                <w:rtl w:val="true"/>
              </w:rPr>
              <w:t>.</w:t>
              <w:tab/>
            </w:r>
            <w:r>
              <w:rPr>
                <w:rStyle w:val="IndexLink"/>
              </w:rPr>
              <w:t>229</w:t>
            </w:r>
          </w:hyperlink>
        </w:p>
        <w:p>
          <w:pPr>
            <w:pStyle w:val="Contents6"/>
            <w:tabs>
              <w:tab w:val="clear" w:pos="7609"/>
              <w:tab w:val="right" w:pos="9026" w:leader="dot"/>
            </w:tabs>
            <w:rPr/>
          </w:pPr>
          <w:hyperlink w:anchor="__RefHeading___Toc10299060_73709187">
            <w:r>
              <w:rPr>
                <w:webHidden/>
                <w:rStyle w:val="IndexLink"/>
                <w:rtl w:val="true"/>
              </w:rPr>
              <w:t>الأمر الثالث</w:t>
            </w:r>
            <w:r>
              <w:rPr>
                <w:rStyle w:val="IndexLink"/>
                <w:rtl w:val="true"/>
              </w:rPr>
              <w:t xml:space="preserve">: </w:t>
            </w:r>
            <w:r>
              <w:rPr>
                <w:rStyle w:val="IndexLink"/>
                <w:rtl w:val="true"/>
              </w:rPr>
              <w:t>ناقضيّة الريح</w:t>
            </w:r>
            <w:r>
              <w:rPr>
                <w:rStyle w:val="IndexLink"/>
                <w:rtl w:val="true"/>
              </w:rPr>
              <w:tab/>
            </w:r>
            <w:r>
              <w:rPr>
                <w:rStyle w:val="IndexLink"/>
              </w:rPr>
              <w:t>234</w:t>
            </w:r>
          </w:hyperlink>
        </w:p>
        <w:p>
          <w:pPr>
            <w:pStyle w:val="Contents6"/>
            <w:tabs>
              <w:tab w:val="clear" w:pos="7609"/>
              <w:tab w:val="right" w:pos="9026" w:leader="dot"/>
            </w:tabs>
            <w:rPr/>
          </w:pPr>
          <w:hyperlink w:anchor="__RefHeading___Toc10299062_73709187">
            <w:r>
              <w:rPr>
                <w:webHidden/>
                <w:rStyle w:val="IndexLink"/>
                <w:rtl w:val="true"/>
              </w:rPr>
              <w:t>الأمر الرابع</w:t>
            </w:r>
            <w:r>
              <w:rPr>
                <w:rStyle w:val="IndexLink"/>
                <w:rtl w:val="true"/>
              </w:rPr>
              <w:t xml:space="preserve">: </w:t>
            </w:r>
            <w:r>
              <w:rPr>
                <w:rStyle w:val="IndexLink"/>
                <w:rtl w:val="true"/>
              </w:rPr>
              <w:t>ناقضيّة النوم</w:t>
            </w:r>
            <w:r>
              <w:rPr>
                <w:rStyle w:val="IndexLink"/>
                <w:rtl w:val="true"/>
              </w:rPr>
              <w:tab/>
            </w:r>
            <w:r>
              <w:rPr>
                <w:rStyle w:val="IndexLink"/>
              </w:rPr>
              <w:t>237</w:t>
            </w:r>
          </w:hyperlink>
        </w:p>
        <w:p>
          <w:pPr>
            <w:pStyle w:val="Contents6"/>
            <w:tabs>
              <w:tab w:val="clear" w:pos="7609"/>
              <w:tab w:val="right" w:pos="9026" w:leader="dot"/>
            </w:tabs>
            <w:rPr/>
          </w:pPr>
          <w:hyperlink w:anchor="__RefHeading___Toc10299064_73709187">
            <w:r>
              <w:rPr>
                <w:webHidden/>
                <w:rStyle w:val="IndexLink"/>
                <w:rtl w:val="true"/>
              </w:rPr>
              <w:t>الأمر الخامس</w:t>
            </w:r>
            <w:r>
              <w:rPr>
                <w:rStyle w:val="IndexLink"/>
                <w:rtl w:val="true"/>
              </w:rPr>
              <w:t xml:space="preserve">: </w:t>
            </w:r>
            <w:r>
              <w:rPr>
                <w:rStyle w:val="IndexLink"/>
                <w:rtl w:val="true"/>
              </w:rPr>
              <w:t>الإغماء والسُّكر والجنون</w:t>
            </w:r>
            <w:r>
              <w:rPr>
                <w:rStyle w:val="IndexLink"/>
                <w:rtl w:val="true"/>
              </w:rPr>
              <w:tab/>
            </w:r>
            <w:r>
              <w:rPr>
                <w:rStyle w:val="IndexLink"/>
              </w:rPr>
              <w:t>242</w:t>
            </w:r>
          </w:hyperlink>
        </w:p>
        <w:p>
          <w:pPr>
            <w:pStyle w:val="Contents6"/>
            <w:tabs>
              <w:tab w:val="clear" w:pos="7609"/>
              <w:tab w:val="right" w:pos="9026" w:leader="dot"/>
            </w:tabs>
            <w:rPr/>
          </w:pPr>
          <w:hyperlink w:anchor="__RefHeading___Toc10299066_73709187">
            <w:r>
              <w:rPr>
                <w:webHidden/>
                <w:rStyle w:val="IndexLink"/>
                <w:rtl w:val="true"/>
              </w:rPr>
              <w:t>الأمر السادس</w:t>
            </w:r>
            <w:r>
              <w:rPr>
                <w:rStyle w:val="IndexLink"/>
                <w:rtl w:val="true"/>
              </w:rPr>
              <w:t xml:space="preserve">: </w:t>
            </w:r>
            <w:r>
              <w:rPr>
                <w:rStyle w:val="IndexLink"/>
                <w:rtl w:val="true"/>
              </w:rPr>
              <w:t>الإستحاضة القليلة الدّم</w:t>
            </w:r>
            <w:r>
              <w:rPr>
                <w:rStyle w:val="IndexLink"/>
                <w:rtl w:val="true"/>
              </w:rPr>
              <w:tab/>
            </w:r>
            <w:r>
              <w:rPr>
                <w:rStyle w:val="IndexLink"/>
              </w:rPr>
              <w:t>244</w:t>
            </w:r>
          </w:hyperlink>
        </w:p>
        <w:p>
          <w:pPr>
            <w:pStyle w:val="Contents5"/>
            <w:tabs>
              <w:tab w:val="clear" w:pos="7892"/>
              <w:tab w:val="right" w:pos="9026" w:leader="dot"/>
            </w:tabs>
            <w:rPr/>
          </w:pPr>
          <w:hyperlink w:anchor="__RefHeading___Toc10299068_73709187">
            <w:r>
              <w:rPr>
                <w:webHidden/>
                <w:rStyle w:val="IndexLink"/>
                <w:rtl w:val="true"/>
              </w:rPr>
              <w:t>عدم انتقاض الوضوء بالمذي والودي</w:t>
            </w:r>
            <w:r>
              <w:rPr>
                <w:rStyle w:val="IndexLink"/>
                <w:rtl w:val="true"/>
              </w:rPr>
              <w:tab/>
            </w:r>
            <w:r>
              <w:rPr>
                <w:rStyle w:val="IndexLink"/>
              </w:rPr>
              <w:t>246</w:t>
            </w:r>
          </w:hyperlink>
        </w:p>
        <w:p>
          <w:pPr>
            <w:pStyle w:val="Contents5"/>
            <w:tabs>
              <w:tab w:val="clear" w:pos="7892"/>
              <w:tab w:val="right" w:pos="9026" w:leader="dot"/>
            </w:tabs>
            <w:rPr/>
          </w:pPr>
          <w:hyperlink w:anchor="__RefHeading___Toc10299070_73709187">
            <w:r>
              <w:rPr>
                <w:webHidden/>
                <w:rStyle w:val="IndexLink"/>
                <w:rtl w:val="true"/>
              </w:rPr>
              <w:t>ما يستحبّ الوضوء منه</w:t>
            </w:r>
            <w:r>
              <w:rPr>
                <w:rStyle w:val="IndexLink"/>
                <w:rtl w:val="true"/>
              </w:rPr>
              <w:tab/>
            </w:r>
            <w:r>
              <w:rPr>
                <w:rStyle w:val="IndexLink"/>
              </w:rPr>
              <w:t>247</w:t>
            </w:r>
          </w:hyperlink>
        </w:p>
        <w:p>
          <w:pPr>
            <w:pStyle w:val="Contents4"/>
            <w:tabs>
              <w:tab w:val="clear" w:pos="8176"/>
              <w:tab w:val="right" w:pos="9026" w:leader="dot"/>
            </w:tabs>
            <w:rPr/>
          </w:pPr>
          <w:hyperlink w:anchor="__RefHeading___Toc10299072_73709187">
            <w:r>
              <w:rPr>
                <w:webHidden/>
                <w:rStyle w:val="IndexLink"/>
                <w:rtl w:val="true"/>
              </w:rPr>
              <w:t>الفصل الثاني</w:t>
            </w:r>
            <w:r>
              <w:rPr>
                <w:rStyle w:val="IndexLink"/>
                <w:rtl w:val="true"/>
              </w:rPr>
              <w:t xml:space="preserve">: </w:t>
            </w:r>
            <w:r>
              <w:rPr>
                <w:rStyle w:val="IndexLink"/>
                <w:rtl w:val="true"/>
              </w:rPr>
              <w:t>في آداب الخلوة</w:t>
            </w:r>
            <w:r>
              <w:rPr>
                <w:rStyle w:val="IndexLink"/>
                <w:rtl w:val="true"/>
              </w:rPr>
              <w:t>:</w:t>
              <w:tab/>
            </w:r>
            <w:r>
              <w:rPr>
                <w:rStyle w:val="IndexLink"/>
              </w:rPr>
              <w:t>251</w:t>
            </w:r>
          </w:hyperlink>
        </w:p>
        <w:p>
          <w:pPr>
            <w:pStyle w:val="Contents5"/>
            <w:tabs>
              <w:tab w:val="clear" w:pos="7892"/>
              <w:tab w:val="right" w:pos="9026" w:leader="dot"/>
            </w:tabs>
            <w:rPr/>
          </w:pPr>
          <w:hyperlink w:anchor="__RefHeading___Toc10299074_7370918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0299076_73709187">
            <w:r>
              <w:rPr>
                <w:webHidden/>
                <w:rStyle w:val="IndexLink"/>
                <w:rtl w:val="true"/>
              </w:rPr>
              <w:t>في وجوب ستر العورة</w:t>
            </w:r>
            <w:r>
              <w:rPr>
                <w:rStyle w:val="IndexLink"/>
                <w:rtl w:val="true"/>
              </w:rPr>
              <w:tab/>
            </w:r>
            <w:r>
              <w:rPr>
                <w:rStyle w:val="IndexLink"/>
              </w:rPr>
              <w:t>251</w:t>
            </w:r>
          </w:hyperlink>
        </w:p>
        <w:p>
          <w:pPr>
            <w:pStyle w:val="Contents5"/>
            <w:tabs>
              <w:tab w:val="clear" w:pos="7892"/>
              <w:tab w:val="right" w:pos="9026" w:leader="dot"/>
            </w:tabs>
            <w:rPr/>
          </w:pPr>
          <w:hyperlink w:anchor="__RefHeading___Toc10299078_73709187">
            <w:r>
              <w:rPr>
                <w:webHidden/>
                <w:rStyle w:val="IndexLink"/>
                <w:rtl w:val="true"/>
              </w:rPr>
              <w:t>في حرمة النظر إلى عورة الآخرين</w:t>
            </w:r>
            <w:r>
              <w:rPr>
                <w:rStyle w:val="IndexLink"/>
                <w:rtl w:val="true"/>
              </w:rPr>
              <w:tab/>
            </w:r>
            <w:r>
              <w:rPr>
                <w:rStyle w:val="IndexLink"/>
              </w:rPr>
              <w:t>252</w:t>
            </w:r>
          </w:hyperlink>
        </w:p>
        <w:p>
          <w:pPr>
            <w:pStyle w:val="Contents5"/>
            <w:tabs>
              <w:tab w:val="clear" w:pos="7892"/>
              <w:tab w:val="right" w:pos="9026" w:leader="dot"/>
            </w:tabs>
            <w:rPr/>
          </w:pPr>
          <w:hyperlink w:anchor="__RefHeading___Toc10299080_73709187">
            <w:r>
              <w:rPr>
                <w:webHidden/>
                <w:rStyle w:val="IndexLink"/>
                <w:rtl w:val="true"/>
              </w:rPr>
              <w:t>حكم النظر إلى عورة الكافر</w:t>
            </w:r>
            <w:r>
              <w:rPr>
                <w:rStyle w:val="IndexLink"/>
                <w:rtl w:val="true"/>
              </w:rPr>
              <w:tab/>
            </w:r>
            <w:r>
              <w:rPr>
                <w:rStyle w:val="IndexLink"/>
              </w:rPr>
              <w:t>254</w:t>
            </w:r>
          </w:hyperlink>
        </w:p>
        <w:p>
          <w:pPr>
            <w:pStyle w:val="Contents5"/>
            <w:tabs>
              <w:tab w:val="clear" w:pos="7892"/>
              <w:tab w:val="right" w:pos="9026" w:leader="dot"/>
            </w:tabs>
            <w:rPr/>
          </w:pPr>
          <w:hyperlink w:anchor="__RefHeading___Toc10299082_73709187">
            <w:r>
              <w:rPr>
                <w:webHidden/>
                <w:rStyle w:val="IndexLink"/>
                <w:rtl w:val="true"/>
              </w:rPr>
              <w:t>حكم النظر إلى عورة الغير بالواسطة</w:t>
            </w:r>
            <w:r>
              <w:rPr>
                <w:rStyle w:val="IndexLink"/>
                <w:rtl w:val="true"/>
              </w:rPr>
              <w:tab/>
            </w:r>
            <w:r>
              <w:rPr>
                <w:rStyle w:val="IndexLink"/>
              </w:rPr>
              <w:t>256</w:t>
            </w:r>
          </w:hyperlink>
        </w:p>
        <w:p>
          <w:pPr>
            <w:pStyle w:val="Contents5"/>
            <w:tabs>
              <w:tab w:val="clear" w:pos="7892"/>
              <w:tab w:val="right" w:pos="9026" w:leader="dot"/>
            </w:tabs>
            <w:rPr/>
          </w:pPr>
          <w:hyperlink w:anchor="__RefHeading___Toc10299084_73709187">
            <w:r>
              <w:rPr>
                <w:webHidden/>
                <w:rStyle w:val="IndexLink"/>
                <w:rtl w:val="true"/>
              </w:rPr>
              <w:t>ما شُكّ في حرمة النظر إليه</w:t>
            </w:r>
            <w:r>
              <w:rPr>
                <w:rStyle w:val="IndexLink"/>
                <w:rtl w:val="true"/>
              </w:rPr>
              <w:tab/>
            </w:r>
            <w:r>
              <w:rPr>
                <w:rStyle w:val="IndexLink"/>
              </w:rPr>
              <w:t>257</w:t>
            </w:r>
          </w:hyperlink>
        </w:p>
        <w:p>
          <w:pPr>
            <w:pStyle w:val="Contents5"/>
            <w:tabs>
              <w:tab w:val="clear" w:pos="7892"/>
              <w:tab w:val="right" w:pos="9026" w:leader="dot"/>
            </w:tabs>
            <w:rPr/>
          </w:pPr>
          <w:hyperlink w:anchor="__RefHeading___Toc10299086_73709187">
            <w:r>
              <w:rPr>
                <w:webHidden/>
                <w:rStyle w:val="IndexLink"/>
                <w:rtl w:val="true"/>
              </w:rPr>
              <w:t>النظر إلى عورة الخنثى</w:t>
            </w:r>
            <w:r>
              <w:rPr>
                <w:rStyle w:val="IndexLink"/>
                <w:rtl w:val="true"/>
              </w:rPr>
              <w:tab/>
            </w:r>
            <w:r>
              <w:rPr>
                <w:rStyle w:val="IndexLink"/>
              </w:rPr>
              <w:t>259</w:t>
            </w:r>
          </w:hyperlink>
        </w:p>
        <w:p>
          <w:pPr>
            <w:pStyle w:val="Contents5"/>
            <w:tabs>
              <w:tab w:val="clear" w:pos="7892"/>
              <w:tab w:val="right" w:pos="9026" w:leader="dot"/>
            </w:tabs>
            <w:rPr/>
          </w:pPr>
          <w:hyperlink w:anchor="__RefHeading___Toc10299088_73709187">
            <w:r>
              <w:rPr>
                <w:webHidden/>
                <w:rStyle w:val="IndexLink"/>
                <w:rtl w:val="true"/>
              </w:rPr>
              <w:t>مصاديق عورة الرجل والمرأة</w:t>
            </w:r>
            <w:r>
              <w:rPr>
                <w:rStyle w:val="IndexLink"/>
                <w:rtl w:val="true"/>
              </w:rPr>
              <w:tab/>
            </w:r>
            <w:r>
              <w:rPr>
                <w:rStyle w:val="IndexLink"/>
              </w:rPr>
              <w:t>259</w:t>
            </w:r>
          </w:hyperlink>
        </w:p>
        <w:p>
          <w:pPr>
            <w:pStyle w:val="Contents5"/>
            <w:tabs>
              <w:tab w:val="clear" w:pos="7892"/>
              <w:tab w:val="right" w:pos="9026" w:leader="dot"/>
            </w:tabs>
            <w:rPr/>
          </w:pPr>
          <w:hyperlink w:anchor="__RefHeading___Toc10299090_73709187">
            <w:r>
              <w:rPr>
                <w:webHidden/>
                <w:rStyle w:val="IndexLink"/>
                <w:rtl w:val="true"/>
              </w:rPr>
              <w:t>الاستقبال والاستدبار في حال التخلّي</w:t>
            </w:r>
            <w:r>
              <w:rPr>
                <w:rStyle w:val="IndexLink"/>
                <w:rtl w:val="true"/>
              </w:rPr>
              <w:tab/>
            </w:r>
            <w:r>
              <w:rPr>
                <w:rStyle w:val="IndexLink"/>
              </w:rPr>
              <w:t>261</w:t>
            </w:r>
          </w:hyperlink>
        </w:p>
        <w:p>
          <w:pPr>
            <w:pStyle w:val="Contents5"/>
            <w:tabs>
              <w:tab w:val="clear" w:pos="7892"/>
              <w:tab w:val="right" w:pos="9026" w:leader="dot"/>
            </w:tabs>
            <w:rPr/>
          </w:pPr>
          <w:hyperlink w:anchor="__RefHeading___Toc10299092_73709187">
            <w:r>
              <w:rPr>
                <w:webHidden/>
                <w:rStyle w:val="IndexLink"/>
                <w:rtl w:val="true"/>
              </w:rPr>
              <w:t>حكم التخلّي في الصحاري والبنيان</w:t>
            </w:r>
            <w:r>
              <w:rPr>
                <w:rStyle w:val="IndexLink"/>
                <w:rtl w:val="true"/>
              </w:rPr>
              <w:tab/>
            </w:r>
            <w:r>
              <w:rPr>
                <w:rStyle w:val="IndexLink"/>
              </w:rPr>
              <w:t>264</w:t>
            </w:r>
          </w:hyperlink>
        </w:p>
        <w:p>
          <w:pPr>
            <w:pStyle w:val="Contents5"/>
            <w:tabs>
              <w:tab w:val="clear" w:pos="7892"/>
              <w:tab w:val="right" w:pos="9026" w:leader="dot"/>
            </w:tabs>
            <w:rPr/>
          </w:pPr>
          <w:hyperlink w:anchor="__RefHeading___Toc10299094_73709187">
            <w:r>
              <w:rPr>
                <w:webHidden/>
                <w:rStyle w:val="IndexLink"/>
                <w:rtl w:val="true"/>
              </w:rPr>
              <w:t>مسنونات الخلوة</w:t>
            </w:r>
            <w:r>
              <w:rPr>
                <w:rStyle w:val="IndexLink"/>
                <w:rtl w:val="true"/>
              </w:rPr>
              <w:tab/>
            </w:r>
            <w:r>
              <w:rPr>
                <w:rStyle w:val="IndexLink"/>
              </w:rPr>
              <w:t>274</w:t>
            </w:r>
          </w:hyperlink>
        </w:p>
        <w:p>
          <w:pPr>
            <w:pStyle w:val="Contents6"/>
            <w:tabs>
              <w:tab w:val="clear" w:pos="7609"/>
              <w:tab w:val="right" w:pos="9026" w:leader="dot"/>
            </w:tabs>
            <w:rPr/>
          </w:pPr>
          <w:hyperlink w:anchor="__RefHeading___Toc10299096_73709187">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0299098_73709187">
            <w:r>
              <w:rPr>
                <w:webHidden/>
                <w:rStyle w:val="IndexLink"/>
                <w:rtl w:val="true"/>
              </w:rPr>
              <w:t>تقديم الرِّجل اليُسرى عند دخول الخلاء</w:t>
            </w:r>
            <w:r>
              <w:rPr>
                <w:rStyle w:val="IndexLink"/>
                <w:rtl w:val="true"/>
              </w:rPr>
              <w:t>...</w:t>
              <w:tab/>
            </w:r>
            <w:r>
              <w:rPr>
                <w:rStyle w:val="IndexLink"/>
              </w:rPr>
              <w:t>274</w:t>
            </w:r>
          </w:hyperlink>
        </w:p>
        <w:p>
          <w:pPr>
            <w:pStyle w:val="Contents6"/>
            <w:tabs>
              <w:tab w:val="clear" w:pos="7609"/>
              <w:tab w:val="right" w:pos="9026" w:leader="dot"/>
            </w:tabs>
            <w:rPr/>
          </w:pPr>
          <w:hyperlink w:anchor="__RefHeading___Toc10299100_73709187">
            <w:r>
              <w:rPr>
                <w:webHidden/>
                <w:rStyle w:val="IndexLink"/>
                <w:rtl w:val="true"/>
              </w:rPr>
              <w:t>تغطية الرأس</w:t>
            </w:r>
            <w:r>
              <w:rPr>
                <w:rStyle w:val="IndexLink"/>
                <w:rtl w:val="true"/>
              </w:rPr>
              <w:tab/>
            </w:r>
            <w:r>
              <w:rPr>
                <w:rStyle w:val="IndexLink"/>
              </w:rPr>
              <w:t>274</w:t>
            </w:r>
          </w:hyperlink>
        </w:p>
        <w:p>
          <w:pPr>
            <w:pStyle w:val="Contents6"/>
            <w:tabs>
              <w:tab w:val="clear" w:pos="7609"/>
              <w:tab w:val="right" w:pos="9026" w:leader="dot"/>
            </w:tabs>
            <w:rPr/>
          </w:pPr>
          <w:hyperlink w:anchor="__RefHeading___Toc10299102_73709187">
            <w:r>
              <w:rPr>
                <w:webHidden/>
                <w:rStyle w:val="IndexLink"/>
                <w:rtl w:val="true"/>
              </w:rPr>
              <w:t>التسمية</w:t>
            </w:r>
            <w:r>
              <w:rPr>
                <w:rStyle w:val="IndexLink"/>
                <w:rtl w:val="true"/>
              </w:rPr>
              <w:tab/>
            </w:r>
            <w:r>
              <w:rPr>
                <w:rStyle w:val="IndexLink"/>
              </w:rPr>
              <w:t>275</w:t>
            </w:r>
          </w:hyperlink>
        </w:p>
        <w:p>
          <w:pPr>
            <w:pStyle w:val="Contents6"/>
            <w:tabs>
              <w:tab w:val="clear" w:pos="7609"/>
              <w:tab w:val="right" w:pos="9026" w:leader="dot"/>
            </w:tabs>
            <w:rPr/>
          </w:pPr>
          <w:hyperlink w:anchor="__RefHeading___Toc10299104_73709187">
            <w:r>
              <w:rPr>
                <w:webHidden/>
                <w:rStyle w:val="IndexLink"/>
                <w:rtl w:val="true"/>
              </w:rPr>
              <w:t>الاستبراء</w:t>
            </w:r>
            <w:r>
              <w:rPr>
                <w:rStyle w:val="IndexLink"/>
                <w:rtl w:val="true"/>
              </w:rPr>
              <w:tab/>
            </w:r>
            <w:r>
              <w:rPr>
                <w:rStyle w:val="IndexLink"/>
              </w:rPr>
              <w:t>275</w:t>
            </w:r>
          </w:hyperlink>
        </w:p>
        <w:p>
          <w:pPr>
            <w:pStyle w:val="Contents6"/>
            <w:tabs>
              <w:tab w:val="clear" w:pos="7609"/>
              <w:tab w:val="right" w:pos="9026" w:leader="dot"/>
            </w:tabs>
            <w:rPr/>
          </w:pPr>
          <w:hyperlink w:anchor="__RefHeading___Toc10299106_73709187">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0299108_73709187">
            <w:r>
              <w:rPr>
                <w:webHidden/>
                <w:rStyle w:val="IndexLink"/>
                <w:rtl w:val="true"/>
              </w:rPr>
              <w:t>كيفيّة الاستبراء</w:t>
            </w:r>
            <w:r>
              <w:rPr>
                <w:rStyle w:val="IndexLink"/>
                <w:rtl w:val="true"/>
              </w:rPr>
              <w:tab/>
            </w:r>
            <w:r>
              <w:rPr>
                <w:rStyle w:val="IndexLink"/>
              </w:rPr>
              <w:t>277</w:t>
            </w:r>
          </w:hyperlink>
        </w:p>
        <w:p>
          <w:pPr>
            <w:pStyle w:val="Contents6"/>
            <w:tabs>
              <w:tab w:val="clear" w:pos="7609"/>
              <w:tab w:val="right" w:pos="9026" w:leader="dot"/>
            </w:tabs>
            <w:rPr/>
          </w:pPr>
          <w:hyperlink w:anchor="__RefHeading___Toc10299110_73709187">
            <w:r>
              <w:rPr>
                <w:webHidden/>
                <w:rStyle w:val="IndexLink"/>
                <w:rtl w:val="true"/>
              </w:rPr>
              <w:t>فروع</w:t>
            </w:r>
            <w:r>
              <w:rPr>
                <w:rStyle w:val="IndexLink"/>
                <w:rtl w:val="true"/>
              </w:rPr>
              <w:t xml:space="preserve">: </w:t>
            </w:r>
            <w:r>
              <w:rPr>
                <w:rStyle w:val="IndexLink"/>
                <w:rtl w:val="true"/>
              </w:rPr>
              <w:t>في الاستبراء</w:t>
            </w:r>
            <w:r>
              <w:rPr>
                <w:rStyle w:val="IndexLink"/>
                <w:rtl w:val="true"/>
              </w:rPr>
              <w:tab/>
            </w:r>
            <w:r>
              <w:rPr>
                <w:rStyle w:val="IndexLink"/>
              </w:rPr>
              <w:t>280</w:t>
            </w:r>
          </w:hyperlink>
        </w:p>
        <w:p>
          <w:pPr>
            <w:pStyle w:val="Contents6"/>
            <w:tabs>
              <w:tab w:val="clear" w:pos="7609"/>
              <w:tab w:val="right" w:pos="9026" w:leader="dot"/>
            </w:tabs>
            <w:rPr/>
          </w:pPr>
          <w:hyperlink w:anchor="__RefHeading___Toc10299112_73709187">
            <w:r>
              <w:rPr>
                <w:webHidden/>
                <w:rStyle w:val="IndexLink"/>
                <w:rtl w:val="true"/>
              </w:rPr>
              <w:t>الفرع الأوّل</w:t>
            </w:r>
            <w:r>
              <w:rPr>
                <w:rStyle w:val="IndexLink"/>
                <w:rtl w:val="true"/>
              </w:rPr>
              <w:t xml:space="preserve">: </w:t>
            </w:r>
            <w:r>
              <w:rPr>
                <w:rStyle w:val="IndexLink"/>
                <w:rtl w:val="true"/>
              </w:rPr>
              <w:t>في مقطوع الحَشَفة</w:t>
            </w:r>
            <w:r>
              <w:rPr>
                <w:rStyle w:val="IndexLink"/>
                <w:rtl w:val="true"/>
              </w:rPr>
              <w:tab/>
            </w:r>
            <w:r>
              <w:rPr>
                <w:rStyle w:val="IndexLink"/>
              </w:rPr>
              <w:t>280</w:t>
            </w:r>
          </w:hyperlink>
        </w:p>
        <w:p>
          <w:pPr>
            <w:pStyle w:val="Contents6"/>
            <w:tabs>
              <w:tab w:val="clear" w:pos="7609"/>
              <w:tab w:val="right" w:pos="9026" w:leader="dot"/>
            </w:tabs>
            <w:rPr/>
          </w:pPr>
          <w:hyperlink w:anchor="__RefHeading___Toc10299114_73709187">
            <w:r>
              <w:rPr>
                <w:webHidden/>
                <w:rStyle w:val="IndexLink"/>
                <w:rtl w:val="true"/>
              </w:rPr>
              <w:t>الفرع الثاني</w:t>
            </w:r>
            <w:r>
              <w:rPr>
                <w:rStyle w:val="IndexLink"/>
                <w:rtl w:val="true"/>
              </w:rPr>
              <w:t xml:space="preserve">: </w:t>
            </w:r>
            <w:r>
              <w:rPr>
                <w:rStyle w:val="IndexLink"/>
                <w:rtl w:val="true"/>
              </w:rPr>
              <w:t>في فائدة الاستبراء</w:t>
            </w:r>
            <w:r>
              <w:rPr>
                <w:rStyle w:val="IndexLink"/>
                <w:rtl w:val="true"/>
              </w:rPr>
              <w:tab/>
            </w:r>
            <w:r>
              <w:rPr>
                <w:rStyle w:val="IndexLink"/>
              </w:rPr>
              <w:t>280</w:t>
            </w:r>
          </w:hyperlink>
        </w:p>
        <w:p>
          <w:pPr>
            <w:pStyle w:val="Contents6"/>
            <w:tabs>
              <w:tab w:val="clear" w:pos="7609"/>
              <w:tab w:val="right" w:pos="9026" w:leader="dot"/>
            </w:tabs>
            <w:rPr/>
          </w:pPr>
          <w:hyperlink w:anchor="__RefHeading___Toc10299116_73709187">
            <w:r>
              <w:rPr>
                <w:webHidden/>
                <w:rStyle w:val="IndexLink"/>
                <w:rtl w:val="true"/>
              </w:rPr>
              <w:t>الفرع الثالث</w:t>
            </w:r>
            <w:r>
              <w:rPr>
                <w:rStyle w:val="IndexLink"/>
                <w:rtl w:val="true"/>
              </w:rPr>
              <w:t xml:space="preserve">: </w:t>
            </w:r>
            <w:r>
              <w:rPr>
                <w:rStyle w:val="IndexLink"/>
                <w:rtl w:val="true"/>
              </w:rPr>
              <w:t>في استبراء المرأة</w:t>
            </w:r>
            <w:r>
              <w:rPr>
                <w:rStyle w:val="IndexLink"/>
                <w:rtl w:val="true"/>
              </w:rPr>
              <w:tab/>
            </w:r>
            <w:r>
              <w:rPr>
                <w:rStyle w:val="IndexLink"/>
              </w:rPr>
              <w:t>281</w:t>
            </w:r>
          </w:hyperlink>
        </w:p>
        <w:p>
          <w:pPr>
            <w:pStyle w:val="Contents6"/>
            <w:tabs>
              <w:tab w:val="clear" w:pos="7609"/>
              <w:tab w:val="right" w:pos="9026" w:leader="dot"/>
            </w:tabs>
            <w:rPr/>
          </w:pPr>
          <w:hyperlink w:anchor="__RefHeading___Toc10299118_73709187">
            <w:r>
              <w:rPr>
                <w:webHidden/>
                <w:rStyle w:val="IndexLink"/>
                <w:rtl w:val="true"/>
              </w:rPr>
              <w:t>الفرع الرابع</w:t>
            </w:r>
            <w:r>
              <w:rPr>
                <w:rStyle w:val="IndexLink"/>
                <w:rtl w:val="true"/>
              </w:rPr>
              <w:t xml:space="preserve">: </w:t>
            </w:r>
            <w:r>
              <w:rPr>
                <w:rStyle w:val="IndexLink"/>
                <w:rtl w:val="true"/>
              </w:rPr>
              <w:t>في الرطوبة المردّدة قبل الاستبراء</w:t>
            </w:r>
            <w:r>
              <w:rPr>
                <w:rStyle w:val="IndexLink"/>
                <w:rtl w:val="true"/>
              </w:rPr>
              <w:tab/>
            </w:r>
            <w:r>
              <w:rPr>
                <w:rStyle w:val="IndexLink"/>
              </w:rPr>
              <w:t>281</w:t>
            </w:r>
          </w:hyperlink>
        </w:p>
        <w:p>
          <w:pPr>
            <w:pStyle w:val="Contents6"/>
            <w:tabs>
              <w:tab w:val="clear" w:pos="7609"/>
              <w:tab w:val="right" w:pos="9026" w:leader="dot"/>
            </w:tabs>
            <w:rPr/>
          </w:pPr>
          <w:hyperlink w:anchor="__RefHeading___Toc10299120_73709187">
            <w:r>
              <w:rPr>
                <w:webHidden/>
                <w:rStyle w:val="IndexLink"/>
                <w:rtl w:val="true"/>
              </w:rPr>
              <w:t>استحباب الدّعاء</w:t>
            </w:r>
            <w:r>
              <w:rPr>
                <w:rStyle w:val="IndexLink"/>
                <w:rtl w:val="true"/>
              </w:rPr>
              <w:tab/>
            </w:r>
            <w:r>
              <w:rPr>
                <w:rStyle w:val="IndexLink"/>
              </w:rPr>
              <w:t>284</w:t>
            </w:r>
          </w:hyperlink>
        </w:p>
        <w:p>
          <w:pPr>
            <w:pStyle w:val="Contents6"/>
            <w:tabs>
              <w:tab w:val="clear" w:pos="7609"/>
              <w:tab w:val="right" w:pos="9026" w:leader="dot"/>
            </w:tabs>
            <w:rPr/>
          </w:pPr>
          <w:hyperlink w:anchor="__RefHeading___Toc10299122_73709187">
            <w:r>
              <w:rPr>
                <w:webHidden/>
                <w:rStyle w:val="IndexLink"/>
                <w:rtl w:val="true"/>
              </w:rPr>
              <w:t>الجمع بين الأحجار والماء</w:t>
            </w:r>
            <w:r>
              <w:rPr>
                <w:rStyle w:val="IndexLink"/>
                <w:rtl w:val="true"/>
              </w:rPr>
              <w:tab/>
            </w:r>
            <w:r>
              <w:rPr>
                <w:rStyle w:val="IndexLink"/>
              </w:rPr>
              <w:t>286</w:t>
            </w:r>
          </w:hyperlink>
        </w:p>
        <w:p>
          <w:pPr>
            <w:pStyle w:val="Contents6"/>
            <w:tabs>
              <w:tab w:val="clear" w:pos="7609"/>
              <w:tab w:val="right" w:pos="9026" w:leader="dot"/>
            </w:tabs>
            <w:rPr/>
          </w:pPr>
          <w:hyperlink w:anchor="__RefHeading___Toc10299124_7370918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0299126_73709187">
            <w:r>
              <w:rPr>
                <w:webHidden/>
                <w:rStyle w:val="IndexLink"/>
                <w:rtl w:val="true"/>
              </w:rPr>
              <w:t>حُكم الاستنجاء بالحَجر والماء</w:t>
            </w:r>
            <w:r>
              <w:rPr>
                <w:rStyle w:val="IndexLink"/>
                <w:rtl w:val="true"/>
              </w:rPr>
              <w:tab/>
            </w:r>
            <w:r>
              <w:rPr>
                <w:rStyle w:val="IndexLink"/>
              </w:rPr>
              <w:t>286</w:t>
            </w:r>
          </w:hyperlink>
        </w:p>
        <w:p>
          <w:pPr>
            <w:pStyle w:val="Contents5"/>
            <w:tabs>
              <w:tab w:val="clear" w:pos="7892"/>
              <w:tab w:val="right" w:pos="9026" w:leader="dot"/>
            </w:tabs>
            <w:rPr/>
          </w:pPr>
          <w:hyperlink w:anchor="__RefHeading___Toc10299128_73709187">
            <w:r>
              <w:rPr>
                <w:webHidden/>
                <w:rStyle w:val="IndexLink"/>
                <w:rtl w:val="true"/>
              </w:rPr>
              <w:t>مكروهات التخلّي</w:t>
            </w:r>
            <w:r>
              <w:rPr>
                <w:rStyle w:val="IndexLink"/>
                <w:rtl w:val="true"/>
              </w:rPr>
              <w:tab/>
            </w:r>
            <w:r>
              <w:rPr>
                <w:rStyle w:val="IndexLink"/>
              </w:rPr>
              <w:t>287</w:t>
            </w:r>
          </w:hyperlink>
        </w:p>
        <w:p>
          <w:pPr>
            <w:pStyle w:val="Contents5"/>
            <w:tabs>
              <w:tab w:val="clear" w:pos="7892"/>
              <w:tab w:val="right" w:pos="9026" w:leader="dot"/>
            </w:tabs>
            <w:rPr/>
          </w:pPr>
          <w:hyperlink w:anchor="__RefHeading___Toc10299130_73709187">
            <w:r>
              <w:rPr>
                <w:webHidden/>
                <w:rStyle w:val="IndexLink"/>
                <w:rtl w:val="true"/>
              </w:rPr>
              <w:t>في الاستنجاء</w:t>
            </w:r>
            <w:r>
              <w:rPr>
                <w:rStyle w:val="IndexLink"/>
                <w:rtl w:val="true"/>
              </w:rPr>
              <w:tab/>
            </w:r>
            <w:r>
              <w:rPr>
                <w:rStyle w:val="IndexLink"/>
              </w:rPr>
              <w:t>297</w:t>
            </w:r>
          </w:hyperlink>
        </w:p>
        <w:p>
          <w:pPr>
            <w:pStyle w:val="Contents6"/>
            <w:tabs>
              <w:tab w:val="clear" w:pos="7609"/>
              <w:tab w:val="right" w:pos="9026" w:leader="dot"/>
            </w:tabs>
            <w:rPr/>
          </w:pPr>
          <w:hyperlink w:anchor="__RefHeading___Toc10299132_73709187">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0299134_73709187">
            <w:r>
              <w:rPr>
                <w:webHidden/>
                <w:rStyle w:val="IndexLink"/>
                <w:rtl w:val="true"/>
              </w:rPr>
              <w:t>المقدار المُجزي من ماء الاستنجاء</w:t>
            </w:r>
            <w:r>
              <w:rPr>
                <w:rStyle w:val="IndexLink"/>
                <w:rtl w:val="true"/>
              </w:rPr>
              <w:tab/>
            </w:r>
            <w:r>
              <w:rPr>
                <w:rStyle w:val="IndexLink"/>
              </w:rPr>
              <w:t>300</w:t>
            </w:r>
          </w:hyperlink>
        </w:p>
        <w:p>
          <w:pPr>
            <w:pStyle w:val="Contents6"/>
            <w:tabs>
              <w:tab w:val="clear" w:pos="7609"/>
              <w:tab w:val="right" w:pos="9026" w:leader="dot"/>
            </w:tabs>
            <w:rPr/>
          </w:pPr>
          <w:hyperlink w:anchor="__RefHeading___Toc10299136_73709187">
            <w:r>
              <w:rPr>
                <w:webHidden/>
                <w:rStyle w:val="IndexLink"/>
                <w:rtl w:val="true"/>
              </w:rPr>
              <w:t>الاستنجاء من الغائط</w:t>
            </w:r>
            <w:r>
              <w:rPr>
                <w:rStyle w:val="IndexLink"/>
                <w:rtl w:val="true"/>
              </w:rPr>
              <w:tab/>
            </w:r>
            <w:r>
              <w:rPr>
                <w:rStyle w:val="IndexLink"/>
              </w:rPr>
              <w:t>306</w:t>
            </w:r>
          </w:hyperlink>
        </w:p>
        <w:p>
          <w:pPr>
            <w:pStyle w:val="Contents6"/>
            <w:tabs>
              <w:tab w:val="clear" w:pos="7609"/>
              <w:tab w:val="right" w:pos="9026" w:leader="dot"/>
            </w:tabs>
            <w:rPr/>
          </w:pPr>
          <w:hyperlink w:anchor="__RefHeading___Toc10299138_73709187">
            <w:r>
              <w:rPr>
                <w:webHidden/>
                <w:rStyle w:val="IndexLink"/>
                <w:rtl w:val="true"/>
              </w:rPr>
              <w:t>إجزاء الأحجار ونحوها مع عدم التعدّي</w:t>
            </w:r>
            <w:r>
              <w:rPr>
                <w:rStyle w:val="IndexLink"/>
                <w:rtl w:val="true"/>
              </w:rPr>
              <w:tab/>
            </w:r>
            <w:r>
              <w:rPr>
                <w:rStyle w:val="IndexLink"/>
              </w:rPr>
              <w:t>307</w:t>
            </w:r>
          </w:hyperlink>
        </w:p>
        <w:p>
          <w:pPr>
            <w:pStyle w:val="Contents6"/>
            <w:tabs>
              <w:tab w:val="clear" w:pos="7609"/>
              <w:tab w:val="right" w:pos="9026" w:leader="dot"/>
            </w:tabs>
            <w:rPr/>
          </w:pPr>
          <w:hyperlink w:anchor="__RefHeading___Toc10299140_73709187">
            <w:r>
              <w:rPr>
                <w:webHidden/>
                <w:rStyle w:val="IndexLink"/>
                <w:rtl w:val="true"/>
              </w:rPr>
              <w:t>تنبيهات الاستنجاء من الغائط</w:t>
            </w:r>
            <w:r>
              <w:rPr>
                <w:rStyle w:val="IndexLink"/>
                <w:rtl w:val="true"/>
              </w:rPr>
              <w:tab/>
            </w:r>
            <w:r>
              <w:rPr>
                <w:rStyle w:val="IndexLink"/>
              </w:rPr>
              <w:t>308</w:t>
            </w:r>
          </w:hyperlink>
        </w:p>
        <w:p>
          <w:pPr>
            <w:pStyle w:val="Contents6"/>
            <w:tabs>
              <w:tab w:val="clear" w:pos="7609"/>
              <w:tab w:val="right" w:pos="9026" w:leader="dot"/>
            </w:tabs>
            <w:rPr/>
          </w:pPr>
          <w:hyperlink w:anchor="__RefHeading___Toc10299142_73709187">
            <w:r>
              <w:rPr>
                <w:webHidden/>
                <w:rStyle w:val="IndexLink"/>
                <w:rtl w:val="true"/>
              </w:rPr>
              <w:t>التنبيه الأوّل</w:t>
            </w:r>
            <w:r>
              <w:rPr>
                <w:rStyle w:val="IndexLink"/>
                <w:rtl w:val="true"/>
              </w:rPr>
              <w:t xml:space="preserve">: </w:t>
            </w:r>
            <w:r>
              <w:rPr>
                <w:rStyle w:val="IndexLink"/>
                <w:rtl w:val="true"/>
              </w:rPr>
              <w:t>في كفاية كلّ قالع للنجاسة</w:t>
            </w:r>
            <w:r>
              <w:rPr>
                <w:rStyle w:val="IndexLink"/>
                <w:rtl w:val="true"/>
              </w:rPr>
              <w:tab/>
            </w:r>
            <w:r>
              <w:rPr>
                <w:rStyle w:val="IndexLink"/>
              </w:rPr>
              <w:t>308</w:t>
            </w:r>
          </w:hyperlink>
        </w:p>
        <w:p>
          <w:pPr>
            <w:pStyle w:val="Contents6"/>
            <w:tabs>
              <w:tab w:val="clear" w:pos="7609"/>
              <w:tab w:val="right" w:pos="9026" w:leader="dot"/>
            </w:tabs>
            <w:rPr/>
          </w:pPr>
          <w:hyperlink w:anchor="__RefHeading___Toc10299144_73709187">
            <w:r>
              <w:rPr>
                <w:webHidden/>
                <w:rStyle w:val="IndexLink"/>
                <w:rtl w:val="true"/>
              </w:rPr>
              <w:t>التنبيه الثاني</w:t>
            </w:r>
            <w:r>
              <w:rPr>
                <w:rStyle w:val="IndexLink"/>
                <w:rtl w:val="true"/>
              </w:rPr>
              <w:t xml:space="preserve">: </w:t>
            </w:r>
            <w:r>
              <w:rPr>
                <w:rStyle w:val="IndexLink"/>
                <w:rtl w:val="true"/>
              </w:rPr>
              <w:t>في اعتبار التعدّد في الغَسل</w:t>
            </w:r>
            <w:r>
              <w:rPr>
                <w:rStyle w:val="IndexLink"/>
                <w:rtl w:val="true"/>
              </w:rPr>
              <w:tab/>
            </w:r>
            <w:r>
              <w:rPr>
                <w:rStyle w:val="IndexLink"/>
              </w:rPr>
              <w:t>310</w:t>
            </w:r>
          </w:hyperlink>
        </w:p>
        <w:p>
          <w:pPr>
            <w:pStyle w:val="Contents6"/>
            <w:tabs>
              <w:tab w:val="clear" w:pos="7609"/>
              <w:tab w:val="right" w:pos="9026" w:leader="dot"/>
            </w:tabs>
            <w:rPr/>
          </w:pPr>
          <w:hyperlink w:anchor="__RefHeading___Toc10299146_73709187">
            <w:r>
              <w:rPr>
                <w:webHidden/>
                <w:rStyle w:val="IndexLink"/>
                <w:rtl w:val="true"/>
              </w:rPr>
              <w:t>التنبيه الثالث</w:t>
            </w:r>
            <w:r>
              <w:rPr>
                <w:rStyle w:val="IndexLink"/>
                <w:rtl w:val="true"/>
              </w:rPr>
              <w:t xml:space="preserve">: </w:t>
            </w:r>
            <w:r>
              <w:rPr>
                <w:rStyle w:val="IndexLink"/>
                <w:rtl w:val="true"/>
              </w:rPr>
              <w:t>في اعتبار الطهارة في الأحجار</w:t>
            </w:r>
            <w:r>
              <w:rPr>
                <w:rStyle w:val="IndexLink"/>
                <w:rtl w:val="true"/>
              </w:rPr>
              <w:tab/>
            </w:r>
            <w:r>
              <w:rPr>
                <w:rStyle w:val="IndexLink"/>
              </w:rPr>
              <w:t>315</w:t>
            </w:r>
          </w:hyperlink>
        </w:p>
        <w:p>
          <w:pPr>
            <w:pStyle w:val="Contents6"/>
            <w:tabs>
              <w:tab w:val="clear" w:pos="7609"/>
              <w:tab w:val="right" w:pos="9026" w:leader="dot"/>
            </w:tabs>
            <w:rPr/>
          </w:pPr>
          <w:hyperlink w:anchor="__RefHeading___Toc10299148_73709187">
            <w:r>
              <w:rPr>
                <w:webHidden/>
                <w:rStyle w:val="IndexLink"/>
                <w:rtl w:val="true"/>
              </w:rPr>
              <w:t>التنبيه الرابع</w:t>
            </w:r>
            <w:r>
              <w:rPr>
                <w:rStyle w:val="IndexLink"/>
                <w:rtl w:val="true"/>
              </w:rPr>
              <w:t xml:space="preserve">: </w:t>
            </w:r>
            <w:r>
              <w:rPr>
                <w:rStyle w:val="IndexLink"/>
                <w:rtl w:val="true"/>
              </w:rPr>
              <w:t>في عدم اعتبار زوال الأثر</w:t>
            </w:r>
            <w:r>
              <w:rPr>
                <w:rStyle w:val="IndexLink"/>
                <w:rtl w:val="true"/>
              </w:rPr>
              <w:tab/>
            </w:r>
            <w:r>
              <w:rPr>
                <w:rStyle w:val="IndexLink"/>
              </w:rPr>
              <w:t>316</w:t>
            </w:r>
          </w:hyperlink>
        </w:p>
        <w:p>
          <w:pPr>
            <w:pStyle w:val="Contents6"/>
            <w:tabs>
              <w:tab w:val="clear" w:pos="7609"/>
              <w:tab w:val="right" w:pos="9026" w:leader="dot"/>
            </w:tabs>
            <w:rPr/>
          </w:pPr>
          <w:hyperlink w:anchor="__RefHeading___Toc10299150_73709187">
            <w:r>
              <w:rPr>
                <w:webHidden/>
                <w:rStyle w:val="IndexLink"/>
                <w:rtl w:val="true"/>
              </w:rPr>
              <w:t>التنبيه الخامس</w:t>
            </w:r>
            <w:r>
              <w:rPr>
                <w:rStyle w:val="IndexLink"/>
                <w:rtl w:val="true"/>
              </w:rPr>
              <w:t xml:space="preserve">: </w:t>
            </w:r>
            <w:r>
              <w:rPr>
                <w:rStyle w:val="IndexLink"/>
                <w:rtl w:val="true"/>
              </w:rPr>
              <w:t>في غَسل الظاهر من المخرج</w:t>
            </w:r>
            <w:r>
              <w:rPr>
                <w:rStyle w:val="IndexLink"/>
                <w:rtl w:val="true"/>
              </w:rPr>
              <w:tab/>
            </w:r>
            <w:r>
              <w:rPr>
                <w:rStyle w:val="IndexLink"/>
              </w:rPr>
              <w:t>318</w:t>
            </w:r>
          </w:hyperlink>
        </w:p>
        <w:p>
          <w:pPr>
            <w:pStyle w:val="Contents6"/>
            <w:tabs>
              <w:tab w:val="clear" w:pos="7609"/>
              <w:tab w:val="right" w:pos="9026" w:leader="dot"/>
            </w:tabs>
            <w:rPr/>
          </w:pPr>
          <w:hyperlink w:anchor="__RefHeading___Toc10299152_73709187">
            <w:r>
              <w:rPr>
                <w:webHidden/>
                <w:rStyle w:val="IndexLink"/>
                <w:rtl w:val="true"/>
              </w:rPr>
              <w:t>التنبيه السادس</w:t>
            </w:r>
            <w:r>
              <w:rPr>
                <w:rStyle w:val="IndexLink"/>
                <w:rtl w:val="true"/>
              </w:rPr>
              <w:t xml:space="preserve">: </w:t>
            </w:r>
            <w:r>
              <w:rPr>
                <w:rStyle w:val="IndexLink"/>
                <w:rtl w:val="true"/>
              </w:rPr>
              <w:t>في إمرار الحَجَر على موضعه النجاسة</w:t>
            </w:r>
            <w:r>
              <w:rPr>
                <w:rStyle w:val="IndexLink"/>
                <w:rtl w:val="true"/>
              </w:rPr>
              <w:tab/>
            </w:r>
            <w:r>
              <w:rPr>
                <w:rStyle w:val="IndexLink"/>
              </w:rPr>
              <w:t>319</w:t>
            </w:r>
          </w:hyperlink>
        </w:p>
        <w:p>
          <w:pPr>
            <w:pStyle w:val="Contents6"/>
            <w:tabs>
              <w:tab w:val="clear" w:pos="7609"/>
              <w:tab w:val="right" w:pos="9026" w:leader="dot"/>
            </w:tabs>
            <w:rPr/>
          </w:pPr>
          <w:hyperlink w:anchor="__RefHeading___Toc10299154_73709187">
            <w:r>
              <w:rPr>
                <w:webHidden/>
                <w:rStyle w:val="IndexLink"/>
                <w:rtl w:val="true"/>
              </w:rPr>
              <w:t>التنبيه السابع</w:t>
            </w:r>
            <w:r>
              <w:rPr>
                <w:rStyle w:val="IndexLink"/>
                <w:rtl w:val="true"/>
              </w:rPr>
              <w:t xml:space="preserve">: </w:t>
            </w:r>
            <w:r>
              <w:rPr>
                <w:rStyle w:val="IndexLink"/>
                <w:rtl w:val="true"/>
              </w:rPr>
              <w:t>الاستنجاء بالعظم والروث</w:t>
            </w:r>
            <w:r>
              <w:rPr>
                <w:rStyle w:val="IndexLink"/>
                <w:rtl w:val="true"/>
              </w:rPr>
              <w:tab/>
            </w:r>
            <w:r>
              <w:rPr>
                <w:rStyle w:val="IndexLink"/>
              </w:rPr>
              <w:t>320</w:t>
            </w:r>
          </w:hyperlink>
        </w:p>
        <w:p>
          <w:pPr>
            <w:pStyle w:val="Contents6"/>
            <w:tabs>
              <w:tab w:val="clear" w:pos="7609"/>
              <w:tab w:val="right" w:pos="9026" w:leader="dot"/>
            </w:tabs>
            <w:rPr/>
          </w:pPr>
          <w:hyperlink w:anchor="__RefHeading___Toc10299156_73709187">
            <w:r>
              <w:rPr>
                <w:webHidden/>
                <w:rStyle w:val="IndexLink"/>
                <w:rtl w:val="true"/>
              </w:rPr>
              <w:t>التنبيه الثامن</w:t>
            </w:r>
            <w:r>
              <w:rPr>
                <w:rStyle w:val="IndexLink"/>
                <w:rtl w:val="true"/>
              </w:rPr>
              <w:t xml:space="preserve">: </w:t>
            </w:r>
            <w:r>
              <w:rPr>
                <w:rStyle w:val="IndexLink"/>
                <w:rtl w:val="true"/>
              </w:rPr>
              <w:t>لو شكّ في الاستنجاء</w:t>
            </w:r>
            <w:r>
              <w:rPr>
                <w:rStyle w:val="IndexLink"/>
                <w:rtl w:val="true"/>
              </w:rPr>
              <w:tab/>
            </w:r>
            <w:r>
              <w:rPr>
                <w:rStyle w:val="IndexLink"/>
              </w:rPr>
              <w:t>324</w:t>
            </w:r>
          </w:hyperlink>
        </w:p>
        <w:p>
          <w:pPr>
            <w:pStyle w:val="Contents6"/>
            <w:tabs>
              <w:tab w:val="clear" w:pos="7609"/>
              <w:tab w:val="right" w:pos="9026" w:leader="dot"/>
            </w:tabs>
            <w:rPr/>
          </w:pPr>
          <w:hyperlink w:anchor="__RefHeading___Toc10299158_73709187">
            <w:r>
              <w:rPr>
                <w:webHidden/>
                <w:rStyle w:val="IndexLink"/>
                <w:rtl w:val="true"/>
              </w:rPr>
              <w:t>التنبيه التاسع</w:t>
            </w:r>
            <w:r>
              <w:rPr>
                <w:rStyle w:val="IndexLink"/>
                <w:rtl w:val="true"/>
              </w:rPr>
              <w:t xml:space="preserve">: </w:t>
            </w:r>
            <w:r>
              <w:rPr>
                <w:rStyle w:val="IndexLink"/>
                <w:rtl w:val="true"/>
              </w:rPr>
              <w:t>في وجوب الدلك باليد</w:t>
            </w:r>
            <w:r>
              <w:rPr>
                <w:rStyle w:val="IndexLink"/>
                <w:rtl w:val="true"/>
              </w:rPr>
              <w:tab/>
            </w:r>
            <w:r>
              <w:rPr>
                <w:rStyle w:val="IndexLink"/>
              </w:rPr>
              <w:t>324</w:t>
            </w:r>
          </w:hyperlink>
        </w:p>
        <w:p>
          <w:pPr>
            <w:pStyle w:val="Contents4"/>
            <w:tabs>
              <w:tab w:val="clear" w:pos="8176"/>
              <w:tab w:val="right" w:pos="9026" w:leader="dot"/>
            </w:tabs>
            <w:rPr/>
          </w:pPr>
          <w:hyperlink w:anchor="__RefHeading___Toc10299160_73709187">
            <w:r>
              <w:rPr>
                <w:webHidden/>
                <w:rStyle w:val="IndexLink"/>
                <w:rtl w:val="true"/>
              </w:rPr>
              <w:t>الفصل الثالث</w:t>
            </w:r>
            <w:r>
              <w:rPr>
                <w:rStyle w:val="IndexLink"/>
                <w:rtl w:val="true"/>
              </w:rPr>
              <w:t xml:space="preserve">: </w:t>
            </w:r>
            <w:r>
              <w:rPr>
                <w:rStyle w:val="IndexLink"/>
                <w:rtl w:val="true"/>
              </w:rPr>
              <w:t>في كيفيّته</w:t>
            </w:r>
            <w:r>
              <w:rPr>
                <w:rStyle w:val="IndexLink"/>
                <w:rtl w:val="true"/>
              </w:rPr>
              <w:tab/>
            </w:r>
            <w:r>
              <w:rPr>
                <w:rStyle w:val="IndexLink"/>
              </w:rPr>
              <w:t>326</w:t>
            </w:r>
          </w:hyperlink>
        </w:p>
        <w:p>
          <w:pPr>
            <w:pStyle w:val="Contents5"/>
            <w:tabs>
              <w:tab w:val="clear" w:pos="7892"/>
              <w:tab w:val="right" w:pos="9026" w:leader="dot"/>
            </w:tabs>
            <w:rPr/>
          </w:pPr>
          <w:hyperlink w:anchor="__RefHeading___Toc10299162_7370918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0299164_73709187">
            <w:r>
              <w:rPr>
                <w:webHidden/>
                <w:rStyle w:val="IndexLink"/>
                <w:rtl w:val="true"/>
              </w:rPr>
              <w:t>واجبات الوضوء</w:t>
            </w:r>
            <w:r>
              <w:rPr>
                <w:rStyle w:val="IndexLink"/>
                <w:rtl w:val="true"/>
              </w:rPr>
              <w:tab/>
            </w:r>
            <w:r>
              <w:rPr>
                <w:rStyle w:val="IndexLink"/>
              </w:rPr>
              <w:t>326</w:t>
            </w:r>
          </w:hyperlink>
        </w:p>
        <w:p>
          <w:pPr>
            <w:pStyle w:val="Contents6"/>
            <w:tabs>
              <w:tab w:val="clear" w:pos="7609"/>
              <w:tab w:val="right" w:pos="9026" w:leader="dot"/>
            </w:tabs>
            <w:rPr/>
          </w:pPr>
          <w:hyperlink w:anchor="__RefHeading___Toc10299166_7370918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0299168_73709187">
            <w:r>
              <w:rPr>
                <w:webHidden/>
                <w:rStyle w:val="IndexLink"/>
                <w:rtl w:val="true"/>
              </w:rPr>
              <w:t>النية</w:t>
            </w:r>
            <w:r>
              <w:rPr>
                <w:rStyle w:val="IndexLink"/>
                <w:rtl w:val="true"/>
              </w:rPr>
              <w:tab/>
            </w:r>
            <w:r>
              <w:rPr>
                <w:rStyle w:val="IndexLink"/>
              </w:rPr>
              <w:t>326</w:t>
            </w:r>
          </w:hyperlink>
        </w:p>
        <w:p>
          <w:pPr>
            <w:pStyle w:val="Contents6"/>
            <w:tabs>
              <w:tab w:val="clear" w:pos="7609"/>
              <w:tab w:val="right" w:pos="9026" w:leader="dot"/>
            </w:tabs>
            <w:rPr/>
          </w:pPr>
          <w:hyperlink w:anchor="__RefHeading___Toc10299170_7370918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0299172_73709187">
            <w:r>
              <w:rPr>
                <w:webHidden/>
                <w:rStyle w:val="IndexLink"/>
                <w:rtl w:val="true"/>
              </w:rPr>
              <w:t>الوضوء مستحبٌّ نفسي</w:t>
            </w:r>
            <w:r>
              <w:rPr>
                <w:rStyle w:val="IndexLink"/>
                <w:rtl w:val="true"/>
              </w:rPr>
              <w:tab/>
            </w:r>
            <w:r>
              <w:rPr>
                <w:rStyle w:val="IndexLink"/>
              </w:rPr>
              <w:t>326</w:t>
            </w:r>
          </w:hyperlink>
        </w:p>
        <w:p>
          <w:pPr>
            <w:pStyle w:val="Contents6"/>
            <w:tabs>
              <w:tab w:val="clear" w:pos="7609"/>
              <w:tab w:val="right" w:pos="9026" w:leader="dot"/>
            </w:tabs>
            <w:rPr/>
          </w:pPr>
          <w:hyperlink w:anchor="__RefHeading___Toc10299174_73709187">
            <w:r>
              <w:rPr>
                <w:webHidden/>
                <w:rStyle w:val="IndexLink"/>
                <w:rtl w:val="true"/>
              </w:rPr>
              <w:t>غايات الوضوء</w:t>
            </w:r>
            <w:r>
              <w:rPr>
                <w:rStyle w:val="IndexLink"/>
                <w:rtl w:val="true"/>
              </w:rPr>
              <w:tab/>
            </w:r>
            <w:r>
              <w:rPr>
                <w:rStyle w:val="IndexLink"/>
              </w:rPr>
              <w:t>330</w:t>
            </w:r>
          </w:hyperlink>
        </w:p>
        <w:p>
          <w:pPr>
            <w:pStyle w:val="Contents6"/>
            <w:tabs>
              <w:tab w:val="clear" w:pos="7609"/>
              <w:tab w:val="right" w:pos="9026" w:leader="dot"/>
            </w:tabs>
            <w:rPr/>
          </w:pPr>
          <w:hyperlink w:anchor="__RefHeading___Toc10299176_73709187">
            <w:r>
              <w:rPr>
                <w:webHidden/>
                <w:rStyle w:val="IndexLink"/>
                <w:rtl w:val="true"/>
              </w:rPr>
              <w:t>مسّ كتابة القرآن</w:t>
            </w:r>
            <w:r>
              <w:rPr>
                <w:rStyle w:val="IndexLink"/>
                <w:rtl w:val="true"/>
              </w:rPr>
              <w:tab/>
            </w:r>
            <w:r>
              <w:rPr>
                <w:rStyle w:val="IndexLink"/>
              </w:rPr>
              <w:t>331</w:t>
            </w:r>
          </w:hyperlink>
        </w:p>
        <w:p>
          <w:pPr>
            <w:pStyle w:val="Contents6"/>
            <w:tabs>
              <w:tab w:val="clear" w:pos="7609"/>
              <w:tab w:val="right" w:pos="9026" w:leader="dot"/>
            </w:tabs>
            <w:rPr/>
          </w:pPr>
          <w:hyperlink w:anchor="__RefHeading___Toc10299178_73709187">
            <w:r>
              <w:rPr>
                <w:webHidden/>
                <w:rStyle w:val="IndexLink"/>
                <w:rtl w:val="true"/>
              </w:rPr>
              <w:t>وجوب الوضوء بالنذر</w:t>
            </w:r>
            <w:r>
              <w:rPr>
                <w:rStyle w:val="IndexLink"/>
                <w:rtl w:val="true"/>
              </w:rPr>
              <w:tab/>
            </w:r>
            <w:r>
              <w:rPr>
                <w:rStyle w:val="IndexLink"/>
              </w:rPr>
              <w:t>337</w:t>
            </w:r>
          </w:hyperlink>
        </w:p>
        <w:p>
          <w:pPr>
            <w:pStyle w:val="Contents6"/>
            <w:tabs>
              <w:tab w:val="clear" w:pos="7609"/>
              <w:tab w:val="right" w:pos="9026" w:leader="dot"/>
            </w:tabs>
            <w:rPr/>
          </w:pPr>
          <w:hyperlink w:anchor="__RefHeading___Toc10299180_73709187">
            <w:r>
              <w:rPr>
                <w:webHidden/>
                <w:rStyle w:val="IndexLink"/>
                <w:rtl w:val="true"/>
              </w:rPr>
              <w:t>غايات الوضوء المستحبّة</w:t>
            </w:r>
            <w:r>
              <w:rPr>
                <w:rStyle w:val="IndexLink"/>
                <w:rtl w:val="true"/>
              </w:rPr>
              <w:tab/>
            </w:r>
            <w:r>
              <w:rPr>
                <w:rStyle w:val="IndexLink"/>
              </w:rPr>
              <w:t>339</w:t>
            </w:r>
          </w:hyperlink>
        </w:p>
        <w:p>
          <w:pPr>
            <w:pStyle w:val="Contents6"/>
            <w:tabs>
              <w:tab w:val="clear" w:pos="7609"/>
              <w:tab w:val="right" w:pos="9026" w:leader="dot"/>
            </w:tabs>
            <w:rPr/>
          </w:pPr>
          <w:hyperlink w:anchor="__RefHeading___Toc10299182_73709187">
            <w:r>
              <w:rPr>
                <w:webHidden/>
                <w:rStyle w:val="IndexLink"/>
                <w:rtl w:val="true"/>
              </w:rPr>
              <w:t>الوضوء لقراءة القرآن</w:t>
            </w:r>
            <w:r>
              <w:rPr>
                <w:rStyle w:val="IndexLink"/>
                <w:rtl w:val="true"/>
              </w:rPr>
              <w:tab/>
            </w:r>
            <w:r>
              <w:rPr>
                <w:rStyle w:val="IndexLink"/>
              </w:rPr>
              <w:t>342</w:t>
            </w:r>
          </w:hyperlink>
        </w:p>
        <w:p>
          <w:pPr>
            <w:pStyle w:val="Contents6"/>
            <w:tabs>
              <w:tab w:val="clear" w:pos="7609"/>
              <w:tab w:val="right" w:pos="9026" w:leader="dot"/>
            </w:tabs>
            <w:rPr/>
          </w:pPr>
          <w:hyperlink w:anchor="__RefHeading___Toc10299184_73709187">
            <w:r>
              <w:rPr>
                <w:webHidden/>
                <w:rStyle w:val="IndexLink"/>
                <w:rtl w:val="true"/>
              </w:rPr>
              <w:t>استحباب الوضوء للتجديد</w:t>
            </w:r>
            <w:r>
              <w:rPr>
                <w:rStyle w:val="IndexLink"/>
                <w:rtl w:val="true"/>
              </w:rPr>
              <w:tab/>
            </w:r>
            <w:r>
              <w:rPr>
                <w:rStyle w:val="IndexLink"/>
              </w:rPr>
              <w:t>345</w:t>
            </w:r>
          </w:hyperlink>
        </w:p>
        <w:p>
          <w:pPr>
            <w:pStyle w:val="Contents6"/>
            <w:tabs>
              <w:tab w:val="clear" w:pos="7609"/>
              <w:tab w:val="right" w:pos="9026" w:leader="dot"/>
            </w:tabs>
            <w:rPr/>
          </w:pPr>
          <w:hyperlink w:anchor="__RefHeading___Toc10299186_73709187">
            <w:r>
              <w:rPr>
                <w:webHidden/>
                <w:rStyle w:val="IndexLink"/>
                <w:rtl w:val="true"/>
              </w:rPr>
              <w:t>يباح بكلّ وضوء جميع الغايات</w:t>
            </w:r>
            <w:r>
              <w:rPr>
                <w:rStyle w:val="IndexLink"/>
                <w:rtl w:val="true"/>
              </w:rPr>
              <w:tab/>
            </w:r>
            <w:r>
              <w:rPr>
                <w:rStyle w:val="IndexLink"/>
              </w:rPr>
              <w:t>348</w:t>
            </w:r>
          </w:hyperlink>
        </w:p>
        <w:p>
          <w:pPr>
            <w:pStyle w:val="Contents6"/>
            <w:tabs>
              <w:tab w:val="clear" w:pos="7609"/>
              <w:tab w:val="right" w:pos="9026" w:leader="dot"/>
            </w:tabs>
            <w:rPr/>
          </w:pPr>
          <w:hyperlink w:anchor="__RefHeading___Toc10299188_73709187">
            <w:r>
              <w:rPr>
                <w:webHidden/>
                <w:rStyle w:val="IndexLink"/>
                <w:rtl w:val="true"/>
              </w:rPr>
              <w:t>القيد والدّاعي</w:t>
            </w:r>
            <w:r>
              <w:rPr>
                <w:rStyle w:val="IndexLink"/>
                <w:rtl w:val="true"/>
              </w:rPr>
              <w:tab/>
            </w:r>
            <w:r>
              <w:rPr>
                <w:rStyle w:val="IndexLink"/>
              </w:rPr>
              <w:t>351</w:t>
            </w:r>
          </w:hyperlink>
        </w:p>
        <w:p>
          <w:pPr>
            <w:pStyle w:val="Contents6"/>
            <w:tabs>
              <w:tab w:val="clear" w:pos="7609"/>
              <w:tab w:val="right" w:pos="9026" w:leader="dot"/>
            </w:tabs>
            <w:rPr/>
          </w:pPr>
          <w:hyperlink w:anchor="__RefHeading___Toc10299190_73709187">
            <w:r>
              <w:rPr>
                <w:webHidden/>
                <w:rStyle w:val="IndexLink"/>
                <w:rtl w:val="true"/>
              </w:rPr>
              <w:t>كفاية الوضوء الواحد للأحداث المتعدّدة</w:t>
            </w:r>
            <w:r>
              <w:rPr>
                <w:rStyle w:val="IndexLink"/>
                <w:rtl w:val="true"/>
              </w:rPr>
              <w:tab/>
            </w:r>
            <w:r>
              <w:rPr>
                <w:rStyle w:val="IndexLink"/>
              </w:rPr>
              <w:t>355</w:t>
            </w:r>
          </w:hyperlink>
        </w:p>
        <w:p>
          <w:pPr>
            <w:pStyle w:val="Contents6"/>
            <w:tabs>
              <w:tab w:val="clear" w:pos="7609"/>
              <w:tab w:val="right" w:pos="9026" w:leader="dot"/>
            </w:tabs>
            <w:rPr/>
          </w:pPr>
          <w:hyperlink w:anchor="__RefHeading___Toc10299192_73709187">
            <w:r>
              <w:rPr>
                <w:webHidden/>
                <w:rStyle w:val="IndexLink"/>
                <w:rtl w:val="true"/>
              </w:rPr>
              <w:t>إذا اجتمعت الغايات الواجبة والمستحبّة</w:t>
            </w:r>
            <w:r>
              <w:rPr>
                <w:rStyle w:val="IndexLink"/>
                <w:rtl w:val="true"/>
              </w:rPr>
              <w:tab/>
            </w:r>
            <w:r>
              <w:rPr>
                <w:rStyle w:val="IndexLink"/>
              </w:rPr>
              <w:t>356</w:t>
            </w:r>
          </w:hyperlink>
        </w:p>
        <w:p>
          <w:pPr>
            <w:pStyle w:val="Contents6"/>
            <w:tabs>
              <w:tab w:val="clear" w:pos="7609"/>
              <w:tab w:val="right" w:pos="9026" w:leader="dot"/>
            </w:tabs>
            <w:rPr/>
          </w:pPr>
          <w:hyperlink w:anchor="__RefHeading___Toc10299194_73709187">
            <w:r>
              <w:rPr>
                <w:webHidden/>
                <w:rStyle w:val="IndexLink"/>
                <w:rtl w:val="true"/>
              </w:rPr>
              <w:t>النيّة</w:t>
            </w:r>
            <w:r>
              <w:rPr>
                <w:rStyle w:val="IndexLink"/>
                <w:rtl w:val="true"/>
              </w:rPr>
              <w:tab/>
            </w:r>
            <w:r>
              <w:rPr>
                <w:rStyle w:val="IndexLink"/>
              </w:rPr>
              <w:t>358</w:t>
            </w:r>
          </w:hyperlink>
        </w:p>
        <w:p>
          <w:pPr>
            <w:pStyle w:val="Contents6"/>
            <w:tabs>
              <w:tab w:val="clear" w:pos="7609"/>
              <w:tab w:val="right" w:pos="9026" w:leader="dot"/>
            </w:tabs>
            <w:rPr/>
          </w:pPr>
          <w:hyperlink w:anchor="__RefHeading___Toc10299196_7370918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0299198_73709187">
            <w:r>
              <w:rPr>
                <w:webHidden/>
                <w:rStyle w:val="IndexLink"/>
                <w:rtl w:val="true"/>
              </w:rPr>
              <w:t>في اعتبار نيّة الرفع والاستباحة وعدمه</w:t>
            </w:r>
            <w:r>
              <w:rPr>
                <w:rStyle w:val="IndexLink"/>
                <w:rtl w:val="true"/>
              </w:rPr>
              <w:tab/>
            </w:r>
            <w:r>
              <w:rPr>
                <w:rStyle w:val="IndexLink"/>
              </w:rPr>
              <w:t>361</w:t>
            </w:r>
          </w:hyperlink>
        </w:p>
        <w:p>
          <w:pPr>
            <w:pStyle w:val="Contents6"/>
            <w:tabs>
              <w:tab w:val="clear" w:pos="7609"/>
              <w:tab w:val="right" w:pos="9026" w:leader="dot"/>
            </w:tabs>
            <w:rPr/>
          </w:pPr>
          <w:hyperlink w:anchor="__RefHeading___Toc10299200_73709187">
            <w:r>
              <w:rPr>
                <w:webHidden/>
                <w:rStyle w:val="IndexLink"/>
                <w:rtl w:val="true"/>
              </w:rPr>
              <w:t>وقت النيّة</w:t>
            </w:r>
            <w:r>
              <w:rPr>
                <w:rStyle w:val="IndexLink"/>
                <w:rtl w:val="true"/>
              </w:rPr>
              <w:tab/>
            </w:r>
            <w:r>
              <w:rPr>
                <w:rStyle w:val="IndexLink"/>
              </w:rPr>
              <w:t>365</w:t>
            </w:r>
          </w:hyperlink>
        </w:p>
        <w:p>
          <w:pPr>
            <w:pStyle w:val="Contents6"/>
            <w:tabs>
              <w:tab w:val="clear" w:pos="7609"/>
              <w:tab w:val="right" w:pos="9026" w:leader="dot"/>
            </w:tabs>
            <w:rPr/>
          </w:pPr>
          <w:hyperlink w:anchor="__RefHeading___Toc10299202_73709187">
            <w:r>
              <w:rPr>
                <w:webHidden/>
                <w:rStyle w:val="IndexLink"/>
                <w:rtl w:val="true"/>
              </w:rPr>
              <w:t>غَسل الوجه</w:t>
            </w:r>
            <w:r>
              <w:rPr>
                <w:rStyle w:val="IndexLink"/>
                <w:rtl w:val="true"/>
              </w:rPr>
              <w:tab/>
            </w:r>
            <w:r>
              <w:rPr>
                <w:rStyle w:val="IndexLink"/>
              </w:rPr>
              <w:t>366</w:t>
            </w:r>
          </w:hyperlink>
        </w:p>
        <w:p>
          <w:pPr>
            <w:pStyle w:val="Contents6"/>
            <w:tabs>
              <w:tab w:val="clear" w:pos="7609"/>
              <w:tab w:val="right" w:pos="9026" w:leader="dot"/>
            </w:tabs>
            <w:rPr/>
          </w:pPr>
          <w:hyperlink w:anchor="__RefHeading___Toc10299204_7370918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0299206_73709187">
            <w:r>
              <w:rPr>
                <w:webHidden/>
                <w:rStyle w:val="IndexLink"/>
                <w:rtl w:val="true"/>
              </w:rPr>
              <w:t>حكم الخارج عن المتعارف</w:t>
            </w:r>
            <w:r>
              <w:rPr>
                <w:rStyle w:val="IndexLink"/>
                <w:rtl w:val="true"/>
              </w:rPr>
              <w:tab/>
            </w:r>
            <w:r>
              <w:rPr>
                <w:rStyle w:val="IndexLink"/>
              </w:rPr>
              <w:t>370</w:t>
            </w:r>
          </w:hyperlink>
        </w:p>
        <w:p>
          <w:pPr>
            <w:pStyle w:val="Contents6"/>
            <w:tabs>
              <w:tab w:val="clear" w:pos="7609"/>
              <w:tab w:val="right" w:pos="9026" w:leader="dot"/>
            </w:tabs>
            <w:rPr/>
          </w:pPr>
          <w:hyperlink w:anchor="__RefHeading___Toc10299208_73709187">
            <w:r>
              <w:rPr>
                <w:webHidden/>
                <w:rStyle w:val="IndexLink"/>
                <w:rtl w:val="true"/>
              </w:rPr>
              <w:t>لزوم إجراء الماء</w:t>
            </w:r>
            <w:r>
              <w:rPr>
                <w:rStyle w:val="IndexLink"/>
                <w:rtl w:val="true"/>
              </w:rPr>
              <w:tab/>
            </w:r>
            <w:r>
              <w:rPr>
                <w:rStyle w:val="IndexLink"/>
              </w:rPr>
              <w:t>371</w:t>
            </w:r>
          </w:hyperlink>
        </w:p>
        <w:p>
          <w:pPr>
            <w:pStyle w:val="Contents6"/>
            <w:tabs>
              <w:tab w:val="clear" w:pos="7609"/>
              <w:tab w:val="right" w:pos="9026" w:leader="dot"/>
            </w:tabs>
            <w:rPr/>
          </w:pPr>
          <w:hyperlink w:anchor="__RefHeading___Toc10299210_73709187">
            <w:r>
              <w:rPr>
                <w:webHidden/>
                <w:rStyle w:val="IndexLink"/>
                <w:rtl w:val="true"/>
              </w:rPr>
              <w:t>وجوب الابتداء بالأعلى</w:t>
            </w:r>
            <w:r>
              <w:rPr>
                <w:rStyle w:val="IndexLink"/>
                <w:rtl w:val="true"/>
              </w:rPr>
              <w:tab/>
            </w:r>
            <w:r>
              <w:rPr>
                <w:rStyle w:val="IndexLink"/>
              </w:rPr>
              <w:t>374</w:t>
            </w:r>
          </w:hyperlink>
        </w:p>
        <w:p>
          <w:pPr>
            <w:pStyle w:val="Contents6"/>
            <w:tabs>
              <w:tab w:val="clear" w:pos="7609"/>
              <w:tab w:val="right" w:pos="9026" w:leader="dot"/>
            </w:tabs>
            <w:rPr/>
          </w:pPr>
          <w:hyperlink w:anchor="__RefHeading___Toc10299212_73709187">
            <w:r>
              <w:rPr>
                <w:webHidden/>
                <w:rStyle w:val="IndexLink"/>
                <w:rtl w:val="true"/>
              </w:rPr>
              <w:t>عدم وجوب التخليل</w:t>
            </w:r>
            <w:r>
              <w:rPr>
                <w:rStyle w:val="IndexLink"/>
                <w:rtl w:val="true"/>
              </w:rPr>
              <w:tab/>
            </w:r>
            <w:r>
              <w:rPr>
                <w:rStyle w:val="IndexLink"/>
              </w:rPr>
              <w:t>378</w:t>
            </w:r>
          </w:hyperlink>
        </w:p>
        <w:p>
          <w:pPr>
            <w:pStyle w:val="Contents6"/>
            <w:tabs>
              <w:tab w:val="clear" w:pos="7609"/>
              <w:tab w:val="right" w:pos="9026" w:leader="dot"/>
            </w:tabs>
            <w:rPr/>
          </w:pPr>
          <w:hyperlink w:anchor="__RefHeading___Toc10299214_73709187">
            <w:r>
              <w:rPr>
                <w:webHidden/>
                <w:rStyle w:val="IndexLink"/>
                <w:rtl w:val="true"/>
              </w:rPr>
              <w:t>عدم لزوم غَسل البواطن</w:t>
            </w:r>
            <w:r>
              <w:rPr>
                <w:rStyle w:val="IndexLink"/>
                <w:rtl w:val="true"/>
              </w:rPr>
              <w:tab/>
            </w:r>
            <w:r>
              <w:rPr>
                <w:rStyle w:val="IndexLink"/>
              </w:rPr>
              <w:t>381</w:t>
            </w:r>
          </w:hyperlink>
        </w:p>
        <w:p>
          <w:pPr>
            <w:pStyle w:val="Contents6"/>
            <w:tabs>
              <w:tab w:val="clear" w:pos="7609"/>
              <w:tab w:val="right" w:pos="9026" w:leader="dot"/>
            </w:tabs>
            <w:rPr/>
          </w:pPr>
          <w:hyperlink w:anchor="__RefHeading___Toc10299216_73709187">
            <w:r>
              <w:rPr>
                <w:webHidden/>
                <w:rStyle w:val="IndexLink"/>
                <w:rtl w:val="true"/>
              </w:rPr>
              <w:t>في حكم الشكّ في مانعيّة المانع</w:t>
            </w:r>
            <w:r>
              <w:rPr>
                <w:rStyle w:val="IndexLink"/>
                <w:rtl w:val="true"/>
              </w:rPr>
              <w:tab/>
            </w:r>
            <w:r>
              <w:rPr>
                <w:rStyle w:val="IndexLink"/>
              </w:rPr>
              <w:t>382</w:t>
            </w:r>
          </w:hyperlink>
        </w:p>
        <w:p>
          <w:pPr>
            <w:pStyle w:val="Contents6"/>
            <w:tabs>
              <w:tab w:val="clear" w:pos="7609"/>
              <w:tab w:val="right" w:pos="9026" w:leader="dot"/>
            </w:tabs>
            <w:rPr/>
          </w:pPr>
          <w:hyperlink w:anchor="__RefHeading___Toc10299218_73709187">
            <w:r>
              <w:rPr>
                <w:webHidden/>
                <w:rStyle w:val="IndexLink"/>
                <w:rtl w:val="true"/>
              </w:rPr>
              <w:t>الشكّ في وجود الحاجب</w:t>
            </w:r>
            <w:r>
              <w:rPr>
                <w:rStyle w:val="IndexLink"/>
                <w:rtl w:val="true"/>
              </w:rPr>
              <w:tab/>
            </w:r>
            <w:r>
              <w:rPr>
                <w:rStyle w:val="IndexLink"/>
              </w:rPr>
              <w:t>383</w:t>
            </w:r>
          </w:hyperlink>
        </w:p>
        <w:p>
          <w:pPr>
            <w:pStyle w:val="Contents6"/>
            <w:tabs>
              <w:tab w:val="clear" w:pos="7609"/>
              <w:tab w:val="right" w:pos="9026" w:leader="dot"/>
            </w:tabs>
            <w:rPr/>
          </w:pPr>
          <w:hyperlink w:anchor="__RefHeading___Toc10299220_73709187">
            <w:r>
              <w:rPr>
                <w:webHidden/>
                <w:rStyle w:val="IndexLink"/>
                <w:rtl w:val="true"/>
              </w:rPr>
              <w:t>غسل اليدين</w:t>
            </w:r>
            <w:r>
              <w:rPr>
                <w:rStyle w:val="IndexLink"/>
                <w:rtl w:val="true"/>
              </w:rPr>
              <w:tab/>
            </w:r>
            <w:r>
              <w:rPr>
                <w:rStyle w:val="IndexLink"/>
              </w:rPr>
              <w:t>384</w:t>
            </w:r>
          </w:hyperlink>
        </w:p>
        <w:p>
          <w:pPr>
            <w:pStyle w:val="Contents6"/>
            <w:tabs>
              <w:tab w:val="clear" w:pos="7609"/>
              <w:tab w:val="right" w:pos="9026" w:leader="dot"/>
            </w:tabs>
            <w:rPr/>
          </w:pPr>
          <w:hyperlink w:anchor="__RefHeading___Toc10299222_73709187">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10299224_73709187">
            <w:r>
              <w:rPr>
                <w:webHidden/>
                <w:rStyle w:val="IndexLink"/>
                <w:rtl w:val="true"/>
              </w:rPr>
              <w:t>وجوب غسل المرفق</w:t>
            </w:r>
            <w:r>
              <w:rPr>
                <w:rStyle w:val="IndexLink"/>
                <w:rtl w:val="true"/>
              </w:rPr>
              <w:tab/>
            </w:r>
            <w:r>
              <w:rPr>
                <w:rStyle w:val="IndexLink"/>
              </w:rPr>
              <w:t>387</w:t>
            </w:r>
          </w:hyperlink>
        </w:p>
        <w:p>
          <w:pPr>
            <w:pStyle w:val="Contents6"/>
            <w:tabs>
              <w:tab w:val="clear" w:pos="7609"/>
              <w:tab w:val="right" w:pos="9026" w:leader="dot"/>
            </w:tabs>
            <w:rPr/>
          </w:pPr>
          <w:hyperlink w:anchor="__RefHeading___Toc10299226_73709187">
            <w:r>
              <w:rPr>
                <w:webHidden/>
                <w:rStyle w:val="IndexLink"/>
                <w:rtl w:val="true"/>
              </w:rPr>
              <w:t>في غَسل باقي اليد المقطوع بعضها</w:t>
            </w:r>
            <w:r>
              <w:rPr>
                <w:rStyle w:val="IndexLink"/>
                <w:rtl w:val="true"/>
              </w:rPr>
              <w:tab/>
            </w:r>
            <w:r>
              <w:rPr>
                <w:rStyle w:val="IndexLink"/>
              </w:rPr>
              <w:t>390</w:t>
            </w:r>
          </w:hyperlink>
        </w:p>
        <w:p>
          <w:pPr>
            <w:pStyle w:val="Contents6"/>
            <w:tabs>
              <w:tab w:val="clear" w:pos="7609"/>
              <w:tab w:val="right" w:pos="9026" w:leader="dot"/>
            </w:tabs>
            <w:rPr/>
          </w:pPr>
          <w:hyperlink w:anchor="__RefHeading___Toc10299228_73709187">
            <w:r>
              <w:rPr>
                <w:webHidden/>
                <w:rStyle w:val="IndexLink"/>
                <w:rtl w:val="true"/>
              </w:rPr>
              <w:t>حكم الشَّعر النابت دون المرفق</w:t>
            </w:r>
            <w:r>
              <w:rPr>
                <w:rStyle w:val="IndexLink"/>
                <w:rtl w:val="true"/>
              </w:rPr>
              <w:tab/>
            </w:r>
            <w:r>
              <w:rPr>
                <w:rStyle w:val="IndexLink"/>
              </w:rPr>
              <w:t>392</w:t>
            </w:r>
          </w:hyperlink>
        </w:p>
        <w:p>
          <w:pPr>
            <w:pStyle w:val="Contents6"/>
            <w:tabs>
              <w:tab w:val="clear" w:pos="7609"/>
              <w:tab w:val="right" w:pos="9026" w:leader="dot"/>
            </w:tabs>
            <w:rPr/>
          </w:pPr>
          <w:hyperlink w:anchor="__RefHeading___Toc10299230_73709187">
            <w:r>
              <w:rPr>
                <w:webHidden/>
                <w:rStyle w:val="IndexLink"/>
                <w:rtl w:val="true"/>
              </w:rPr>
              <w:t>لزوم غَسل اليد الزائدة</w:t>
            </w:r>
            <w:r>
              <w:rPr>
                <w:rStyle w:val="IndexLink"/>
                <w:rtl w:val="true"/>
              </w:rPr>
              <w:tab/>
            </w:r>
            <w:r>
              <w:rPr>
                <w:rStyle w:val="IndexLink"/>
              </w:rPr>
              <w:t>394</w:t>
            </w:r>
          </w:hyperlink>
        </w:p>
        <w:p>
          <w:pPr>
            <w:pStyle w:val="Contents6"/>
            <w:tabs>
              <w:tab w:val="clear" w:pos="7609"/>
              <w:tab w:val="right" w:pos="9026" w:leader="dot"/>
            </w:tabs>
            <w:rPr/>
          </w:pPr>
          <w:hyperlink w:anchor="__RefHeading___Toc10299232_73709187">
            <w:r>
              <w:rPr>
                <w:webHidden/>
                <w:rStyle w:val="IndexLink"/>
                <w:rtl w:val="true"/>
              </w:rPr>
              <w:t>الوضوء الإرتماسي</w:t>
            </w:r>
            <w:r>
              <w:rPr>
                <w:rStyle w:val="IndexLink"/>
                <w:rtl w:val="true"/>
              </w:rPr>
              <w:tab/>
            </w:r>
            <w:r>
              <w:rPr>
                <w:rStyle w:val="IndexLink"/>
              </w:rPr>
              <w:t>396</w:t>
            </w:r>
          </w:hyperlink>
        </w:p>
        <w:p>
          <w:pPr>
            <w:pStyle w:val="Contents6"/>
            <w:tabs>
              <w:tab w:val="clear" w:pos="7609"/>
              <w:tab w:val="right" w:pos="9026" w:leader="dot"/>
            </w:tabs>
            <w:rPr/>
          </w:pPr>
          <w:hyperlink w:anchor="__RefHeading___Toc10299234_73709187">
            <w:r>
              <w:rPr>
                <w:webHidden/>
                <w:rStyle w:val="IndexLink"/>
                <w:rtl w:val="true"/>
              </w:rPr>
              <w:t>مَسحُ الرأس</w:t>
            </w:r>
            <w:r>
              <w:rPr>
                <w:rStyle w:val="IndexLink"/>
                <w:rtl w:val="true"/>
              </w:rPr>
              <w:tab/>
            </w:r>
            <w:r>
              <w:rPr>
                <w:rStyle w:val="IndexLink"/>
              </w:rPr>
              <w:t>398</w:t>
            </w:r>
          </w:hyperlink>
        </w:p>
        <w:p>
          <w:pPr>
            <w:pStyle w:val="Contents6"/>
            <w:tabs>
              <w:tab w:val="clear" w:pos="7609"/>
              <w:tab w:val="right" w:pos="9026" w:leader="dot"/>
            </w:tabs>
            <w:rPr/>
          </w:pPr>
          <w:hyperlink w:anchor="__RefHeading___Toc10299236_73709187">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0299238_73709187">
            <w:r>
              <w:rPr>
                <w:webHidden/>
                <w:rStyle w:val="IndexLink"/>
                <w:rtl w:val="true"/>
              </w:rPr>
              <w:t>اختصاص المسح بمقدم الرأس</w:t>
            </w:r>
            <w:r>
              <w:rPr>
                <w:rStyle w:val="IndexLink"/>
                <w:rtl w:val="true"/>
              </w:rPr>
              <w:tab/>
            </w:r>
            <w:r>
              <w:rPr>
                <w:rStyle w:val="IndexLink"/>
              </w:rPr>
              <w:t>403</w:t>
            </w:r>
          </w:hyperlink>
        </w:p>
        <w:p>
          <w:pPr>
            <w:pStyle w:val="Contents6"/>
            <w:tabs>
              <w:tab w:val="clear" w:pos="7609"/>
              <w:tab w:val="right" w:pos="9026" w:leader="dot"/>
            </w:tabs>
            <w:rPr/>
          </w:pPr>
          <w:hyperlink w:anchor="__RefHeading___Toc10299240_73709187">
            <w:r>
              <w:rPr>
                <w:webHidden/>
                <w:rStyle w:val="IndexLink"/>
                <w:rtl w:val="true"/>
              </w:rPr>
              <w:t>لزوم كون المسح بنداوة الوضوء</w:t>
            </w:r>
            <w:r>
              <w:rPr>
                <w:rStyle w:val="IndexLink"/>
                <w:rtl w:val="true"/>
              </w:rPr>
              <w:tab/>
            </w:r>
            <w:r>
              <w:rPr>
                <w:rStyle w:val="IndexLink"/>
              </w:rPr>
              <w:t>406</w:t>
            </w:r>
          </w:hyperlink>
        </w:p>
        <w:p>
          <w:pPr>
            <w:pStyle w:val="Contents6"/>
            <w:tabs>
              <w:tab w:val="clear" w:pos="7609"/>
              <w:tab w:val="right" w:pos="9026" w:leader="dot"/>
            </w:tabs>
            <w:rPr/>
          </w:pPr>
          <w:hyperlink w:anchor="__RefHeading___Toc10299242_73709187">
            <w:r>
              <w:rPr>
                <w:webHidden/>
                <w:rStyle w:val="IndexLink"/>
                <w:rtl w:val="true"/>
              </w:rPr>
              <w:t>لزوم كون المَسح بنداوة اليد</w:t>
            </w:r>
            <w:r>
              <w:rPr>
                <w:rStyle w:val="IndexLink"/>
                <w:rtl w:val="true"/>
              </w:rPr>
              <w:tab/>
            </w:r>
            <w:r>
              <w:rPr>
                <w:rStyle w:val="IndexLink"/>
              </w:rPr>
              <w:t>410</w:t>
            </w:r>
          </w:hyperlink>
        </w:p>
        <w:p>
          <w:pPr>
            <w:pStyle w:val="Contents6"/>
            <w:tabs>
              <w:tab w:val="clear" w:pos="7609"/>
              <w:tab w:val="right" w:pos="9026" w:leader="dot"/>
            </w:tabs>
            <w:rPr/>
          </w:pPr>
          <w:hyperlink w:anchor="__RefHeading___Toc10299244_73709187">
            <w:r>
              <w:rPr>
                <w:webHidden/>
                <w:rStyle w:val="IndexLink"/>
                <w:rtl w:val="true"/>
              </w:rPr>
              <w:t>حكم فقدان البلّة</w:t>
            </w:r>
            <w:r>
              <w:rPr>
                <w:rStyle w:val="IndexLink"/>
                <w:rtl w:val="true"/>
              </w:rPr>
              <w:tab/>
            </w:r>
            <w:r>
              <w:rPr>
                <w:rStyle w:val="IndexLink"/>
              </w:rPr>
              <w:t>411</w:t>
            </w:r>
          </w:hyperlink>
        </w:p>
        <w:p>
          <w:pPr>
            <w:pStyle w:val="Contents6"/>
            <w:tabs>
              <w:tab w:val="clear" w:pos="7609"/>
              <w:tab w:val="right" w:pos="9026" w:leader="dot"/>
            </w:tabs>
            <w:rPr/>
          </w:pPr>
          <w:hyperlink w:anchor="__RefHeading___Toc10299246_73709187">
            <w:r>
              <w:rPr>
                <w:webHidden/>
                <w:rStyle w:val="IndexLink"/>
                <w:rtl w:val="true"/>
              </w:rPr>
              <w:t>جواز المسح على الشَّعر</w:t>
            </w:r>
            <w:r>
              <w:rPr>
                <w:rStyle w:val="IndexLink"/>
                <w:rtl w:val="true"/>
              </w:rPr>
              <w:tab/>
            </w:r>
            <w:r>
              <w:rPr>
                <w:rStyle w:val="IndexLink"/>
              </w:rPr>
              <w:t>416</w:t>
            </w:r>
          </w:hyperlink>
        </w:p>
        <w:p>
          <w:pPr>
            <w:pStyle w:val="Contents6"/>
            <w:tabs>
              <w:tab w:val="clear" w:pos="7609"/>
              <w:tab w:val="right" w:pos="9026" w:leader="dot"/>
            </w:tabs>
            <w:rPr/>
          </w:pPr>
          <w:hyperlink w:anchor="__RefHeading___Toc10299248_73709187">
            <w:r>
              <w:rPr>
                <w:webHidden/>
                <w:rStyle w:val="IndexLink"/>
                <w:rtl w:val="true"/>
              </w:rPr>
              <w:t>في حقيقة ما يُمسح به</w:t>
            </w:r>
            <w:r>
              <w:rPr>
                <w:rStyle w:val="IndexLink"/>
                <w:rtl w:val="true"/>
              </w:rPr>
              <w:tab/>
            </w:r>
            <w:r>
              <w:rPr>
                <w:rStyle w:val="IndexLink"/>
              </w:rPr>
              <w:t>418</w:t>
            </w:r>
          </w:hyperlink>
        </w:p>
        <w:p>
          <w:pPr>
            <w:pStyle w:val="Contents6"/>
            <w:tabs>
              <w:tab w:val="clear" w:pos="7609"/>
              <w:tab w:val="right" w:pos="9026" w:leader="dot"/>
            </w:tabs>
            <w:rPr/>
          </w:pPr>
          <w:hyperlink w:anchor="__RefHeading___Toc10299250_73709187">
            <w:r>
              <w:rPr>
                <w:webHidden/>
                <w:rStyle w:val="IndexLink"/>
                <w:rtl w:val="true"/>
              </w:rPr>
              <w:t>عدم لزوم كون مسح الرأس مقبلاً</w:t>
            </w:r>
            <w:r>
              <w:rPr>
                <w:rStyle w:val="IndexLink"/>
                <w:rtl w:val="true"/>
              </w:rPr>
              <w:tab/>
            </w:r>
            <w:r>
              <w:rPr>
                <w:rStyle w:val="IndexLink"/>
              </w:rPr>
              <w:t>420</w:t>
            </w:r>
          </w:hyperlink>
        </w:p>
        <w:p>
          <w:pPr>
            <w:pStyle w:val="Contents6"/>
            <w:tabs>
              <w:tab w:val="clear" w:pos="7609"/>
              <w:tab w:val="right" w:pos="9026" w:leader="dot"/>
            </w:tabs>
            <w:rPr/>
          </w:pPr>
          <w:hyperlink w:anchor="__RefHeading___Toc10299252_73709187">
            <w:r>
              <w:rPr>
                <w:webHidden/>
                <w:rStyle w:val="IndexLink"/>
                <w:rtl w:val="true"/>
              </w:rPr>
              <w:t>مسح الرِّجلين</w:t>
            </w:r>
            <w:r>
              <w:rPr>
                <w:rStyle w:val="IndexLink"/>
                <w:rtl w:val="true"/>
              </w:rPr>
              <w:tab/>
            </w:r>
            <w:r>
              <w:rPr>
                <w:rStyle w:val="IndexLink"/>
              </w:rPr>
              <w:t>422</w:t>
            </w:r>
          </w:hyperlink>
        </w:p>
        <w:p>
          <w:pPr>
            <w:pStyle w:val="Contents6"/>
            <w:tabs>
              <w:tab w:val="clear" w:pos="7609"/>
              <w:tab w:val="right" w:pos="9026" w:leader="dot"/>
            </w:tabs>
            <w:rPr/>
          </w:pPr>
          <w:hyperlink w:anchor="__RefHeading___Toc10299254_73709187">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10299256_73709187">
            <w:r>
              <w:rPr>
                <w:webHidden/>
                <w:rStyle w:val="IndexLink"/>
                <w:rtl w:val="true"/>
              </w:rPr>
              <w:t>المراد من الكَعْبِين</w:t>
            </w:r>
            <w:r>
              <w:rPr>
                <w:rStyle w:val="IndexLink"/>
                <w:rtl w:val="true"/>
              </w:rPr>
              <w:tab/>
            </w:r>
            <w:r>
              <w:rPr>
                <w:rStyle w:val="IndexLink"/>
              </w:rPr>
              <w:t>428</w:t>
            </w:r>
          </w:hyperlink>
        </w:p>
        <w:p>
          <w:pPr>
            <w:pStyle w:val="Contents6"/>
            <w:tabs>
              <w:tab w:val="clear" w:pos="7609"/>
              <w:tab w:val="right" w:pos="9026" w:leader="dot"/>
            </w:tabs>
            <w:rPr/>
          </w:pPr>
          <w:hyperlink w:anchor="__RefHeading___Toc10299258_73709187">
            <w:r>
              <w:rPr>
                <w:webHidden/>
                <w:rStyle w:val="IndexLink"/>
                <w:rtl w:val="true"/>
              </w:rPr>
              <w:t>في وجوب مسح الكعبين وعدمه</w:t>
            </w:r>
            <w:r>
              <w:rPr>
                <w:rStyle w:val="IndexLink"/>
                <w:rtl w:val="true"/>
              </w:rPr>
              <w:tab/>
            </w:r>
            <w:r>
              <w:rPr>
                <w:rStyle w:val="IndexLink"/>
              </w:rPr>
              <w:t>434</w:t>
            </w:r>
          </w:hyperlink>
        </w:p>
        <w:p>
          <w:pPr>
            <w:pStyle w:val="Contents6"/>
            <w:tabs>
              <w:tab w:val="clear" w:pos="7609"/>
              <w:tab w:val="right" w:pos="9026" w:leader="dot"/>
            </w:tabs>
            <w:rPr/>
          </w:pPr>
          <w:hyperlink w:anchor="__RefHeading___Toc10299260_73709187">
            <w:r>
              <w:rPr>
                <w:webHidden/>
                <w:rStyle w:val="IndexLink"/>
                <w:rtl w:val="true"/>
              </w:rPr>
              <w:t>كفاية المُسمّى في مسح الرِّجلين عَرْضاً</w:t>
            </w:r>
            <w:r>
              <w:rPr>
                <w:rStyle w:val="IndexLink"/>
                <w:rtl w:val="true"/>
              </w:rPr>
              <w:tab/>
            </w:r>
            <w:r>
              <w:rPr>
                <w:rStyle w:val="IndexLink"/>
              </w:rPr>
              <w:t>436</w:t>
            </w:r>
          </w:hyperlink>
        </w:p>
        <w:p>
          <w:pPr>
            <w:pStyle w:val="Contents6"/>
            <w:tabs>
              <w:tab w:val="clear" w:pos="7609"/>
              <w:tab w:val="right" w:pos="9026" w:leader="dot"/>
            </w:tabs>
            <w:rPr/>
          </w:pPr>
          <w:hyperlink w:anchor="__RefHeading___Toc10299262_73709187">
            <w:r>
              <w:rPr>
                <w:webHidden/>
                <w:rStyle w:val="IndexLink"/>
                <w:rtl w:val="true"/>
              </w:rPr>
              <w:t>كفاية مسح القدمين منكوساً</w:t>
            </w:r>
            <w:r>
              <w:rPr>
                <w:rStyle w:val="IndexLink"/>
                <w:rtl w:val="true"/>
              </w:rPr>
              <w:tab/>
            </w:r>
            <w:r>
              <w:rPr>
                <w:rStyle w:val="IndexLink"/>
              </w:rPr>
              <w:t>441</w:t>
            </w:r>
          </w:hyperlink>
        </w:p>
        <w:p>
          <w:pPr>
            <w:pStyle w:val="Contents6"/>
            <w:tabs>
              <w:tab w:val="clear" w:pos="7609"/>
              <w:tab w:val="right" w:pos="9026" w:leader="dot"/>
            </w:tabs>
            <w:rPr/>
          </w:pPr>
          <w:hyperlink w:anchor="__RefHeading___Toc10299264_73709187">
            <w:r>
              <w:rPr>
                <w:webHidden/>
                <w:rStyle w:val="IndexLink"/>
                <w:rtl w:val="true"/>
              </w:rPr>
              <w:t>لزوم تقديم اليمنى‌</w:t>
            </w:r>
            <w:r>
              <w:rPr>
                <w:rStyle w:val="IndexLink"/>
                <w:rtl w:val="true"/>
              </w:rPr>
              <w:tab/>
            </w:r>
            <w:r>
              <w:rPr>
                <w:rStyle w:val="IndexLink"/>
              </w:rPr>
              <w:t>443</w:t>
            </w:r>
          </w:hyperlink>
        </w:p>
        <w:p>
          <w:pPr>
            <w:pStyle w:val="Contents6"/>
            <w:tabs>
              <w:tab w:val="clear" w:pos="7609"/>
              <w:tab w:val="right" w:pos="9026" w:leader="dot"/>
            </w:tabs>
            <w:rPr/>
          </w:pPr>
          <w:hyperlink w:anchor="__RefHeading___Toc10299266_73709187">
            <w:r>
              <w:rPr>
                <w:webHidden/>
                <w:rStyle w:val="IndexLink"/>
                <w:rtl w:val="true"/>
              </w:rPr>
              <w:t>في كيفيّة مسح الرِّجلين</w:t>
            </w:r>
            <w:r>
              <w:rPr>
                <w:rStyle w:val="IndexLink"/>
                <w:rtl w:val="true"/>
              </w:rPr>
              <w:tab/>
            </w:r>
            <w:r>
              <w:rPr>
                <w:rStyle w:val="IndexLink"/>
              </w:rPr>
              <w:t>446</w:t>
            </w:r>
          </w:hyperlink>
        </w:p>
        <w:p>
          <w:pPr>
            <w:pStyle w:val="Contents6"/>
            <w:tabs>
              <w:tab w:val="clear" w:pos="7609"/>
              <w:tab w:val="right" w:pos="9026" w:leader="dot"/>
            </w:tabs>
            <w:rPr/>
          </w:pPr>
          <w:hyperlink w:anchor="__RefHeading___Toc10299268_73709187">
            <w:r>
              <w:rPr>
                <w:webHidden/>
                <w:rStyle w:val="IndexLink"/>
                <w:rtl w:val="true"/>
              </w:rPr>
              <w:t>عدم جواز المسح على الحائل</w:t>
            </w:r>
            <w:r>
              <w:rPr>
                <w:rStyle w:val="IndexLink"/>
                <w:rtl w:val="true"/>
              </w:rPr>
              <w:tab/>
            </w:r>
            <w:r>
              <w:rPr>
                <w:rStyle w:val="IndexLink"/>
              </w:rPr>
              <w:t>447</w:t>
            </w:r>
          </w:hyperlink>
        </w:p>
        <w:p>
          <w:pPr>
            <w:pStyle w:val="Contents6"/>
            <w:tabs>
              <w:tab w:val="clear" w:pos="7609"/>
              <w:tab w:val="right" w:pos="9026" w:leader="dot"/>
            </w:tabs>
            <w:rPr/>
          </w:pPr>
          <w:hyperlink w:anchor="__RefHeading___Toc10299270_73709187">
            <w:r>
              <w:rPr>
                <w:webHidden/>
                <w:rStyle w:val="IndexLink"/>
                <w:rtl w:val="true"/>
              </w:rPr>
              <w:t>المسح على الحائل عند الضَّرورة</w:t>
            </w:r>
            <w:r>
              <w:rPr>
                <w:rStyle w:val="IndexLink"/>
                <w:rtl w:val="true"/>
              </w:rPr>
              <w:tab/>
            </w:r>
            <w:r>
              <w:rPr>
                <w:rStyle w:val="IndexLink"/>
              </w:rPr>
              <w:t>450</w:t>
            </w:r>
          </w:hyperlink>
        </w:p>
        <w:p>
          <w:pPr>
            <w:pStyle w:val="Contents6"/>
            <w:tabs>
              <w:tab w:val="clear" w:pos="7609"/>
              <w:tab w:val="right" w:pos="9026" w:leader="dot"/>
            </w:tabs>
            <w:rPr/>
          </w:pPr>
          <w:hyperlink w:anchor="__RefHeading___Toc10299272_73709187">
            <w:r>
              <w:rPr>
                <w:webHidden/>
                <w:rStyle w:val="IndexLink"/>
                <w:rtl w:val="true"/>
              </w:rPr>
              <w:t>جواز التقيَّة مع المندوحة</w:t>
            </w:r>
            <w:r>
              <w:rPr>
                <w:rStyle w:val="IndexLink"/>
                <w:rtl w:val="true"/>
              </w:rPr>
              <w:tab/>
            </w:r>
            <w:r>
              <w:rPr>
                <w:rStyle w:val="IndexLink"/>
              </w:rPr>
              <w:t>453</w:t>
            </w:r>
          </w:hyperlink>
        </w:p>
        <w:p>
          <w:pPr>
            <w:pStyle w:val="Contents2"/>
            <w:tabs>
              <w:tab w:val="clear" w:pos="8743"/>
              <w:tab w:val="right" w:pos="9026" w:leader="dot"/>
            </w:tabs>
            <w:rPr/>
          </w:pPr>
          <w:hyperlink w:anchor="__RefHeading___Toc10299274_73709187">
            <w:r>
              <w:rPr>
                <w:webHidden/>
                <w:rStyle w:val="IndexLink"/>
                <w:rtl w:val="true"/>
              </w:rPr>
              <w:t>فهرس الموضوعات</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4_146793"/>
      <w:bookmarkStart w:id="1" w:name="pg11794_146793"/>
      <w:bookmarkEnd w:id="1"/>
    </w:p>
    <w:p>
      <w:pPr>
        <w:pStyle w:val="Heading2"/>
        <w:numPr>
          <w:ilvl w:val="1"/>
          <w:numId w:val="1"/>
        </w:numPr>
        <w:rPr/>
      </w:pPr>
      <w:bookmarkStart w:id="2" w:name="pg11794_146793"/>
      <w:bookmarkStart w:id="3" w:name="__RefHeading___Toc1029889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98892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pStyle w:val="BookText"/>
        <w:rPr/>
      </w:pPr>
      <w:r>
        <w:rPr>
          <w:rFonts w:ascii="IRNazanin" w:hAnsi="IRNazanin" w:eastAsia="IRNazanin"/>
          <w:color w:val="111111"/>
          <w:sz w:val="28"/>
          <w:sz w:val="28"/>
          <w:szCs w:val="28"/>
          <w:rtl w:val="true"/>
          <w:lang w:bidi="fa-IR"/>
        </w:rPr>
        <w:t>تالیف محمدصادق الحسینی‌الروحانی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باشراف قاسم‌محمد مصری‌العاملی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4_146799"/>
      <w:bookmarkStart w:id="8" w:name="pg11794_146799"/>
      <w:bookmarkEnd w:id="8"/>
    </w:p>
    <w:p>
      <w:pPr>
        <w:pStyle w:val="BookText"/>
        <w:rPr/>
      </w:pPr>
      <w:bookmarkStart w:id="9" w:name="pg11794_146799"/>
      <w:bookmarkEnd w:id="9"/>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p>
    <w:p>
      <w:pPr>
        <w:pStyle w:val="BookText"/>
        <w:rPr/>
      </w:pPr>
      <w:r>
        <w:rPr>
          <w:rFonts w:ascii="Amiri" w:hAnsi="Amiri" w:eastAsia="Amiri" w:cs="Amiri"/>
          <w:color w:val="111111"/>
          <w:sz w:val="28"/>
          <w:sz w:val="28"/>
          <w:szCs w:val="28"/>
          <w:rtl w:val="true"/>
          <w:lang w:bidi="ar-SA"/>
        </w:rPr>
        <w:t>الماء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ما يستحقّ إطلاق اسم الماء عليه، ولا يمكن سَلبه عنه</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298894_73709187"/>
      <w:bookmarkStart w:id="11" w:name="_Toc3"/>
      <w:bookmarkEnd w:id="10"/>
      <w:r>
        <w:rPr>
          <w:rtl w:val="true"/>
        </w:rPr>
        <w:t>كتاب الطهارة</w:t>
      </w:r>
      <w:bookmarkEnd w:id="11"/>
    </w:p>
    <w:p>
      <w:pPr>
        <w:pStyle w:val="Heading3"/>
        <w:numPr>
          <w:ilvl w:val="2"/>
          <w:numId w:val="1"/>
        </w:numPr>
        <w:rPr/>
      </w:pPr>
      <w:bookmarkStart w:id="12" w:name="__RefHeading___Toc10298896_73709187"/>
      <w:bookmarkStart w:id="13" w:name="_Toc4"/>
      <w:bookmarkEnd w:id="12"/>
      <w:r>
        <w:rPr>
          <w:rtl w:val="true"/>
        </w:rPr>
        <w:t>الباب الأوّل</w:t>
      </w:r>
      <w:r>
        <w:rPr>
          <w:rtl w:val="true"/>
        </w:rPr>
        <w:t xml:space="preserve">: </w:t>
      </w:r>
      <w:r>
        <w:rPr>
          <w:rtl w:val="true"/>
        </w:rPr>
        <w:t>في المياه</w:t>
      </w:r>
      <w:bookmarkEnd w:id="13"/>
    </w:p>
    <w:p>
      <w:pPr>
        <w:pStyle w:val="Heading4"/>
        <w:numPr>
          <w:ilvl w:val="3"/>
          <w:numId w:val="1"/>
        </w:numPr>
        <w:rPr/>
      </w:pPr>
      <w:bookmarkStart w:id="14" w:name="__RefHeading___Toc10298898_73709187"/>
      <w:bookmarkStart w:id="15" w:name="_Toc5"/>
      <w:bookmarkEnd w:id="14"/>
      <w:r>
        <w:rPr>
          <w:rtl w:val="true"/>
        </w:rPr>
        <w:t>المطلق والمضاف</w:t>
      </w:r>
      <w:bookmarkEnd w:id="15"/>
    </w:p>
    <w:p>
      <w:pPr>
        <w:pStyle w:val="Heading5"/>
        <w:numPr>
          <w:ilvl w:val="4"/>
          <w:numId w:val="1"/>
        </w:numPr>
        <w:rPr/>
      </w:pPr>
      <w:bookmarkStart w:id="16" w:name="__RefHeading___Toc10298900_7370918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وهو في اصطلاح الفقهاء</w:t>
      </w:r>
      <w:r>
        <w:rPr>
          <w:rStyle w:val="FootnoteAnchor"/>
          <w:rtl w:val="true"/>
        </w:rPr>
        <w:footnoteReference w:id="2"/>
      </w:r>
      <w:r>
        <w:rPr>
          <w:rFonts w:ascii="Amiri" w:hAnsi="Amiri" w:eastAsia="Amiri" w:cs="Amiri"/>
          <w:color w:val="111111"/>
          <w:sz w:val="28"/>
          <w:sz w:val="28"/>
          <w:szCs w:val="28"/>
          <w:rtl w:val="true"/>
          <w:lang w:bidi="ar-SA"/>
        </w:rPr>
        <w:t>يُطلق على المسائل المدَّونة لمعرفة الأحكام الشرعيّة المتعلّقة بضدّ النجاسة بمعناها المعروف عند المتشرّعة، والنظافة المعنويّة الموجبة لإباحة الصلاة، وفيه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إطلاق اسم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سلبه عنه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يصحّ إطلاق الماء عليه بلا عناية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والمضاف بخلافه، فالمطلق طاهرٌ ومطهّر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يطلق عليه حقيقةً، إلّامع الإضافة، كماء الرُّمان، فإنّ إطلاق لفظ الماء عليه مجازٌ، وإنّما يطلق عليه حقيقةً ماء الرُّمان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ضروريّات الدِّين، ولم يخالف فيه إلّاسعيد بن المُسيّب</w:t>
      </w:r>
      <w:r>
        <w:rPr>
          <w:rStyle w:val="FootnoteAnchor"/>
          <w:rtl w:val="true"/>
        </w:rPr>
        <w:footnoteReference w:id="3"/>
      </w:r>
      <w:r>
        <w:rPr>
          <w:rFonts w:ascii="IRNazanin" w:hAnsi="IRNazanin" w:eastAsia="IRNazanin"/>
          <w:color w:val="111111"/>
          <w:sz w:val="28"/>
          <w:sz w:val="28"/>
          <w:szCs w:val="28"/>
          <w:rtl w:val="true"/>
          <w:lang w:bidi="fa-IR"/>
        </w:rPr>
        <w:t>وعبد اللّه بن عمرو</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المختار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لأنّ أحد معاني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موارد استعمال هذا اللّفظ في الروايات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يتطهّر به كالسّحور والفطور، فيدلّ بالمطابقة على مطهريّته، وبالالتزام على طهارته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منه هنا المُطهّر لاستعماله فيه في جملةٍ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كونه أحد معانيه، وما في الروايات كما يصلح لأن يكون هو المستعمل فيه والمراد منه كذلك يصلح لأن يكون المراد منه ما ذكرناه، كما لايخفى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بما أنّه يحتمل أن يكون المراد منه المبالغة،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لا يصحّ الاستدلال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شيخ الطائفة رحمه الله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 من الفحول؛ من أنّ صيغة المبالغة لا تُستعمل إلّافيما تكرّر فيه الشيء الذي اشتقّ الاسم منه، وحيثُ أنّ كونه طاهراً ممّا يتزايد، فلابدَّ وأن يكون استعمال هذا اللّفظ فيه باعتبار أنّه طاهرٌ في نفسه، ومطهّرٌ من الخبث 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يتصوّر فيه ذلك باعتبار أنّ الماء ممّا لا يتنجّس بملاقاة النجاسة، بخلاف غيره ممّا يكون طاهراً، فتكون طهارته أزيد من طهارة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أورد على الاستدلال بها بإيرادين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بماء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وهي لا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المياه إنّما نزلت من السماء، كما تدلّ عليه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لورودها مورد الامتنان تدلّ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عَلَيْكُمْ مِنَ اَلسَّماءِ ماءً لِيُطَهِّرَكُمْ بِهِ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ودلالة هذه الآية على المدَّعى وإنْ كانت سليمة عن الإشكال المتقدّم، لكنّها وردت في واقعةٍ خاصّة، إلّاأن يستدلّ بها على الحكم مع ضميمة الإجماع على عدم الفرق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من الدلالة على طهارته ومطهريّته، ففي صحيح ابن فرقد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وقَدْ وَسَّعَ اللّهُ عَلَيْكُمْ بِأَوْسَعِ مَا بَيْنَ السَّمَاءِ والأرْضِ، وجَعَلَ لَكُمُ الْمَاءَ طَهُوراً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الخبر الذي رواه السكوني 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الأخبار الواردة في تطهير النجاسات والوضوء والغُسل، المصرّحة بحصول الطهارة به، ومع هذه الروايات لا حاجة إلى إطالة الكلام في الاستدلال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عن عبد اللّه بن عَمْرو</w:t>
      </w:r>
      <w:r>
        <w:rPr>
          <w:rStyle w:val="FootnoteAnchor"/>
          <w:rtl w:val="true"/>
        </w:rPr>
        <w:footnoteReference w:id="13"/>
      </w:r>
      <w:r>
        <w:rPr>
          <w:rFonts w:ascii="IRNazanin" w:hAnsi="IRNazanin" w:eastAsia="IRNazanin"/>
          <w:color w:val="111111"/>
          <w:sz w:val="28"/>
          <w:sz w:val="28"/>
          <w:szCs w:val="28"/>
          <w:rtl w:val="true"/>
          <w:lang w:bidi="fa-IR"/>
        </w:rPr>
        <w:t>من عدم جواز التوضوء بماء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مطهّريّة الماء مطلقاً، مضافاً إلى الروايات الدالّة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البحر تَحِلُّ ميتته وطهورٌ مائه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باعتبار وقوع النجاسة فيه ينقسم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وقوع النجاسة فيه ينقسم أقساماً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 والنّابع غير الجاري، وماءُ الغيث، والرّاكد المنقسم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والقليل، والبئر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ذكر ماء الغيث والنّابع في الأقسام، لعلّه يكون من جهة كون المقسم ماءُ الأرض، ودخول النّابع في الجاري أو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المحقّق البهبهاني رحمه الله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 w:name="pg11794_146804"/>
    </w:p>
    <w:p>
      <w:pPr>
        <w:pStyle w:val="Heading5"/>
        <w:numPr>
          <w:ilvl w:val="4"/>
          <w:numId w:val="1"/>
        </w:numPr>
        <w:rPr/>
      </w:pPr>
      <w:bookmarkStart w:id="19" w:name="__RefHeading___Toc10298902_73709187"/>
      <w:bookmarkStart w:id="20" w:name="_Toc7"/>
      <w:bookmarkEnd w:id="18"/>
      <w:bookmarkEnd w:id="19"/>
      <w:r>
        <w:rPr>
          <w:rtl w:val="true"/>
        </w:rPr>
        <w:t>المطلق</w:t>
      </w:r>
      <w:bookmarkEnd w:id="20"/>
    </w:p>
    <w:p>
      <w:pPr>
        <w:pStyle w:val="Heading6"/>
        <w:numPr>
          <w:ilvl w:val="5"/>
          <w:numId w:val="1"/>
        </w:numPr>
        <w:rPr/>
      </w:pPr>
      <w:bookmarkStart w:id="21" w:name="__RefHeading___Toc10298904_7370918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كمياه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يَنجسُ بما يَقعُ من النجاسة، ما لم يتغيّر لونه أو طَعمه أو ريحه بها</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0298906_73709187"/>
      <w:bookmarkStart w:id="24" w:name="_Toc9"/>
      <w:bookmarkEnd w:id="23"/>
      <w:r>
        <w:rPr>
          <w:rtl w:val="true"/>
        </w:rPr>
        <w:t>القسم الأوّل</w:t>
      </w:r>
      <w:r>
        <w:rPr>
          <w:rtl w:val="true"/>
        </w:rPr>
        <w:t xml:space="preserve">: </w:t>
      </w:r>
      <w:r>
        <w:rPr>
          <w:rtl w:val="true"/>
        </w:rPr>
        <w:t>الماء الجاري</w:t>
      </w:r>
      <w:bookmarkEnd w:id="24"/>
    </w:p>
    <w:p>
      <w:pPr>
        <w:pStyle w:val="Heading6"/>
        <w:numPr>
          <w:ilvl w:val="5"/>
          <w:numId w:val="1"/>
        </w:numPr>
        <w:rPr/>
      </w:pPr>
      <w:bookmarkStart w:id="25" w:name="__RefHeading___Toc10298908_7370918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النّابع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كمياه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شهرةً عظيمة، تكاد تبلغ الإجماع، ويساعده العرف واللّغة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النبع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مدخليّة الاستعداد للجريان في صدق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الماء الجاري على ماءٍ بقول مطلق، إنّما يتوقّف على كونه عن نبع، ولذا ترى عدم صدقه على الماء المُنصَّب من الإبريق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بالجاري النّابع غير البئر، سواءٌ جرى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 مع كونه مخالفاً للعرف واللّغة والإصطلاح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 بما يقع من النجاسة، ما لم يتغيّر لونه أو طعمه أو ريحه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غير واحدٍ دعوى الإجماع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الإجماعات المنقولة استدلّ المحقّق الهمداني</w:t>
      </w:r>
      <w:r>
        <w:rPr>
          <w:rStyle w:val="FootnoteAnchor"/>
          <w:rtl w:val="true"/>
        </w:rPr>
        <w:footnoteReference w:id="19"/>
      </w:r>
      <w:r>
        <w:rPr>
          <w:rFonts w:ascii="Amiri" w:hAnsi="Amiri" w:eastAsia="Amiri" w:cs="Amiri"/>
          <w:color w:val="111111"/>
          <w:sz w:val="28"/>
          <w:sz w:val="28"/>
          <w:szCs w:val="28"/>
          <w:rtl w:val="true"/>
          <w:lang w:bidi="ar-SA"/>
        </w:rPr>
        <w:t xml:space="preserve">رحمه الله على أصل الحكم، </w:t>
      </w:r>
    </w:p>
    <w:p>
      <w:pPr>
        <w:pStyle w:val="BookText"/>
        <w:rPr/>
      </w:pPr>
      <w:r>
        <w:rPr>
          <w:rFonts w:ascii="Amiri" w:hAnsi="Amiri" w:eastAsia="Amiri" w:cs="Amiri"/>
          <w:color w:val="111111"/>
          <w:sz w:val="28"/>
          <w:sz w:val="28"/>
          <w:szCs w:val="28"/>
          <w:rtl w:val="true"/>
          <w:lang w:bidi="ar-SA"/>
        </w:rPr>
        <w:t>بدعوى أنّها موجبة للحدس القطعي بكون الحكم معروفاً عند أصحاب الأئمّة، مغروساً في أذهانهم، ولولا أنّ فتاوى الأصحاب في مثل هذا الفرع مورثة لإستكشاف رأي المعصوم، لتعذّر استفادة موافقته في شيءٍ من المسائل الفرعيّة من فتاوى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مدرك القوم في فتاواهم معلومٌ، وهي الروايات التي ستمرّ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بنفسه كاشفاً عن رأي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التعليل،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بزيع الآتي، لأنّه بعمومه يدلّ على عدم إنفعال كلّ ما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مسلم، عن أبي عبد اللّه عليه السلام في الثّوب الذي يصيبه البول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 عليه السلام حكم بكفاية الغَسل مرّةً واحدة في الجاري، والظاهر منه وضع الثوب فيه لا صبّه عليه، ولولا عدم انفعاله لما كان يطهر الثوب بذلك، لأنّه بمجرّد الوضع ينجس الماء، فلا تحصل طهارة الثوب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الفرق بين الغَسل في الجاري وفي غيره، والاكتفاء بالمرّة فيه خاصّة، يستفاد عدم انفعاله بالملازمة العرفيّة، فتدبّر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 هُوَ بِمَنْزِلَةِ الْمَاءِ الْجَارِي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حيث أنّ السؤال على ما يظهر من سائر الروايات إنّما كان عن الحمّامات المتعارفة في ذلك الزمان، التي لم يكن ماءها كراً وكانت متّصلة به،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على عدم إنفعال الجاري، وإلّا لم يكن وجهٌ لتنزيل ماء الحمّام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سؤالاً وجواباً في أنّ التنزيل إنّما يكون في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ما أشكل بعض الأعاظم</w:t>
      </w:r>
      <w:r>
        <w:rPr>
          <w:rStyle w:val="FootnoteAnchor"/>
          <w:rtl w:val="true"/>
        </w:rPr>
        <w:footnoteReference w:id="22"/>
      </w:r>
      <w:r>
        <w:rPr>
          <w:rFonts w:ascii="Amiri" w:hAnsi="Amiri" w:eastAsia="Amiri" w:cs="Amiri"/>
          <w:color w:val="111111"/>
          <w:sz w:val="28"/>
          <w:sz w:val="28"/>
          <w:szCs w:val="28"/>
          <w:rtl w:val="true"/>
          <w:lang w:bidi="ar-SA"/>
        </w:rPr>
        <w:t>من إجمال الحكم الملحوظ في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التنزيل مساواة الشيئين في الحكم، وحيث يُعلم من الخارج اشتراط بلوغ المادّة ولو مع ما في الحياض كُراً، فيدلّ هذا الخبر على اعتبار الكريَّة في الجاري أيضاً، فهو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إنّما يقتضي ثبوت حكم المنزّل عليه وهو الجاري، للمنزّل وهو ماء الحمّام، لا حكم المنزّل للمنزّل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فالتنزيلُ لا يقتضي اعتبار الكريَّة في الجاري، لاعتباره في ماء الحمّام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لم يكن للجاري خصوصيّة، لم يكن وجهٌ لذكره بالخصوص، وكان الأولى تنزيل ماء الحمّام منزلة ماء البحر، مع أنّ تنزيل كُرٍّ منزلة آخر بديهي البطلان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ببعض الروايات الواردة في البول في الماء الجاري، وهو ما سئل فيه عن الماء، مثل خبر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الْمَاءِ الْجَارِي يُبَالُ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السؤال عن الماء بعد البول، لا عن حكم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إنفعال الجاري، سواءٌ أكان بمقدار الكُرّ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25"/>
      </w:r>
      <w:r>
        <w:rPr>
          <w:rFonts w:ascii="Amiri" w:hAnsi="Amiri" w:eastAsia="Amiri" w:cs="Amiri"/>
          <w:color w:val="111111"/>
          <w:sz w:val="28"/>
          <w:sz w:val="28"/>
          <w:szCs w:val="28"/>
          <w:rtl w:val="true"/>
          <w:lang w:bidi="ar-SA"/>
        </w:rPr>
        <w:t>والشهيد الثاني رحمه الله</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فيه، مستنداً إلى عموم ما يدلّ على إنفعال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مخصّصٌ بالأدلّة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الطائفتين عموم من وجه فيتساقطان، والمرجع عموم ما يدلّ على إنفعال الأشياء بالملاقاة، بناءً على ضعف سند النبويّ</w:t>
      </w:r>
      <w:r>
        <w:rPr>
          <w:rStyle w:val="FootnoteAnchor"/>
          <w:rtl w:val="true"/>
        </w:rPr>
        <w:footnoteReference w:id="27"/>
      </w:r>
      <w:r>
        <w:rPr>
          <w:rFonts w:ascii="Amiri" w:hAnsi="Amiri" w:eastAsia="Amiri" w:cs="Amiri"/>
          <w:color w:val="111111"/>
          <w:sz w:val="28"/>
          <w:sz w:val="28"/>
          <w:szCs w:val="28"/>
          <w:rtl w:val="true"/>
          <w:lang w:bidi="ar-SA"/>
        </w:rPr>
        <w:t>الدالّ على اعتصام الماء مطلقاً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شبهة في أظهريّة التعليل في اعتصام الجاري مطلقاً عمَّا يدلّ على إنفعال القليل،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حملنا أخبار الانفعال على القليل غير الجاري، لا يلزم محذورٌ، بخلاف حمل نصوص الاعتصام على الجاري غير القليل، إذ يلزم حينئذٍ لغويّة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حينئذٍ لا خصوصيّة للمادّة، فيصبح ذكره لغواً، فقوله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لكونه ذا مادّة خصوصيّة في الاعتصام، توجب تقدّم هذه النصوص على أخبار الانفعال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 w:name="pg11794_146808"/>
    </w:p>
    <w:p>
      <w:pPr>
        <w:pStyle w:val="BookText"/>
        <w:rPr/>
      </w:pPr>
      <w:bookmarkEnd w:id="27"/>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أنّه لا ينجس كلّ ما له مادّة بالملاقاة مع النجس، سواءٌ أكان خروج الماء عنه بالفوران، أو بنحو الرّشح، ولو لم يصدق النبع على الخارج بنحو الرشح، لعموم مايدلّ على عاصميَّة المادّة، ومثله كلّنابعٍ ولو كان راكداً</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0298910_73709187"/>
      <w:bookmarkStart w:id="29" w:name="_Toc11"/>
      <w:bookmarkEnd w:id="28"/>
      <w:r>
        <w:rPr>
          <w:rtl w:val="true"/>
        </w:rPr>
        <w:t>الشكّ في وجود المادّة وعدمه</w:t>
      </w:r>
      <w:bookmarkEnd w:id="29"/>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له مادّة، وكان قليلاً ينجس بالملاقاة، كما صرّح به غير واحدٍ</w:t>
      </w:r>
      <w:r>
        <w:rPr>
          <w:rStyle w:val="FootnoteAnchor"/>
          <w:rtl w:val="true"/>
        </w:rPr>
        <w:footnoteReference w:id="28"/>
      </w:r>
      <w:r>
        <w:rPr>
          <w:rFonts w:ascii="Amiri" w:hAnsi="Amiri" w:eastAsia="Amiri" w:cs="Amiri"/>
          <w:color w:val="111111"/>
          <w:sz w:val="28"/>
          <w:sz w:val="28"/>
          <w:szCs w:val="28"/>
          <w:rtl w:val="true"/>
          <w:lang w:bidi="ar-SA"/>
        </w:rPr>
        <w:t>، وما يمكن أن يكون مدركاً لهذا الحكم، واستدلّ له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اقتضاء الملاقاة للانفعال، والمادّة مانعة عنه، فمع الشكّ في المانع يكون المرجع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تماميّة قاعدة المقتضي والمانع في نفسه، كما حُقّق في محلّه، فهي غير جارية في المقام، لعدم إمكان تمييزالمقتضي عن المانع و الشرطفي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إناطة الحكم غير الإلزامي، أو ما هو موضوعٌ له على أمر وجودي، تدلّ بالالتزام العرفي على إناطة الحكم بإحراز ذلك الأمر، وانتفائه عند عدم إحرازه، فما لم يُحرز كونه ذا مادّةٍ يُحكم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إناطة الحكم الإباحي على أمرٍ، كإناطة المنع عليه، أنّ المقصود ليس إلّاجعل حكم واقعي لموضوعه الواقعي، ولم يثبت لنا وجود قاعدة عقلائيّة ظاهريّة مقتضية لذلك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يدلّ على نجاسة الماء القليل بالملاقاة، خرج عنه ما له مادّة، ومع الشكّ في ذلك يتمسّك بالعموم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يُبنى على جواز التمسّك بالعام في الشبهة المصداقيّة، والتحقيق خلافه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الأزلي، الذي قد ثبت في محلّه جريانه، لأنّ هذا الماء قبل وجوده لم يكن له مادّة بنحو السالبة بانتفاء الموضوع، وبعد تحقّقه يُشكّ في ثبوت هذا العنوان له،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دعوى جريان استصحاب العدم النعتي أيضاً، إذ هذا الماء إن لم يكن نابعاً عن مادّةٍ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نابعاً عنها، فقبل خروجه عن منبعه لم يكن ماءٌ له مادّة، بل كان مادّة، وبعد خروجه يشكّ في ثبوت هذا العنوان له،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المادّة من الأعلى، فإنْ كانت تترشّح وتتقاطر دون الكُرّ ينجس لعدم صدق الجاري عليه كما هو واضح، وليس من أفراد ما له المادّة، لأنّها إذا كانت منفصلة عن الماء تكون غيره، فلا يصدق عليه 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المادّة الدوام، فلو اجتمع ماء المطر أو غيره تحت الأرض، وترشّح إذا حفرت، لا يكون حكمه حكم الجاري، إذ من المستبعد جدّاً أن يكون الماء قبل أن يجتمع تحت الأرض غير عاصم، ويصبح عاصماً بذلك، فلذا تكون دعوى انصراف ذي المادّة عن مثله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من التشكيك في شمول ذي المادّة له أوّلاً، ثمّ تقوية شموله له ضعيفٌ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كالجاري في عدم انفعاله بملاقاة النجاسة، لأنّه يصدق عليه أنّ له مادّة، وأمّا سائر أحكام الجاري المختَّصة به، أي ما يترتّب على عنوان الجاري، فالظاهر عدم ترتبه عليه لعدم كونه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التي تنبع في فصلٍ كالشتاء وتجفّ في فصلٍ آخر كالصيف، يلحقها حكم الجاري في فصل نبعها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الشهيد رحمه الله</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باعتبار الدوام في النبع في اعتصام الجاري عدم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يدلّ عليه دليل، كما صرّح به المحقّق رحمه الله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الشهيد الأوّل؛ من كلامه المتقدّم ليس ما توهّم، لأنّه منزّه عن أن يذهب إلى مثله، 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عن العيون التي تنبع آناً وتقف آناً، لضعف الاستعداد في نبعها، وعليه فالمراد من عدم اعتصامه حينئذٍ أنّه لا اعتصام له دائماً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11794_146811"/>
    </w:p>
    <w:p>
      <w:pPr>
        <w:pStyle w:val="BookText"/>
        <w:rPr/>
      </w:pPr>
      <w:bookmarkEnd w:id="30"/>
      <w:r>
        <w:rPr>
          <w:rFonts w:ascii="Amiri" w:hAnsi="Amiri" w:eastAsia="Amiri" w:cs="Amiri"/>
          <w:color w:val="111111"/>
          <w:sz w:val="28"/>
          <w:sz w:val="28"/>
          <w:szCs w:val="28"/>
          <w:rtl w:val="true"/>
          <w:lang w:bidi="ar-SA"/>
        </w:rPr>
        <w:t>فإن تغيّر، نَجَّس المتغيّر خاصّة دون ما قبله وما بعده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0298912_73709187"/>
      <w:bookmarkStart w:id="32" w:name="_Toc12"/>
      <w:bookmarkEnd w:id="31"/>
      <w:r>
        <w:rPr>
          <w:rtl w:val="true"/>
        </w:rPr>
        <w:t>الماء المُتغيّر</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بأقسامه بالنجاسة في أحد أوصافه الثلاثة من الطعم والرائحة واللّون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المتغيّر خاصّة، دون ما قبله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إجماعاً محصّلاً ومنقولاً كاد يكون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عن جَعْفَرُ بْنُ الْحَسَنِ بْنِ سَعِيدٍ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إلّامَا غَيَّرَ لَوْنَهُ أَوْ طَعْمَهُ أَوْ رِيحَهُ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من المتّفق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متواترٌ عن الصادق عليه السلام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الأُمَّة بمدلوله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 في المسائل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صحيحة السند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عدم صحّة الاعتماد عليه في الفتوى، لأنّ المحقّق ردّ في</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مرويّ من طريق الجمهور، وأكثرهم طعن في سنده، وهو ادّعى تواتره عن الأئمّة عليهم السلام، ونحن ما رأينا له سنداً في </w:t>
      </w:r>
    </w:p>
    <w:p>
      <w:pPr>
        <w:pStyle w:val="BookText"/>
        <w:rPr/>
      </w:pPr>
      <w:r>
        <w:rPr>
          <w:rFonts w:ascii="Amiri" w:hAnsi="Amiri" w:eastAsia="Amiri" w:cs="Amiri"/>
          <w:color w:val="111111"/>
          <w:sz w:val="28"/>
          <w:sz w:val="28"/>
          <w:szCs w:val="28"/>
          <w:rtl w:val="true"/>
          <w:lang w:bidi="ar-SA"/>
        </w:rPr>
        <w:t>كتب الأصحاب آحاداً فكيف تواتراً؟</w:t>
      </w:r>
    </w:p>
    <w:p>
      <w:pPr>
        <w:pStyle w:val="BookText"/>
        <w:rPr/>
      </w:pPr>
      <w:r>
        <w:rPr>
          <w:rFonts w:ascii="Amiri" w:hAnsi="Amiri" w:eastAsia="Amiri" w:cs="Amiri"/>
          <w:color w:val="111111"/>
          <w:sz w:val="28"/>
          <w:sz w:val="28"/>
          <w:szCs w:val="28"/>
          <w:rtl w:val="true"/>
          <w:lang w:bidi="ar-SA"/>
        </w:rPr>
        <w:t>وعن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لنجاسة الماء المتغيَّر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اللّون</w:t>
      </w:r>
      <w:r>
        <w:rPr>
          <w:rStyle w:val="FootnoteAnchor"/>
          <w:rtl w:val="true"/>
        </w:rPr>
        <w:footnoteReference w:id="38"/>
      </w:r>
      <w:r>
        <w:rPr>
          <w:rFonts w:ascii="Amiri" w:hAnsi="Amiri" w:eastAsia="Amiri" w:cs="Amiri"/>
          <w:color w:val="111111"/>
          <w:sz w:val="28"/>
          <w:sz w:val="28"/>
          <w:szCs w:val="28"/>
          <w:rtl w:val="true"/>
          <w:lang w:bidi="ar-SA"/>
        </w:rPr>
        <w:t>، ثمّ قال في ردّ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شاهد على أنّه من طريق الجمهور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عاميّ مرسل،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أنّهم طعنوا فيه بعدم ذكره في أخبارنا صريحاً، وأنّه عاميّ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احتمال أن يكون مراد العَمّاني ومَنْ ادّعى تواتر الرواية، ثبوت مضمونها ولو بطريق آخر، كما يكشف عن ذلك نقل النبويّ بألسنةٍ متفاوتة، فلا يبقى وثوقٌ بصدور هذه العبارة عن النبيّ صلى الله عليه و آله، فلا وجه لأن يعامل معه معاملة الرواية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ذكره في مقام التأييد لا بأس به، ولكن الحكم المذكور ممّا لا إشكال فيه للأخبار الكثيرة، ولا بأس بالإشارة إلى بعضها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الريح، مثل ما رواه الشيخ في الموثّق عَنْ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بِالْمَاءِ وفِيهِ دَابَّةٌ مَيْتَةٌ قَدْ أَنْتَنَتْ؟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النَّتْنُ الْغَالِبَ عَلَى الْمَاءِ فَلا يَتَوَضَّأْ ولا يَشْرَبْ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به الجاري وغيره ممّا لا يتنجّس بالملاقاة،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الرِّيح والطعم؛ مثل صحيح ابن بزيع،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وارداً في البئر، لكن بما أنّه فُرض فيه عاصميّة ماء البئر، وعدم تنجّسه بالملاقاة، فيثبت في غيره بعدم الفصل، كما يثبُت في غير الميتة من النجاسات بعدم الفصل،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الريح واللّون، مثل صحيح شهاب،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وَجِئْتَ تَسْأَلُ عَنِ الْمَاءِ الرَّاكِد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أو الكُرّ كما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فِيهِ تَغَيُّرٌ أَوْ رِيحٌ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فَتَوَضَّأْ مِنْهُ، وكُلُّ مَا غَلَبَ عَلَيْهِ كَثْرَةُ الْمَاءِ فَهُوَ طَاهِرٌ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الروايات يقتضي الحكم بثبوت النجاسة إذا تغيّر بأحد الأوصاف الثلاثة، كما لا يخفى، ويؤيّد ذلك النبويّ المتقدّم</w:t>
      </w:r>
      <w:r>
        <w:rPr>
          <w:rStyle w:val="FootnoteAnchor"/>
          <w:rtl w:val="true"/>
        </w:rPr>
        <w:footnoteReference w:id="45"/>
      </w:r>
      <w:r>
        <w:rPr>
          <w:rFonts w:ascii="Amiri" w:hAnsi="Amiri" w:eastAsia="Amiri" w:cs="Amiri"/>
          <w:color w:val="111111"/>
          <w:sz w:val="28"/>
          <w:sz w:val="28"/>
          <w:szCs w:val="28"/>
          <w:rtl w:val="true"/>
          <w:lang w:bidi="ar-SA"/>
        </w:rPr>
        <w:t xml:space="preserve">،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الْجُنُبُ بِالْمَاءِ وفِيهِ الْجِيفَةُ أَوِ الْمَيْتَةُ، فَإِنْ كَانَ قَدْ تَغَيَّرَ لِذَلِكَ طَعْمُهُ أَوْ رِيحُهُ أَوْ لَوْنُهُ، فَلا يَشْرَبُ مِنْهُ، ولا يَتَوَضَّأُ، ولا يَتَطَهَّرُ مِنْهُ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3" w:name="pg11794_146814"/>
    </w:p>
    <w:p>
      <w:pPr>
        <w:pStyle w:val="Heading6"/>
        <w:numPr>
          <w:ilvl w:val="5"/>
          <w:numId w:val="1"/>
        </w:numPr>
        <w:rPr/>
      </w:pPr>
      <w:bookmarkStart w:id="34" w:name="__RefHeading___Toc10298914_73709187"/>
      <w:bookmarkStart w:id="35" w:name="_Toc13"/>
      <w:bookmarkEnd w:id="33"/>
      <w:bookmarkEnd w:id="34"/>
      <w:r>
        <w:rPr>
          <w:rtl w:val="true"/>
        </w:rPr>
        <w:t>ما يعتبر في النجاسة</w:t>
      </w:r>
      <w:bookmarkEnd w:id="35"/>
    </w:p>
    <w:p>
      <w:pPr>
        <w:pStyle w:val="BookText"/>
        <w:rPr/>
      </w:pPr>
      <w:r>
        <w:rPr>
          <w:rFonts w:ascii="Amiri" w:hAnsi="Amiri" w:eastAsia="Amiri" w:cs="Amiri"/>
          <w:color w:val="111111"/>
          <w:sz w:val="28"/>
          <w:sz w:val="28"/>
          <w:szCs w:val="28"/>
          <w:rtl w:val="true"/>
          <w:lang w:bidi="ar-SA"/>
        </w:rPr>
        <w:t>يعتبر 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التغيّر بملاقاة النجاسة، فلا يتنجّس إذا كان بالمجاورة، بلا خلافٍ فيه، لخروجه عن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لو سُلّم شمول بعض النصوص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كالنبويّ المتقدّم</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الظاهر منه كونه في مقام بيان اعتبار شيءٍ في تنجّس الماء الكثير زائداً على ما يعتبر في تنجّس سائر الأشياء، فملاقاته للنجس المعتبرة في سائر الأشياء تكون معتبرة فيه أيضاً، فلا ينجس إذا تغيّر أحد أوصافه الثلاثة إلّابالملاقاة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الحديث أنّ كلّ شيءٍ يوجبُ تنجّس الماء القليل وغيره من الأشياء، ينجّسُ الماء الكثير في صورة التغيّر، ولا شبهة في أنّ المجاورة غير موجبةٍ لنجاسة غيره، بل تعتبر الملاقاة، فلابدَّ في صورة تغيّر الكثير أيضاً أن يكون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التغيّر بأوصاف النجاسة دون المتنجّس، فلو وقع فيه دبسٌ نجسٌ فصارا خمراً لا ينجس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الأخبار الدالّة على تنجّس الماء الكثير إذا تغيّر إنّما يكون موردها التغيّر بأوصاف النجاسة، فلا وجه للتعدّي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بعض النصوص شاملاً للمتنجّس كالنبويّ، يكون منصرفاً إلى خصوص ما لو تغيّر بأوصاف النجاسة بقرينة الارتكاز العرفي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 فيه متنجّسٌ حاملٌ لأوصاف النجس وغيره بوصف النجس، </w:t>
      </w:r>
    </w:p>
    <w:p>
      <w:pPr>
        <w:pStyle w:val="BookText"/>
        <w:rPr/>
      </w:pPr>
      <w:r>
        <w:rPr>
          <w:rFonts w:ascii="Amiri" w:hAnsi="Amiri" w:eastAsia="Amiri" w:cs="Amiri"/>
          <w:color w:val="111111"/>
          <w:sz w:val="28"/>
          <w:sz w:val="28"/>
          <w:szCs w:val="28"/>
          <w:rtl w:val="true"/>
          <w:lang w:bidi="ar-SA"/>
        </w:rPr>
        <w:t>تنجّس أيضاً كما عن جماعة</w:t>
      </w:r>
      <w:r>
        <w:rPr>
          <w:rStyle w:val="FootnoteAnchor"/>
          <w:rtl w:val="true"/>
        </w:rPr>
        <w:footnoteReference w:id="48"/>
      </w:r>
      <w:r>
        <w:rPr>
          <w:rFonts w:ascii="Amiri" w:hAnsi="Amiri" w:eastAsia="Amiri" w:cs="Amiri"/>
          <w:color w:val="111111"/>
          <w:sz w:val="28"/>
          <w:sz w:val="28"/>
          <w:szCs w:val="28"/>
          <w:rtl w:val="true"/>
          <w:lang w:bidi="ar-SA"/>
        </w:rPr>
        <w:t>التصريح به، لأنّ المستفاد من الأدلّة بعد ردِّ بعضها إلى بعض، أنّه يعتبر في تنجّس الماء الكثير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الملاقاة مع ما يوجب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والتغيّر بأوصاف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موجودان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اندفاع ما أشكل على الحكم بالنجاسة، بأنّ المعيار في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ظهور أثر النجاسة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ملاقاة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الإكتفاء بذلك ولو مع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بشرط الملاقاة، فالتغيّر بالمتنجّس الحامل لصفات عين النجس، لا يوجبُ النجاسة لعدم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التغيّر بالميتة ونحوها، سراية التغيّر عن ما حول الجثة إلى سائر أجزاء الماء، بلا ملاقاة لها معها،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التغيّر حسيّاً، ولذلك لا يعدّ التغيّر التقديري مضرّاً، كما هو المشهور بين الأصحاب على 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كلمات القوم حول هذا الأمر، والذي يمكن أن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حصول التغيّر الحسّي يتصوّر على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النجس بذاته مقتضياً للتغيير، كالبول الأبيض إذا وقع في الماء، فالتقديري بمعنى أنّه لو كان له لونٌ لكان موجباً لتغيّره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العدم إلى عدم المقتضي لعارض، كما لو كان الدمء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مسلوبُ الصفة، ولم يكن له لونٌ أحمر موجبٌ للتغيّر، فوقع مقداراً منه في الماء، لو كان أحمراً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إلى عدم الشرط، كما لو وقعت الميتة في الماء، ولم يكن الماء حارّاً موجباً لتغيّر طعمه أو رائحته، فعدم التغيّر في هذه الصورة مستندٌ إلى فقدان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إلى وجود المانع، كما لو كان الماء أحمر، فوقع فيه مقداراً من الدم كان يغيّره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بين الأعلام ليس الصورة الاُولى والثالثة، بل لعلّ عدم التنجّس فيهما من المتّفق عليه بينهم، وإنّما هو الصورة الثانية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التنجّس في الصورة الرابعة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لون الماء لو لم يكن موجباً لضعف الماء، لا يكون موجباً لقوته، وعليه فمن الغريب الحكم بأنّه لو لم يكن أحمراً كان ينجّسه مقدار من الدم، ولكن بما أنّه أحمرٌ لا ينجّسه ذلك المقدار،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ثبت بالأدلّة أنّه لا ينجّس الماء شيء إلّافي صورة التغيّر، الظاهر في الحسّي منه، وهو من الموجودات التي له المقتضي والشرط والمانع، فلو لم يتحقّق المانع لا وجه للحكم بالنجاسة، لعدم تحقّق شرطها وهو التغيّر لوجود المانع، ولا مانع من الالتزام بذلك، لأنّا لا ندَّعي كون ذلك اللّون عاصماً،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صبّ مقدارٍ من الدّم في الماء الذي قابلٌ لأن يغيّر لون الماء، ولكن مقارناً للصبّ اُلقي فيه شيءٌ طاهر له لونٌ، فإنّه لا سبيل إلى الحكم بالطهارة، مع أنّه لا يكون الدم سبباً للتغيّر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الفرض لو قلنا بأنّ التغيّر مستندٌ عرفاً إلى كلّ واحد منهما، </w:t>
      </w:r>
    </w:p>
    <w:p>
      <w:pPr>
        <w:pStyle w:val="BookText"/>
        <w:rPr/>
      </w:pPr>
      <w:r>
        <w:rPr>
          <w:rFonts w:ascii="Amiri" w:hAnsi="Amiri" w:eastAsia="Amiri" w:cs="Amiri"/>
          <w:color w:val="111111"/>
          <w:sz w:val="28"/>
          <w:sz w:val="28"/>
          <w:szCs w:val="28"/>
          <w:rtl w:val="true"/>
          <w:lang w:bidi="ar-SA"/>
        </w:rPr>
        <w:t>فالحكم بالنجاسة إنّما يكون لحصول شرطه، ولا يكون مربوطاً بمسألتنا، وإنْ لم يستند إلى كلّ واحدٍ منهما، فلا يحكم بالنجاسة في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اُلقي الدم في الماء المتغيّر بطين أحمر، ولم يؤثّر فيه بالتغيّر حسّاً، ثمّ صفى الماء فظهر لون الماء، فإنّه لا سبيل إلى الحكم بطهارة هذا الماء، كما هو واضح، ولا سبيل أيضاً إلى الحكم بالنجاسة من حين ظهور التغيّر، لعدم انفكاك النجاسة عن وقوعها، فلابدَّ من الحكم بالنجاسة من أوّل وقوعه، ولا وجه له سوى التغيّر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وقع النجس في الماء، ولكن تغيَّر أحد أوصافه الثلاثة بعد ساعة، فهل يحكم بنجاسة الماء من حين ملاقاة النجاسة، أو من حين التغيّر؟</w:t>
      </w:r>
    </w:p>
    <w:p>
      <w:pPr>
        <w:pStyle w:val="BookText"/>
        <w:rPr/>
      </w:pPr>
      <w:r>
        <w:rPr>
          <w:rFonts w:ascii="Amiri" w:hAnsi="Amiri" w:eastAsia="Amiri" w:cs="Amiri"/>
          <w:color w:val="111111"/>
          <w:sz w:val="28"/>
          <w:sz w:val="28"/>
          <w:szCs w:val="28"/>
          <w:rtl w:val="true"/>
          <w:lang w:bidi="ar-SA"/>
        </w:rPr>
        <w:t>لا سبيل إلى الأوّل، وعليه فلا محيص عن الالتزام بالثاني، فلا مانع في المقام أيضاً من الحكم بالنجاسة من حين ظهور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الموجب للتنجّس بالنسبة إلى الماء الكُرّ، ليس مطلق الملاقاة، بل مشروطة بالتغيّر، وبما أنّه مادام لم يصفُ الماء لم يتحقّق التغيّر، فلا يحكم بالنجاسة، بخلافه بعدما أصبح صافياً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التغيّر في هذه الصورة حقيقي مستورٌ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لأنّ الماء إذا كان متلوّناً بلون، مثل لون النجاسة، كيف يتلوّن بلونها مع امتناع اجتماع المثلين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اللّون من الكيف المبصر، فلايتصوّر وجوده مع عدم 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للنجاسة في الصورة الثانية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إنّما لوحظ طريقاً إلى مقدار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طريقاً إلى غلبتها على الماء، لا موضوعاً ليدور الحكم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 عنوان أُخذ في الدليل، دخله بنفسه فيه، لا كونه طريقاً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لازمه أنّه لو وجد فردٌ من النجاسة، كان كمّها قليلاً، ووصفها شديداً، لا يحكم بنجاسة المتغيّر بها، مع أنّه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يحكم بكفاية التغيّر التقديري، لزم الحكم بعدم النجاسة فيما لو ألقي في الماء من النجاسة أضعاف مضاعفة منه، إذا لم يغيِّره، مع أنّه لا يمكن الإلتزام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فيما لم يصر الماء مضافاً، وفي الفرض يحكم بالنجاسة لا لكفاية التغيّر التقديري، بل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للنجاسة بوجوه اُخر ضعيفة غايتها، ويظهر ضعفها ممّا حقّقناه، فلا حاجة إلى تطويل الكلام بذكرها، وما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طهارة الماء مطلقاً في جميع الصور، إلّاأن يحصل له تغيّر حِسّي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الماء بما عدا الأوصاف المذكورة، كالحرارة والبرودة ونحوهما، لم ينجس ما لم يصر مضافاً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بعض الروايات بإطلاقها تدلّ على النجاسة مع </w:t>
      </w:r>
    </w:p>
    <w:p>
      <w:pPr>
        <w:pStyle w:val="BookText"/>
        <w:rPr/>
      </w:pPr>
      <w:r>
        <w:rPr>
          <w:rFonts w:ascii="Amiri" w:hAnsi="Amiri" w:eastAsia="Amiri" w:cs="Amiri"/>
          <w:color w:val="111111"/>
          <w:sz w:val="28"/>
          <w:sz w:val="28"/>
          <w:szCs w:val="28"/>
          <w:rtl w:val="true"/>
          <w:lang w:bidi="ar-SA"/>
        </w:rPr>
        <w:t xml:space="preserve">كلّ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النجاسة في بعض الروايات في الأوصاف الثلاثة، وهو يوجب تقيّد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موضوعاً للنجاسة في صحيح ابن بزيع</w:t>
      </w:r>
      <w:r>
        <w:rPr>
          <w:rStyle w:val="FootnoteAnchor"/>
          <w:rtl w:val="true"/>
        </w:rPr>
        <w:footnoteReference w:id="50"/>
      </w:r>
      <w:r>
        <w:rPr>
          <w:rFonts w:ascii="Amiri" w:hAnsi="Amiri" w:eastAsia="Amiri" w:cs="Amiri"/>
          <w:color w:val="111111"/>
          <w:sz w:val="28"/>
          <w:sz w:val="28"/>
          <w:szCs w:val="28"/>
          <w:rtl w:val="true"/>
          <w:lang w:bidi="ar-SA"/>
        </w:rPr>
        <w:t>بالصُّفرة، أي التغيّر باللون، فيكون ذلك حاكماً على المطلقات،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الظاهر من المطلقات التي عُلّق الحكم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التغيّر بما للماء من الصفات الذاتيّة دون العَرَضيّة كما لا يخفى وجهه، والصفات الذاتيّة له ليست إلّاالثلاثة المزبورة،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تنجّسه أن يكون التغيّر بوصف النجس بعينه، بل يكفي تغيّر أحد الأوصاف المذكورة بسبب النجاسة، من غير فرق بين أن يكون التغيّر بسنخ وصف النجاسة قبل الملاقاة، أو التغيّر بما يكون وصفاً لها بعد ملاقاة الماء، والتغيّر بوصف أجنبي عن وصفها، والوجه في ذلك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صحيحة شهاب المتقدّمة</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يغلب الماءُ الرّيح فينتن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سماعة المتقدّم</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النَّتْنُ الْغَالِبَ عَلَى الْمَاءِ فَلا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ابن بزيع</w:t>
      </w:r>
      <w:r>
        <w:rPr>
          <w:rStyle w:val="FootnoteAnchor"/>
          <w:rtl w:val="true"/>
        </w:rPr>
        <w:footnoteReference w:id="5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 الرِّيحُ وَيَطِيبَ طَعْمُهُ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توجب تخصيص الحكم بالصورتين الأوليين، وعدم شمول الأدلّة للثالثة كما توهّمه بعض الأكابر، لأنّ هذه التعابير إنّما تكون بلحاظ ما فرض في موارد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الروايات من وقوع الميتة والدم في الماء،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التغيّر بوصف النجس أو بسنخه من الروايات، أو كونهما المتيقّن منها، كما ترى، فما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من عدم شمول الروايات للصورتين الأخيرتين،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طرفٌ من الحوض وصار نجساً، وكان الباقي بقدر الكرّ، ثم زال تغيُّر ذلك البعض، طَهُر الجميع، ولو لم يحصل الإمتزاج، كما هو المنسوب إلى الأكثر، ونُسب إلى كثيرٍ ممّن تقدّموا على الشهيد رحمه الله القول باعتبار الامتزاج</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لك تحقيق القول في ذلك في مبحث كيفيّة تطهير الماء الكرّ،</w:t>
      </w:r>
      <w:r>
        <w:rPr>
          <w:rStyle w:val="FootnoteAnchor"/>
          <w:rtl w:val="true"/>
        </w:rPr>
        <w:footnoteReference w:id="56"/>
      </w:r>
      <w:r>
        <w:rPr>
          <w:rFonts w:ascii="Amiri" w:hAnsi="Amiri" w:eastAsia="Amiri" w:cs="Amiri"/>
          <w:color w:val="111111"/>
          <w:sz w:val="28"/>
          <w:sz w:val="28"/>
          <w:szCs w:val="28"/>
          <w:rtl w:val="true"/>
          <w:lang w:bidi="ar-SA"/>
        </w:rPr>
        <w:t>والمقصود من التعرّض لهذه المسألة في المقام، إنّما هو لأجل ما قيل من إنّه وإنْ قلنا باعتبار الإمتزاج في تلك المسألة، فإنّه لا نلتزم به هنا، لصحيح ابن بزيع</w:t>
      </w:r>
      <w:r>
        <w:rPr>
          <w:rStyle w:val="FootnoteAnchor"/>
          <w:rtl w:val="true"/>
        </w:rPr>
        <w:footnoteReference w:id="57"/>
      </w:r>
      <w:r>
        <w:rPr>
          <w:rFonts w:ascii="Amiri" w:hAnsi="Amiri" w:eastAsia="Amiri" w:cs="Amiri"/>
          <w:color w:val="111111"/>
          <w:sz w:val="28"/>
          <w:sz w:val="28"/>
          <w:szCs w:val="28"/>
          <w:rtl w:val="true"/>
          <w:lang w:bidi="ar-SA"/>
        </w:rPr>
        <w:t>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قيل أو يمكن أن يُقال في تقريب الاستدلال به وجهان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ذهاب الريح والطعم علَّة غائيّة للنزح،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أو للإنتهاء، مع استظهار كون مدخوله علَّة غائيّة، فتدلّ على أنّ المقصود من النزح ليس إلّازوال التغيّر، وإذا تعدّينا عن البئر إلى كلّ عاصم إمّا لعدم الفصل أو لعموم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مع إلغاء الخصوصيّة، دلَّ على أنّ كلّ ماءٍ نجس يطهر بزوال تغيّره واتّصاله بالماء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الحديث ليس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أو داخلة على العلّة الغائيّة، بل الظاهر منه مدخليّة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لتدافع الماء من المادّة، الموجب للامتزاج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إنّما يكون راجعاً إلى الحكم المستفاد من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حدوث الطهارة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الحديث ظاهراً في أنّ علَّة هذا الحكم وجود المادّة بلا دخل للامتزاج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الهمداني رحمه الله</w:t>
      </w:r>
      <w:r>
        <w:rPr>
          <w:rStyle w:val="FootnoteAnchor"/>
          <w:rtl w:val="true"/>
        </w:rPr>
        <w:footnoteReference w:id="58"/>
      </w:r>
      <w:r>
        <w:rPr>
          <w:rFonts w:ascii="Amiri" w:hAnsi="Amiri" w:eastAsia="Amiri" w:cs="Amiri"/>
          <w:color w:val="111111"/>
          <w:sz w:val="28"/>
          <w:sz w:val="28"/>
          <w:szCs w:val="28"/>
          <w:rtl w:val="true"/>
          <w:lang w:bidi="ar-SA"/>
        </w:rPr>
        <w:t>من عدم عوده إليه، بل العلّة تكون راجعةً إلى الفقرة الاُولى، لأنّ الجملة السابقة عليها مشتملة على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دافعية المادّة للنجاسة، ورافعيّتها لها، والثانية أقرب، ومع ذلك تعليل الدفع بها الذي هو أبعد يوهم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العلّة إلى الرافعيّة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العلّة بإحداهما، مع احتياج كلتيهما إليها بلا مخصّص، فهو خلاف الظاهر، فالأظهر رجوعها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البهائي قدس سره</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 التعليل، لاحتمال رجوعه إلى ترتّب ذهاب الريح وطيب الطعم على النزح</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عرفي واضح، ليس شأن الشارع تعليل ذلك كما هو واضح، مضافاً إلى عدم ترتّب ذهاب الريح على مجرّد وجود المادّة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موردالتعليل صورة امتزاج الماء المتغيّر بما في المادّة، على نحوٍ يزول تغيّره بالنزح، فالحكم المعلّل إنّما هو مطهّريّة زوال التغيّر بالنزح، وهو إنّما يكون مع الامتزاج، فلا يستفاد من التعليل مطهّريّة الاتّصال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النزح ليست معتبرة، للإجماع على كفاية الامتزاج ولو لم يكن 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ينافي ما ذكرناه، لأنا لا ندَّعي دخل النزح بما هو فيه، بل إنّما هو لأجل ملازمته مع الامتزاج، فهو الدخيل في الحكم دون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دفع مناقشة أُخرى، وهي أنّ البناء على اعتبار النزح تعبّداً، يوجب حمل التعليل على التعبّدي، لعدم دخل النزح في الطهارة في مرتكز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الحديث على عدم اعتبار الامتزاج في ارتفاع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النجس في الماء ولم يتغيَّر، ثمّ تغيَّر بعد مدَّة، فإن عُلم استناده إلى ذلك النجس فهل ينجس مطلقاً أم لا، أم يفصّل بين ما لو كان عين النجس في الماء حين التغيّر فينجس، وبين ما لو لم تكن باقية كما لو ألقيت الميتة في الماء وأخرجت، ثمّ بعد ذلك تغيّر، وعلم استناده إلى تلك الميتة، فلا يحكم بالنجاسة؟</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المستفاد من الأدلّة أنّهما معاً يوجبان النجاسة، ففي الفرض بما أنّه حين الملاقاة لا يكون متغيِّراً، وحين التغيّر لا يكون ملاقياً، فلا موجب لها</w:t>
      </w:r>
      <w:r>
        <w:rPr>
          <w:rFonts w:eastAsia="Amiri" w:cs="Amiri" w:ascii="Amiri" w:hAnsi="Amiri"/>
          <w:color w:val="111111"/>
          <w:sz w:val="28"/>
          <w:szCs w:val="28"/>
          <w:rtl w:val="true"/>
          <w:lang w:bidi="ar-SA"/>
        </w:rPr>
        <w:t>.</w:t>
      </w:r>
      <w:bookmarkStart w:id="36" w:name="pg11794_146823"/>
    </w:p>
    <w:p>
      <w:pPr>
        <w:pStyle w:val="BookText"/>
        <w:rPr/>
      </w:pPr>
      <w:bookmarkEnd w:id="36"/>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الميتة خارج الماء، ووقع جزءٌ منها في الماء وتغيّر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ينجس مطلقاً، كما اختاره بعض</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إذا لم يُستند إلى ما هو خارجٌ فقط، كما نُسب إلى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كان مستنداً إلى ما هو في الماء، ولو بتأثير الخارج بواسطة ما هو داخل؟</w:t>
      </w:r>
    </w:p>
    <w:p>
      <w:pPr>
        <w:pStyle w:val="BookText"/>
        <w:rPr/>
      </w:pPr>
      <w:r>
        <w:rPr>
          <w:rFonts w:ascii="Amiri" w:hAnsi="Amiri" w:eastAsia="Amiri" w:cs="Amiri"/>
          <w:color w:val="111111"/>
          <w:sz w:val="28"/>
          <w:sz w:val="28"/>
          <w:szCs w:val="28"/>
          <w:rtl w:val="true"/>
          <w:lang w:bidi="ar-SA"/>
        </w:rPr>
        <w:t>وجوه، أقواها الأخير؛ إذ الظاهر من الأدلّة أنّ الموجب للنجاسة هو تغيّر الماء بسبب الملاقاة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الاستدلال للوجهين الأولين بإطلاق النصوص، وبأنّ الغالب في الجيفة التي تكون في الماء بروز بعضها، حيث أنّ التفكيك بينه وبين فرض المسألة في الحكم بعيدٌ، فيتعيّن الحكم بالنجاسة في المقام</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0298916_73709187"/>
      <w:bookmarkStart w:id="38" w:name="_Toc14"/>
      <w:bookmarkEnd w:id="37"/>
      <w:r>
        <w:rPr>
          <w:rtl w:val="true"/>
        </w:rPr>
        <w:t>زوال التغيّر بنفسه</w:t>
      </w:r>
      <w:bookmarkEnd w:id="38"/>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إذا زال تغيّره بنفسه، لم يطهر إجماعاً في القليل، وعلى المشهور في الكثير، لأنّ المستفاد من الأدلّة الواردة في باب النجاسات والمطهّرات أنّ النجاسة إذا عرضت على شيء لا تزول إلّابشيء آخر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سعيد</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في الكثير،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الطهارة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وبالروايات الظاهرة</w:t>
      </w:r>
      <w:r>
        <w:rPr>
          <w:rStyle w:val="FootnoteAnchor"/>
          <w:rtl w:val="true"/>
        </w:rPr>
        <w:footnoteReference w:id="63"/>
      </w:r>
      <w:r>
        <w:rPr>
          <w:rFonts w:ascii="Amiri" w:hAnsi="Amiri" w:eastAsia="Amiri" w:cs="Amiri"/>
          <w:color w:val="111111"/>
          <w:sz w:val="28"/>
          <w:sz w:val="28"/>
          <w:szCs w:val="28"/>
          <w:rtl w:val="true"/>
          <w:lang w:bidi="ar-SA"/>
        </w:rPr>
        <w:t>في إناطة النجاسة بالتغيّر وجوداً وعدماً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أبي الحسن عليه السلام في صحيحة ابن بزيع المتقدّمة</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الرِّيحُ وَيَطِيبَ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مع رجوع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له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ترتّب ذهاب الريح والطعم على النزح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لم يَحمل خبثاً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 لمحكوميّة أصالة الطهارة بالقاعدة المستفادة من النصوص، وباستصحاب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استناداً إلى أحد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موارد الشكّ في المقتضي، لأنّ الشكّ في النجاسة مُسبّبٌ عن الشكّ في اقتضاء التغيّر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الموضوع، لأنّ موضوع اليقين فيه هو المتغيّر، وموضوع الشكّ غير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من الشكّ في المقتضي، فلأنّ المستفاد من الأدلّة أنّ النجاسة الحاصلة بأسبابها لا تزول إلّابرافع، وفي المقام يحتمل قابليّة الكريَّة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التحقيق حجيّة الاستصحاب في موارد الشكّ في المقتضي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تبدّل الموضوع فمندفعة، بأنّ التغيّر من حالات الموضوع، لأنّ الموضوع بحسب ما ارتكز في ذهن العرف من المناسبة بين الحكم وموضوعه، هو ذات الماء، والتغيّر واسطة في ثبوت النجاسة، لا أنّها من عوارض الماء، والتغيّر وإنْ كان بحسب لسان الدليل هو الماء المتغيّر بما هو متغيّر، لكن لا مجال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لجريان الاستصحاب فيه بناءً على ما اخترناه من عدم جريانه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ارتفاع النجاسة بارتفاع التغيّر، إذ أخذه في موضوعها أعمّ من ذلك، لاحتمال أن يكون أخذه لأجل كونه واسطة في حدوث النجاسة، ولا يكون واسطة لها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بزيع</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سابقاً عدم الدليل على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تعليليّة، أو كون مدخولها علّة غائيّة، فراجع</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وأمّا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عنه بعض الأعاظم</w:t>
      </w:r>
      <w:r>
        <w:rPr>
          <w:rStyle w:val="FootnoteAnchor"/>
          <w:rtl w:val="true"/>
        </w:rPr>
        <w:footnoteReference w:id="68"/>
      </w:r>
      <w:r>
        <w:rPr>
          <w:rFonts w:ascii="Amiri" w:hAnsi="Amiri" w:eastAsia="Amiri" w:cs="Amiri"/>
          <w:color w:val="111111"/>
          <w:sz w:val="28"/>
          <w:sz w:val="28"/>
          <w:szCs w:val="28"/>
          <w:rtl w:val="true"/>
          <w:lang w:bidi="ar-SA"/>
        </w:rPr>
        <w:t>بأنّ مفاده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يدلّ على عدم حدوث النجاسة في الماء، ولا نظر له إلى البقاء، ومع فرض حدوثها بواسطة التغيّر لا سبيل إلى الحكم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الخبث اسم للأثر الحاصل بالملاقاة،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جميع أحواله محكومٌ بالطهارة، ولا يكون نجساً، ولكنّه خرج الماء في حال التغيّر، فيبقى الماء بعد زوال التغيّر تحت العام، بناءً على ما حقّقناه من أنّ المرجع بعد مضيّ القدر المتيقّن من زمان الخروج، هو عموم العام مطلقاً، لا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الحديث، وإعراض المشهور عنه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 w:name="pg11794_146826"/>
    </w:p>
    <w:p>
      <w:pPr>
        <w:pStyle w:val="BookText"/>
        <w:rPr/>
      </w:pPr>
      <w:bookmarkEnd w:id="39"/>
      <w:r>
        <w:rPr>
          <w:rFonts w:ascii="Amiri" w:hAnsi="Amiri" w:eastAsia="Amiri" w:cs="Amiri"/>
          <w:color w:val="111111"/>
          <w:sz w:val="28"/>
          <w:sz w:val="28"/>
          <w:szCs w:val="28"/>
          <w:rtl w:val="true"/>
          <w:lang w:bidi="ar-SA"/>
        </w:rPr>
        <w:t>وحُكم ماء الغيث حال نزوله</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0298918_73709187"/>
      <w:bookmarkStart w:id="41" w:name="_Toc15"/>
      <w:bookmarkEnd w:id="40"/>
      <w:r>
        <w:rPr>
          <w:rtl w:val="true"/>
        </w:rPr>
        <w:t>ماء المطر</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ماء الغيث حال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الجاري، وقد استفاض نقل الإجماع</w:t>
      </w:r>
      <w:r>
        <w:rPr>
          <w:rStyle w:val="FootnoteAnchor"/>
          <w:rtl w:val="true"/>
        </w:rPr>
        <w:footnoteReference w:id="69"/>
      </w:r>
      <w:r>
        <w:rPr>
          <w:rFonts w:ascii="Amiri" w:hAnsi="Amiri" w:eastAsia="Amiri" w:cs="Amiri"/>
          <w:color w:val="111111"/>
          <w:sz w:val="28"/>
          <w:sz w:val="28"/>
          <w:szCs w:val="28"/>
          <w:rtl w:val="true"/>
          <w:lang w:bidi="ar-SA"/>
        </w:rPr>
        <w:t>على ذلك، 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الكاهلي،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أَرَى فِيهِ التَّغَيُّرَ، وأَرَى فِيهِ آثَارَ الْقَذَرِ، فَتَقْطُرُ الْقَطَرَاتُ عَلَيَّ ويَنْتَضِحُ عَلَيَّ مِنْهُ، والْبَيْتُ يُتَوَضَّأُ عَلَى سَطْحِهِ، فَيَكِفُ عَلَى ثِيَابِنَا؟ قَالَ مَا بِذَا بَأْسٌ، لا تَغْسِلْهُ 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هشام بن سالم،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السَّطْحِ يُبَالُ عَلَيْهِ، فَتُصِيبُهُ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بالأكثرية إنّما هو لأجل أنّه لو لم يكن أكثر يصير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بإطلاقهما يدلّان على أنّ ماء المطر مطلقاً لا ينجس، ويطهّر كلّ ما أصابه، فإنّ موردهما وإنْ كان صورة جريان ماء المطر كما لا يخفى، إلّاأنّ التعليل 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كبرى كليّة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بذا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ظاهران في الاكتفاء بالمسمّى، وإنْ لم يكن جارياً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ابن حمزة</w:t>
      </w:r>
      <w:r>
        <w:rPr>
          <w:rStyle w:val="FootnoteAnchor"/>
          <w:rtl w:val="true"/>
        </w:rPr>
        <w:footnoteReference w:id="72"/>
      </w:r>
      <w:r>
        <w:rPr>
          <w:rFonts w:ascii="Amiri" w:hAnsi="Amiri" w:eastAsia="Amiri" w:cs="Amiri"/>
          <w:color w:val="111111"/>
          <w:sz w:val="28"/>
          <w:sz w:val="28"/>
          <w:szCs w:val="28"/>
          <w:rtl w:val="true"/>
          <w:lang w:bidi="ar-SA"/>
        </w:rPr>
        <w:t>اشتراط اعتصام ماء المطر، وكونه كالجاري بجريانه بالفعل، وإلى الشيخ ابن سعيد</w:t>
      </w:r>
      <w:r>
        <w:rPr>
          <w:rStyle w:val="FootnoteAnchor"/>
          <w:rtl w:val="true"/>
        </w:rPr>
        <w:footnoteReference w:id="73"/>
      </w:r>
      <w:r>
        <w:rPr>
          <w:rFonts w:ascii="Amiri" w:hAnsi="Amiri" w:eastAsia="Amiri" w:cs="Amiri"/>
          <w:color w:val="111111"/>
          <w:sz w:val="28"/>
          <w:sz w:val="28"/>
          <w:szCs w:val="28"/>
          <w:rtl w:val="true"/>
          <w:lang w:bidi="ar-SA"/>
        </w:rPr>
        <w:t>اعتبار جريانه من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ذكر الميزاب في كليهما من باب المثال، فيرجع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الجريان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 الصحيح الذي رواه الشيخ الطوسي بِإِسْنَادِهِ عَنْ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عَلَى ظَهْرِهِ ويُغْتَسَلُ مِنَ الْجَنَابَةِ، ثُمَّ يُصِيبُهُ الْمَطَرُ، أَيُؤْخَذُ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 بَأْسَ بِهِ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وخبره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الْكَنِيفِ يَكُونُ فَوْقَ الْبَيْتِ فَيُصِيبُهُ الْمَطَرُ، فَيَكِفُ فَيُصِيبُ الثِّيَابَ، أَيُصَلَّى فِيهَا قَبْلَ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الْمَطَرِ يَجْرِي فِي الْمَكَانِ فِيهِ الْعَذِرَةُ فَيُصِيبُ الثَّوْبَ أَيُصَلِّي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أنّ ظاهرها اعتبار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المراد بجريان المطر تقاطره، لا جريان الماء على وجه الأرض، واعتباره إنّما يكون لأجل أنّ المفروض في موردها كون المحلّ معدّاً للبول أو فيه العذرة، فتكون عين النجس باقية، فلا محالة ينجس الماء مع عدم التقاطر، لأنّه قليل ملاقٍ للنجس، فالمراد من جريان المطر تقاطره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الروايات لا يمكن العمل بظاهرها، إذ لازمة القول بعدم اعتصام المطر الواقع على الأرض الرمليّة، وفي البحر وما شابههما ممّا لا يمكن فيه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الروايات على الجريان بالقوة لا شاهد له، وحملها عليه ليس بأولى من حمل الجريان فيها على الغلبة والأكثريّة، مضافاً إلى معارضتها مع التعليل في صحيح هشام المتقدّم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حملها على المعنى المزبور، على فرض تسليم ظهورها في اعتبار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مفاد الرواية الاُولى التي هي عمدة المستند، إنّما هو ثبوت البأس في الوضوء في صورة عدم الجريان، وهو أعمّ من النجاسة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حُكي عن غير واحدٍ</w:t>
      </w:r>
      <w:r>
        <w:rPr>
          <w:rStyle w:val="FootnoteAnchor"/>
          <w:rtl w:val="true"/>
        </w:rPr>
        <w:footnoteReference w:id="79"/>
      </w:r>
      <w:r>
        <w:rPr>
          <w:rFonts w:ascii="Amiri" w:hAnsi="Amiri" w:eastAsia="Amiri" w:cs="Amiri"/>
          <w:color w:val="111111"/>
          <w:sz w:val="28"/>
          <w:sz w:val="28"/>
          <w:szCs w:val="28"/>
          <w:rtl w:val="true"/>
          <w:lang w:bidi="ar-SA"/>
        </w:rPr>
        <w:t>دعوى الإجماع على أنّ ما يزال به الخبث لا يكون رافعاً للحدث، وحمله على هذا المعنى لا ينافي منطوقه، إذ في صورة الجريان بما أنّ ما يؤخذ منه للوضوء هو الجاري، وهو غير ما اُزيل به الخبث، كما لا يخفى، فلا محذور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2" w:name="pg11794_146829"/>
    </w:p>
    <w:p>
      <w:pPr>
        <w:pStyle w:val="BookText"/>
        <w:rPr/>
      </w:pPr>
      <w:bookmarkEnd w:id="42"/>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الجريان في اعتصام المطر، بل الظاهر عدم اعتبار شيء فيه سوى صدق ماء المطر عليه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0298920_73709187"/>
      <w:bookmarkStart w:id="44" w:name="_Toc16"/>
      <w:bookmarkEnd w:id="43"/>
      <w:r>
        <w:rPr>
          <w:rtl w:val="true"/>
        </w:rPr>
        <w:t>ماء المطر المجتمع</w:t>
      </w:r>
      <w:bookmarkEnd w:id="44"/>
    </w:p>
    <w:p>
      <w:pPr>
        <w:pStyle w:val="BookText"/>
        <w:rPr/>
      </w:pPr>
      <w:r>
        <w:rPr>
          <w:rFonts w:ascii="Amiri" w:hAnsi="Amiri" w:eastAsia="Amiri" w:cs="Amiri"/>
          <w:color w:val="111111"/>
          <w:sz w:val="28"/>
          <w:sz w:val="28"/>
          <w:szCs w:val="28"/>
          <w:rtl w:val="true"/>
          <w:lang w:bidi="ar-SA"/>
        </w:rPr>
        <w:t>إذا اجتمع في مكانٍ وغُسل فيه النجس، طَهُر في صورة التقاطر عليه، بلا خلافٍ فيه ولا كلام، وتشهد له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يَمُرُّ فِي مَاءِ الْمَطَرِ، وقَدْ صُبَّ فِيهِ خَمْرٌ، فَأَصَابَ ثَوْبَهُ هَلْ يُصَلِّي فِيهِ قَبْلَ أَنْ يَغْسِلَهُ؟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يَغْسِلُ ثَوْبَهُ ولا رِجْلَهُ، ويُصَلِّي فِيهِ ولا بَأْسَ بِهِ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بن الحكم،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أَحَدُهُمَا مِيزَابُ بَوْلٍ والآخَرُ مِيزَابُ مَاءٍ فَاخْتَلَطَا ثُمَّ أَصَابَكَ مَا كَانَ بِهِ بَأْسٌ</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جار مجرى الغالب من أكثريّة الماء، وغلبته الموجبة لعدم تغيّر الماء بالاختلاط مع البول، ودلالتهما على المدّعى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التقاطر في الجملة في الاعتصام، فالظاهر أنّه لا خلاف فيه، فلو وضع الماء في خابيةٍ وتُرك في بيت مثلاً، لم يجر الحكم المذكور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كون التقاطر عليه،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أنّه صريح الطباطبائي في </w:t>
      </w:r>
    </w:p>
    <w:p>
      <w:pPr>
        <w:pStyle w:val="BookText"/>
        <w:rPr/>
      </w:pPr>
      <w:r>
        <w:rPr>
          <w:rFonts w:ascii="Amiri" w:hAnsi="Amiri" w:eastAsia="Amiri" w:cs="Amiri"/>
          <w:color w:val="111111"/>
          <w:sz w:val="28"/>
          <w:sz w:val="28"/>
          <w:szCs w:val="28"/>
          <w:rtl w:val="true"/>
          <w:lang w:bidi="ar-SA"/>
        </w:rPr>
        <w:t>مصابيحه، بل ظاهره فيها أنّه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إلى كفاية التقاطر من السماء، وإنْ لم يكن عليه، وجَعَله ظاهر جميع روايات الباب، بدعوى أنّ ماء المطر كما يصدق على النازل حال نزوله، كذلك يصدق عليه بعد استقراره في الأرض، بشرط أنْ يكون مهيّئاً للتقاطر 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المراد من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النازل من السماء، لا ما كان أصله كذلك، ولذا ترى أنّه لم يتوهّم أحدٌ التعارض بين هذه الروايات، وبين الروايات الدالّة على إنفعال القليل، التي تكون موردها الغدران، وهي تكون أصلها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جارياً، أو كان مستقرّاً في مكانٍ مع توالي القطرات عليه، فبما أنّهما يعدّان بنظر العرف واحداً، فيطلق عليه المطر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ماء المطر على ما كان أصله كذلك، لابدَّ من الحكم بعدم الانفعال حتّى في صورة إنقطاع التقاطر بالمرّة،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يدلّ على اعتصام ماء المطر، وإنْ كان لا يشمل الصورة المفروضة، إلّاأنّه ما المانع من التمسّك بإطلاق صحيح علي بن جعفر، وصحيح هشام المتقدّمين؟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أنّ مورد السؤال هو ماء المطر، فالجواب فيهما لا يكون له إطلاق، وإنّما يكون محمولاً على المورد الذي يصدق هذا العنوان، وهو إنّما يكون فيما إذا تقاطر من السماء على الماء الذي صُبَّ فيه الخمر، أو كان جارياً من الميزاب، مع أنّ جريانه من الميزاب ملازمٌ غالباً مع التقاطر على أصله المعتصم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مضافاً إلى أنّه يدلّ على عدم اعتصامه في صورة إنقطاع التقاطر، ما يدلّ على إنفعال القليل الذي مورد بعضه مفروض الكلام، وبها يخرج عن أخبار الباب، لو سُلّم شمولها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النجس إذا تقاطر عليه المطر، ونفذ في جميعه طَهُر، ولا يحتاج إلى العصر أو التعدّد، إذا لم يكن فيه عين النجاسة، لعموم مرسلة الكاهلي المتقدّمة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بينها وبين ما دلّ على اعتبار العصر أو التعدّد، وإنْ كانت عموماً من وجه، ولكنّهما لا يتساقطان، حتّى يرجع إلى أصالة النجاسة، بل تُقدَّم المرسلة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المرسلة للمقام إنّما يكون بالعموم، وشمول تلك الأدلّة يكون بالإطلاق، وعند التعارض يُقدّم ما يكون دلالتها بالعموم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المرسلة موجبٌ لإلغاء خصوصيّة المطر، وهو خلاف نصّ الرواية، وهذا بخلاف العكس، بل ظاهر المرسلة عدم اعتبار الغَسل في مطهّريّة المطر، وكفاية مجرّد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شمول دليل اعتبار العصر مع اعتصام الماء إشكالاً سيأتي في محلّه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ما ذكره الأصحاب، من عدم اعتبار العصر أو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مقتضى مرسلة الكاهلي</w:t>
      </w:r>
      <w:r>
        <w:rPr>
          <w:rStyle w:val="FootnoteAnchor"/>
          <w:rtl w:val="true"/>
        </w:rPr>
        <w:footnoteReference w:id="86"/>
      </w:r>
      <w:r>
        <w:rPr>
          <w:rFonts w:ascii="Amiri" w:hAnsi="Amiri" w:eastAsia="Amiri" w:cs="Amiri"/>
          <w:color w:val="111111"/>
          <w:sz w:val="28"/>
          <w:sz w:val="28"/>
          <w:szCs w:val="28"/>
          <w:rtl w:val="true"/>
          <w:lang w:bidi="ar-SA"/>
        </w:rPr>
        <w:t>وصحيحة هشام</w:t>
      </w:r>
      <w:r>
        <w:rPr>
          <w:rStyle w:val="FootnoteAnchor"/>
          <w:rtl w:val="true"/>
        </w:rPr>
        <w:footnoteReference w:id="87"/>
      </w:r>
      <w:r>
        <w:rPr>
          <w:rFonts w:ascii="Amiri" w:hAnsi="Amiri" w:eastAsia="Amiri" w:cs="Amiri"/>
          <w:color w:val="111111"/>
          <w:sz w:val="28"/>
          <w:sz w:val="28"/>
          <w:szCs w:val="28"/>
          <w:rtl w:val="true"/>
          <w:lang w:bidi="ar-SA"/>
        </w:rPr>
        <w:t>المتقدّمين، كفاية غلبة المطر على النجاسة وزوالها به، فلا يحتاج إلى التقاطر عليه بعد الزوال، بل تكفي القطرات المزيلة في 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المملوء كالحِبّ</w:t>
      </w:r>
      <w:r>
        <w:rPr>
          <w:rStyle w:val="FootnoteAnchor"/>
          <w:rtl w:val="true"/>
        </w:rPr>
        <w:footnoteReference w:id="88"/>
      </w:r>
      <w:r>
        <w:rPr>
          <w:rFonts w:ascii="Amiri" w:hAnsi="Amiri" w:eastAsia="Amiri" w:cs="Amiri"/>
          <w:color w:val="111111"/>
          <w:sz w:val="28"/>
          <w:sz w:val="28"/>
          <w:szCs w:val="28"/>
          <w:rtl w:val="true"/>
          <w:lang w:bidi="ar-SA"/>
        </w:rPr>
        <w:t>والشربة</w:t>
      </w:r>
      <w:r>
        <w:rPr>
          <w:rStyle w:val="FootnoteAnchor"/>
          <w:rtl w:val="true"/>
        </w:rPr>
        <w:footnoteReference w:id="89"/>
      </w:r>
      <w:r>
        <w:rPr>
          <w:rFonts w:ascii="Amiri" w:hAnsi="Amiri" w:eastAsia="Amiri" w:cs="Amiri"/>
          <w:color w:val="111111"/>
          <w:sz w:val="28"/>
          <w:sz w:val="28"/>
          <w:szCs w:val="28"/>
          <w:rtl w:val="true"/>
          <w:lang w:bidi="ar-SA"/>
        </w:rPr>
        <w:t>ونحوهما إذا تقاطر عليه المطر، طَهُر ماؤه بلا خلاف، 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الرؤية الواردة في المرسلة بمجرّد التقاطر عليه، لأنّه بنظر العرف شيء واحد، فكما يفهم العرف من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ينجَس بالبول نجاسة مجموعه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يطهر بماء المطر طهارة مجموعه بوصوله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المرسلة تدلّ على طهارة ما يلاقيه المطر، فهذا الجزء يصير جزءً من ماءٍ عاصمٍ، فيطهر ما يلاقيه، وهكذا فَيطهر الجميع في زمانٍ واحد، لأنّ الأجزاء كانت متّصلةً قبل إصابة العاصم، والتأخّر بينها إنّما يكون ذاتيّاً لا زمانيّاً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بعد ابتنائه على صدق ماء المطر على الماء النازل من السماء، المستقرّ في مكانٍ، مع تقاطر السماء، وإنْ لم يكن عليه، أنّ حكم الجريان لا ينقطع عن القطرات الواقعة على الماء النجس، فالامتزاج يوجبُ طهارة الماء لملاقاتها مع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الرؤية إلّابالنسبة إلى السطح الملاقي للقطرات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لم يفتِ أحدٌ صريحاً بطهارة المضاف بذلك، مع جريان هذا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أنّ الاتّصال بالماء العاصم موجبٌ للطهارة، وفي المقام الدليل إنّما يدلّ على أنّ رؤية ماء المطر لشيء توجبُ طهارته، ولا يدلّ على أنّ رؤية ملاقيه لشيء أيضاً توجب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أيضاً من ضعف المبنى، وعليه فيشكل الحكم بالطهارة حتّى مع الامتزاج، لأنّ القطرات بعد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انفصال 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منفعلة، وما ذكرناه من صدق ماء المطر في الماء المستقرّ مع التقاطر عليه، إنّما هو في غير الممتزج مع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أنّه لا يصحّ الاستدلال على هذا القول بالإجماع، على أنّ ماء المطر بحكم الجاري، بعدما عرفت في محلّه من عدم كفاية اتّصاله بالماء النجس في طهارته، بل لابدَّ من الامتزاج،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إذاً في طهارة الماء المتنجّس بتقاطر السماء عليه، الإجماعات المحكيّة على طهارته بوقوع المطر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مرسلة الكاهلي المتقدّمة، على ما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تصحيحها،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يسيل على الماء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الماء ورفع المطر، ويكون الضمير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الماء لا إلى المطر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هذا التصحيح، أنّ كون مجرور على ياء المتكلّم ينافي فرض السيلان عليه، مع فرض ورود القطرات عليه، وعلى رجوع الضمير في قول </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راجعاً إلى المطر كان المراد من الجواب أنّه مطهِّر للقذر بنفسه،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ترشّح المطر بعد الوقوع على مكانٍ فوصل مكاناً آخر، لا يطهر، لعدم صدق ماء المطر عليه بعد انفصاله، فمقتضى عموم إنفعال ماء القليل تنجّسه بالوصول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النازل الثابت له حال تقاطره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ما يدلّ على إنفعال القليل عليه، الذي مورد بعضه ماء المطر بعد إنقطاع تقاطره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جرى على وجه الأرض، فوصل إلى مكانٍ مسقّفٍ، وكان يتقاطر عليه من السماء طَهُر؛ لإطلاق نصوص الباب الواردة في المطر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على عين النجس فترشّح منها على شيء آخر، ولم يكن معه عين النجاسة لم ينجس، بل الأقوى عدم تنجّسه إذا كان معه عين النجاسة مادام متّصلاً بماء السماء يتوالى تقاطره عليه، كما هو مورد خبر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متغيّراً ينجس، كما يستفاد من التعليل في صحيح ابن سالم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النجس يطهر بنزول المطر عليه، إذا وصل إلى أعماقه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مرسلة الكاهلي، الدالّة على مطهريّته لكلّ شيء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المروي بطرقٍ عن أبي الحسن عليه السلام، في طين المطر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به أن يصيب الثوب ثلاثة أيّام، إلّاأن يعلم أنّه قد نجّسه شيء بعد المطر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الإناء نجساً بولوغ الكلب، فأصابه المطر، فهل يطهر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لزوم التعفير وعدم حصول الطهارة بوصول المطر إليه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ماء الغيث كالجاري، فكما يعتبر في غَسل الإناء النجس بولوغ الكلب بالجاري التعفير،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الأساطين رحمهم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النسبة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يدلّ على اعتبار التعفير في غَسل الإناء المزبور، وإنْ كانت عموماً من وجه، إلّاأنّ الثاني يُقدّم للأظهريّة، إذ المتبادر من المرسلة كفاية إصابة المطر في طهارة ما من شأنه التطهير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إصابة المطر إنّما تكون كالغَسل بسائر المياه، وعليه فكما أنّه لا يشمل النجاسات والمتنجّس الذي لا تزول عنه عين النجاسة، كذلك لا يعمّ ما يعتبر فيه التعفير، حتّى لا يجب ذلك، حيث أنّه بمنزلة إزالة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المزبور لا يدلّ المرسل على مطهّريّة المطر لما لا تطهّره سائر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يدلّ على أنّ ماء الغيث كالجاري، ليس إلّاالإجماعات المحكيّة، وهي على فرض حجيّتها، غاية ما تدلّ عليه إنّما هو اعتصامه، وأمّا اعتبار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ما يعتبر في الغسل بالجاري فيه أيضاً، فلا دلالة فيها عليه،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ما اخترناه في معنى التعفير يكون هو أيضاً غَسلاً حقيقة، وعليه فكما أنّه تدلّ المرسلة على كفاية إصابة المطر عن الغَسل بالماء، كذلك تدلّ على كفايته عن الغسل بالتراب أيضاً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المرسل عام يدلّ على أنّ كلّ ما يقبل التطهير يطهر بإصابة المطر، ولا يحتاج إلى شيء آخر من التعفير والغَسل والتعدّد ونحوها، والنسبة بينه وبين ما يدلّ على لزوم التعفير وإنْ كانت عموماً من وجه، إلّاأنّ المرسل بما أنّ دلالته تكون بالعموم، يقدَّم على ما يدلّ على لزوم التعفير، لكون دلالته بالإطلاق، ولولا ذلك لما كان وجه لعدم اعتبار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دعوى عدم شمول ما يدلّ على لزوم التعفير لما إذا طهّر الإناء بالمطر غير بعيدة، لإختصاص دليله بموارد اعتبار الغَسل، وهي ما لو طهرت بسائر المياه، فتدبّر حتّى لا تبادر بالإشكال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الحاجة إلى التعفير، وإنْ كان الأحوط رعايته</w:t>
      </w:r>
      <w:r>
        <w:rPr>
          <w:rFonts w:eastAsia="Amiri" w:cs="Amiri" w:ascii="Amiri" w:hAnsi="Amiri"/>
          <w:color w:val="111111"/>
          <w:sz w:val="28"/>
          <w:szCs w:val="28"/>
          <w:rtl w:val="true"/>
          <w:lang w:bidi="ar-SA"/>
        </w:rPr>
        <w:t>.</w:t>
      </w:r>
      <w:bookmarkStart w:id="45" w:name="pg11794_146837"/>
    </w:p>
    <w:p>
      <w:pPr>
        <w:pStyle w:val="BookText"/>
        <w:rPr/>
      </w:pPr>
      <w:bookmarkEnd w:id="45"/>
      <w:r>
        <w:rPr>
          <w:rFonts w:ascii="Amiri" w:hAnsi="Amiri" w:eastAsia="Amiri" w:cs="Amiri"/>
          <w:color w:val="111111"/>
          <w:sz w:val="28"/>
          <w:sz w:val="28"/>
          <w:szCs w:val="28"/>
          <w:rtl w:val="true"/>
          <w:lang w:bidi="ar-SA"/>
        </w:rPr>
        <w:t>وماء الحمّام إذا كانت له مادّة حكمه</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0298922_73709187"/>
      <w:bookmarkStart w:id="47" w:name="_Toc17"/>
      <w:bookmarkEnd w:id="46"/>
      <w:r>
        <w:rPr>
          <w:rtl w:val="true"/>
        </w:rPr>
        <w:t>ماء الحمّام</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إذا كانت له مادّة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حكم الجاري، بلا خلافٍ فيه، ويشهد لكونه بمنزلة الجاري عدَّة من الروايات كصحيح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شرطيّة الاتّصال فتدلّ عليها رواية بكر بن حَبِيبٍ،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قويّة السند؛ لأنّ بكراً وإنْ كان مجهولاً، إلّاأنّ في سندها صفوان بن يحيى، وعن العدّة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إلّاعن ثقة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أجمعت العصابة على تصحيح ما يصحّ عنه، مضافاً إلى تلقّي الأصحاب إيّاها بالقبول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المراد من ماء الحمّام، هو ما في الحياض الصغار، لكونه مورد النصوص والفتوى، لقرينة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ولتشبيهه بالجاري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جماعة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ما في الخزانة وحده، أو مع ما في الحياض بقدر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 المادّة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جملةٍ من المتأخّرين</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الكريَّة لا في المادّة ولا في مجموع ما فيها وما في الحياض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تساوي السطوح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بلوغ المجموع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بلوغ المادّة كُرّاً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نصوص الباب وإنْ كانت من قبيل القضيّة الحقيقيّة، الدالّة على ثبوت الحكم لكلّ ما كان من الحمّامات الموجودة في زمان صدورها، وما وجد ويوجد بعدها، ولا تكون من قبيل القضيّة الخارجيّة المختصّة بالأفراد الخارجيّة الموجودة في ذلك الزمان، إلّاأنّه ليس الموضوع هو كل ما يسمّى بهذا الاسم، ولو كان ما سُمّي بهذا الاسم بعد ذلك منافياً، لما كان مسمّاً به في زمان الصدور، كما هو الشأن في جميع العناوين المأخوذة في الأدلّة، كعنوان ماء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المطر، بل الموضوع هو كلّ ما ينطبق عليه هذا العنوان بما كان له من المعنون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عدم اختصاص الأحكام بالهيئة السابقة الموجودة في ذلك الزمان، ضعيفة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يوجب عدم شمول الأدلّة لما إذا كان المجموع أقلّ من الكرّ، إذ الظاهر أنّه موضوعٌ للقدر المشترك، وهو الهيئة الخاصّة المعلومة عند العرف، فلا يضرّ النقيصة والزيادة في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مقتضى إطلاق الأدلّة، عدم اختصاص أحكامه بما إذا كان ما في الخزانة، أو هو مع ما في الحياض بقدر الكرّ، بل يشمل ما لو كان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العادة باستحالة وجود حمّامٍ لا يكون الماء الموجود في خزانته في أزمنة تعارف استعماله مقدار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ذلك فيه، بعد الأخذفي الاستعمال، لاسيّما في الحمّامات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كون مادّة الحمّام كُرّاً، فينزّل الإطلاق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ندرة الوجود لا توجب عدم شمول الإطلاق أو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لابدَّ من اعتبار كريَّة المادّة، أو كون مجموع ما في الخزانة مع ما في الحياض كُرّاً، في ما يترتّب على ماء الحمّام،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روايات الباب إنّما سيقت لرفع استبعاد السائلين، حيث توهّموا إنفعال ماء الحمّام لأجل توارد النجاسات عليه، وأراد عليه السلام بقوله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اختلج في أذهانهم من الريبة في خصوص الحمّام، ولا يستفاد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مدخليّة الحمّام من حيث هو في هذا الحكم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بَعْضُهُ بَعْضاً</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كالصريح في أنّ علَّة الاعتصام، إنّما هي اتّصال بعضه ببعض، لا مدخليّة الحمّام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بكر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ظاهر في أنّ السبب في عدم الانفعال وجود المادّة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العرف يرون أنّ خصوصيّة الحمّام كخصوصيّة الدار والغدير، غير دخيلةٍ في الحكم، كيف ولازم دخل العنوان المذكور فيه، هو انفعال ماء الحمّام إذا لم يكن له مادّة، ولو كان كثيراً، وعدم انفعاله لو أُخذ منه مقدارٌ وجعل مادّة، وذلك كلّه خلاف المرتكز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الروايات، والقرائن المحفوفة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والداخليّة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القطع بعدم دخل الحمّام من حيث هو في هذا الحكم، وعليه فلابدَّ من ملاحظة القواعد العامّة، وستعرف ما تقتضيه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إطلاق روايات الباب، فتعارض هي مع ما يدلّ على إنفعال الماء القليل، والنسبة بينهما بما أنّه عموم من وجه، ودلالة كلّ منهما إنّما تكون بالإطلاق</w:t>
      </w:r>
      <w:r>
        <w:rPr>
          <w:rStyle w:val="FootnoteAnchor"/>
          <w:rtl w:val="true"/>
        </w:rPr>
        <w:footnoteReference w:id="103"/>
      </w:r>
      <w:r>
        <w:rPr>
          <w:rFonts w:ascii="Amiri" w:hAnsi="Amiri" w:eastAsia="Amiri" w:cs="Amiri"/>
          <w:color w:val="111111"/>
          <w:sz w:val="28"/>
          <w:sz w:val="28"/>
          <w:szCs w:val="28"/>
          <w:rtl w:val="true"/>
          <w:lang w:bidi="ar-SA"/>
        </w:rPr>
        <w:t>فيتساقطان، فيرجع إلى عموم ما يدلّ على إنفعال كلّ شيء بالملاقاة،ه</w:t>
      </w:r>
      <w:r>
        <w:rPr>
          <w:rFonts w:eastAsia="Amiri" w:cs="Amiri" w:ascii="Amiri" w:hAnsi="Amiri"/>
          <w:color w:val="111111"/>
          <w:sz w:val="28"/>
          <w:szCs w:val="28"/>
          <w:rtl w:val="true"/>
          <w:lang w:bidi="ar-SA"/>
        </w:rPr>
        <w:t xml:space="preserve">. </w:t>
      </w:r>
      <w:bookmarkStart w:id="48" w:name="pg11794_146841"/>
    </w:p>
    <w:p>
      <w:pPr>
        <w:pStyle w:val="BookText"/>
        <w:rPr/>
      </w:pPr>
      <w:bookmarkEnd w:id="48"/>
      <w:r>
        <w:rPr>
          <w:rFonts w:ascii="Amiri" w:hAnsi="Amiri" w:eastAsia="Amiri" w:cs="Amiri"/>
          <w:color w:val="111111"/>
          <w:sz w:val="28"/>
          <w:sz w:val="28"/>
          <w:szCs w:val="28"/>
          <w:rtl w:val="true"/>
          <w:lang w:bidi="ar-SA"/>
        </w:rPr>
        <w:t>ولا يرجع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لضعف سنده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أنّه لو كان ما في الخزانة بقدر الكُرّ، لا ينفعل ما في الحياض المتّصلة به، ولو مع اختلاف السطوح، لعدم معروفيّة الخلاف في تقوّي السّافل بالعالي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غير واحدٍ دعوى الاتّفاق عليه، بل عن بعضٍ دعوى 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الحمّام، لأنّه القدر المتيقّن من موردها، وحيث عرفت عدم الخصوصيّة له فيتعدّى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w:t>
      </w:r>
      <w:r>
        <w:rPr>
          <w:rStyle w:val="FootnoteAnchor"/>
          <w:rtl w:val="true"/>
        </w:rPr>
        <w:footnoteReference w:id="105"/>
      </w:r>
      <w:r>
        <w:rPr>
          <w:rFonts w:ascii="Amiri" w:hAnsi="Amiri" w:eastAsia="Amiri" w:cs="Amiri"/>
          <w:color w:val="111111"/>
          <w:sz w:val="28"/>
          <w:sz w:val="28"/>
          <w:szCs w:val="28"/>
          <w:rtl w:val="true"/>
          <w:lang w:bidi="ar-SA"/>
        </w:rPr>
        <w:t>لاسيّما بناءً على ما هو الحقّ من رجوع التعليل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لا ريب في إنفعال ما في الحياض بملاقاة النجاسة، إذا كان مجموع ما في الخزانة وما في الحياض أقلّ من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في الخزانة وحده أقلّ من الكُرّ، ولكنّه مع ما في الحياض بالغاً قدره، فمع تساوي سطح ما في الخزانة وما في الحياض، لا شبهة في عدم الانفعال، لعموم ما يدلّ على عدم إنفعال البالغ قدر الكُرّ</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0298924_73709187"/>
      <w:bookmarkStart w:id="50" w:name="_Toc18"/>
      <w:bookmarkEnd w:id="49"/>
      <w:r>
        <w:rPr>
          <w:rtl w:val="true"/>
        </w:rPr>
        <w:t>تقوّي السّافل بالعالي</w:t>
      </w:r>
      <w:bookmarkEnd w:id="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اختلاف السطحين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المسألة المعنونة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كلماتهم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جماعةٍ من المتأخّرين</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كلٍّ من السّافل والعالي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وغيرها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في مادّة الحمّام، ومقتضاه عدم تقوّي السّافل بالعالي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فيما لو وصل بين الغديرين بساقيةٍ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السّافل بالعالي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حُكي من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الشكّ في أنّ المناط في عدم الانفعال هو كون الماء الواحد المتّصل كُرّاً، ولا يكون شيء آخر دخيلاً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يدلّ على اعتصام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من الإشكال في عدم إنفعال الكُرّ مع تساوي السطوح، إذا لم يكن مجتمعاً متقارب الأجزاء،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الماء ساكناً، كما لو عمل ظرف من فضّة على هيئة المنبر، فالظاهر أنّه لا ينبغي الريب في تقوّي كلٍّ من الأعلى والأسفل بالآخر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Style w:val="FootnoteAnchor"/>
          <w:rtl w:val="true"/>
        </w:rPr>
        <w:footnoteReference w:id="111"/>
      </w:r>
      <w:r>
        <w:rPr>
          <w:rFonts w:ascii="Amiri" w:hAnsi="Amiri" w:eastAsia="Amiri" w:cs="Amiri"/>
          <w:color w:val="111111"/>
          <w:sz w:val="28"/>
          <w:sz w:val="28"/>
          <w:szCs w:val="28"/>
          <w:rtl w:val="true"/>
          <w:lang w:bidi="ar-SA"/>
        </w:rPr>
        <w:t>مورد أدلّة اعتصام الكُرّ بالحياض والغدران ونحوهما ممّا يتساوى السطوح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المورد لا يكون مخصّصاً لبعض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خصوص متساوي السطوح</w:t>
      </w:r>
      <w:r>
        <w:rPr>
          <w:rStyle w:val="FootnoteAnchor"/>
          <w:rtl w:val="true"/>
        </w:rPr>
        <w:footnoteReference w:id="112"/>
      </w:r>
      <w:r>
        <w:rPr>
          <w:rFonts w:ascii="Amiri" w:hAnsi="Amiri" w:eastAsia="Amiri" w:cs="Amiri"/>
          <w:color w:val="111111"/>
          <w:sz w:val="28"/>
          <w:sz w:val="28"/>
          <w:szCs w:val="28"/>
          <w:rtl w:val="true"/>
          <w:lang w:bidi="ar-SA"/>
        </w:rPr>
        <w:t>، واضحة الدفع، لأنّه بدوي ناشيء من اُنس الذهن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في المقام ثلاث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في شمول الأدلّة له، بأنّه مع اختلاف السطوح يتعدّد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تخلّل العدم والانفصال،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فيه بأنّ ما دلّ على اعتبار المادّة في الحمّام، المنصرف إطلاقها إلى الكُرّ، يقيّد هذه المطلقات، بناءً على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ندرة الوجود ليست صالحة للانصراف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أعاظم المعاصرين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المرتكز العرفي عدم تقوّي كلّ من العالي والسّافل بالآخر، وهذا الارتكاز موجبٌ لانصراف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ليس من الانصرافات البدويّة التي لا يعوّل عليها في رفع اليد عن الإطلاق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تقوّي بعض أجزاء الماء بالآخر، لا يتوقّف على شيء سوى صدق الماء الواحد على مجموعها، وهو يصدق على المورد، وقد عرفت الاتّفاق والدليل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تقوّي السّافل بالعالي الكثير، مع أنّه بديهي عدم دخالة الكثرة في التقوّي، بل نفس تلك الأدلّة تدلّ على المورد،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المحقّقين</w:t>
      </w:r>
      <w:r>
        <w:rPr>
          <w:rStyle w:val="FootnoteAnchor"/>
          <w:rtl w:val="true"/>
        </w:rPr>
        <w:footnoteReference w:id="114"/>
      </w:r>
      <w:r>
        <w:rPr>
          <w:rFonts w:ascii="Amiri" w:hAnsi="Amiri" w:eastAsia="Amiri" w:cs="Amiri"/>
          <w:color w:val="111111"/>
          <w:sz w:val="28"/>
          <w:sz w:val="28"/>
          <w:szCs w:val="28"/>
          <w:rtl w:val="true"/>
          <w:lang w:bidi="ar-SA"/>
        </w:rPr>
        <w:t>كلام في المقام،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راجعنا وجداننا لا نستبعد إطلاق الكريَّة على الماء السّافل المتّصل بالعالي، بل ارتباط العالي بالسّافل أشدّ من ارتباط بعض الماء الواقف ببعض، وهذا بخلاف العالي فإنّ الماء النازل منه يضعف ارتباطه به، فكأنّه ينفصل عنه، فلا يساعد أذهاننا على إطلاق الكريَّة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أنّ السّافل يتقوّى بالعالي، وأمّا العالي فلا يفهم منه تقوّيه بالسّافل، ولعلّ هذا هو مدرك القول بالتفصيل الموجود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فلازمه عدم تقوّي السّافل بالعالي أيضاً، إذ مع فرض ضعف الارتباط، وصدق الانفصال، فما الوجه في تقوّيه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يصدق على مجموعها أنّه ماءٌ واحد متّصل بعضه ببعض، ويكون كُرّاً، ولازم ذلك هو الالتزام بتقوّي كلّ منهما بالآخر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فالحياض الصغار إذا اتّصلت بالخزانة لا تنجّس بالملاقاة، إذا كان ما في الخزانة وحده، أو مع ما في الحياض بقدر الكُرّ، من غير فرق بين تساوي سطحها مع الخزانة؟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الصحيح،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ما فيها، طَهُر بالاتّصال بالخزانة، بلا خلافٍ فيه في الجملة،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طهارة المتمّم كُرّاً بطاهر، لا يعتبر كُرّية خصوص ما في الخزانة في رفع نجاسة ما في الحياض المتّصلة بها، بل يكفي كون المجموع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القول بها، فيعتبر كون خصوص ما في الخزانة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طهارة ما في الحياض إذا اتّصلت بها، صحيح ابن بزيع، بناءً على ما تقدّم من رجوع العلّة التي فيه إلى الغاية، فيعمّ الحكم كلّ ما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عرفت في مبحث الماء الجاري،</w:t>
      </w:r>
      <w:r>
        <w:rPr>
          <w:rStyle w:val="FootnoteAnchor"/>
          <w:rtl w:val="true"/>
        </w:rPr>
        <w:footnoteReference w:id="117"/>
      </w:r>
      <w:r>
        <w:rPr>
          <w:rFonts w:ascii="Amiri" w:hAnsi="Amiri" w:eastAsia="Amiri" w:cs="Amiri"/>
          <w:color w:val="111111"/>
          <w:sz w:val="28"/>
          <w:sz w:val="28"/>
          <w:szCs w:val="28"/>
          <w:rtl w:val="true"/>
          <w:lang w:bidi="ar-SA"/>
        </w:rPr>
        <w:t>أنّ الحديث لا يدلّ على كفاية مجرّد الاتّصال، فالأحوط رعاية الامتزاج مع ما يجري عليه من الخزانة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1" w:name="pg11794_146846"/>
    </w:p>
    <w:p>
      <w:pPr>
        <w:pStyle w:val="BookText"/>
        <w:rPr/>
      </w:pPr>
      <w:bookmarkEnd w:id="5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كمياه الحياض والأواني، إنْ كان مقداره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ألفٌ ومائتا رطلٍ بالعراقي</w:t>
      </w:r>
    </w:p>
    <w:p>
      <w:pPr>
        <w:pStyle w:val="Heading6"/>
        <w:numPr>
          <w:ilvl w:val="5"/>
          <w:numId w:val="1"/>
        </w:numPr>
        <w:rPr/>
      </w:pPr>
      <w:bookmarkStart w:id="52" w:name="__RefHeading___Toc10298926_73709187"/>
      <w:bookmarkStart w:id="53" w:name="_Toc19"/>
      <w:bookmarkEnd w:id="52"/>
      <w:r>
        <w:rPr>
          <w:rtl w:val="true"/>
        </w:rPr>
        <w:t>القسم الثاني</w:t>
      </w:r>
      <w:r>
        <w:rPr>
          <w:rtl w:val="true"/>
        </w:rPr>
        <w:t xml:space="preserve">: </w:t>
      </w:r>
      <w:r>
        <w:rPr>
          <w:rtl w:val="true"/>
        </w:rPr>
        <w:t>الماء الرّاكد</w:t>
      </w:r>
      <w:bookmarkEnd w:id="53"/>
    </w:p>
    <w:p>
      <w:pPr>
        <w:pStyle w:val="Heading6"/>
        <w:numPr>
          <w:ilvl w:val="5"/>
          <w:numId w:val="1"/>
        </w:numPr>
        <w:rPr/>
      </w:pPr>
      <w:bookmarkStart w:id="54" w:name="__RefHeading___Toc10298928_73709187"/>
      <w:bookmarkStart w:id="55" w:name="_Toc20"/>
      <w:bookmarkEnd w:id="54"/>
      <w:r>
        <w:rPr>
          <w:rtl w:val="true"/>
        </w:rPr>
        <w:t>اشارة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كمياه الحياض والأواني، إنْ كان مقداره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ينجس بوقوع النجاسة فيه بلا خلافٍ، بل هو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 منها المتضمّنة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لايُنجِّسه شيء</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الوارد بعضها جواباً عن السؤال عن الماء الذي تلغُ فيه الكلاب، ويَغتَسل فيه الجنب، وتبول فيه الدواب، وتدخله الدجاجة التي وطئت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 الكُرّ بحسب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ومائتا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لأنّ مقتضى الجمع بين مرسلة ابن أبي عُمير،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الَّذِي لا يُنَجِّسُهُ شَيْ‌ءٌ أَلْفٌ ومِائَتَا رِطْلٍ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صحيحة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الرّطل في المرسلة على العراقي، وحَمله في الصحيحة على المكّي الذي هو </w:t>
      </w:r>
    </w:p>
    <w:p>
      <w:pPr>
        <w:pStyle w:val="BookText"/>
        <w:rPr/>
      </w:pPr>
      <w:r>
        <w:rPr>
          <w:rFonts w:ascii="Amiri" w:hAnsi="Amiri" w:eastAsia="Amiri" w:cs="Amiri"/>
          <w:color w:val="111111"/>
          <w:sz w:val="28"/>
          <w:sz w:val="28"/>
          <w:szCs w:val="28"/>
          <w:rtl w:val="true"/>
          <w:lang w:bidi="ar-SA"/>
        </w:rPr>
        <w:t>ضِعفُ العراقي،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في نفسه مجملٌ، محتمل لإرادة كلّ واحدٍ من الأرطال العراقي والمكّي والمدني منه، لما يستفاد من تتبع الأخبار والآثار، من شيوع العراقي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حديث الكلبي النسَّابة سؤالاً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العراقي أشيع، وكذلك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يحتمل كون الإمام في زمان صدور الحديث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فضمّ كلٍّ منهما إلى الآخر قرينة معيّنة للمراد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فاختبر ذلك فيما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زيداً منَّاً من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أنّ القائل حين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إلى ما قاله أوّلاً، ولم يرفع اليد عنه، وكان المَنّ مشتركاً بين مقدارٍ ونصفه، فإنّه لا يشكّ أحدٌ في أنّ كلّ واحدٍ منهما يرفع الإجمال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لا يزيد بحسب المساحة عن ثلاثة وأربعين شبراً إلّاثُمن شِبْر، ولا ينقص عن سبعة وعشرين شبراً، وألف ومأتا رطلٍ بالعراقي على ما ستعرف يقارب سبعة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الرّطل في الصحيح هو العراقي، لزم أنْ يكون بحسب المساحة ثلاثة عشر شبراً ونصف شبر، وإنْ حملناه على المدني يكون عشرين شبراً ورُبع شبر، فلا محيص عن حمله على المكّي، وهو حينئذٍ يكون قرينة على إرادة العراقي من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يتمّ ما ذكرناه، وسلّمنا إجمال الروايتين، نقول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منهما صريحاً يوضح إجمال الآخر، وذلك لأنّ الصحيح على أيّ معنى </w:t>
      </w:r>
    </w:p>
    <w:p>
      <w:pPr>
        <w:pStyle w:val="BookText"/>
        <w:rPr/>
      </w:pPr>
      <w:r>
        <w:rPr>
          <w:rFonts w:ascii="Amiri" w:hAnsi="Amiri" w:eastAsia="Amiri" w:cs="Amiri"/>
          <w:color w:val="111111"/>
          <w:sz w:val="28"/>
          <w:sz w:val="28"/>
          <w:szCs w:val="28"/>
          <w:rtl w:val="true"/>
          <w:lang w:bidi="ar-SA"/>
        </w:rPr>
        <w:t>حُمل الرّطل فيه، يدلّ على أنّ ألفا ومائتي رطل بالعراقي يكون كُرّاً، إذ أيّ المعاني أريد منه لا يزيد على ذلك، وهذا يدلّ أنّ هذا الحدّ وما زاد عليه كرّ لا ينفعل، فهو قرينة معينة لإرادة العراقي من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 على أيّ معنى حُمل الرّطل فيه، يدلّ على أنّ الأقلّ من ألف ومائتي رطل بالعراقي ليس بكُرّ وينفعل، فهو أيضاً قرينة على إرادة المكّي من الصحيح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يدلّ على أنّ ألفا ومائتي رطل بالعراقي كُرّ، والصحيح يدلّ على أنّ الأقلّ منه ليس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فبكلٍّ من الخبرين يتمسّك لإثبات جزء من المطلوب، فتدبّر في ذلك فإنّه دقيق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وزن الكُرّ</w:t>
      </w:r>
      <w:r>
        <w:rPr>
          <w:rFonts w:eastAsia="Amiri" w:cs="Amiri" w:ascii="Amiri" w:hAnsi="Amiri"/>
          <w:color w:val="111111"/>
          <w:sz w:val="28"/>
          <w:szCs w:val="28"/>
          <w:rtl w:val="true"/>
          <w:lang w:bidi="ar-SA"/>
        </w:rPr>
        <w:t>.</w:t>
      </w:r>
      <w:bookmarkStart w:id="56" w:name="pg11794_146849"/>
    </w:p>
    <w:p>
      <w:pPr>
        <w:pStyle w:val="BookText"/>
        <w:rPr/>
      </w:pPr>
      <w:bookmarkEnd w:id="56"/>
      <w:r>
        <w:rPr>
          <w:rFonts w:ascii="Amiri" w:hAnsi="Amiri" w:eastAsia="Amiri" w:cs="Amiri"/>
          <w:color w:val="111111"/>
          <w:sz w:val="28"/>
          <w:sz w:val="28"/>
          <w:szCs w:val="28"/>
          <w:rtl w:val="true"/>
          <w:lang w:bidi="ar-SA"/>
        </w:rPr>
        <w:t>أو كان كلّ واحدٍ من طوله وعَرْضِه وعُمقه ثلاثة أشبارٍ ونصفاً، بشبر مستوى الخلقة</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0298930_73709187"/>
      <w:bookmarkStart w:id="58" w:name="_Toc21"/>
      <w:bookmarkEnd w:id="57"/>
      <w:r>
        <w:rPr>
          <w:rtl w:val="true"/>
        </w:rPr>
        <w:t>مساحة الكُرّ</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كلّ واحدٍ من طوله وعرضه وعُمقه ثلاثة أشبار ونصفاً بشبر مستوى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بالمساحة ثلاثة وأربعين شبراً إلّاثُمن شبرٍ، 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القُميّين وجماعةٍ من المتأخّرين كالمصنّف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والشهيد الثاني</w:t>
      </w:r>
      <w:r>
        <w:rPr>
          <w:rStyle w:val="FootnoteAnchor"/>
          <w:rtl w:val="true"/>
        </w:rPr>
        <w:footnoteReference w:id="123"/>
      </w:r>
      <w:r>
        <w:rPr>
          <w:rFonts w:ascii="Amiri" w:hAnsi="Amiri" w:eastAsia="Amiri" w:cs="Amiri"/>
          <w:color w:val="111111"/>
          <w:sz w:val="28"/>
          <w:sz w:val="28"/>
          <w:szCs w:val="28"/>
          <w:rtl w:val="true"/>
          <w:lang w:bidi="ar-SA"/>
        </w:rPr>
        <w:t>، والأردبيلي</w:t>
      </w:r>
      <w:r>
        <w:rPr>
          <w:rStyle w:val="FootnoteAnchor"/>
          <w:rtl w:val="true"/>
        </w:rPr>
        <w:footnoteReference w:id="12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سبعة وعشرون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25"/>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بلغ إلى ستّة وثلاثين شبراً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عُمدة الأقوال في المسألة، وهناك أقوال آخر ضعيفة سيظهر وجه </w:t>
      </w:r>
    </w:p>
    <w:p>
      <w:pPr>
        <w:pStyle w:val="BookText"/>
        <w:rPr/>
      </w:pPr>
      <w:r>
        <w:rPr>
          <w:rFonts w:ascii="Amiri" w:hAnsi="Amiri" w:eastAsia="Amiri" w:cs="Amiri"/>
          <w:color w:val="111111"/>
          <w:sz w:val="28"/>
          <w:sz w:val="28"/>
          <w:szCs w:val="28"/>
          <w:rtl w:val="true"/>
          <w:lang w:bidi="ar-SA"/>
        </w:rPr>
        <w:t>ضعفها، ممّا 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الثّوري،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فِي الرَّكِيِّ</w:t>
      </w:r>
      <w:r>
        <w:rPr>
          <w:rStyle w:val="FootnoteAnchor"/>
          <w:rtl w:val="true"/>
        </w:rPr>
        <w:footnoteReference w:id="128"/>
      </w:r>
      <w:r>
        <w:rPr>
          <w:rFonts w:ascii="Amiri" w:hAnsi="Amiri" w:eastAsia="Amiri" w:cs="Amiri"/>
          <w:color w:val="111111"/>
          <w:sz w:val="28"/>
          <w:sz w:val="28"/>
          <w:szCs w:val="28"/>
          <w:rtl w:val="true"/>
          <w:lang w:bidi="ar-SA"/>
        </w:rPr>
        <w:t>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 ثَلاثَةُ أَشْبَارٍ ونِصْفٌ عُمْقُهَا، فِي ثَلاثَةِ أَشْبَارٍ ونِصْفٍ عَرْضِهَا كُرّاً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هذا الخبر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وأمّا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فبدعوى الاكتفاء بذكر بعض الأبعاد عن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الحديث موثّق معتبر، ولكن المعتمد 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وإنْ كان مقتضى القاعدة عند دوران الأمر بين الزيادة والنقيصة، هو الحكم بالثانية، إذ احتمال السقط أقوى من احتمال الزيادة، فلا يتكافئان، إلّاأنّه فيما نحن فيه بما أنّ الكليني أضبط من الشيخ،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يذكر ما أدّى إليه نظره وفهمه من الأخبار في ضمن الخبر، والأعلام إنّما استدلّوا بهذا الخبر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احتمال السقط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من احتمال الزيادة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فالعبرة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بما أنّ مورده الرَّكي، وهو مدورٌ بحسب الغالب، فالعَرْض في الحديث ليس هو ما يقابل الطول، لأنّ المدوّر لا يكون له خطوط متساوية، بل هو بمعنى السِّعة، فيكون المراد من عرضها قطر الدائرة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من أنّ الحمل على المدوّر حملٌ على ما لا يعرفه إلّا الخواص من علماء الهيئة فيمتنع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غايته، إذ لو كان جوابه عليه السلام بما يكون نتيجته ضرب الأبعاد بعضها في بعض، كان لما أفاده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بما أنّ الجواب إنّما يكون بتعيين القطر والعمق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ممّا يعرفه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أن يكون سعته على الإطلاق ثلاثة أشبار ونصفاً من أي ناحية تفرض، والمدوّر ليس كذلك، إذ ليس ماعدا البُعد المفروض في وسطه، كذلك فمن الإطلاق يستكشف عدم كونه مستديراً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الإطلاق الحمل على المدوّر، لأنّه الذي تستوي فيه الخطوط من أيّ ناحية فرض الخطّ، بخلاف غيره من المضلّعات، فإنّ ما بين زواياه أطول من ما بين الأضلاع، فمقتضى إطلاق الاقتصار على بيان بُعدٍ واحد هو الحمل على المدوّر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الخطوط في المدوّر من جميع النقاط، وكونه ممّا له بُعدٌ واحدٌ في نظر العرف، وكون مورد الخبر الركيَّة التي تكون مستديرة غالباً، تقتضي حمل الخبر المتضمّن لبيان بُعد واحدٍ على المدوّر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لزوم حمل موثّق أبي بصير المذكور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ثَلاثَةُ أَشْبَارٍ ونِصْفٌ فِي عُمْقِهِ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الْكُرُّ مِنَ الْمَاءِ</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استدلّ به على مذهب المشهور على المدوّر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وقدر العاطف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التقدير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من أنّي عثرتُ على نسخةٍ مقروءة على المجلسي الكبير مصحّحة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أشبار ونصف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لا يُعتمد عليها في قبال النسخ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حذفه من العمق، لدلالة ما قبله عليه كما ترى، بل الظاهر منه كون قوله عليه السلام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المدوّر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فظاهر الروايتين كون الكُرّ ثلاثة وثلاثين شبراً وخمسة أثمان الشبر ونصف ثمنه، إذ مقتضى ضرب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شبران إلّاربع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أشبار ونصف، على ما هو الثابت في محلّه من أنّ المحيط ثلاثة أمثال القطر وسبعه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الحاصل في العمق، كون الحاصل ما ذكرناه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الخبرين</w:t>
      </w:r>
      <w:r>
        <w:rPr>
          <w:rStyle w:val="FootnoteAnchor"/>
          <w:rtl w:val="true"/>
        </w:rPr>
        <w:footnoteReference w:id="135"/>
      </w:r>
      <w:r>
        <w:rPr>
          <w:rFonts w:ascii="Amiri" w:hAnsi="Amiri" w:eastAsia="Amiri" w:cs="Amiri"/>
          <w:color w:val="111111"/>
          <w:sz w:val="28"/>
          <w:sz w:val="28"/>
          <w:szCs w:val="28"/>
          <w:rtl w:val="true"/>
          <w:lang w:bidi="ar-SA"/>
        </w:rPr>
        <w:t>الذين هما مدرك المشهور، لا يدلّان على ما ذهبوا إليه، ولا على ما اختاره المحقّق، فالأمر يدور بين طرحهما، أو الالتزام بأنّ المراد بهما أنّ الكُرّ هو سبعة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هذا المقدار، إنّما يكون لأجل الاحتياط، من جهة أنّ وسط البئر غالباً يكون عمقه أقلّ من أطرافه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ولايبعد دعوى أرجحيّة الثاني، وعلى كلّ حال لا يدلّان على ما استدلّوا بهما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الباب، ما رواه الشيخ في الصحيح،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توهم دلالته على مذهب المشهور، بدعوى أنّ ظاهر اعتبار الذراع والشبر في السعة اعتبارهما في كلّ من البعدين، والذراع إنّما يكون أطول من الشبرين بمقدارٍ يسير، فيبلغ مجموع مساحته ما يقرب من المساحة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الذراع لا يزيد على الشبرين، كما يساعده الإختبار، فعلى ما ذكر يكون مجموع مساحته ستّة وثلاثين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سابقاً من ظهور مثل هذا التحديد المعيّن لبُعدٍ واحد في قبال العمق في الشكل المدوّر، فيبلغ مجموع مساحته ما يقرب سبعة وعشرين شبراً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هذا القول رواية إسماعيل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البهائي رحمه الله</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 زمن العلّامة رحمه الله إلى زماننا هذا موصوفة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بالصحّة، فالرواية من حيث السند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فحيث أنّه لم ينصّ على بُعدٍ بعينه، ليجري فيها ما ذكرناه في الروايات المتقدّمة، بل نُسب التحديد إلى نفس الماء لا إلى أبعاده، فظهور هذه الجملة في جميع أبعاده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بالإجماع، على أنّ الكُرّ لا ينقص عن سبعة وعشرين، فلو فرض مورد الرواية المدوّر، لزم أن يكون أقلّ، فلابدَّ من فرضه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طُولا فِي ثَلاثَةِ أَشْبَارٍ عَرْضاً فِي ثَلاثَةِ أَشْبَارٍ عُمْقاً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مفاد هذا الحديث كون الكُرّ سبعة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سقوط النصف من الحديث لا يُعتنى به، كما أنّ دعوى وهنه لإعراض الأصحاب عنه، مندفعة باحتمال أن يكون إعراضهم لبعض الوجوه المرجّحة لغيره عليه، مع إفتاء جماعةٍ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الكُرّ بحسب الوزن ألفاً ومائتي رطلٍ بالعراقي، وبحسب المساحة سبعة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الكلام في الجواب عن الإشكال الذي طرح في المقام، وهو أنّ التحديد بالمساحة والوزن يختلفان، فكيف التوفيق بين التحديدين؟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المجلسي رحمه الله</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 ومائتي رطل من ماء المدينةي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يساوي ثلاثة وثلاثين شبراً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ماء النجف يساوي ثمانية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الاُستاذ دام بقاؤه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يساوي سبعة وعشرين شبراً، وهذه الأوزان لا توافق المشهور في المساحة، وربما تزيد على المساحة التي اخترناه، وربما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 الجواب عنه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إنّ الأشبار في حَدّ ذاتها لا انضباط لها حتّى في المتعارف منها، سيما مع كون المتعارف منها في الأزمنة السابقة أطول من المتعارف في زماننا، ومعه لا مجال لجعلها حدّاً واقعيّاً، فلا محيص عن حملها على كونها كاشفة عن تحقّق الموضوع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 المياه تختلف خفّةً وثقلاً، ومن المستبعد جدّاً دخل الخفّة والثقل في الاعتصام، بل المرتكز عند العرف العاصم هو الكمّ الخاص، فلابدَّ من الإلتزام بأنّه أيضاً علامة على وجود الكُرّ، فهما ليسا حَدّين، بل هما علامتان لوجود الكُرّ، ولا مانع من جعل علامتين لشيءٍ، مع كون النسبة بينهما عموماً من وجه، أو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فنلتزم بكفاية تحقّق أحدهما، ولو لم يتحقّق الآخر، إذ وجود كلّ منهما أمارة على وجود الحدّ، وأمّا عدمه فلا يكون أمارة على عدم وجوده ليقع التعارض بين الدليلين ويُحكم بتساقطهما،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في أطراف ما ذكرناه، فإنّه أحسن ما قيل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في كثير من الكلمات في المقام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الرّطل العراقي مائة وثلاثون درهماً، وتدلّ عليه مكاتبة</w:t>
      </w:r>
      <w:r>
        <w:rPr>
          <w:rStyle w:val="FootnoteAnchor"/>
          <w:rtl w:val="true"/>
        </w:rPr>
        <w:footnoteReference w:id="144"/>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عَلَى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اخْتَلَفُوا فِي الصَّاعِ؛ بَعْضُهُمْ يَقُولُ الْفِطْرَةُ بِصَاعِ الْمَدَنِيِّ، وبَعْضُهُمْ يَقُولُ بِصَاعِ الْعِرَاقِيِّ؟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الصَّاعُ بِسِتَّةِ أَرْطَالٍ بِالْمَدَنِيِّ، وتِسْعَةُ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أَنَّهُ يَكُونُ بِالْوَزْنِ أَلْفاً ومِائَةً وسَبْعِينَ وَزْنَةً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والوزنة بالكسر مفسّرة بالدرهم، فيكون الرّطل العراقي وهو تسع المجموع مائة وثلاثين درهماً، مضافاً إلى أنّ الرّطل المدني مائة وخمسة وتسعون درهماً بلا خلاف، فالرطل العراقي الذي هو ثلثاه يكون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ممّا ذكرنا أنّ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من أنّه مائة وثمانية وعشرون درهماً وأربعة أسباع، ليس له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الدرهم نصف المثقال الشرعي وخُمْسه، فكلّ عشرة دراهم حينئذٍ سبعة مثاقيل، والمثقال الشرعي ثلاثة أرباع الصيرفي كما عن جماعة</w:t>
      </w:r>
      <w:r>
        <w:rPr>
          <w:rStyle w:val="FootnoteAnchor"/>
          <w:rtl w:val="true"/>
        </w:rPr>
        <w:footnoteReference w:id="147"/>
      </w:r>
      <w:r>
        <w:rPr>
          <w:rFonts w:ascii="Amiri" w:hAnsi="Amiri" w:eastAsia="Amiri" w:cs="Amiri"/>
          <w:color w:val="111111"/>
          <w:sz w:val="28"/>
          <w:sz w:val="28"/>
          <w:szCs w:val="28"/>
          <w:rtl w:val="true"/>
          <w:lang w:bidi="ar-SA"/>
        </w:rPr>
        <w:t>التصريح بجميع ذلك، وبهذا الحساب يمكن الوقوف على مقدار الكُرّ بجميع الأوزان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كرّيته، مع عدم العلم بحالته السابقة، في حكم القليل، وليس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المستفاد من النصوص اقتضاء الملاقاة للنجاسة ومانعيّة الكُرّيَّة، إذ المرجع عند الشكّ في المانع هو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إناطة الرخصة بأمرٍ وجودي تدلّ بالالتزام العرفي على أنّ الموضوع إنّما هو إحراز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مقتضى العمومات إنفعال الماء كسائر الأشياء خرج عنه الكُرّ، فمع الشكّ فيه بما أنّه شكّ في مصداق الخاص، يكون المرجع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قاعدة المقتضي والمانع،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إناطة الرخصة بأمرٍ وجودي كإناطة المنع به من غير فرقٍ بينهما، ليس المقصود منها إلّاجعل حكم واقعي لموضوع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مرجعيّة العام عند الشكّ في الخاص، مضافاً إلى أنّ مقتضى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عدم تنجّس مطلق المياه، خرج عنه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الشكّ في الخاص، لو كان المرجع هو العموم، لابدَّ وأن يرجع إليه، ويُحكم بعدم التنجّس كما حَكم به بعض، فتأمّل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لأصالة عدم الكريَّة الأزلي، إذ الكريَّة وصفٌ زائدٌ على وجود الماء، والثابت في محلّه</w:t>
      </w:r>
      <w:r>
        <w:rPr>
          <w:rStyle w:val="FootnoteAnchor"/>
          <w:rtl w:val="true"/>
        </w:rPr>
        <w:footnoteReference w:id="149"/>
      </w:r>
      <w:r>
        <w:rPr>
          <w:rFonts w:ascii="Amiri" w:hAnsi="Amiri" w:eastAsia="Amiri" w:cs="Amiri"/>
          <w:color w:val="111111"/>
          <w:sz w:val="28"/>
          <w:sz w:val="28"/>
          <w:szCs w:val="28"/>
          <w:rtl w:val="true"/>
          <w:lang w:bidi="ar-SA"/>
        </w:rPr>
        <w:t>جريان استصحاب العدم الأزلي في أمثال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هذا الوجه بعض الأعاظم</w:t>
      </w:r>
      <w:r>
        <w:rPr>
          <w:rStyle w:val="FootnoteAnchor"/>
          <w:rtl w:val="true"/>
        </w:rPr>
        <w:footnoteReference w:id="150"/>
      </w:r>
      <w:r>
        <w:rPr>
          <w:rFonts w:ascii="Amiri" w:hAnsi="Amiri" w:eastAsia="Amiri" w:cs="Amiri"/>
          <w:color w:val="111111"/>
          <w:sz w:val="28"/>
          <w:sz w:val="28"/>
          <w:szCs w:val="28"/>
          <w:rtl w:val="true"/>
          <w:lang w:bidi="ar-SA"/>
        </w:rPr>
        <w:t>بأنّ الكريَّة ليست من عوارض وجود الماء عرفاً، كي تصدق في الأزل السالبة بانتفاء الموضوع، بل هي نحو سعةٍ في مرتبة الطبيعة، فلا يصحّ أن نشير إلى كُرٍّ من الماء، ونقول هذا قبل وجودة ليس بكر، وعليه فليس المقام من موارد جريان الأصل في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الماء الكُرّ من حيث هو، ليس موضوعاً للحكم، حتّى في صورة التفرّق، إذ لا ريب في دخل اجتماع ذلك المقدار من الماء في الحكم، وهذا وصفٌ عنواني زائدٌ على صرف وجود الماء، ويستصحب عدم ذلك، ويقال إنّه في الأزل لم يكن هذا الوصف متحقّقاً،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عدم جريانه، والبناء على عدم التنجّس بمقتضى أصالة الطهارة، هل يحكم بطهارة متنجّسٍ غسل فيه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للوجه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التطهير بالقليل عُلوّ المطهر ووروده، على النجس، وحيث أنّه يحتمل أن يكون قليلاً، فيشكّ في حصول شرائط التطهير، فإنّ المرجع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 في التطهير بالقليل إنّما يكون لأجل أن لا يصير الماء نجساً بالملاقاة، فإذا فرضنا عدم 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غسل فيه المتنجّس، وكان هو وارداً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الحكم بحصول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حصول الطهارة سوى الغَسل بماءٍ طاهر مرّةً أو أكثر، فإذا غسل المتنجّس في مشكوك الكريَّة، وبنينا على عدم تنجّسه بالملاقاة، فقد تحقّق الغسل بماء طاهر، فتحصل الطهارة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9" w:name="pg11794_146859"/>
    </w:p>
    <w:p>
      <w:pPr>
        <w:pStyle w:val="Heading6"/>
        <w:numPr>
          <w:ilvl w:val="5"/>
          <w:numId w:val="1"/>
        </w:numPr>
        <w:rPr/>
      </w:pPr>
      <w:bookmarkStart w:id="60" w:name="__RefHeading___Toc10298932_73709187"/>
      <w:bookmarkStart w:id="61" w:name="_Toc22"/>
      <w:bookmarkEnd w:id="59"/>
      <w:bookmarkEnd w:id="60"/>
      <w:r>
        <w:rPr>
          <w:rtl w:val="true"/>
        </w:rPr>
        <w:t>مشكوك الكريَّة مع سبق القلّة</w:t>
      </w:r>
      <w:bookmarkEnd w:id="6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المسبوق بالقلّة إذا عُلم ملاقاته للنجاسة، ولم يُعلم السابق من الملاقاة والكريَّة؛ حكم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صورة الجهل بالتاريخيين، فلتعارض أصالة عدم الملاقاة إلى زمان الكريَّة المقتضية للطهارة، مع أصالة عدم الكريَّة إلى زمان الملاقاة المقتضية للنجاسة، فتتساقطان، والمرجع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النائيني قدس سره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استصحاب عدم الملاقاة إلى زمان الكريَّة، لعدم ترتّب الطهارة عليه، بل هي مترتّبة على كون الملاقاة في حال الكريَّة، والأصل المزبور لا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النجاسة مترتّبة على الملاقاة في حال القلّة، فيكفي في الحكم بعدم النجاسة استصحاب عدم الملاقاة إلى زمان الكريَّة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عُلم تاريخ الكريَّة دون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الحقّ من جريان الاستصحاب في معلوم التاريخ أيضاً، فلأصالة الطهارة التي هي المرجع بعد تعارض أصالة عدم الكريَّة إلى زمان الملاقاة، مع أصالة عدم الملاقاة إلى زمان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جريانه فيه، فلأصالة عدم الملاقاة إلى زمان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علم تاريخ الملاقاة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يحكم بنجاسته، إمّا لاستصحاب عدم الكريَّة إلى زمان الملاقاة فيثبت موضوع النجاسة، وهو ملاقاة ما ليس بكُرٍّ مع النجاسة، بناءً على عدم </w:t>
      </w:r>
    </w:p>
    <w:p>
      <w:pPr>
        <w:pStyle w:val="BookText"/>
        <w:rPr/>
      </w:pPr>
      <w:r>
        <w:rPr>
          <w:rFonts w:ascii="Amiri" w:hAnsi="Amiri" w:eastAsia="Amiri" w:cs="Amiri"/>
          <w:color w:val="111111"/>
          <w:sz w:val="28"/>
          <w:sz w:val="28"/>
          <w:szCs w:val="28"/>
          <w:rtl w:val="true"/>
          <w:lang w:bidi="ar-SA"/>
        </w:rPr>
        <w:t>جريان الأصل في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لأصالة تأخّر الحادث المجهول، بناءً على أنّها أصلٌ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أنّها ليست أصلاً مستقلّاً غير الاستصحاب، وهو كما يجري في مجهول التاريخ يجري في معلومه، إذ وإنْ لم يكن شكّ في الملاقاة بالنسبة إلى الأزمنة التفصيليّة، إلّاأنّها مشكوكة بالنسبة إلى الزمان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شكّاً في البقاء كما ترى، فيتعارضان، ويرجع إلى أصالة الطهارة، فيحكم في هذه الصورة أيضاً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يحكم بالطهارة في القليل المسبوق بالكريَّة الملاقي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جهل التاريخان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الطهارة بناءً على عدم جريان الأصل في مجهول التاريخ، واستصحاب الكريَّة إلى زمان الملاقاة المقتضي للطهارة، بناءً على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استصحاب عدم الملاقاة إلى زمان القلّة، إذ النجاسة تترتّب على الملاقاة في حال كونه قليلاً، لا على عدم الملاقاة في حال كونه كُرّاً كي يجري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ذلك حكم ما لو عُلم تاريخ الملاقاة، فإنّ استصحاب عدم الملاقاة إلى زمان القلّة لا يجري، حتّى بناءً على ما هو الحقّ من جريان الأصل في معلوم التاريخ، لعدم ترتّب الأثر عليه، فيجري الأصل في مجهول التاريخ بلا معارض، ونتيجته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المسلك الحقّ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عدم جريان الأصل في مجهول التاريخ أيضاً، فالحكم بالطهارة إنّما يكون لأجل قاعدتها، وإنْ علم تاريخ القلّة، فتوهّم أنّ الحكم فيه هو النجاسة </w:t>
      </w:r>
    </w:p>
    <w:p>
      <w:pPr>
        <w:pStyle w:val="BookText"/>
        <w:rPr/>
      </w:pPr>
      <w:r>
        <w:rPr>
          <w:rFonts w:ascii="Amiri" w:hAnsi="Amiri" w:eastAsia="Amiri" w:cs="Amiri"/>
          <w:color w:val="111111"/>
          <w:sz w:val="28"/>
          <w:sz w:val="28"/>
          <w:szCs w:val="28"/>
          <w:rtl w:val="true"/>
          <w:lang w:bidi="ar-SA"/>
        </w:rPr>
        <w:t>لأصالة تأخّر الحادث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ما هو الحقّ من عدم كونها أصلاً مستقلّاً غير الاستصحاب، فالحكم في هذه الصورة أيضاً الطهارة، لأصالة عدم الكريَّة إلى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أصالة عدم الملاقاة إلى زمان القلّة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الحقّ من جريان الأصل في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جريانه فيه فلقاعدة الطهارة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الحكم بالطهارة في جميع الفروض الستّة</w:t>
      </w:r>
      <w:r>
        <w:rPr>
          <w:rFonts w:eastAsia="Amiri" w:cs="Amiri" w:ascii="Amiri" w:hAnsi="Amiri"/>
          <w:color w:val="111111"/>
          <w:sz w:val="28"/>
          <w:szCs w:val="28"/>
          <w:rtl w:val="true"/>
          <w:lang w:bidi="ar-SA"/>
        </w:rPr>
        <w:t>.</w:t>
      </w:r>
      <w:bookmarkStart w:id="62" w:name="pg11794_146862"/>
    </w:p>
    <w:p>
      <w:pPr>
        <w:pStyle w:val="Heading6"/>
        <w:numPr>
          <w:ilvl w:val="5"/>
          <w:numId w:val="1"/>
        </w:numPr>
        <w:rPr/>
      </w:pPr>
      <w:bookmarkStart w:id="63" w:name="__RefHeading___Toc10298934_73709187"/>
      <w:bookmarkStart w:id="64" w:name="_Toc23"/>
      <w:bookmarkEnd w:id="62"/>
      <w:bookmarkEnd w:id="63"/>
      <w:r>
        <w:rPr>
          <w:rtl w:val="true"/>
        </w:rPr>
        <w:t>حدوث الكريَّة والملاقاة في آنٍ واحد</w:t>
      </w:r>
      <w:bookmarkEnd w:id="6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الكريَّة والملاقاة في آن واحد، حُكم بطهارته، كما عن جماعةٍ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له بعض المعاصرين</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للملاقاة المقارنة واللّاحقة، وأيّد هذا الإطلاق بالارتكاز العقلائي في المانع، فإنّه يكفي عندهم في مانعيّة المانع عن أثر المقتضي، مقارنته للمقتضى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حُمل الدليل المذكور على الكريَّة السابقة على الملاقاة، لزم اعتبار اللّحوق في الملاقاة، وتقييد الجزاء بالملاقاة اللّاحقة، يستلزم تقييد المفهوم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مفهوم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الماء قدر كُرٍّ ينجّسه الشيء الملاقي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صورة المقارنة خارجة عن كلٍّ من المنطوق والمفهوم، والمرجع فيها أمّا عموم طهارة الماء أو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مواقع للنظر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الإطلاق، فيرد عليه أنّ ظهور القضيّة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 وتقييد الشيء بصورة الملاقاة، في اعتبار تقدّم الكريَّة على الملاقاة في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وما ذكره من المؤيّد غير مربوطٍ بباب التشريعيّات التي لا يكون المقتضي معلوماً، إذ لعلّه لا يكون للملاقاة </w:t>
      </w:r>
    </w:p>
    <w:p>
      <w:pPr>
        <w:pStyle w:val="BookText"/>
        <w:rPr/>
      </w:pPr>
      <w:r>
        <w:rPr>
          <w:rFonts w:ascii="Amiri" w:hAnsi="Amiri" w:eastAsia="Amiri" w:cs="Amiri"/>
          <w:color w:val="111111"/>
          <w:sz w:val="28"/>
          <w:sz w:val="28"/>
          <w:szCs w:val="28"/>
          <w:rtl w:val="true"/>
          <w:lang w:bidi="ar-SA"/>
        </w:rPr>
        <w:t>مع الكُرّ اقتضاء للنجاسة، مضافاً إلى أنّها من الأحكام الشرعيّة، والمقتضي لها إنّما هو إرادة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 تقييد المنطوق بالملاقاة اللّاحقة، يستلزم تقييد المفهوم بها، ولازمه خروج صورة المقارنة عن كلّ منهما،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المفهوم هو انتفاء الحكم عن الموضوع عند انتفاء الشرط، فمفهوم القضيّة المزبورة أنّ الماء الذي لا يكون كُرّاً قبل الملاقاة، ينجّسه شيءٌ، فشموله لصورة المقارنة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على فرض عدم شمول القضيّة المزبورة لهذه الصورة منطوقاً ومفهوماً، لا تصل النوبة إلى الرجوع إلى ما دلّ على الطهارة، إذ لابدَّ من الرجوع إلى ما يدلّ على إنفعال الماء بالملاقاة، لأنّ الخارج عنه هو الكرّ بالأدلّة المزبورة، ومع فرض عدم شمولها لموردٍ يتمسّك بالعام فيحكم بالنجاسة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بالنجاسة في صورة تقارن الملاقاة والكريَّة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ماءان أحدهما كُرٌّ والآخر قليل، ولم يُعلم أيّهما كرٌ، فوقعت النجاسة في أحدهما، لم يحكم بالنجاسة، لاستصحاب الطهارة، سواء كانت الملاقاة لمعين أو غير معين، ومن غير فرقٍ بين الجهل بالحالة السابقة، وبين العلم بكونها فيهما الكريَّة أو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جريان استصحاب الكريَّة أو القلّة أو عدمهما،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التي استدلّ بها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المقتضي والمانع وغيرها، قد عرفت ما فيها في المسألة الثالثة، وما اعتمدنا عليه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المقام، لمعارضته باستصحاب عدم الكريَّة في الآخر، فلا محالة يكون المرجع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حكم الصورتين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في صورة كون الحالة السابقة فيهما الكريَّة، فإنّ استصحاب كرّية الملاقي مع النجس معارضٌ باستصحاب الكريَّة في الآخر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صورة كون الحالة السابقة فيهما القلّة، فأصالة عدم الكريَّة في الملاقي معارضة بأصالة عدم كرّية الآخر، فتتعارضان وتتساقطان، فيحكم بطهارة الماء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ماءان أحدهما المعيّن نجس، فوقعت نجاسة لم يُعلم وقوعها في النجس أو الطاهر، لم يحكم بنجاسة الطاهر، لا لإنحلال العلم الإجمالي بنجاسة أحدهما بالعلم التفصيلي بنجاسة المعيّن كما ذكره بعض الأعاظم</w:t>
      </w:r>
      <w:r>
        <w:rPr>
          <w:rStyle w:val="FootnoteAnchor"/>
          <w:rtl w:val="true"/>
        </w:rPr>
        <w:footnoteReference w:id="156"/>
      </w:r>
      <w:r>
        <w:rPr>
          <w:rFonts w:ascii="Amiri" w:hAnsi="Amiri" w:eastAsia="Amiri" w:cs="Amiri"/>
          <w:color w:val="111111"/>
          <w:sz w:val="28"/>
          <w:sz w:val="28"/>
          <w:szCs w:val="28"/>
          <w:rtl w:val="true"/>
          <w:lang w:bidi="ar-SA"/>
        </w:rPr>
        <w:t>، بل الوجه فيه عدم العلم بحدوث النجاسة، إذ لو وقعت في النجس لم يحدث شيءٌ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تقييد الحكم، بما إذا لم تكن النجاسة الثانية موجبة لحدوث أثرٍ زائد، وإلّا فالعلم الإجمالي يكون مؤثّراً في لزوم الاجتناب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ماءان أحدهما متنجّسٌ بالدم، فوقعت قطرة بول في أحدهما، يحكم بنجاسة الطاهر، أي بلزوم الاجتناب عنه عقلاً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كُرٌّ لم يُعلم أنّه مطلق أو مضاف، فوقعت فيه نجاسة، يحكم بنجاسته بناءً على جريان الأصل في العدم الأزلي، إذ عليه يُستصحب عدم مائيّة هذا المائع المتحقّق قبل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باستصحاب عدم إضافته، لعدم ترتّب الطهارة عليه، لأنّها مترتّبة على الماء، واستصحاب عدم أحد الضدّين لا يُثبت وجود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الوجوه المتقدّمة في المسألة الثالثة للقول بالنجاسة، لها مقتضٍ هنا كما لا يخفى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تكن حالته السابقة هي الإطلاق، وإلّا وجب الحكم بعدم التنجّس،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كُرّان أحدهما مطلق والآخر مضاف، ولم يُعلم وقوع النجاسة في الماء أو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المطلق ممتازاً عن المضاف، فالحكم بالطهارة واضحٌ، لعدم العلم بحدوث النجاسة بوقوعها في أحدهما، فالمطلق طاهرٌ وهو معلوم، والمضاف يُحكم بطهارته، لاستصحاب الطهارة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المطلق مميّزاً عن المضاف، فصور المسألة وحكمها بعينها صور المسألة الخامسة، فلا نعيد</w:t>
      </w:r>
      <w:r>
        <w:rPr>
          <w:rFonts w:eastAsia="Amiri" w:cs="Amiri" w:ascii="Amiri" w:hAnsi="Amiri"/>
          <w:color w:val="111111"/>
          <w:sz w:val="28"/>
          <w:szCs w:val="28"/>
          <w:rtl w:val="true"/>
          <w:lang w:bidi="ar-SA"/>
        </w:rPr>
        <w:t>.</w:t>
      </w:r>
      <w:bookmarkStart w:id="65" w:name="pg11794_146867"/>
    </w:p>
    <w:p>
      <w:pPr>
        <w:pStyle w:val="Heading6"/>
        <w:numPr>
          <w:ilvl w:val="5"/>
          <w:numId w:val="1"/>
        </w:numPr>
        <w:rPr/>
      </w:pPr>
      <w:bookmarkStart w:id="66" w:name="__RefHeading___Toc10298936_73709187"/>
      <w:bookmarkStart w:id="67" w:name="_Toc24"/>
      <w:bookmarkEnd w:id="65"/>
      <w:bookmarkEnd w:id="66"/>
      <w:r>
        <w:rPr>
          <w:rtl w:val="true"/>
        </w:rPr>
        <w:t>المتمّم كراً بطاهر أو نجس</w:t>
      </w:r>
      <w:bookmarkEnd w:id="67"/>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النجس المتمّم كُرّاً بطاهرٍ أو نجس، نجسٌ كما هو المشهور على ما نُسب إليهم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58"/>
      </w:r>
      <w:r>
        <w:rPr>
          <w:rFonts w:ascii="Amiri" w:hAnsi="Amiri" w:eastAsia="Amiri" w:cs="Amiri"/>
          <w:color w:val="111111"/>
          <w:sz w:val="28"/>
          <w:sz w:val="28"/>
          <w:szCs w:val="28"/>
          <w:rtl w:val="true"/>
          <w:lang w:bidi="ar-SA"/>
        </w:rPr>
        <w:t>، والحلّي</w:t>
      </w:r>
      <w:r>
        <w:rPr>
          <w:rStyle w:val="FootnoteAnchor"/>
          <w:rtl w:val="true"/>
        </w:rPr>
        <w:footnoteReference w:id="159"/>
      </w:r>
      <w:r>
        <w:rPr>
          <w:rFonts w:ascii="Amiri" w:hAnsi="Amiri" w:eastAsia="Amiri" w:cs="Amiri"/>
          <w:color w:val="111111"/>
          <w:sz w:val="28"/>
          <w:sz w:val="28"/>
          <w:szCs w:val="28"/>
          <w:rtl w:val="true"/>
          <w:lang w:bidi="ar-SA"/>
        </w:rPr>
        <w:t>، وجماعة</w:t>
      </w:r>
      <w:r>
        <w:rPr>
          <w:rStyle w:val="FootnoteAnchor"/>
          <w:rtl w:val="true"/>
        </w:rPr>
        <w:footnoteReference w:id="160"/>
      </w:r>
      <w:r>
        <w:rPr>
          <w:rFonts w:ascii="Amiri" w:hAnsi="Amiri" w:eastAsia="Amiri" w:cs="Amiri"/>
          <w:color w:val="111111"/>
          <w:sz w:val="28"/>
          <w:sz w:val="28"/>
          <w:szCs w:val="28"/>
          <w:rtl w:val="true"/>
          <w:lang w:bidi="ar-SA"/>
        </w:rPr>
        <w:t>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الفرق بين أن يكون المتمّم طاهراً أو نجساً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آخر</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هو ما نُسب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 المتمّم نجساً فواضح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المتمّم طاهراً، فلأنّه يجري في النجس، وتثبت به نجاسة المتمّم أيضاً، لعموم ما دلّ على إنفعال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يعارض ذلك باستصحاب طهارة المتمّم، لأنّه ليس من آثارها طهارة ملاقيه،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فيكون استصحاب نجاسته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استصحاب طهارة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مفهومه إذا لم يكن الماء قبل الملاقاة كُرّاً ينجّسه النجس، وأنّه في المقام قبل الملاقاة لا يكون كُرّاً، فيتنجّس بمقتضى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به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فرض كُرٍّ طاهرٍ في الموضوع،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بعضه نَجساً فلا يشمله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حدوث النجاسة فيه بعد صيرورته كُرّاً، وأمّا ارتفاع النجاسة الثابتة له أو لبعض أجزائه، فلا يدلّ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بما أنّ بعضه نجسٌ قبل الملاقاة، فنجاسته باقية، وبعضه الآخر بما أنّه غير كُرٍ، فمقتضى المفهوم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نجاسة ما يجتمع في الحمّام من المياه النجسة، موثّقة ابن أبي يعفور،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بإطلاقها تشمل ما لو كانت المياه المجتمعة بمقدار الكُرّ، وأيضاً تشمل بإطلاقها ما لو كان متمّمه طاهراً،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القائلون بالطهارة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البلوغ يستهلك النجاسة، فيستوي ملاقاتها قبل الكثرة وبعدها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لولا الحكم بالطهارة مع البلوغ، لما حُكم بطهارة الماء الكثير إذا وجد فيه نجاسة، لإمكان سبقها على الكثرة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استصحاب نجاسة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باستصحاب طهارة المتمِّم، المستلزمة لطهارة المتمّم أيضاً، للإجماع على اتّحاد حكم المائين، فيرجع إلى 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اُدّعي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التسوية بين الأمرين، مع كون الماء قبل البلوغ ضعيفاً وبعده قويّاً قياسٌ مع الفرق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دلَّ الدليل على الطهارة في تلك المسألة طهارة واقعيّة، كان ما ذكر صحيحاً، ولكن قد عرفت في تلك المسألة أنّه إنّما يُحكم بطهارته لظاهر قاعدة الطهارة على التفصيل المتقدّم، وحيث أنّها لا تجري في المقام، فلا وجه للحكم بالطهارة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الرجوع إلى الأصل إنّما يكون مع عدم الدليل، وقد عرفت دلالة الدليل على النجاسة، مع أنّ الإجماع على اتّحاد حكم المائين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الظاهري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ولذا ترى أنّ الفقهاء حكموا في الجاري والكثير المتغيّر بعضه، بنجاسة المتغيّر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تقدّم من حكومة استصحاب النجاسة في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المقتضي لنجاسة المتمِّم الملاقي له على استصحاب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 ولم يثبت اعتماد الأصحاب عليه، وهذا يمنع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 رحمه الله</w:t>
      </w:r>
      <w:r>
        <w:rPr>
          <w:rStyle w:val="FootnoteAnchor"/>
          <w:rtl w:val="true"/>
        </w:rPr>
        <w:footnoteReference w:id="168"/>
      </w:r>
      <w:r>
        <w:rPr>
          <w:rFonts w:ascii="Amiri" w:hAnsi="Amiri" w:eastAsia="Amiri" w:cs="Amiri"/>
          <w:color w:val="111111"/>
          <w:sz w:val="28"/>
          <w:sz w:val="28"/>
          <w:szCs w:val="28"/>
          <w:rtl w:val="true"/>
          <w:lang w:bidi="ar-SA"/>
        </w:rPr>
        <w:t>من إجماع المؤالف والمخالف عليه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ذكره من الخاصّة، إلّاالسيّد</w:t>
      </w:r>
      <w:r>
        <w:rPr>
          <w:rStyle w:val="FootnoteAnchor"/>
          <w:rtl w:val="true"/>
        </w:rPr>
        <w:footnoteReference w:id="170"/>
      </w:r>
      <w:r>
        <w:rPr>
          <w:rFonts w:ascii="Amiri" w:hAnsi="Amiri" w:eastAsia="Amiri" w:cs="Amiri"/>
          <w:color w:val="111111"/>
          <w:sz w:val="28"/>
          <w:sz w:val="28"/>
          <w:szCs w:val="28"/>
          <w:rtl w:val="true"/>
          <w:lang w:bidi="ar-SA"/>
        </w:rPr>
        <w:t>والشيخ</w:t>
      </w:r>
      <w:r>
        <w:rPr>
          <w:rStyle w:val="FootnoteAnchor"/>
          <w:rtl w:val="true"/>
        </w:rPr>
        <w:footnoteReference w:id="171"/>
      </w:r>
      <w:r>
        <w:rPr>
          <w:rFonts w:ascii="Amiri" w:hAnsi="Amiri" w:eastAsia="Amiri" w:cs="Amiri"/>
          <w:color w:val="111111"/>
          <w:sz w:val="28"/>
          <w:sz w:val="28"/>
          <w:szCs w:val="28"/>
          <w:rtl w:val="true"/>
          <w:lang w:bidi="ar-SA"/>
        </w:rPr>
        <w:t>، وآحادٌ ممّن جاء بعدهما مرسلين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يعملوا به إلّاابن حَيّ</w:t>
      </w:r>
      <w:r>
        <w:rPr>
          <w:rStyle w:val="FootnoteAnchor"/>
          <w:rtl w:val="true"/>
        </w:rPr>
        <w:footnoteReference w:id="172"/>
      </w:r>
      <w:r>
        <w:rPr>
          <w:rFonts w:ascii="Amiri" w:hAnsi="Amiri" w:eastAsia="Amiri" w:cs="Amiri"/>
          <w:color w:val="111111"/>
          <w:sz w:val="28"/>
          <w:sz w:val="28"/>
          <w:szCs w:val="28"/>
          <w:rtl w:val="true"/>
          <w:lang w:bidi="ar-SA"/>
        </w:rPr>
        <w:t xml:space="preserve">، كما وصفه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بأنّه عامّيٌ لم يعمل به إلّاابن حَيّ، والعلّامة رحمه الله</w:t>
      </w:r>
      <w:r>
        <w:rPr>
          <w:rStyle w:val="FootnoteAnchor"/>
          <w:rtl w:val="true"/>
        </w:rPr>
        <w:footnoteReference w:id="174"/>
      </w:r>
      <w:r>
        <w:rPr>
          <w:rFonts w:ascii="Amiri" w:hAnsi="Amiri" w:eastAsia="Amiri" w:cs="Amiri"/>
          <w:color w:val="111111"/>
          <w:sz w:val="28"/>
          <w:sz w:val="28"/>
          <w:szCs w:val="28"/>
          <w:rtl w:val="true"/>
          <w:lang w:bidi="ar-SA"/>
        </w:rPr>
        <w:t>بأنّ الخبر لم يثبت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تماميّة دلالته على هذا القول، إذ الظاهر منه اعتصام الكُرّ من حدوث الخباثة فيه، لعدم كونه حاملاً لها، 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إذا كان وسخاً قذراً لم يحمل 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المتبادر منه أنّ هذا الوصف مانعٌ من حدوث اللّون فيه، لا أنّه يدفع اللّون الموجود في الثوب قبله، فحينئذ يتّحد معنى المرسل مع الروايات المعتبرة المشهورة المتقدّمة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ولذا فسّر الشيخ في بعض كتبه</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مقتضى بعض الوجوه المتقدّمة، التفصيل بين كون المتمّم طاهراً، أو نجساً، والحكم بالطهارة في الأوّل دون الثاني، كما أنّ مقتضى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بينهما، فتفصيل جماعةٍ</w:t>
      </w:r>
      <w:r>
        <w:rPr>
          <w:rStyle w:val="FootnoteAnchor"/>
          <w:rtl w:val="true"/>
        </w:rPr>
        <w:footnoteReference w:id="177"/>
      </w:r>
      <w:r>
        <w:rPr>
          <w:rFonts w:ascii="Amiri" w:hAnsi="Amiri" w:eastAsia="Amiri" w:cs="Amiri"/>
          <w:color w:val="111111"/>
          <w:sz w:val="28"/>
          <w:sz w:val="28"/>
          <w:szCs w:val="28"/>
          <w:rtl w:val="true"/>
          <w:lang w:bidi="ar-SA"/>
        </w:rPr>
        <w:t xml:space="preserve">بينهما معتمداً على الخبر غير صحيح، إلّا أنْ يُتمسّك في الحكم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المتمّم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الأعظم عن المرسل بوجه آخر؛ وهو معارضته مع ما دلَّ على تنجّس القليل بملاقاة النجاسة الشامل للقليل المتمّم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بينهما، إذ ما دلَّ على انفعال القليل، يدلّ على كونه بنفسه قابلاً للانفعال، والمرسل يدلّ على رافعيّة الكريَّة للنجاسة، فضمّ كلٍّ منهما للآخر ينتج حَمل ما دلَّ على الانفعال على مجرّد الاقتضاء، كما لا يخفى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ما في كلمات جملةٍ من الأكابر من الجمع بينهما بوجهٍ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المرسل على فرض تماميّة دلالته، يعارض مع ما دلّ على نجاسة ما يجتمع في الحمّام من المياه النجسة، وحيث أنّ النسبة بينهما عموم من وجه، ودلالة كلّ منهما على حكم المورد إنّما تكون بالإطلاق، فيتساقطان والمرجع حينئذٍ إلى ما يدلّ على الانفعال</w:t>
      </w:r>
      <w:r>
        <w:rPr>
          <w:rFonts w:eastAsia="Amiri" w:cs="Amiri" w:ascii="Amiri" w:hAnsi="Amiri"/>
          <w:color w:val="111111"/>
          <w:sz w:val="28"/>
          <w:szCs w:val="28"/>
          <w:rtl w:val="true"/>
          <w:lang w:bidi="ar-SA"/>
        </w:rPr>
        <w:t>.</w:t>
      </w:r>
      <w:bookmarkStart w:id="68" w:name="pg11794_146873"/>
    </w:p>
    <w:p>
      <w:pPr>
        <w:pStyle w:val="BookText"/>
        <w:rPr/>
      </w:pPr>
      <w:bookmarkEnd w:id="68"/>
      <w:r>
        <w:rPr>
          <w:rFonts w:ascii="Amiri" w:hAnsi="Amiri" w:eastAsia="Amiri" w:cs="Amiri"/>
          <w:color w:val="111111"/>
          <w:sz w:val="28"/>
          <w:sz w:val="28"/>
          <w:szCs w:val="28"/>
          <w:rtl w:val="true"/>
          <w:lang w:bidi="ar-SA"/>
        </w:rPr>
        <w:t>لم يَنجُس بوقوع النجاسة فيه، ما لم يتغيّر أحد أوصافه، فإن غيّرته نجس، ويَطهُر بإلقاء كُرٍّ دفعةً عليه حتّى يزول تغيّره</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0298938_73709187"/>
      <w:bookmarkStart w:id="70" w:name="_Toc25"/>
      <w:bookmarkEnd w:id="69"/>
      <w:r>
        <w:rPr>
          <w:rtl w:val="true"/>
        </w:rPr>
        <w:t>اعتبار الامتزاج</w:t>
      </w:r>
      <w:bookmarkEnd w:id="70"/>
    </w:p>
    <w:p>
      <w:pPr>
        <w:pStyle w:val="BookText"/>
        <w:rPr/>
      </w:pPr>
      <w:r>
        <w:rPr>
          <w:rFonts w:ascii="Amiri" w:hAnsi="Amiri" w:eastAsia="Amiri" w:cs="Amiri"/>
          <w:color w:val="111111"/>
          <w:sz w:val="28"/>
          <w:sz w:val="28"/>
          <w:szCs w:val="28"/>
          <w:rtl w:val="true"/>
          <w:lang w:bidi="ar-SA"/>
        </w:rPr>
        <w:t xml:space="preserve">ثمّ إنّ ما ذكرناه في أوّل المبحث أنّه إنْ كان 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 بوقوع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يتغيّر أحد أوصافه، فإنْ غيّرته نجس، ويَطهُر بإلقاء كُرٍّ دفعةً عليه حتّى يزول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باتّصاله بالكُرّ أو الجاري، وإنْ لم يحصل الامتزاج كما نُسب إلى جملة من المحقّقين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 إلى الأشهر، والمحقّق</w:t>
      </w:r>
      <w:r>
        <w:rPr>
          <w:rStyle w:val="FootnoteAnchor"/>
          <w:rtl w:val="true"/>
        </w:rPr>
        <w:footnoteReference w:id="180"/>
      </w:r>
      <w:r>
        <w:rPr>
          <w:rFonts w:ascii="IRNazanin" w:hAnsi="IRNazanin" w:eastAsia="IRNazanin"/>
          <w:color w:val="111111"/>
          <w:sz w:val="28"/>
          <w:sz w:val="28"/>
          <w:szCs w:val="28"/>
          <w:rtl w:val="true"/>
          <w:lang w:bidi="fa-IR"/>
        </w:rPr>
        <w:t>، والمصنّف رحمه الله</w:t>
      </w:r>
      <w:r>
        <w:rPr>
          <w:rStyle w:val="FootnoteAnchor"/>
          <w:rtl w:val="true"/>
        </w:rPr>
        <w:footnoteReference w:id="181"/>
      </w:r>
      <w:r>
        <w:rPr>
          <w:rFonts w:ascii="Amiri" w:hAnsi="Amiri" w:eastAsia="Amiri" w:cs="Amiri"/>
          <w:color w:val="111111"/>
          <w:sz w:val="28"/>
          <w:sz w:val="28"/>
          <w:szCs w:val="28"/>
          <w:rtl w:val="true"/>
          <w:lang w:bidi="ar-SA"/>
        </w:rPr>
        <w:t>، والشهيد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الامتزاج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جملةٍ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اُمورٍ ثلاثة غير الامتزاج،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وعلوّ المطهِّر، والدفعة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القوم في المقام مشوّشة، وتحقيق القول في المقام يقتضي التكلّم في 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خلاف في أنّ الماء المتنجّس قابلٌ للتطهير، ويشهد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الآتي، الدالّ على طهارة ماء البئر بعد زوال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المجمع عليها من أنّ الماء الواحد لا يختلف حكم أبعاضه، وحيث أنّ نجاسة المعتصم مع الامتزاج مستلزمة لمخالفة دليل الاعتصام، فلا محيص عن البناء على طهارة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اعتبار الامتزاج في حصول التطهير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مطهّريّة، الماء أو خصوص المعتصم،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الْمَاءُ يُطَهِّرُ ولا يُطَهَّرُ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مشيراً إلى غدير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إِلّا طَهَّرَهُ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مرسل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الأوّل لو تمّ وسُلّم، أنّ المراد منه طهارة الماء ومطهريّته، مع أنّه محلّ المنع كما عرفت في أوّل الكتاب، فلا إطلاق له في كيفيّة التطهير، بل ظاهره مطهريّته لكلّ ما يلاقيه، لا ما يلاقي مع جزءٍ منه، فلا يدلّ على كفاية مجرّد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الإشكال في الثاني، مضافاً إلى إجماله من حيث المتعلّق، لأنّها قضيّة مهملة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يطهر بغيره، وإصابة الماء إلى كلّ جزءٍ توجب طهارته لا طهارة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إصابة المجموع بمجرّد إصابة جزءٍ منه، محلّ 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سُلّم صدقه، لكان معارضاً بأنّه يصدق على الجزء الآخر أنّه لم يصبه الكُرّ، فلم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الإشكال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 جدّاً، فإنّ ظاهره الدفع 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بعض المعاصرين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في صحيح ابن بزيع</w:t>
      </w:r>
      <w:r>
        <w:rPr>
          <w:rStyle w:val="FootnoteAnchor"/>
          <w:rtl w:val="true"/>
        </w:rPr>
        <w:footnoteReference w:id="189"/>
      </w:r>
      <w:r>
        <w:rPr>
          <w:rFonts w:ascii="Amiri" w:hAnsi="Amiri" w:eastAsia="Amiri" w:cs="Amiri"/>
          <w:color w:val="111111"/>
          <w:sz w:val="28"/>
          <w:sz w:val="28"/>
          <w:szCs w:val="28"/>
          <w:rtl w:val="true"/>
          <w:lang w:bidi="ar-SA"/>
        </w:rPr>
        <w:t>، بدعوى أنّه يجب التعدّي عن مورده إلى المقام، وكذا اعتضاده بأخبار ماء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الصحيح لا يدلّ على عدم اعتبار الامتزاج، وأخبار الحمّام مختصّة بحالة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أدلّة عدم اعتبار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مقتضي للاتّحاد، والماء الواحد بالإجماع لا يختلف حكمه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الذي هو مورد للإجماع إنّما هو الواحد في الإشارة، لا في الوجود، وهو لا يحصل إلّامع الامتزاج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الملاقي للكرّ أو غيره ممّا يكون معتصماً يطهر بمقتضى الأدلّة، فهو يصير جزءً من الماء العاصم فيُطهّر ما يلاقيه، وهكذا فيطهر الجميع بلا احتياج إلى الامتزاج، وبلا احتياج إلى تخلّل زمان، إذ الاتّصال بين أجزاء الماء النجس كان حاصلاً قبل إصابة الماء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كفاية مجرّد الاتّصال في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حكمٌ خيالي لا يصلح أن يكون مستنداً للحكم الشرعي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غير صحيحٍ على ذلك المبنى أيضاً، إذ المتّصل بالمعتصم إنّما هو السطح الملاقي له من الجزء المتّصل به، وأمّا الطرف الآخر المتّصل بالجزء المنفصل فلا، وإلّا لزم اتّحاد الأطراف، فالجزء المنفصل لا يكون متّصلاً بالعاصم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شيء ممّا استدلّ به على كفاية الاتّصال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اعتبار الامتزاج، للشكّ في حصولها بدونه، فيرجع إلى استصحاب النجاسة، وقد عرفت أنّه معه لا مجال للشكّ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علوّ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اعتباره الاحتراز عمّا لو كان الماء الطاهر أسفل، إذ إيصال النجس بكُرٍّ طاهرٍ مساوٍ له، يوجب الطهارة في الجملة،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فعلى القول باعتبار الامتزاج، لا وجه لاعتباره، إذ المناط في التطهير ملاقاة الطاهر للنجس على وجه لا ينفعل الطاهر،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اُريد اعتبار العلوّ أو التساوي في زمانٍ متّصلٍ بالملاقاة، فمن الضروري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1" w:name="pg11794_146877"/>
    </w:p>
    <w:p>
      <w:pPr>
        <w:pStyle w:val="BookText"/>
        <w:rPr/>
      </w:pPr>
      <w:bookmarkEnd w:id="71"/>
      <w:r>
        <w:rPr>
          <w:rFonts w:ascii="Amiri" w:hAnsi="Amiri" w:eastAsia="Amiri" w:cs="Amiri"/>
          <w:color w:val="111111"/>
          <w:sz w:val="28"/>
          <w:sz w:val="28"/>
          <w:szCs w:val="28"/>
          <w:rtl w:val="true"/>
          <w:lang w:bidi="ar-SA"/>
        </w:rPr>
        <w:t>عدم اعتباره، لعدم دخله في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اعتبار أحدهما حين الملاقاة، فهو متحقّقٌ على كلّ 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كفاية الاتّصال، وعدم اعتبار الامتزاج في البئر والجاري قد تقدّم الكلام فيهما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الكُرّ الطاهر أسفل، والماء النجس يجري عليه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باعتبار صدق الاتّحاد العرفي على مجموع النجس والطاهر،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لعدم صدق الاتّحاد بهذا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بكفاية مجرّد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الطهارة على هذا القول أيضاً يتوقّف على كون الماء بنحوٍ لو فرض طهارة المجموع، كان متقوّياً بما في الأعلى، وإلّا فحيث أنّ الدفع أهون من الرفع، والمفروض أنّه في الفرض لا يدفع السّافل النجاسة عن العالي، فلا محالة لا يرفع نجاسة ما في الأعلى أيضاً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0298940_73709187"/>
      <w:bookmarkStart w:id="73" w:name="_Toc26"/>
      <w:bookmarkEnd w:id="72"/>
      <w:r>
        <w:rPr>
          <w:rtl w:val="true"/>
        </w:rPr>
        <w:t>اعتبار الدفعة</w:t>
      </w:r>
      <w:bookmarkEnd w:id="73"/>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المشهور</w:t>
      </w:r>
      <w:r>
        <w:rPr>
          <w:rStyle w:val="FootnoteAnchor"/>
          <w:rtl w:val="true"/>
        </w:rPr>
        <w:footnoteReference w:id="193"/>
      </w:r>
      <w:r>
        <w:rPr>
          <w:rFonts w:ascii="Amiri" w:hAnsi="Amiri" w:eastAsia="Amiri" w:cs="Amiri"/>
          <w:color w:val="111111"/>
          <w:sz w:val="28"/>
          <w:sz w:val="28"/>
          <w:szCs w:val="28"/>
          <w:rtl w:val="true"/>
          <w:lang w:bidi="ar-SA"/>
        </w:rPr>
        <w:t>اعتبار الدفعة، والمراد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يقابل الدفعات، بأن يلقى عليه الماء القليل دفعات إلى أن يبلغ المجموع كُرّاً، فاعتبارها واضح، على القول بعدم طهارة الماء النجس المتمّم كُرّاً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منها ما يقابل وقوع الكُرّ المتّصل الواحد فيه تدريجاً، فاعتبارها </w:t>
      </w:r>
    </w:p>
    <w:p>
      <w:pPr>
        <w:pStyle w:val="BookText"/>
        <w:rPr/>
      </w:pPr>
      <w:r>
        <w:rPr>
          <w:rFonts w:ascii="Amiri" w:hAnsi="Amiri" w:eastAsia="Amiri" w:cs="Amiri"/>
          <w:color w:val="111111"/>
          <w:sz w:val="28"/>
          <w:sz w:val="28"/>
          <w:szCs w:val="28"/>
          <w:rtl w:val="true"/>
          <w:lang w:bidi="ar-SA"/>
        </w:rPr>
        <w:t>يمكن أن يكون لأجل تحقّق الامتزاج المعتبر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القائلين بالامتزاج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w:t>
      </w:r>
      <w:r>
        <w:rPr>
          <w:rStyle w:val="FootnoteAnchor"/>
          <w:rtl w:val="true"/>
        </w:rPr>
        <w:footnoteReference w:id="194"/>
      </w:r>
      <w:r>
        <w:rPr>
          <w:rFonts w:ascii="Amiri" w:hAnsi="Amiri" w:eastAsia="Amiri" w:cs="Amiri"/>
          <w:color w:val="111111"/>
          <w:sz w:val="28"/>
          <w:sz w:val="28"/>
          <w:szCs w:val="28"/>
          <w:rtl w:val="true"/>
          <w:lang w:bidi="ar-SA"/>
        </w:rPr>
        <w:t xml:space="preserve">والعلّامة والشهيد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وعليه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يكون لأجل أنّ عدم الإلقاء دفعةً يوجب انقسام الماء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وسافل، ولا يتقوّى أحدهما بالآخر، فالجزء الذي يُلاقي النجس ينجس، ولا يوجب طهارة الماء، من غير فرقٍ بين كفاية الاتّصال واعتبار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في بحث ماء الحمّام ضعف المبنى، تعرف ضعف ما بُني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المحقّق رحمه الله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ورود النصّ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لم نقف عليه في كتب الحديث، ولا نَقَله ناقلٌ في كتب الاستدلال</w:t>
      </w:r>
      <w:r>
        <w:rPr>
          <w:rStyle w:val="FootnoteAnchor"/>
          <w:rtl w:val="true"/>
        </w:rPr>
        <w:footnoteReference w:id="196"/>
      </w:r>
      <w:r>
        <w:rPr>
          <w:rFonts w:ascii="Amiri" w:hAnsi="Amiri" w:eastAsia="Amiri" w:cs="Amiri"/>
          <w:color w:val="111111"/>
          <w:sz w:val="28"/>
          <w:sz w:val="28"/>
          <w:szCs w:val="28"/>
          <w:rtl w:val="true"/>
          <w:lang w:bidi="ar-SA"/>
        </w:rPr>
        <w:t xml:space="preserve">،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شهادة المحقّق بوروده في قوّة إرساله، ونسبة المحقّق رحمه الله إلى تصريح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الحدائق</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نسبته إلى المشهور بين المتأخّرين، جابرتان لهذا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ورود النصّ ليس في قوّة إيراد نصّ مرسلاً، مضافاً إلى أنّ مطابقة فتاوي الأصحاب لمضمون الخبر دون اتّكالهم عليه، غير جابرةٍ لضعف السند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اعتبار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الطهارة مع عدمها مشكوكٌ يرجع إلى أصالة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طهارة الماء النجس على تقدير امتزاجه بالماء العاصم، ممّا 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أنّ‌اعتبار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الاعتصام في المطهر موضع وفاق، وقد عرفت في محلّه أنّ النجس المتمّم كراً بطاهرٍ لايطهر، فراجع</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إذا ألقي عليه الكُرّ فزال تغيّره به يطهر كما هو المشهور، ولكن الصور المتصوّرة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يتغيّر الكُرّ الطاهر أيضاً بأحد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يحكم بنجاسة مجموع الماء، لما عرفت في محلّه من أنّ الماء المتغيّر بأحد أوصاف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بواسطة ملاقاته لما هو حاملٌ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يتغيّر بعض الكُرّ الطاهر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فيه أيضاً النجاسة، لتنجّس المتغيّر منه به وغيره بملاقاته مع الماء النجس، لفرض قلّته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بقي الكُرّ الملقى على حاله من اتّصال أجزائه، فحيثُ أنّ المفروض زوال تغيّر الماءالنجس، وبعد ذلك أيضاً تكون الملاقاة موجودة، يطهرالنجس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اعتبار حدوث الملاقاة بعد زوال التغيّر،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لم يبق مقدار الكُرّ متّصلاً باقياً على حاله، فيتنجّس المجموع، إذ بعد انقسام الكُرّ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يكونا متّصلين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قليلٌ ملاقٍ للنجس، فلا محالة ينجس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74" w:name="pg11794_146880"/>
    </w:p>
    <w:p>
      <w:pPr>
        <w:pStyle w:val="BookText"/>
        <w:rPr/>
      </w:pPr>
      <w:bookmarkEnd w:id="74"/>
      <w:r>
        <w:rPr>
          <w:rFonts w:ascii="Amiri" w:hAnsi="Amiri" w:eastAsia="Amiri" w:cs="Amiri"/>
          <w:color w:val="111111"/>
          <w:sz w:val="28"/>
          <w:sz w:val="28"/>
          <w:szCs w:val="28"/>
          <w:rtl w:val="true"/>
          <w:lang w:bidi="ar-SA"/>
        </w:rPr>
        <w:t>وإنْ كان أقلّ من كُرٍّ نجس بوقوع النجاسة فيه، وإنْ لم تتغيّر أوصافه</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0298942_73709187"/>
      <w:bookmarkStart w:id="76" w:name="_Toc27"/>
      <w:bookmarkEnd w:id="75"/>
      <w:r>
        <w:rPr>
          <w:rtl w:val="true"/>
        </w:rPr>
        <w:t>الماء القليل</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كُرّ نجس بوقوع النجاسة فيه، وإنْ لم تتغيّر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غير واحدٍ دعوى الإجماع عليه، إلّاعن العُمّاني</w:t>
      </w:r>
      <w:r>
        <w:rPr>
          <w:rStyle w:val="FootnoteAnchor"/>
          <w:rtl w:val="true"/>
        </w:rPr>
        <w:footnoteReference w:id="200"/>
      </w:r>
      <w:r>
        <w:rPr>
          <w:rFonts w:ascii="Amiri" w:hAnsi="Amiri" w:eastAsia="Amiri" w:cs="Amiri"/>
          <w:color w:val="111111"/>
          <w:sz w:val="28"/>
          <w:sz w:val="28"/>
          <w:szCs w:val="28"/>
          <w:rtl w:val="true"/>
          <w:lang w:bidi="ar-SA"/>
        </w:rPr>
        <w:t>، وعن الكاشاني موافقته، وتدلّ على المشهور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الرياض</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منها بعض الأصحاب مائتي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إنّها تبلغ ثلاثمائة حديث</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الدالّة على أنّ الماء البالغ حَدّ الكُرّ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الخبر الصحيح الذي رواه إسماعيل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فإنّها بمفهومها تدلّ على إنفعال الماء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سؤر الكلب والخنزير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خِنْزِيرٍ شَرِبَ مِنْ إِنَاءٍ </w:t>
      </w:r>
    </w:p>
    <w:p>
      <w:pPr>
        <w:pStyle w:val="BookText"/>
        <w:rPr/>
      </w:pPr>
      <w:r>
        <w:rPr>
          <w:rFonts w:ascii="Amiri" w:hAnsi="Amiri" w:eastAsia="Amiri" w:cs="Amiri"/>
          <w:color w:val="111111"/>
          <w:sz w:val="28"/>
          <w:sz w:val="28"/>
          <w:szCs w:val="28"/>
          <w:rtl w:val="true"/>
          <w:lang w:bidi="ar-SA"/>
        </w:rPr>
        <w:t>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فإنّها وإنْ وردت في خصوص الكلب والخنزير، إلّاأنّها تتعدّى عنهما إلى سائر النجاسات للعلم بعدم الخصوصيّة، وللتعليل في بعض الروايات بأنّه رجسٌ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الإنائين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الخبر الموثّق الذي رواه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مَعَهُ إِنَاءَ‌انِ فِيهِمَا مَاءٌ وَقَعَ فِي أَحَدِهِمَا قَذَرٌ لا يَدْرِي أَيُّهُمَا هُوَ، ولَيْسَ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اليد القذرة بالبول أو المني، إذا اُدخلت في الماء، الدالّة على أنّه يُراق الماء،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الخبر الموثّق الذي رواه أبو بصير عَنْهُمْ،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فَإِنْ أَدْخَلْتَ يَدَكَ فِي الْمَاءِ وفِيهَا شَيْ‌ءٌ مِنْ ذَلِكَ فَأَهْرِقْ ذَلِكَ الْمَاءَ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لما ذهب إليه العماني</w:t>
      </w:r>
      <w:r>
        <w:rPr>
          <w:rStyle w:val="FootnoteAnchor"/>
          <w:rtl w:val="true"/>
        </w:rPr>
        <w:footnoteReference w:id="207"/>
      </w:r>
      <w:r>
        <w:rPr>
          <w:rFonts w:ascii="IRNazanin" w:hAnsi="IRNazanin" w:eastAsia="IRNazanin"/>
          <w:color w:val="111111"/>
          <w:sz w:val="28"/>
          <w:sz w:val="28"/>
          <w:szCs w:val="28"/>
          <w:rtl w:val="true"/>
          <w:lang w:bidi="fa-IR"/>
        </w:rPr>
        <w:t>ومن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بأصالة الطهارة واستصحابها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ورد في الغدير الواقعة فيه الجيفة</w:t>
      </w:r>
      <w:r>
        <w:rPr>
          <w:rStyle w:val="FootnoteAnchor"/>
          <w:rtl w:val="true"/>
        </w:rPr>
        <w:footnoteReference w:id="208"/>
      </w:r>
      <w:r>
        <w:rPr>
          <w:rFonts w:ascii="Amiri" w:hAnsi="Amiri" w:eastAsia="Amiri" w:cs="Amiri"/>
          <w:color w:val="111111"/>
          <w:sz w:val="28"/>
          <w:sz w:val="28"/>
          <w:szCs w:val="28"/>
          <w:rtl w:val="true"/>
          <w:lang w:bidi="ar-SA"/>
        </w:rPr>
        <w:t>، حيث أنّه في جميع تلك الروايات حكم عليه السلام بأنّه لا بأس به إذا غلب الماء ريح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يدلّ على أنّ اليهود والنصارى إذا لاقى شيء من بدنهم الماء لا بأس بشربه والتوضّي منه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يدلّ على أنّ الشيء المتنجّس إذا لاقى مع الماء لا ينجس كخبر ابن ميسر الآتي</w:t>
      </w:r>
      <w:r>
        <w:rPr>
          <w:rStyle w:val="FootnoteAnchor"/>
          <w:rtl w:val="true"/>
        </w:rPr>
        <w:footnoteReference w:id="21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والاستصحاب والعموم،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ندّع ظهوره في الكثير، فلا أقلّ من الإطلاق، فيقيّد بالأدلّة المتقدّمة الدالّة على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سؤر اليهود والنصارى</w:t>
      </w:r>
      <w:r>
        <w:rPr>
          <w:rStyle w:val="FootnoteAnchor"/>
          <w:rtl w:val="true"/>
        </w:rPr>
        <w:footnoteReference w:id="2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معارضته بما يدلّ على إنفعال الماء بسؤرهم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إنفعال الماء، وإنّما يدلّ على طهارة أهل الكتاب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محمّد 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الْجُنُبِ يَنْتَهِي إِلَى الْمَاءِ الْقَلِيلِ فِي الطَّرِيقِ، ويُرِيدُ أَنْ يَغْتَسِلَ مِنْهُ، ولَيْسَ مَعَهُ إِنَاءٌ يَغْرِفُ بِهِ، ويَدَاهُ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ثُمَّ يَتَوَضَّأُ ثُمَّ يَغْتَسِلُ، هَذَا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عَلَيْكُمْ فِي اَلدِّينِ مِنْ حَرَجٍ</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فالاستدلال به غير تامّ، إذ هو غير ظاهرٍ في القليل المصطلح، ومن المحتمل أنْ يكون بمعنى ما لا يمكن الارتماس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الهمداني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بنفسه وإنْ لم يكن ظاهراً فيه، إلّا أنّه بملاحظة الاستدلال بآية نفي الحرج يصير ظاهراً فيه، إذ لو كان مورد السؤال هو الكُرّ، لم يكن الحكم بوضع اليد فيه والاغتسال منه ممّا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بل كان ممّا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الاستدلال بالآية الشريفة إنّما يكون لاقتضائها اعتصام الكرّ بمراتبه، فإنّ لزوم الحرج من عدمه واضح، وهذا بخلاف فرض مورد السؤال، فإنّه لا يلزم من عدم استعمال الماء حرج،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لو لم تكن ظاهرة في الكُرّ، فلا أقلّ من الإطلاق، فتقيّد بالأدلّة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 من أنّ ذكر الوضوء مع الغُسل خلاف المذهب، يندفع بأنّ المراد منه إنّما هو التنظيف لا الوضوء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الأظهر من هذا الخبر في ما ذكر،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جعفر عليه السلام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جُنُبٍ أصابَ يَدَه جنابة فمسحها بخرقة، ثمّ أدخل يده في غُسله، هل يُجزيه أنْ يغتسل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غيره فلا يُجزيه أنْ يغتسل،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يجد غيره أجزأه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ظهوره في الماء القليل لا يُنكر، لأنّ الغُسل بحسب العادة يكون أقلّ من كُرّ، ولكن التفصيل المذكور فيه لم يقُل به أحد، فالرواية معرضٌ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موردها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الروايات</w:t>
      </w:r>
      <w:r>
        <w:rPr>
          <w:rStyle w:val="FootnoteAnchor"/>
          <w:rtl w:val="true"/>
        </w:rPr>
        <w:footnoteReference w:id="215"/>
      </w:r>
      <w:r>
        <w:rPr>
          <w:rFonts w:ascii="Amiri" w:hAnsi="Amiri" w:eastAsia="Amiri" w:cs="Amiri"/>
          <w:color w:val="111111"/>
          <w:sz w:val="28"/>
          <w:sz w:val="28"/>
          <w:szCs w:val="28"/>
          <w:rtl w:val="true"/>
          <w:lang w:bidi="ar-SA"/>
        </w:rPr>
        <w:t>الدالّة على عدم تنجّس الماء الملاقي للنجس، لا تدلّ على هذا القول، مع أنّه معارض في مورده بروايات</w:t>
      </w:r>
      <w:r>
        <w:rPr>
          <w:rStyle w:val="FootnoteAnchor"/>
          <w:rtl w:val="true"/>
        </w:rPr>
        <w:footnoteReference w:id="216"/>
      </w:r>
      <w:r>
        <w:rPr>
          <w:rFonts w:ascii="Amiri" w:hAnsi="Amiri" w:eastAsia="Amiri" w:cs="Amiri"/>
          <w:color w:val="111111"/>
          <w:sz w:val="28"/>
          <w:sz w:val="28"/>
          <w:szCs w:val="28"/>
          <w:rtl w:val="true"/>
          <w:lang w:bidi="ar-SA"/>
        </w:rPr>
        <w:t>كثيرة معتبرة دالّة على عدم جواز الاغتسال إذا أدخل الجُنُب يده القذرة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لهذا القول بصحيح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المسؤول عنه غير معلوم، إذ كما يحتمل أن يكون هو ماء الدلو لأجل تقاطر الماء من الشعر في الدلو، يمكن أنْ يكون ذلك لأجل الشكّ في التقاطر، ومع هذا الاحتمال لا وجه للاستدلال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خبره الآخر الوارد في جلد الخنزير،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جِلْدِ الْخِنْزِيرِ يُجْعَلُ دَلْواً يُسْتَقَى بِهِ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فأجنبيٌ عن المقام بالمرّة، لأنّ الظاهر منه أنّ السؤال إنّما يكون عن الاستقاء به لتخيّل حرمة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زرارة المرويّ عن الإمام الباقر عليه السلام في الدلو وأشباه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تَفَسَّخَ فِيهَا فَلا تَشْرَبْ مِنْ مَائِهَا، ولا تَتَوَضَّأْ، وصُبَّهَا، وإِنْ كَانَ غَيْرَ مُتَفَسِّخٍ فَاشْرَبْ مِنْهُ وتَوَضَّأْ، واطْرَحِ الْمَيْتَةَ إذا أَخْرَجْتَهَا طَرِيَّةً، وكَذَلِكَ الْجَرَّةُ وحِبُّ الْمَاءِ</w:t>
      </w:r>
      <w:r>
        <w:rPr>
          <w:rStyle w:val="FootnoteAnchor"/>
          <w:rtl w:val="true"/>
        </w:rPr>
        <w:footnoteReference w:id="219"/>
      </w:r>
      <w:r>
        <w:rPr>
          <w:rFonts w:ascii="Amiri" w:hAnsi="Amiri" w:eastAsia="Amiri" w:cs="Amiri"/>
          <w:color w:val="111111"/>
          <w:sz w:val="28"/>
          <w:sz w:val="28"/>
          <w:szCs w:val="28"/>
          <w:rtl w:val="true"/>
          <w:lang w:bidi="ar-SA"/>
        </w:rPr>
        <w:t>والْقِرْبَةُ وأَشْبَاهُ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أَكْثَرَ مِنْ رَاوِيَةٍ، لَمْ يُنَجِّسْهُ شَيْ‌ءٌ، تَفَسَّخَ فِيهِ أَوْ لَمْ يَتَفَسَّخْ، إِلّا أَنْ يَجِيءَ لَهُ رِيحٌ تَغْلِبُ عَلَى رِيحِ المَاءِ</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اعتصام الماء القليل، لعدم إمكان حمله على الكُرّ، لعدم كون الراوية كُرّاً غالباً، مضافاً إلى سريان الحكم إلى الحُبّ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بل هو في غاية الضعف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طرحه لعدم القائل بالتفصيل بين التفسّخ وعدمه، وحمل التفسّخ على التغيّر يأباه ذيل الخبر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أنّه لو سُلّم تماميّة هذه الروايات سنداً ودلالة، لا يجوز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الاعتماد عليها، لإعراض الأصحاب عنها، وإفتائهم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تسليم التعارض، تُقدَّم الروايات الدالّة على الانفعال لوجوه لا تخفى، ولا وجه لحمل نصوص الانفعال على الكراهة، لإبائها عن ذلك، كما يظهر لمن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تنجّس القليل بالملاقاة، بين النجاسات، حتّى رأس إبرة من الدم الذي لا يُدركه الطّرف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القليل، عند ملاقاة ما لا يُدركه الطّرف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جماعة، واستدلّ له بصحيح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فَامْتَخَطَ فَصَارَ بَعْضُ ذَلِكَ الدَّمِ قَطْراً صِغَاراً فَأَصَابَ إِنَاءَهُ،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 يَسْتَبِينُ فِي الْمَاءِ فَلا بَأْسَ، وإِنْ كَانَ شيئاً بَيِّناً فَلا تَتَوَضَّأْ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رَعَفَ وهُوَ يَتَوَضَّأُ، فَتَقْطُرُ َقطْرَةٌ فِي إِنَائِهِ هَلْ يَصْلُحُ الْوُضُوءُ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الظاهر منه إصابة الدم نفس الماء، كما يشهد بذلك لسان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بملاحظة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الدم الإناء، والشكّ في إصابة الماء، ومفاد جوابه عليه السلام حينئذٍ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ما حمله الشيخ الأعظم</w:t>
      </w:r>
      <w:r>
        <w:rPr>
          <w:rStyle w:val="FootnoteAnchor"/>
          <w:rtl w:val="true"/>
        </w:rPr>
        <w:footnoteReference w:id="224"/>
      </w:r>
      <w:r>
        <w:rPr>
          <w:rFonts w:ascii="Amiri" w:hAnsi="Amiri" w:eastAsia="Amiri" w:cs="Amiri"/>
          <w:color w:val="111111"/>
          <w:sz w:val="28"/>
          <w:sz w:val="28"/>
          <w:szCs w:val="28"/>
          <w:rtl w:val="true"/>
          <w:lang w:bidi="ar-SA"/>
        </w:rPr>
        <w:t>عليه، من العلم بإصابة الماء أو الإناء،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العلم الإجمالي بما أنّ أحد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الابتلاء،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لأنّه مضافاً إلى مخالفته للظهور، أنّه في مثل الفرض لا يكون الإناء خارجاً عن محلّ الابتلاء، إذ ليس معنى الخروج عن محلّ الابتلاء خروجه عن مورد الاحتياج، بل المراد منه ما لا يصحّ التكليف به لعدم القدرة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تنجّس القليل بين أن يكون وارداً على النجاسة أو موروداً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المرتضى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نجاسته إذا كان وارداً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حكمنا بنجاسته، لأدّى ذلك إلى أنّ الشيء لا يطهر إلّابإيراد كُرّ من الماء عليه، وذلك يشقّ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نصوص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المفهوم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الماء المورود، ولايشمل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المفهوم، فبما أنّ نقيض السالبة الكليّة، الموجبة الجزئيّة، فغاية ما يدلّ عليه تنجّس الماء ببعض النجاسات في الجملة، والقدر المتيقّن منه غير مثل الفرض، وفيه يُرجع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الحكم بطهارة الغُسالة خاصّة، لا مطلق الوارد، مع أنّ النجس الذي لا يكون مطهّراً هو ما كان كذلك قبل الغَسل، وأمّا النجاسة الحاصلة، فلا دليل على مانعيّتها عن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منع عموم المفهوم في محلّه، ولذا لو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حَمَلت سيفي لا يغلبُ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العرف منه أنّه لو لم يحمل السيف لا يغلب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يُجدي لهذا القول، لا لما أفاده المحقّق الهمداني رحمه الله</w:t>
      </w:r>
      <w:r>
        <w:rPr>
          <w:rStyle w:val="FootnoteAnchor"/>
          <w:rtl w:val="true"/>
        </w:rPr>
        <w:footnoteReference w:id="227"/>
      </w:r>
      <w:r>
        <w:rPr>
          <w:rFonts w:ascii="Amiri" w:hAnsi="Amiri" w:eastAsia="Amiri" w:cs="Amiri"/>
          <w:color w:val="111111"/>
          <w:sz w:val="28"/>
          <w:sz w:val="28"/>
          <w:szCs w:val="28"/>
          <w:rtl w:val="true"/>
          <w:lang w:bidi="ar-SA"/>
        </w:rPr>
        <w:t>من أنّ كون الماء وارداً أو موروداً من أحوال الفرد لا من 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المنطوق كما له عمومٌ بالنسبة إلى الأفراد، كذلك له إطلاقٌ بالنسبة إلى حالاتها، فالمفهوم هو الموجبة الجزئيّة بالنسبة إلى كلتيهما، بل لأنّ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نقيض السالبة الكليّة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المتنجّس الذي ورد عليه السلب، وأمّا الإطلاق الوارد على الحكم، وما رتّب عليه عدم التنجّس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حاله في المفهوم أيضاً، كما يظهر وجهه لمن تدبّر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الماء وارداً أم موروداً ليس من حالات المتنجّس، كما لا يخفى، فتدبّر فإنّه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ويطهر بإلقاء الكُرّ دفعة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الروايات بإطلاقها تدلّ على نجاسة الماء الملاقي مع النجس، وإنْ كان وارداً، مع أنّ كيفيّة الانفعال موكولة إلى نظر العرف، وما هو المغروس في أذهان المتشرّعة، ومن الضروري 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لأجل تشبيه النجاسات بالقذارات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الموجب للتنجّس ملاقاة الشيء مع النجس برطوبة مُسرية، من دون أن يكون لكيفيّة الملاقاة دخل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فاختبر ذلك من حال المقلّد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يتنجّس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يتوقّف في شمول الحكم للماء الوارد والمورود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قَطَرَتْ فِي حُبٍّ إِلّا أُهْرِيقَ ذَلِكَ الْحُبُّ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لم يكن حكم الماء الوارد على المسكر والمورود له واحداً، لم يكن وقعٌ لهذا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عدم دلالة النصوص على إنفعال الوارد، تعيَّن الرجوع إلى عموم ما دلَّ على نجاسة كلّ شيء بالملاقاة مع النجس، ولا وجه للرجوع إلى النبويّ، لما عرفت أنّه ضعيف السند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القليل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بإلقاء الكُرّ دفعةً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عرفت تفصيله آنفاً،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7" w:name="pg11794_146890"/>
    </w:p>
    <w:p>
      <w:pPr>
        <w:pStyle w:val="BookText"/>
        <w:rPr/>
      </w:pPr>
      <w:bookmarkEnd w:id="7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إنْ تغيّر بوقوع النجاسة فيه؛ تنجّس، وطَهُر بزوال التغيّر بالنزح، وإلّا فهو على أصل الطهارة،</w:t>
      </w:r>
    </w:p>
    <w:p>
      <w:pPr>
        <w:pStyle w:val="BookText"/>
        <w:rPr/>
      </w:pPr>
      <w:r>
        <w:rPr>
          <w:rFonts w:ascii="IRNazanin" w:hAnsi="IRNazanin" w:eastAsia="IRNazanin"/>
          <w:color w:val="111111"/>
          <w:sz w:val="28"/>
          <w:sz w:val="28"/>
          <w:szCs w:val="28"/>
          <w:rtl w:val="true"/>
          <w:lang w:bidi="fa-IR"/>
        </w:rPr>
        <w:t>القسم الثالث ماء البئر</w:t>
      </w:r>
    </w:p>
    <w:p>
      <w:pPr>
        <w:pStyle w:val="Heading6"/>
        <w:numPr>
          <w:ilvl w:val="5"/>
          <w:numId w:val="1"/>
        </w:numPr>
        <w:rPr/>
      </w:pPr>
      <w:bookmarkStart w:id="78" w:name="__RefHeading___Toc10298944_73709187"/>
      <w:bookmarkStart w:id="79" w:name="_Toc28"/>
      <w:bookmarkEnd w:id="78"/>
      <w:r>
        <w:rPr>
          <w:rtl w:val="true"/>
        </w:rPr>
        <w:t>القسم الثالث</w:t>
      </w:r>
      <w:r>
        <w:rPr>
          <w:rtl w:val="true"/>
        </w:rPr>
        <w:t xml:space="preserve">: </w:t>
      </w:r>
      <w:r>
        <w:rPr>
          <w:rtl w:val="true"/>
        </w:rPr>
        <w:t>ماء البئر</w:t>
      </w:r>
      <w:bookmarkEnd w:id="79"/>
    </w:p>
    <w:p>
      <w:pPr>
        <w:pStyle w:val="Heading6"/>
        <w:numPr>
          <w:ilvl w:val="5"/>
          <w:numId w:val="1"/>
        </w:numPr>
        <w:rPr/>
      </w:pPr>
      <w:bookmarkStart w:id="80" w:name="__RefHeading___Toc10298946_73709187"/>
      <w:bookmarkStart w:id="81" w:name="_Toc29"/>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تغيّر بوقوع النجاسة فيه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بزوال التغيّر بالنزح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ويدلّ عليه الصحيح المتقدّم أعلاه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يتغيّر بوقوع النجاسة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أصل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بين المتأخّرين، والمنسوب إلى العُمّاني</w:t>
      </w:r>
      <w:r>
        <w:rPr>
          <w:rStyle w:val="FootnoteAnchor"/>
          <w:rtl w:val="true"/>
        </w:rPr>
        <w:footnoteReference w:id="230"/>
      </w:r>
      <w:r>
        <w:rPr>
          <w:rFonts w:ascii="Amiri" w:hAnsi="Amiri" w:eastAsia="Amiri" w:cs="Amiri"/>
          <w:color w:val="111111"/>
          <w:sz w:val="28"/>
          <w:sz w:val="28"/>
          <w:szCs w:val="28"/>
          <w:rtl w:val="true"/>
          <w:lang w:bidi="ar-SA"/>
        </w:rPr>
        <w:t>وابن الغضائري</w:t>
      </w:r>
      <w:r>
        <w:rPr>
          <w:rStyle w:val="FootnoteAnchor"/>
          <w:rtl w:val="true"/>
        </w:rPr>
        <w:footnoteReference w:id="231"/>
      </w:r>
      <w:r>
        <w:rPr>
          <w:rFonts w:ascii="IRNazanin" w:hAnsi="IRNazanin" w:eastAsia="IRNazanin"/>
          <w:color w:val="111111"/>
          <w:sz w:val="28"/>
          <w:sz w:val="28"/>
          <w:szCs w:val="28"/>
          <w:rtl w:val="true"/>
          <w:lang w:bidi="fa-IR"/>
        </w:rPr>
        <w:t>ومحمّد بن الجهم</w:t>
      </w:r>
      <w:r>
        <w:rPr>
          <w:rStyle w:val="FootnoteAnchor"/>
          <w:rtl w:val="true"/>
        </w:rPr>
        <w:footnoteReference w:id="2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وجماعةٌ من أصحابنا حكموا بنجاستها بوقوع النجاسة فيها وإنْ لم يتغيّر 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وجماعةٌ من أصحابنا حَكموا بنجاستها، بوقوع النجاسة فيها، وإنْ لم يتغيّر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المشهور بين القدماء</w:t>
      </w:r>
      <w:r>
        <w:rPr>
          <w:rStyle w:val="FootnoteAnchor"/>
          <w:rtl w:val="true"/>
        </w:rPr>
        <w:footnoteReference w:id="233"/>
      </w:r>
      <w:r>
        <w:rPr>
          <w:rFonts w:ascii="Amiri" w:hAnsi="Amiri" w:eastAsia="Amiri" w:cs="Amiri"/>
          <w:color w:val="111111"/>
          <w:sz w:val="28"/>
          <w:sz w:val="28"/>
          <w:szCs w:val="28"/>
          <w:rtl w:val="true"/>
          <w:lang w:bidi="ar-SA"/>
        </w:rPr>
        <w:t>، وجمعٌ من المتأخّرين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 القائلين بالطهارة</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النزح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الكُرّ وغيره، في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الذراعين في الأبعاد الثلاثة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الجُعفي فدليله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البصروي</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الطهارة تحمل على ما إذا بلغ كُرّاً عند الجمع بينها، وبين عموم ما دلّ على انفعال الماء القليل، لغَلَبة الكريَّة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صحيح ابن بزيع</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أنّه كثير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الْبِئْرِ يَقَعُ فِيهَا زِنْبِيلُ عَذِرَةٍ يَابِسَةٍ أَوْ رَطْبَةٍ؟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الحسن بن صالح الثوري المتقدّم في بحث الكُرّ،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w:t>
      </w:r>
      <w:r>
        <w:rPr>
          <w:rStyle w:val="FootnoteAnchor"/>
          <w:rtl w:val="true"/>
        </w:rPr>
        <w:footnoteReference w:id="239"/>
      </w:r>
      <w:r>
        <w:rPr>
          <w:rFonts w:ascii="Amiri" w:hAnsi="Amiri" w:eastAsia="Amiri" w:cs="Amiri"/>
          <w:color w:val="111111"/>
          <w:sz w:val="28"/>
          <w:sz w:val="28"/>
          <w:szCs w:val="28"/>
          <w:rtl w:val="true"/>
          <w:lang w:bidi="ar-SA"/>
        </w:rPr>
        <w:t>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بِئْرٍ عُمْقُ مَائِهَا ثَلاثَةُ أَشْبَارٍ ونِصْفٌ فِي مِثْلِهَا، فَسَبِيلُهَا سَبِيلُ الْمَاءِ الْجَارِي، إِلّا أَنْ يَتَغَيَّرَ لَوْنُهَا وطَعْمُهَا ورَائِحَتُهَا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الجمع بين نصوص طهارة البئر وأخبار إنفعال الماء القليل، إنّما يكون بحمل الثانية على غير البئر، لأظهريّة الاُولى عنها، لظهورها في خصوصيّة ماء البئر، بل صحيح ابن بزيع</w:t>
      </w:r>
      <w:r>
        <w:rPr>
          <w:rStyle w:val="FootnoteAnchor"/>
          <w:rtl w:val="true"/>
        </w:rPr>
        <w:footnoteReference w:id="242"/>
      </w:r>
      <w:r>
        <w:rPr>
          <w:rFonts w:ascii="Amiri" w:hAnsi="Amiri" w:eastAsia="Amiri" w:cs="Amiri"/>
          <w:color w:val="111111"/>
          <w:sz w:val="28"/>
          <w:sz w:val="28"/>
          <w:szCs w:val="28"/>
          <w:rtl w:val="true"/>
          <w:lang w:bidi="ar-SA"/>
        </w:rPr>
        <w:t>صريحٌ في ذلك، بناءً على ما تقدّم في بحث الجاري من رجوع التعليل إلى الجملة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الاُولى على غير القليل، لزم عدم خصوصيّةٍ لماء البئر، مضافاً إلى أنّه لا نُسلّم غلبة الكريَّة في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السِّعة على الكريَّة، ستَعرف أنّه خلاف الظاهر، مع أنّه لا يُجدي لهذا القول، إذ لم يثبت للشارع اصطلاحٌ في الكثرة، فيكون معناها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ظهر عدم دلالة موثّق عمّار لهذا القول، إذ ظاهر الكثرة فيه هي الكثرة العرفيّة، واعتبارها فيه إنّما يكون لأجل أنْ لا يحصل التغيّر من وقوع الزنبيل، وعليه فالمراد منها هي الكثرة الخاصّة التي تزيد على الكُرّ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يرد عليه ضعفُ السند، لأنّه معتبر كما لا يخفى،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يرد عليه أنّه يقع التعارض بينه وبين ما يدلّ من الروايات على أنّ مناط اعتصامها إنّما هو كونها ذات مادّة باعتبار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بين مفهوم كلّ منهما ومنطوق الآخر، فيقيّد مفهوم كلّ منهما بمنطوق الآخر، لأنّه أخصّ منه، وحيث لا يعقل التصرّف في المفهوم نفسه، فلابدَّ من رفع اليد عن ملزومه بمقدارٍ يرتفع به التعارض، ويكون ذلك بتقييد المنطوق، ورفع اليد عن إطلاقه المقابل للتقييد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في المقام الاكتفاء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الكريَّة، وكونها ذا مادّة في الحكم بعدم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لنا كونه كتاب روايةٍ، وعلى فرض تسليمه 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باعتبار الكريَّة في اعتصامها ضعيفٌ، فما ذكره الشيخ الأجلّ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إعراض الأصحاب عن هذا القول أمكن المصير إليه</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النَّزح تعبّداً الذي 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فقد استدلّ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بأنّه ممّا يقتضيه الأخذ بظاهر الدليلين، فإنّ ظاهر الأمر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ظهور الأمر بالنزح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بغَسل ملاقي 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إلى النجاسة في نفسه، ولكن بما أنّه لابدَّ من رفع اليد عن هذا الظهور على الفرض، فيدور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إرادة الوجوب النفسي التعبّدي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إرادة الوجوب الشرطي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بيان متعلّق الوجوب، من أنّه يجب على المالك أو المكلّفين قاطبةً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w:t>
      </w:r>
      <w:r>
        <w:rPr>
          <w:rStyle w:val="FootnoteAnchor"/>
          <w:rtl w:val="true"/>
        </w:rPr>
        <w:footnoteReference w:id="246"/>
      </w:r>
      <w:r>
        <w:rPr>
          <w:rFonts w:ascii="Amiri" w:hAnsi="Amiri" w:eastAsia="Amiri" w:cs="Amiri"/>
          <w:color w:val="111111"/>
          <w:sz w:val="28"/>
          <w:sz w:val="28"/>
          <w:szCs w:val="28"/>
          <w:rtl w:val="true"/>
          <w:lang w:bidi="ar-SA"/>
        </w:rPr>
        <w:t xml:space="preserve">الدالّ على أنّه لا يُفسِدُ البئر شيء، إذ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التنجّس خاصّة، فالقول بأنّه لا يجوز استعمال ماء البئر بعد وقوع النجاسة فيه ما لم ينزح، ينافي عدم فساده،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التصريح في جملةٍ من الروايات بنفي البأس عن الوضوء منها، أو عدم وجوب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الأمر، حيث أنّه يحمل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الأخذ بظاهره من الإرشاد إلى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الإرشاد إلى مرتبة ضعيفةٍ منها، لا تثبت لها أحكام النجاسة، لأنّه ممّا يقتضيه الفهم العرفي، واستقرّ عليه ديدنهم في أمثال المقام، ولذا ترى أنّه لم يحمل أحدٌ الأمر بالقنوت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الأخذ بظاهره من الجزئيّة، بقرينة ما دلَّ على الصحّة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المولوي، بل يُحمل على أنّه جزءٌ مستحبّي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2" w:name="pg11794_146895"/>
    </w:p>
    <w:p>
      <w:pPr>
        <w:pStyle w:val="Heading6"/>
        <w:numPr>
          <w:ilvl w:val="5"/>
          <w:numId w:val="1"/>
        </w:numPr>
        <w:rPr/>
      </w:pPr>
      <w:bookmarkStart w:id="83" w:name="__RefHeading___Toc10298948_73709187"/>
      <w:bookmarkStart w:id="84" w:name="_Toc30"/>
      <w:bookmarkEnd w:id="82"/>
      <w:bookmarkEnd w:id="83"/>
      <w:r>
        <w:rPr>
          <w:rtl w:val="true"/>
        </w:rPr>
        <w:t>عدم تنجّس ماء البئر</w:t>
      </w:r>
      <w:bookmarkEnd w:id="84"/>
    </w:p>
    <w:p>
      <w:pPr>
        <w:pStyle w:val="BookText"/>
        <w:rPr/>
      </w:pPr>
      <w:r>
        <w:rPr>
          <w:rFonts w:ascii="Amiri" w:hAnsi="Amiri" w:eastAsia="Amiri" w:cs="Amiri"/>
          <w:color w:val="111111"/>
          <w:sz w:val="28"/>
          <w:sz w:val="28"/>
          <w:szCs w:val="28"/>
          <w:rtl w:val="true"/>
          <w:lang w:bidi="ar-SA"/>
        </w:rPr>
        <w:t>ثمّ إنّه يقع الكلام في أنّه هل ينجس ماء البئر بملاقاة النجاسة ما لم يتغيّر،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الثاني،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الذي رواه ابن بزيعَ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اشتمالها على المؤكّدات الكثيرة الّتي لا تخفى، لا يبقى موردٌ للمناقشة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بِئْرِ مَاءٍ وَقَعَ فِيهَا زِنْبِيلٌ مِنْ عَذِرَةٍ رَطْبَةٍ أَوْ يَابِسَةٍ أَوْ زِنْبِيلٌ مِنْ سِرْقِينٍ</w:t>
      </w:r>
      <w:r>
        <w:rPr>
          <w:rStyle w:val="FootnoteAnchor"/>
          <w:rtl w:val="true"/>
        </w:rPr>
        <w:footnoteReference w:id="248"/>
      </w:r>
      <w:r>
        <w:rPr>
          <w:rFonts w:ascii="Amiri" w:hAnsi="Amiri" w:eastAsia="Amiri" w:cs="Amiri"/>
          <w:color w:val="111111"/>
          <w:sz w:val="28"/>
          <w:sz w:val="28"/>
          <w:szCs w:val="28"/>
          <w:rtl w:val="true"/>
          <w:lang w:bidi="ar-SA"/>
        </w:rPr>
        <w:t>، أَيَصْلُحُ الْوُضُوءُ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الثَّوْبُ ولا تُعَادُ الصَّلاةُ مِمَّا وَقَعَ فِي الْبِئْرِ، إِلّا أَنْ يُنْتِنَ، فَإِنْ أَنْتَنَ غُسِلَ الثَّوْبُ، وأَعَادَ الصَّلاةَ ونُزِحَتِ الْبِئْرُ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المروي عَنْ أَبِي عَبْدِ اللّهِ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تَقَعُ فِي الْبِئْرِ، فَيَتَوَضَّأُ الرَّجُلُ مِنْهَا ويُصَلِّي، وهُوَ لا يَعْلَمُ، أَ يُعِيدُ الصَّلاةَ ويَغْسِلُ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ولا يَغْسِلُ ثَوْبَهُ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القدماء عنها، وعدم اعتمادهم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محلّها، إذ لم يثبت كونه إعراضاً موهناً، لاحتمال أن يكون ذلك لبنائهم على أنّه لا يمكن الجمع بين هذه الأخبار، وبين ما يدلّ بظاهره على النجاسة مع ترجّح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 بالنزح بملاقاة النجاسة، الظاهرة في كونه مطهراً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المصرّحة بحصول الطهارة بالنزح، كصحيحي ابن يقطين وابن بزيع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تصلح للمعارضة، مع ما مرّ من الروايات الصريحة في عدم النجاسة، التي هي أقوى دلالةً من هذه الأخبار، حيثُ أنّ غاية الأمر ظهورها في وجوب النزح والنجاسة، فيجمع بينها بالحمل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الكثير الواقع في النصوص الآمرة بالنزح على وجه يتعذّر الجمع بينها إلّابالحمل على مراتب الاستحباب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انفعلت البئر مع كرّية مائها، لزم دوران الانفعال مدار المادّة، وصيرورتها سبباً للانفعال، وهو غريبٌ، مع أنّ صحيح ابن يقطين عَنْ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الْبِئْرِ تَقَعُ فِيهَا الحَمَامَةُ والدَّجَاجَةُ والْفَأْرَةُ َوالْكَلْبُ</w:t>
      </w:r>
      <w:r>
        <w:rPr>
          <w:rStyle w:val="FootnoteAnchor"/>
          <w:rtl w:val="true"/>
        </w:rPr>
        <w:footnoteReference w:id="252"/>
      </w:r>
      <w:r>
        <w:rPr>
          <w:rFonts w:ascii="Amiri" w:hAnsi="Amiri" w:eastAsia="Amiri" w:cs="Amiri"/>
          <w:color w:val="111111"/>
          <w:sz w:val="28"/>
          <w:sz w:val="28"/>
          <w:szCs w:val="28"/>
          <w:rtl w:val="true"/>
          <w:lang w:bidi="ar-SA"/>
        </w:rPr>
        <w:t>والْهِرَّةُ؟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يُجْزِيكَ أَنْ تَنْزَحَ مِنْهَا دِلاءً، فَإِنَّ ذَلِكَ يُطَهِّرُهَا إِنْ شَاءَ اللّهُ تَعَالَىْ</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ظاهر في النجاسة، إذ حمل الجملة الخبريّة على الوجوب، ينافي مع ظاهره من التخيير بين الدلاء في النجاسات المذكورة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والإلتزام بإجمال الرواية لا يمكن، لكونه عليه السلام في مقام البيان، فلا محالةٍ تُحمل الجملة الخبريّة على الاستحباب، فيكون نزح مقدارٍ من الدلاء مستحبّاً لكلّواحد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ما ورد من المقدار المعيّن، فيكون المراد من الطهارة النظافة، لا ما يقابل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عدم دلالة صحيح محمّد بن إسماعيل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رَجُلٍ أَسْأَلُهُ أَنْ يَسْأَلَ أَبَا الْحَسَنِ الرِّضَا عليه السلام عَنِ الْبِئْرِ تَكُونُ فِي الْمَنْزِلِ، لِلْوُضُوءِ فَيَقْطُرُ فِيهَا قَطَرَاتٌ مِنْ بَوْلٍ أَوْ دَمٍ، أَوْ يَسْقُطُ فِيهَا شَيْ‌ءٌ مِنْ عَذِرَةٍ كَالْبَعْرَةِ ونَحْوِهَا، مَا الَّذِي يُطَهِّرُهَا حَتَّى يَحِلَّ الْوُضُوءُ مِنْهَا لِلصَّلاةِ؟ فَوَقَّعَ عليه السلام بِخَطِّهِ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دِلاءٌ مِنْهاَ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القول، لأنّ إطلاق الدلاء مع كونه عليه السلام في مقام بيان الحكم، كما هو واضح، دليلٌ على كون الحكم تنزيهيّاً، فجوابه عليه السلام إنّما يكون ردعاً عن ما تخيّله السائل من نجاسة البئر بملاقاتها للمذكورات فيه، لاتقريراً له كما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مبنى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لزوم الردع في أمثال المقام، ممّا لا يترتّب على جهل السائل مفسدة في الغالب غير مُسلّم، خصوصاً مع أنّ وقوع النجاسة في البئر يكون مؤثّراً في حدوث مرتبة من القذارة يكره لأجلها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ابن أبي يعفور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وأَنْتَ جُنُبٌ ولَمْ تَجِدْ دَلْواً ولا شيءً تَغْتَرِفُ منه</w:t>
      </w:r>
      <w:r>
        <w:rPr>
          <w:rStyle w:val="FootnoteAnchor"/>
          <w:rtl w:val="true"/>
        </w:rPr>
        <w:footnoteReference w:id="255"/>
      </w:r>
      <w:r>
        <w:rPr>
          <w:rFonts w:ascii="Amiri" w:hAnsi="Amiri" w:eastAsia="Amiri" w:cs="Amiri"/>
          <w:color w:val="111111"/>
          <w:sz w:val="28"/>
          <w:sz w:val="28"/>
          <w:szCs w:val="28"/>
          <w:rtl w:val="true"/>
          <w:lang w:bidi="ar-SA"/>
        </w:rPr>
        <w:t>فَتَيَمَّمْ بِالصَّعِيدِ، فَإِنَّ رَبَّ الْمَاءِ رَبَّ الصَّعِيدِ</w:t>
      </w:r>
      <w:r>
        <w:rPr>
          <w:rStyle w:val="FootnoteAnchor"/>
          <w:rtl w:val="true"/>
        </w:rPr>
        <w:footnoteReference w:id="256"/>
      </w:r>
      <w:r>
        <w:rPr>
          <w:rFonts w:ascii="Amiri" w:hAnsi="Amiri" w:eastAsia="Amiri" w:cs="Amiri"/>
          <w:color w:val="111111"/>
          <w:sz w:val="28"/>
          <w:sz w:val="28"/>
          <w:szCs w:val="28"/>
          <w:rtl w:val="true"/>
          <w:lang w:bidi="ar-SA"/>
        </w:rPr>
        <w:t>، ولا تَقَعْ فِي الْبِئْرِ ولا تُفْسِدْ عَلَى الْقَوْمِ مَاءَهُمْ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الإفساد فيها على القذارة العرفيّة، إذ لو كان المراد منه النجاسة كان المتعيّن أن يعبّر بأن لا يفسد الماء، فلا يمكن الاغتسال منه، وينجس جميع البدن، ويؤيّده عدم التعرّض فيه لنجاسة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تقارب البئر والبالوعة</w:t>
      </w:r>
      <w:r>
        <w:rPr>
          <w:rStyle w:val="FootnoteAnchor"/>
          <w:rtl w:val="true"/>
        </w:rPr>
        <w:footnoteReference w:id="258"/>
      </w:r>
      <w:r>
        <w:rPr>
          <w:rFonts w:ascii="Amiri" w:hAnsi="Amiri" w:eastAsia="Amiri" w:cs="Amiri"/>
          <w:color w:val="111111"/>
          <w:sz w:val="28"/>
          <w:sz w:val="28"/>
          <w:szCs w:val="28"/>
          <w:rtl w:val="true"/>
          <w:lang w:bidi="ar-SA"/>
        </w:rPr>
        <w:t>، فلا يأبى عن الحمل على صورة التغيّر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الروايات الظاهرة في النجاسة، ما يأبى عن الحمل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غيرها، ويكون صالحاً لأن يكون مستنداً لرفع اليد عن نصوص الطهارة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البئر لا تنجّس بالملاقاة، ويستحبّ النزح عندها</w:t>
      </w:r>
      <w:r>
        <w:rPr>
          <w:rFonts w:eastAsia="Amiri" w:cs="Amiri" w:ascii="Amiri" w:hAnsi="Amiri"/>
          <w:color w:val="111111"/>
          <w:sz w:val="28"/>
          <w:szCs w:val="28"/>
          <w:rtl w:val="true"/>
          <w:lang w:bidi="ar-SA"/>
        </w:rPr>
        <w:t>.</w:t>
      </w:r>
      <w:bookmarkStart w:id="85" w:name="pg11794_146900"/>
    </w:p>
    <w:p>
      <w:pPr>
        <w:pStyle w:val="BookText"/>
        <w:rPr/>
      </w:pPr>
      <w:bookmarkEnd w:id="85"/>
      <w:r>
        <w:rPr>
          <w:rFonts w:ascii="Amiri" w:hAnsi="Amiri" w:eastAsia="Amiri" w:cs="Amiri"/>
          <w:color w:val="111111"/>
          <w:sz w:val="28"/>
          <w:sz w:val="28"/>
          <w:szCs w:val="28"/>
          <w:rtl w:val="true"/>
          <w:lang w:bidi="ar-SA"/>
        </w:rPr>
        <w:t>وأوجبوا نزح الجميع بوقوع المُسكر أو الفقّاع أو المنيّ،</w:t>
      </w:r>
    </w:p>
    <w:p>
      <w:pPr>
        <w:pStyle w:val="Heading6"/>
        <w:numPr>
          <w:ilvl w:val="5"/>
          <w:numId w:val="1"/>
        </w:numPr>
        <w:rPr/>
      </w:pPr>
      <w:bookmarkStart w:id="86" w:name="__RefHeading___Toc10298950_73709187"/>
      <w:bookmarkStart w:id="87" w:name="_Toc31"/>
      <w:bookmarkEnd w:id="86"/>
      <w:r>
        <w:rPr>
          <w:rtl w:val="true"/>
        </w:rPr>
        <w:t>مقدار النزح</w:t>
      </w:r>
      <w:bookmarkEnd w:id="87"/>
    </w:p>
    <w:p>
      <w:pPr>
        <w:pStyle w:val="BookText"/>
        <w:rPr/>
      </w:pPr>
      <w:r>
        <w:rPr>
          <w:rFonts w:ascii="Amiri" w:hAnsi="Amiri" w:eastAsia="Amiri" w:cs="Amiri"/>
          <w:color w:val="111111"/>
          <w:sz w:val="28"/>
          <w:sz w:val="28"/>
          <w:szCs w:val="28"/>
          <w:rtl w:val="true"/>
          <w:lang w:bidi="ar-SA"/>
        </w:rPr>
        <w:t xml:space="preserve">ثمّ إنّه بعدما عرفت من عدم وجوب 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مستحبٌّ، يقع الكلام في مقدار النزح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أوجبوا نزح الجميع بوقوع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ويشهد له صحيح معاوية،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يَبُولُ فِيهَا الصَّبِيُّ أَوْ يُصَبُّ فِيهَا بَوْلٌ أَوْ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والدليل عليه ما دلّ على أنّها خمرة</w:t>
      </w:r>
      <w:r>
        <w:rPr>
          <w:rStyle w:val="FootnoteAnchor"/>
          <w:rtl w:val="true"/>
        </w:rPr>
        <w:footnoteReference w:id="260"/>
      </w:r>
      <w:r>
        <w:rPr>
          <w:rFonts w:ascii="Amiri" w:hAnsi="Amiri" w:eastAsia="Amiri" w:cs="Amiri"/>
          <w:color w:val="111111"/>
          <w:sz w:val="28"/>
          <w:sz w:val="28"/>
          <w:szCs w:val="28"/>
          <w:rtl w:val="true"/>
          <w:lang w:bidi="ar-SA"/>
        </w:rPr>
        <w:t xml:space="preserve">استصغرها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دم الحيض، أو الاستحاضة، أو النفاس فيها، أو موت بعير فيها، فإن تعذّر تراوَحَ أربعة رجال عليها مثنى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ونزح كُرٌّ لموت الجمل والبقرة وشبههما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أو الاستحاضة أو النفاس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يذكروا له مستنداً سوى الشهرة والإجماع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 بعير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سَقَطَ فِي الْبِئْرِ دَابَّةٌ صَغِيرَةٌ، أَوْ نَزَلَ فِيهَا جُنُبٌ، نُزِحَ مِنْهَا سَبْعُ دِلاءٍ، فَإِنْ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تراوح أربعة رجال عليها مثنى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طويل</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بِئْرٍ يَقَعُ فِيهَا كَلْبٌ أَوْ فَأْرَةٌ أَوْ خِنْزِيرٌ قَالَ تُنْزَفُ كُلُّهَا جقال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تغيّر الماءج فَإِنْ غَلَبَ عَلَيْهِ الْمَاءُ فَلْتُنْزَفْ يَوْماً إِلَى اللَّيْلِ ثُمَّ يُقَامُ عَلَيْهَا قَوْمٌ يَتَرَاوَحُونَ اثْنَيْنِ اثْنَيْنِ فَيَنْزِفُونَ يَوْماً إِلَى اللَّيْلِ وقَدْ طَهُرَتْ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كُرٍّ لموت الحمار والبقرة وشبههما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لخبرعمروبن سعيد،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عَمَّا يَقَعُ فِي الْبِئْرِ مَا بَيْنَ الْفَأْرَةِ والسِّنَّوْرِ إِلَى الشَّاةِ؟ فَقَالَ كُلَّ ذَلِكَ نَقُولُ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 الْحِمَارَ والْجَمَلَ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ونزح سبعين لموت الإنسان، وخمسين للعذرة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الكثير غير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الظاهر من سوقه كونه وارداً في مقام بيان أصناف الحيوانات، فيستفاد منه حكم كلّ حيوانٍ هو شبه الحمار والبغل، من حيث الجثّة مثل الفرس والثور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سبعين لموت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ذَبَحَ طَيْراً فَوَقَعَ بِدَمِهِ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هَذَا إذا كَانَ ذَكِيّاً فَهُوَ هَكَذَا، ومَا سِوَى ذَلِكَ مِمَّا يَقَعُ فِي بِئْرِ الْمَاءِ فَيَمُوتُ فِيهِ فَأَكْثَرُهُ الانْسَانُ يُنْزَحُ مِنْهَا سَبْعُونَ دَلْواً، وأَقَلُّهُ الْعُصْفُورُ يُنْزَحُ مِنْهَا دَلْوٌ وَاحِدٌ، ومَا سِوَى ذَلِكَ فِي مَا بَيْنَ هَذَيْنِ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وخمسين للعذرة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الْعَذِرَةِ تَقَعُ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عَشْرُ دِلاءٍ، فَإِنْ ذَابَتْ فَأَرْبَعُونَ أَوْ خَمْسُونَ دَلْواً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كون الترديد من الراوي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الكثير غير الدّماء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يظهر مستنده، بل يدلّ على عدم لزومه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وأربعين لموت الكَلْب والسَّنور والخنزير والثعلب والأرنب وبول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ونَزحُ عشرةً للعذرة اليابسة</w:t>
      </w:r>
    </w:p>
    <w:p>
      <w:pPr>
        <w:pStyle w:val="BookText"/>
        <w:rPr/>
      </w:pPr>
      <w:r>
        <w:rPr>
          <w:rFonts w:ascii="Amiri" w:hAnsi="Amiri" w:eastAsia="Amiri" w:cs="Amiri"/>
          <w:color w:val="111111"/>
          <w:sz w:val="28"/>
          <w:sz w:val="28"/>
          <w:szCs w:val="28"/>
          <w:rtl w:val="true"/>
          <w:lang w:bidi="ar-SA"/>
        </w:rPr>
        <w:t>صحيح عليّ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 أَخَاهُ مُوسَى بْنَ جَعْفَرٍ عليه السلام عَنْ رَجُلٍ ذَبَحَ شَاةً فَاضْطَرَبَتْ فَوَقَعَتْ فِي بِئْرِ مَاءٍ، وأَوْدَاجُهَا تَشْخُبُ دَماً، هَلْ يُتَوَضَّأُ مِنْ تِلْكَ الْبِئْر؟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مَا بَيْنَ ثَلاثِينَ دَلْواً إِلَى أَرْبَعِينَ دَلْواً ثُمَّ يَتَوَضَّأُ مِنْهَا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أوجبوا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لموت الكلب والسَّنور والخنزير والثَّعلب والأرنب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لخبر القاسم، عن علي، المروي عن كتاب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دَلْواً والْكَلْبُ وشِبْهُهُ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الْحُسَيْنِ بْنِ سَعِيدٍ 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حمزة،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 الْفَطِيمِ يَقَعُ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أَرْبَعُونَ دَلْواً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بأنّه يطهر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عشرة للعذَرَة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بصير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وللدّم القليل، وسبعٌ لموتِ الطير والفأرة إذا تفسّخت أو انتفخت، وبول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واغتسالُ الجُنُب، وخروج الكلب منها حيّاً،</w:t>
      </w:r>
    </w:p>
    <w:p>
      <w:pPr>
        <w:pStyle w:val="BookText"/>
        <w:rPr/>
      </w:pPr>
      <w:r>
        <w:rPr>
          <w:rFonts w:ascii="Amiri" w:hAnsi="Amiri" w:eastAsia="Amiri" w:cs="Amiri"/>
          <w:color w:val="111111"/>
          <w:sz w:val="28"/>
          <w:sz w:val="28"/>
          <w:szCs w:val="28"/>
          <w:rtl w:val="true"/>
          <w:lang w:bidi="ar-SA"/>
        </w:rPr>
        <w:t>المتقدّم</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الحلّي رحمه الله من نسبته إلى رواية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لموت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لمضمر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الْفَأْرَةِ تَقَعُ فِي الْبِئْرِ أَوِ الطَّيْرِ؟ قَالَ إِنْ أَدْرَكْتَهُ قَبْلَ أَنْ يُنْتِنَ نَزَحْتَ مِنْهَا سَبْعَ دِلاءٍ</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 إذا تفسّخت أو انتفخت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المكاري،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الْبِئْرِ فَتَسَلَّخَتْ فَانْزَحْ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فَتَفَسَّخَتْ</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منصور بن حازم،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سَبْعُ دِلاءٍ إذا بَالَ فِيهَا الصَّبِيُّ أَوْ وَقَعَتْ فِيهَا فَأْرَةٌ أَوْ نَحْوُهَا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واغتسال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بدنه عن النجاسة في ماء البئر، لخبر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يَدْخُلُ الْبِئْرَ فَيَغْتَسِلُ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سَبْعُ دِلاءٍ</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الكلب منها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وخَمسُ دلاءٍ لذرق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لموت الفأرة والحيَّة،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الْكَلْبُ فِي الْبِئْرِ نُزِحَتْ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فِيهَا ثُمَّ أُخْرِجَ مِنْهَا حَيّاً نُزِحَ مِنْهَا سَبْعُ دِلاء</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أوجبوا 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دلاءٍ لذرق الدجاج</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ولم يصل إلينا مستندهم</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أمّا الروايتان فضعيفتان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عَنْ مُحَمَّدِ بْنِ عِيسَى عَنْ فَارِسٍ،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رَجُلٌ يَسْأَلُهُ عَنْ ذَرْقِ الدَّجَاجِ تَجُوزُ الصَّلاةُ فِيهِ فَكَتَبَ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حاتم غال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أَبِي جَعْفَرٍ عَنْ أَبِيهِ عَنْ وَهْبِ بْنِ وَهْبٍ عَنْ جَعْفَرٍ عَنْ أَبِيهِ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بِخُرْءِ الدَّجَاجِ والْحَمَامِ يُصِيبُ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مطعون فيه بالكذب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لموت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تفسخ، لصحيح ابن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الْفَأْرَةِ والْوَزَغَةِ تَقَعُ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المروي عَنْ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ودلو للعصفور وشبهه وبول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ذلك كلّه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 فِي الْبِئْرِ شَيْ‌ءٌ صَغِيرٌ فَمَاتَ فيهَا فَانْزَحْ مِنْهَا دِلاءً</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 للعصفور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الإمام الصادق عليه السلام في خبر عمّار المتقدّم</w:t>
      </w:r>
      <w:r>
        <w:rPr>
          <w:rStyle w:val="FootnoteAnchor"/>
          <w:rtl w:val="true"/>
        </w:rPr>
        <w:footnoteReference w:id="2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وأَقَلُّهُ الْعُصْفُورُ يُنْزَحُ مِنْهَا دَلْوٌ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الظاهر كونه في مقام بيان أصناف الحيوانات، فيستفاد منه حكم كلّ حيوان يشبه العصفور في الجثّة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أبي حمزة،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 الْفَطِيمِ يَقَعُ فِي الْبِئْر؟ ِ فَقَالَ دَلْوٌ وَاحِدٌ</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أنّك عرفت في صدر المبحث عدم صحّة الأخذ بظاهر هذه النصوص، للنصوص الصريحة في عدم تنجّس البئر، ولما في نصوص النزح من الاختلاف الكثير، على وجهٍ يتعذّر الجمع بينها، إلّابالحمل على مراتب الاستحباب، وأصبح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ذلك كلّه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ولأجل ذلك أغمضنا عن ذكر النصوص المعارضة، وبيان حكم ما لا نصّ فيه، والأحكام المترتّبة على القول بالنجاسة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8" w:name="pg11794_146907"/>
    </w:p>
    <w:p>
      <w:pPr>
        <w:pStyle w:val="BookText"/>
        <w:rPr/>
      </w:pPr>
      <w:bookmarkEnd w:id="8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اسئار الحيوان كلّها طاهرة إلّاالكلب والخنزير والكافر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 الأسئار</w:t>
      </w:r>
    </w:p>
    <w:p>
      <w:pPr>
        <w:pStyle w:val="Heading6"/>
        <w:numPr>
          <w:ilvl w:val="5"/>
          <w:numId w:val="1"/>
        </w:numPr>
        <w:rPr/>
      </w:pPr>
      <w:bookmarkStart w:id="89" w:name="__RefHeading___Toc10298952_73709187"/>
      <w:bookmarkStart w:id="90" w:name="_Toc32"/>
      <w:bookmarkEnd w:id="89"/>
      <w:r>
        <w:rPr>
          <w:rtl w:val="true"/>
        </w:rPr>
        <w:t>القسم الرابع</w:t>
      </w:r>
      <w:r>
        <w:rPr>
          <w:rtl w:val="true"/>
        </w:rPr>
        <w:t xml:space="preserve">: </w:t>
      </w:r>
      <w:r>
        <w:rPr>
          <w:rtl w:val="true"/>
        </w:rPr>
        <w:t>الأسئار</w:t>
      </w:r>
      <w:bookmarkEnd w:id="90"/>
    </w:p>
    <w:p>
      <w:pPr>
        <w:pStyle w:val="Heading6"/>
        <w:numPr>
          <w:ilvl w:val="5"/>
          <w:numId w:val="1"/>
        </w:numPr>
        <w:rPr/>
      </w:pPr>
      <w:bookmarkStart w:id="91" w:name="__RefHeading___Toc10298954_73709187"/>
      <w:bookmarkStart w:id="92" w:name="_Toc33"/>
      <w:bookmarkEnd w:id="91"/>
      <w:r>
        <w:rPr>
          <w:rtl w:val="true"/>
        </w:rPr>
        <w:t>اشارة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السؤر، وكلمات اللّغويين فيه مختلفة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يعمّ مطلق الملاقي لجسم الحيوان، كما يشهد له خبر العيص،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وتَوَضَّأْ مِنْ سُؤْرِ الْجُنُبِ إذا كَانَتْ مَأْمُونَةً ثُمَّ تَغْسِلُ يَدَيْهَا قَبْلَ أَنْ تُدْخِلَهُمَا الانَاءَ</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ويعمّ الطعام أيضاً، كما يشهد له ما في صحيح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 سَبُعٌ، ولا بَأْسَ بِسُؤْرِهِ، وإِنِّي لاسْتَحْيِي مِنَ اللّهِ أَنْ أَدَعَ طَعَاماً لأنَّ الْهِرَّ أَكَلَ مِنْهُ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ويختصّ بالقليل، لإنصراف الأخبار عن الكثير، بعد ملاحظة أنّ الكثير ممّا لا يؤثّر فيه أقوى النجاسات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طاهرة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نجس العين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والخنزير والكافر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 </w:t>
      </w:r>
    </w:p>
    <w:p>
      <w:pPr>
        <w:pStyle w:val="BookText"/>
        <w:rPr/>
      </w:pPr>
      <w:r>
        <w:rPr>
          <w:rFonts w:ascii="IRNazanin" w:hAnsi="IRNazanin" w:eastAsia="IRNazanin"/>
          <w:color w:val="111111"/>
          <w:sz w:val="28"/>
          <w:sz w:val="28"/>
          <w:szCs w:val="28"/>
          <w:rtl w:val="true"/>
          <w:lang w:bidi="fa-IR"/>
        </w:rPr>
        <w:t>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نجس العين نجسٌ، والوجه فيه ما سيأتي في محلّه من نجاسة هذه المذكورات، ودليلها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سراية النجاسة إلى الملاقي، يدلّ على نجاسة سؤرها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معاوية بن شريح،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عُذَافِرٌ أَبَا عَبْدِ اللّهِ عليه السلام وأَنَا عِنْدَهُ عَنْ سُؤْرِ السِّنَّوْرِ والشَّاةِ والْبَقَرَةِ والْبَعِيرِ والْحِمَارِ والْفَرَسِ والْبَغْلِ والسِّبَاعِ يُشْرَبُ مِنْهُ أَوْ يُتَوَضَّأُ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نَجَسٌ، لا واللّهِ إِنَّهُ نَجَسٌ</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الْهِرَّةِ والشَّاةِ والْبَقَرَةِ والإبِلِ والْحِمَارِ والْخَيْلِ والْبِغَالِ والْوَحْشِ والسِّبَاعِ، فَلَمْ أَتْرُكْ شيءاً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واصْبُبْ ذَلِكَ الْمَاءَ، واغْسِلْهُ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صريحان في نجاسة سؤر الكلب، وكلّ نجس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طاهر العين طاهر، كما هو المشهور، وتدلّ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الطهارة، والروايات الواردة في عدّة من الموارد، وخبر معاوية وصحيح أبي العبّاس المتقدّمان يُشعران، بل يشهدان بذلك، فإنّ ظاهرهما دوران النجاسة مدار نجاسة ذي السؤر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المبسوط</w:t>
      </w:r>
      <w:r>
        <w:rPr>
          <w:rStyle w:val="FootnoteAnchor"/>
          <w:rtl w:val="true"/>
        </w:rPr>
        <w:footnoteReference w:id="290"/>
      </w:r>
      <w:r>
        <w:rPr>
          <w:rFonts w:ascii="IRNazanin" w:hAnsi="IRNazanin" w:eastAsia="IRNazanin"/>
          <w:color w:val="111111"/>
          <w:sz w:val="28"/>
          <w:sz w:val="28"/>
          <w:szCs w:val="28"/>
          <w:rtl w:val="true"/>
          <w:lang w:bidi="fa-IR"/>
        </w:rPr>
        <w:t>والسرائر</w:t>
      </w:r>
      <w:r>
        <w:rPr>
          <w:rStyle w:val="FootnoteAnchor"/>
          <w:rtl w:val="true"/>
        </w:rPr>
        <w:footnoteReference w:id="291"/>
      </w:r>
      <w:r>
        <w:rPr>
          <w:rFonts w:ascii="Amiri" w:hAnsi="Amiri" w:eastAsia="Amiri" w:cs="Amiri"/>
          <w:color w:val="111111"/>
          <w:sz w:val="28"/>
          <w:sz w:val="28"/>
          <w:szCs w:val="28"/>
          <w:rtl w:val="true"/>
          <w:lang w:bidi="ar-SA"/>
        </w:rPr>
        <w:t>والمهذّب</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استعمال سؤر ما لا يؤكل لحمه، من حيوان الحضر غير الآدمي والطيور، إلّاما لا يمكن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بنجاسته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ومستندهم في المنع على ما نُسب إليهم موثّق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تَشْرَبُ مِنْهُ الْحَمَامَةُ؟ فَقَالَ كُلُّ مَا أُكِلَ لَحْمُهُ فَتَوَضَّأْ مِنْ سُؤْرِهِ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الوشّاء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يَكْرَهُ سُؤْرَ كُلِّ شَيْ‌ءٍ لا يُؤْكَلُ لَحْمُهُ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يُشْرَبُ سُؤْرُ شَيْ‌ءٍ مِنَ الدَّوَابِّ ويُتَوَضَّأُ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الابِلُ والْبَقَرُ والْغَنَمُ فَلا بَأْس</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Style w:val="FootnoteAnchor"/>
          <w:rtl w:val="true"/>
        </w:rPr>
        <w:footnoteReference w:id="297"/>
      </w:r>
      <w:r>
        <w:rPr>
          <w:rFonts w:ascii="Amiri" w:hAnsi="Amiri" w:eastAsia="Amiri" w:cs="Amiri"/>
          <w:color w:val="111111"/>
          <w:sz w:val="28"/>
          <w:sz w:val="28"/>
          <w:szCs w:val="28"/>
          <w:rtl w:val="true"/>
          <w:lang w:bidi="ar-SA"/>
        </w:rPr>
        <w:t>دلالته تتوقّف على حجيّة مفهوم الوصف، ولا نقول بها، وتصدر الخبر بالفاء لا يجعله كالشرط، فإنّه إنّما يدلّ على كونه معلولاً لما قبله، بخلاف بقيّة الجمل الخبريّة الخالية عنها، حيث أنّها تدلّ على أنّ الخبر عارض لمبتدأه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الثاني</w:t>
      </w:r>
      <w:r>
        <w:rPr>
          <w:rStyle w:val="FootnoteAnchor"/>
          <w:rtl w:val="true"/>
        </w:rPr>
        <w:footnoteReference w:id="298"/>
      </w:r>
      <w:r>
        <w:rPr>
          <w:rFonts w:ascii="Amiri" w:hAnsi="Amiri" w:eastAsia="Amiri" w:cs="Amiri"/>
          <w:color w:val="111111"/>
          <w:sz w:val="28"/>
          <w:sz w:val="28"/>
          <w:szCs w:val="28"/>
          <w:rtl w:val="true"/>
          <w:lang w:bidi="ar-SA"/>
        </w:rPr>
        <w:t>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الحصر في الخبر الثالث</w:t>
      </w:r>
      <w:r>
        <w:rPr>
          <w:rStyle w:val="FootnoteAnchor"/>
          <w:rtl w:val="true"/>
        </w:rPr>
        <w:footnoteReference w:id="299"/>
      </w:r>
      <w:r>
        <w:rPr>
          <w:rFonts w:ascii="Amiri" w:hAnsi="Amiri" w:eastAsia="Amiri" w:cs="Amiri"/>
          <w:color w:val="111111"/>
          <w:sz w:val="28"/>
          <w:sz w:val="28"/>
          <w:szCs w:val="28"/>
          <w:rtl w:val="true"/>
          <w:lang w:bidi="ar-SA"/>
        </w:rPr>
        <w:t>لا يمكن الأخذ به، للزوم تخصيص الأكثر، فلابدَّ من حمله على الإضافي، مع أنّ ثبوت البأس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دلالتها، فهي معارضة بصحيح أبي العبّاس المتقدّم، وهو مقدّمٌ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ذكرناه من طهارة سؤر طاهر العين بين الجلّال وغيره كما هو المشهور لعموم نصوص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300"/>
      </w:r>
      <w:r>
        <w:rPr>
          <w:rFonts w:ascii="Amiri" w:hAnsi="Amiri" w:eastAsia="Amiri" w:cs="Amiri"/>
          <w:color w:val="111111"/>
          <w:sz w:val="28"/>
          <w:sz w:val="28"/>
          <w:szCs w:val="28"/>
          <w:rtl w:val="true"/>
          <w:lang w:bidi="ar-SA"/>
        </w:rPr>
        <w:t>منهم الشيخ قدس سره</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سؤره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خلوّ لعابه عن النجاسة، وبأنّه إنّما نشأ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في صورة الخلوّ</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يحكم بنجاسة ما يكون منها بعد الاستحالة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3" w:name="pg11794_146911"/>
    </w:p>
    <w:p>
      <w:pPr>
        <w:pStyle w:val="Heading6"/>
        <w:numPr>
          <w:ilvl w:val="5"/>
          <w:numId w:val="1"/>
        </w:numPr>
        <w:rPr/>
      </w:pPr>
      <w:bookmarkStart w:id="94" w:name="__RefHeading___Toc10298956_73709187"/>
      <w:bookmarkStart w:id="95" w:name="_Toc34"/>
      <w:bookmarkEnd w:id="93"/>
      <w:bookmarkEnd w:id="94"/>
      <w:r>
        <w:rPr>
          <w:rtl w:val="true"/>
        </w:rPr>
        <w:t>سؤر حرام اللَّحم</w:t>
      </w:r>
      <w:bookmarkEnd w:id="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سؤر حرام اللّحم لمرسل الوشّاء، وموثّق سماعة المتقدّمين، عدا سؤر الإنسان المؤمن والهرَّة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له نصوص كثيرة، ففي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سؤره شفاءٌ من سبعين داء</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التبرّك به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صحيح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إِنَّ الْهِرَّ سَبُعٌ ولا بَأْسَ بِسُؤْرِهِ، وإِنِّي لاسْتَحْيِي مِنَ اللّهِ أَنْ أَدَعَ طَعَاماً لأنَّ الْهِرَّ أَكَلَ مِنْهُ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صريحٌ في عدم الكراهة، إذ لو كان مكروهاً لم يكن مجالٌ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وبه يُقيّد إطلاق ما يدلّ على كراهة سؤر محرّم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مكروه اللّحم كالخيل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w:t>
      </w:r>
      <w:r>
        <w:rPr>
          <w:rStyle w:val="FootnoteAnchor"/>
          <w:rtl w:val="true"/>
        </w:rPr>
        <w:footnoteReference w:id="305"/>
      </w:r>
      <w:r>
        <w:rPr>
          <w:rFonts w:ascii="Amiri" w:hAnsi="Amiri" w:eastAsia="Amiri" w:cs="Amiri"/>
          <w:color w:val="111111"/>
          <w:sz w:val="28"/>
          <w:sz w:val="28"/>
          <w:szCs w:val="28"/>
          <w:rtl w:val="true"/>
          <w:lang w:bidi="ar-SA"/>
        </w:rPr>
        <w:t>كراهة سؤر البغال والحمير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المدارك</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بهما الدّواب، لكراهة لحم الجميع، ونحن نطالبهم بإثبات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بموثّق سماعة المتقدّم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الوشّاء المتقدّم، بدعوى إرادة الأعمّ ممّا لايتعارف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ممّا لا يؤكل لحمه في لسان الشارع، هو ما يَحرم أكل لحمه كما يظهر لمن راجع موارد استعمال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سؤر الحائض المتّهمة، كما عن الأكثر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بالّتي لا تؤمَن على المحافظة عن مباشرة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الجميع واحد، إذ مرادهم ليس غير المأمونة والمتّهمة عند غيرها، بل المراد به المرأة التي تكون كذلك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فغير المأمونة واقعاً، هي المتّهمة كذلك، فإحداهما مرادفة للاُخرى، وبذلك يندفع الاعتراض بأنّ المتّهمة أخصّ من التي لا تؤمَن، لشمول الثانية للمجهول حالها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309"/>
      </w:r>
      <w:r>
        <w:rPr>
          <w:rFonts w:ascii="Amiri" w:hAnsi="Amiri" w:eastAsia="Amiri" w:cs="Amiri"/>
          <w:color w:val="111111"/>
          <w:sz w:val="28"/>
          <w:sz w:val="28"/>
          <w:szCs w:val="28"/>
          <w:rtl w:val="true"/>
          <w:lang w:bidi="ar-SA"/>
        </w:rPr>
        <w:t>، والسيّد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سؤر الحائض مطلقاً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الباب طوائف ثلاث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كراهة سؤرها مطلقاً، كرواية عنبسة، عَنْ أَبِيح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مِنْ سُؤْرِ الْحَائِضِ ولا تَتَوَضّأ مِنْهُ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كراهته مقيّداً بما إذا لم تكن مأمونة، كموثّق ابن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بِفَضْلِ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بينهما، تقييد إطلاق الأُولى بمفهوم الثانية، والجمع بحمل الثانية على الكراهة الشديدة، وإبقاء إطلاق الاُولى ينافي ظهور الثانية في إرادة نفي البأس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كالصريح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العيص،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مِنْهُ وتَوَضَّأْ مِنْ سُؤْرِ الْجُنُبِ إذا كَانَتْ مَأْمُونَةً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التفصيل بين الحائض والجُنُب، وتقييد الجُنُب بما إذا كانت مأمونة، قاطعٌ للشركة، فهي آبية عن التقييد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من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الجواب، 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للجنب والحائض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يعارضها، إذ مضافاً إلى أنّه لو دار الأمر بين الزيادة والنقيصة، يتعيّن الالتزام بالثانية، ومضافاً إلى أنّ الكليني رحمه الله أضبط من الشيخ، فإسقاطها لا يناسب أفراد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الجمع بين هذه الطوائف، إلّابإرجاع القيد إلى الكراهة الشديدة، والالتزام بأنّ حدث الحيض في نفسه موجبٌ لمرتبة من الكراهة، وكونها غير مأمونة موجبٌ آخر، فإذا اجتمعا تشتدّ الكراهة، وعليه فيعمّ الحكم لمطلق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بالاجتناب عن سؤر الجنب، إذا لم تكن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الشيخ رحمه الله والسيّد من كراهة سؤر الحائض مطلقاً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النهي وإنْ كان هو الحرمة، إلّاأنّه في المقام يُحمل على الكراهة، لأنّ الموجب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الحدث، فلمفهوم موثّق ابن يقطين</w:t>
      </w:r>
      <w:r>
        <w:rPr>
          <w:rStyle w:val="FootnoteAnchor"/>
          <w:rtl w:val="true"/>
        </w:rPr>
        <w:footnoteReference w:id="316"/>
      </w:r>
      <w:r>
        <w:rPr>
          <w:rFonts w:ascii="IRNazanin" w:hAnsi="IRNazanin" w:eastAsia="IRNazanin"/>
          <w:color w:val="111111"/>
          <w:sz w:val="28"/>
          <w:sz w:val="28"/>
          <w:szCs w:val="28"/>
          <w:rtl w:val="true"/>
          <w:lang w:bidi="fa-IR"/>
        </w:rPr>
        <w:t>الدالّ على جواز الوضوء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هو كونها غير مأمونة ومتّهمة؛ فلأنّه لو كان سؤرها لهذه الجهة حراماً، يكون لأجل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أمره عليه السلام بالشرب منه في الأخبار، يستفاد عدم نجاسته، ولعلّه لذلك لم يتوقّف فقيهٌ في حمل النهي في المقام على الكراهة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خبر عنبسة المتقدّم وغيره، عدم كراهة شرب سؤرها،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فالتعميم لغير الوضوء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الوحيد البهبهاني</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الوضوء لم يقل به فقيه، ولهذا الإجماع المنقول، وتعليق الحكم على الأمانة التي يستفاد منها التعميم، فلابأس بالالتزام به، لاسيّما بناءً على قاعدة التسامح، فتأمّل فإنّ القاعدة مختصّة بالمستحبّات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6" w:name="pg11794_146916"/>
    </w:p>
    <w:p>
      <w:pPr>
        <w:pStyle w:val="Heading6"/>
        <w:numPr>
          <w:ilvl w:val="5"/>
          <w:numId w:val="1"/>
        </w:numPr>
        <w:rPr/>
      </w:pPr>
      <w:bookmarkStart w:id="97" w:name="__RefHeading___Toc10298958_73709187"/>
      <w:bookmarkStart w:id="98" w:name="_Toc35"/>
      <w:bookmarkEnd w:id="96"/>
      <w:bookmarkEnd w:id="97"/>
      <w:r>
        <w:rPr>
          <w:rtl w:val="true"/>
        </w:rPr>
        <w:t>بحث عن حجيّة البيِّنة</w:t>
      </w:r>
      <w:bookmarkEnd w:id="98"/>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تثبت به النجاسة،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والوجه في ثبوتها به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وثبوتها بها هو المشهور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حجيّة البيِّنة، وخصوص خبر ابن سليمان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الإجماع المنقول، والاستقراء، وموثّقة مَسْعَدة بن صدقة،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ولعلّه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البيِّنة عِدْلاً للاستبانة، شاهدٌ على أنّ المراد منها معناها المصطلح لا اللّغوي، وحيث أنّها جُعلت في الحديث غايةً لحليّة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فيه مستندة إلى اليد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يدلّ الحديث على حجيّتها بقول مطلق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جُعلت حجّةً على الحرمة، وهو لا يقتضي حجيّتها على الموضوع، فضلاً عن عموم الحجيّة، لما لم يكن مورداً للحِلّ والحرمة من موضوعات سائر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بما أنّ مورد الحديث هو الشبهات الموضوعيّة، فيكون المجعول هو حجيّة البيِّنة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سُلّم أنّه يدلّ على كونها حجّة على الحرمة، يكون مقتضى إطلاقه حجيّتها أعمّ من قيامها عليها بالمطابقة أو بالالتزام بشهادتها بالموضوع الخارجي اللّازمة له الحرمة، فلا يختصّ بما إذا شهدت البيِّنة بالحرمة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الحديث حجيّة البيِّنة عند قيامها بموضوعٍ يترتّب عليه الحرمة، ولا يدلّ على حجيّتها حتّى فيما إذا قامت على موضوعٍ لا يترتّب عليه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عنه إليه، لعدم التفكيك عرفاً بين الموردين، ولعدم الفصل القطعي كما هو واضح، إذ لا يحتمل كونها حجّة فيما إذا كان موردها ممّا ترتّب عليه الحرمة، ولا يكون حجّة في غير ذلك، مع ندرته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خبر عبد اللّه بن سليمان،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يَجِيئَكَ شَاهِدَانِ يَشْهَدَانِ عِنْدَكَ أَنَّ فِيهِ مَيْتَةً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مورده ثبوت النجاسة بتبع ثبوت الحرمة، إلّاأنّه يتعدّى عنه من جهة ظهوره في أنّ ذكر الميتة فيه من باب المثال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ابن البرّاج</w:t>
      </w:r>
      <w:r>
        <w:rPr>
          <w:rStyle w:val="FootnoteAnchor"/>
          <w:rtl w:val="true"/>
        </w:rPr>
        <w:footnoteReference w:id="322"/>
      </w:r>
      <w:r>
        <w:rPr>
          <w:rFonts w:ascii="Amiri" w:hAnsi="Amiri" w:eastAsia="Amiri" w:cs="Amiri"/>
          <w:color w:val="111111"/>
          <w:sz w:val="28"/>
          <w:sz w:val="28"/>
          <w:szCs w:val="28"/>
          <w:rtl w:val="true"/>
          <w:lang w:bidi="ar-SA"/>
        </w:rPr>
        <w:t>من إنكار ثبوت النجاسة بالبيِّنة، محتجّاً بأنّ البيِّنة</w:t>
      </w:r>
      <w:r>
        <w:rPr>
          <w:rFonts w:eastAsia="Amiri" w:cs="Amiri" w:ascii="Amiri" w:hAnsi="Amiri"/>
          <w:color w:val="111111"/>
          <w:sz w:val="28"/>
          <w:szCs w:val="28"/>
          <w:rtl w:val="true"/>
          <w:lang w:bidi="ar-SA"/>
        </w:rPr>
        <w:t xml:space="preserve">). </w:t>
      </w:r>
      <w:bookmarkStart w:id="99" w:name="pg11794_146918"/>
    </w:p>
    <w:p>
      <w:pPr>
        <w:pStyle w:val="BookText"/>
        <w:rPr/>
      </w:pPr>
      <w:bookmarkEnd w:id="99"/>
      <w:r>
        <w:rPr>
          <w:rFonts w:ascii="Amiri" w:hAnsi="Amiri" w:eastAsia="Amiri" w:cs="Amiri"/>
          <w:color w:val="111111"/>
          <w:sz w:val="28"/>
          <w:sz w:val="28"/>
          <w:szCs w:val="28"/>
          <w:rtl w:val="true"/>
          <w:lang w:bidi="ar-SA"/>
        </w:rPr>
        <w:t>لاتفيد إلّاالظنّ، والطهارة معلومة بالأصل، فلا يترك المعلوم لأجل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لأنّ البيِّنة إذا كانت حجّة تقدّم على الأصل،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w:t>
      </w:r>
      <w:r>
        <w:rPr>
          <w:rStyle w:val="FootnoteAnchor"/>
          <w:rtl w:val="true"/>
        </w:rPr>
        <w:footnoteReference w:id="323"/>
      </w:r>
      <w:r>
        <w:rPr>
          <w:rFonts w:ascii="Amiri" w:hAnsi="Amiri" w:eastAsia="Amiri" w:cs="Amiri"/>
          <w:color w:val="111111"/>
          <w:sz w:val="28"/>
          <w:sz w:val="28"/>
          <w:szCs w:val="28"/>
          <w:rtl w:val="true"/>
          <w:lang w:bidi="ar-SA"/>
        </w:rPr>
        <w:t>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يُعلم قذارته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تدلّ على عدم حجيّتها، لما حقّقناه في محلّه من قيام الطرق والأمارات مقام القطع ولو كان مأخوذاً في الموضوع</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0298960_73709187"/>
      <w:bookmarkStart w:id="101" w:name="_Toc36"/>
      <w:bookmarkEnd w:id="100"/>
      <w:r>
        <w:rPr>
          <w:rtl w:val="true"/>
        </w:rPr>
        <w:t>خبر الواحد</w:t>
      </w:r>
      <w:bookmarkEnd w:id="10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العدل الواحد، بل الثقة، كما نُسب إلى جملةٍ من المحقّقين</w:t>
      </w:r>
      <w:r>
        <w:rPr>
          <w:rStyle w:val="FootnoteAnchor"/>
          <w:rtl w:val="true"/>
        </w:rPr>
        <w:footnoteReference w:id="324"/>
      </w:r>
      <w:r>
        <w:rPr>
          <w:rFonts w:ascii="IRNazanin" w:hAnsi="IRNazanin" w:eastAsia="IRNazanin"/>
          <w:color w:val="111111"/>
          <w:sz w:val="28"/>
          <w:sz w:val="28"/>
          <w:szCs w:val="28"/>
          <w:rtl w:val="true"/>
          <w:lang w:bidi="fa-IR"/>
        </w:rPr>
        <w:t>، وعن المشهور</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النجاسة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للمختار</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مفهوم آية النبأ</w:t>
      </w:r>
      <w:r>
        <w:rPr>
          <w:rStyle w:val="FootnoteAnchor"/>
          <w:rtl w:val="true"/>
        </w:rPr>
        <w:footnoteReference w:id="327"/>
      </w:r>
      <w:r>
        <w:rPr>
          <w:rFonts w:ascii="Amiri" w:hAnsi="Amiri" w:eastAsia="Amiri" w:cs="Amiri"/>
          <w:color w:val="111111"/>
          <w:sz w:val="28"/>
          <w:sz w:val="28"/>
          <w:szCs w:val="28"/>
          <w:rtl w:val="true"/>
          <w:lang w:bidi="ar-SA"/>
        </w:rPr>
        <w:t>، واستقرار سيرة العقلاء على الاعتماد على أخبار الثقات فيما يتعلّق بمعاشهم ومعادهم، والمتشرّعة على أخذ معالم دينهم عن الثقات، ولم يرد من الشارع رَدعٌ عن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بعض الأعاظم من المعاصرين</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مفهوم آية النبأ لو سُلّم، </w:t>
      </w:r>
    </w:p>
    <w:p>
      <w:pPr>
        <w:pStyle w:val="BookText"/>
        <w:rPr/>
      </w:pPr>
      <w:r>
        <w:rPr>
          <w:rFonts w:ascii="Amiri" w:hAnsi="Amiri" w:eastAsia="Amiri" w:cs="Amiri"/>
          <w:color w:val="111111"/>
          <w:sz w:val="28"/>
          <w:sz w:val="28"/>
          <w:szCs w:val="28"/>
          <w:rtl w:val="true"/>
          <w:lang w:bidi="ar-SA"/>
        </w:rPr>
        <w:t>فيتعارض مع الحصر في رواية مسعدة</w:t>
      </w:r>
      <w:r>
        <w:rPr>
          <w:rStyle w:val="FootnoteAnchor"/>
          <w:rtl w:val="true"/>
        </w:rPr>
        <w:footnoteReference w:id="329"/>
      </w:r>
      <w:r>
        <w:rPr>
          <w:rFonts w:ascii="Amiri" w:hAnsi="Amiri" w:eastAsia="Amiri" w:cs="Amiri"/>
          <w:color w:val="111111"/>
          <w:sz w:val="28"/>
          <w:sz w:val="28"/>
          <w:szCs w:val="28"/>
          <w:rtl w:val="true"/>
          <w:lang w:bidi="ar-SA"/>
        </w:rPr>
        <w:t>، ورفع اليد عن المفهوم أولى من تخصيص الرواية، كما لا يخفى، وهي بالنسبة إلى بناء العقلاء رادعة واردة 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حجيّة خبر الواحد في مورد الموثّقة، ممّا تكون الحليّة فيه مستندة إلى اليد أو الاستصحاب، لا يلازم عدم حجّيته فيما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أمثال مورد الرواية ممّا كان ظاهر قول أو فعل مستلزماً للطهارة، نلتزم بعدم حجّيته في نفسه، مع قطع النظر عن هذا الخبر، لأنّه فيه يكون من قبيل الشهادة، فيعتبر فيه التعدّد، وهذا بخلاف ما هو محلّ الكلام، وهو ما لا يعارضه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الروايات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ورد في خبر هشام من ثبوت عزل الوكالة به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إسحاق</w:t>
      </w:r>
      <w:r>
        <w:rPr>
          <w:rStyle w:val="FootnoteAnchor"/>
          <w:rtl w:val="true"/>
        </w:rPr>
        <w:footnoteReference w:id="331"/>
      </w:r>
      <w:r>
        <w:rPr>
          <w:rFonts w:ascii="Amiri" w:hAnsi="Amiri" w:eastAsia="Amiri" w:cs="Amiri"/>
          <w:color w:val="111111"/>
          <w:sz w:val="28"/>
          <w:sz w:val="28"/>
          <w:szCs w:val="28"/>
          <w:rtl w:val="true"/>
          <w:lang w:bidi="ar-SA"/>
        </w:rPr>
        <w:t>الدالّ على ثبوت الوصيّة بخبر الثقة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ما دلّ على جواز وطي الأمَة، إذا كان البائع عادلاً، قد أخبر بالاستبراء</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02" w:name="pg11794_146920"/>
    </w:p>
    <w:p>
      <w:pPr>
        <w:pStyle w:val="BookText"/>
        <w:rPr/>
      </w:pPr>
      <w:bookmarkEnd w:id="102"/>
      <w:r>
        <w:rPr>
          <w:rFonts w:ascii="Amiri" w:hAnsi="Amiri" w:eastAsia="Amiri" w:cs="Amiri"/>
          <w:color w:val="111111"/>
          <w:sz w:val="28"/>
          <w:sz w:val="28"/>
          <w:szCs w:val="28"/>
          <w:rtl w:val="true"/>
          <w:lang w:bidi="ar-SA"/>
        </w:rPr>
        <w:t>وكذلك الأخبار</w:t>
      </w:r>
      <w:r>
        <w:rPr>
          <w:rStyle w:val="FootnoteAnchor"/>
          <w:rtl w:val="true"/>
        </w:rPr>
        <w:footnoteReference w:id="333"/>
      </w:r>
      <w:r>
        <w:rPr>
          <w:rFonts w:ascii="Amiri" w:hAnsi="Amiri" w:eastAsia="Amiri" w:cs="Amiri"/>
          <w:color w:val="111111"/>
          <w:sz w:val="28"/>
          <w:sz w:val="28"/>
          <w:szCs w:val="28"/>
          <w:rtl w:val="true"/>
          <w:lang w:bidi="ar-SA"/>
        </w:rPr>
        <w:t>الدالّة على ثبوت الوقت بأذان الثقة العارف بالوقت، إلى غير ذلك ممّا ورد في الأبواب المتفرّقة، إذ يستفاد منها أنّ العمل به كان مغروساً في الأذهان ماضياً في الدين</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0298962_73709187"/>
      <w:bookmarkStart w:id="104" w:name="_Toc37"/>
      <w:bookmarkEnd w:id="103"/>
      <w:r>
        <w:rPr>
          <w:rtl w:val="true"/>
        </w:rPr>
        <w:t>إخبار ذي اليد</w:t>
      </w:r>
      <w:bookmarkEnd w:id="104"/>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اليد كما هو المنسوب إلى المشهور</w:t>
      </w:r>
      <w:r>
        <w:rPr>
          <w:rStyle w:val="FootnoteAnchor"/>
          <w:rtl w:val="true"/>
        </w:rPr>
        <w:footnoteReference w:id="33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ظاهر الأصحاب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واستقراء موارد قبول أخبار ذي اليد بما هو أعظم من ذلك، فإنّه يستفاد منها أنّ حجّيته كانت أمراً مفروغاً عنه، مسلّماً عندهم، ففي صحيح معاوية بن عمّار،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مِنْ أَهْلِ الْمَعْرِفَةِ بِالْحَقِّ يَأْتِينِي بِالْبُخْتُجِ</w:t>
      </w:r>
      <w:r>
        <w:rPr>
          <w:rStyle w:val="FootnoteAnchor"/>
          <w:rtl w:val="true"/>
        </w:rPr>
        <w:footnoteReference w:id="336"/>
      </w:r>
      <w:r>
        <w:rPr>
          <w:rFonts w:ascii="Amiri" w:hAnsi="Amiri" w:eastAsia="Amiri" w:cs="Amiri"/>
          <w:color w:val="111111"/>
          <w:sz w:val="28"/>
          <w:sz w:val="28"/>
          <w:szCs w:val="28"/>
          <w:rtl w:val="true"/>
          <w:lang w:bidi="ar-SA"/>
        </w:rPr>
        <w:t>ويَقُولُ قَدْ طُبِخَ عَلَى الثُّلُثِ، وأَنَا أَعْرِفُ أَنَّهُ يَشْرَبُهُ عَلَى النِّصْفِ، أفَأَشْرَبُهُ بِقَوْلِهِ، وهُوَ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ولا يَسْتَحِلُّهُ عَلَى النِّصْفِ، يُخْبِرُنَا أَنَّ عِنْدَهُ بُخْتُجاً عَلَى الثُّلُثِ، قَدْ ذَهَبَ ثُلُثَاهُ وبَقِيَ ثُلُثُهُ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وصريحه عدم اعتبار الورع والايمان، وحيث أنّ التفكيك بينهما وبين الإسلام بعيدٌ، فهو أيضاً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بعض أخبار الجُبنّ</w:t>
      </w:r>
      <w:r>
        <w:rPr>
          <w:rStyle w:val="FootnoteAnchor"/>
          <w:rtl w:val="true"/>
        </w:rPr>
        <w:footnoteReference w:id="338"/>
      </w:r>
      <w:r>
        <w:rPr>
          <w:rFonts w:ascii="Amiri" w:hAnsi="Amiri" w:eastAsia="Amiri" w:cs="Amiri"/>
          <w:color w:val="111111"/>
          <w:sz w:val="28"/>
          <w:sz w:val="28"/>
          <w:szCs w:val="28"/>
          <w:rtl w:val="true"/>
          <w:lang w:bidi="ar-SA"/>
        </w:rPr>
        <w:t>من نهيه عليه السلام خادمه عند شرائه جُبنّاً عن السؤال، إذ لولا قبول أخباره لم يكن وجه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أَعَارَ رَجُلا ثَوْباً فَصَلَّى فِيهِ، وهُوَ لا يُصَلَّى فِيهِ؟ قَالَ لا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يستدلّ له أيضاً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الواردة في القصّارين والجزّارين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الواردة في الجارية المأمورة بتطهير ثوب سيّدها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أنّ الحجّام</w:t>
      </w:r>
      <w:r>
        <w:rPr>
          <w:rStyle w:val="FootnoteAnchor"/>
          <w:rtl w:val="true"/>
        </w:rPr>
        <w:footnoteReference w:id="341"/>
      </w:r>
      <w:r>
        <w:rPr>
          <w:rFonts w:ascii="Amiri" w:hAnsi="Amiri" w:eastAsia="Amiri" w:cs="Amiri"/>
          <w:color w:val="111111"/>
          <w:sz w:val="28"/>
          <w:sz w:val="28"/>
          <w:szCs w:val="28"/>
          <w:rtl w:val="true"/>
          <w:lang w:bidi="ar-SA"/>
        </w:rPr>
        <w:t>مؤتمنٌ في تطهيره موضع الحجامة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والمستفيضة</w:t>
      </w:r>
      <w:r>
        <w:rPr>
          <w:rStyle w:val="FootnoteAnchor"/>
          <w:rtl w:val="true"/>
        </w:rPr>
        <w:footnoteReference w:id="342"/>
      </w:r>
      <w:r>
        <w:rPr>
          <w:rFonts w:ascii="Amiri" w:hAnsi="Amiri" w:eastAsia="Amiri" w:cs="Amiri"/>
          <w:color w:val="111111"/>
          <w:sz w:val="28"/>
          <w:sz w:val="28"/>
          <w:szCs w:val="28"/>
          <w:rtl w:val="true"/>
          <w:lang w:bidi="ar-SA"/>
        </w:rPr>
        <w:t>الواردة في أنّ من أقرّ بعينٍ في يده لغيره فهي له، وليس ذلك إلّالحجيّة قوله لا من باب حجيّة الإقرار، لأنّه يختصّ بما إذا كان على نفسه فلا تثبت ملكيّة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التتبّع في الأبواب المتفرّقة يوجب القطع بحجيّة قول ذي اليد، فما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بعضٍ</w:t>
      </w:r>
      <w:r>
        <w:rPr>
          <w:rStyle w:val="FootnoteAnchor"/>
          <w:rtl w:val="true"/>
        </w:rPr>
        <w:footnoteReference w:id="343"/>
      </w:r>
      <w:r>
        <w:rPr>
          <w:rFonts w:ascii="Amiri" w:hAnsi="Amiri" w:eastAsia="Amiri" w:cs="Amiri"/>
          <w:color w:val="111111"/>
          <w:sz w:val="28"/>
          <w:sz w:val="28"/>
          <w:szCs w:val="28"/>
          <w:rtl w:val="true"/>
          <w:lang w:bidi="ar-SA"/>
        </w:rPr>
        <w:t>التشكيك فيه في غير محلّه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05" w:name="pg11794_146923"/>
    </w:p>
    <w:p>
      <w:pPr>
        <w:pStyle w:val="Heading6"/>
        <w:numPr>
          <w:ilvl w:val="5"/>
          <w:numId w:val="1"/>
        </w:numPr>
        <w:rPr/>
      </w:pPr>
      <w:bookmarkStart w:id="106" w:name="__RefHeading___Toc10298964_73709187"/>
      <w:bookmarkStart w:id="107" w:name="_Toc38"/>
      <w:bookmarkEnd w:id="105"/>
      <w:bookmarkEnd w:id="106"/>
      <w:r>
        <w:rPr>
          <w:rtl w:val="true"/>
        </w:rPr>
        <w:t>البحث عن حكم الظنون</w:t>
      </w:r>
      <w:bookmarkEnd w:id="107"/>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Amiri" w:hAnsi="Amiri" w:eastAsia="Amiri" w:cs="Amiri"/>
          <w:color w:val="111111"/>
          <w:sz w:val="28"/>
          <w:sz w:val="28"/>
          <w:szCs w:val="28"/>
          <w:rtl w:val="true"/>
          <w:lang w:bidi="ar-SA"/>
        </w:rPr>
        <w:t>لا تثبت النجاسة بالظنّ كما هو المشهور</w:t>
      </w:r>
      <w:r>
        <w:rPr>
          <w:rStyle w:val="FootnoteAnchor"/>
          <w:rtl w:val="true"/>
        </w:rPr>
        <w:footnoteReference w:id="344"/>
      </w:r>
      <w:r>
        <w:rPr>
          <w:rFonts w:ascii="Amiri" w:hAnsi="Amiri" w:eastAsia="Amiri" w:cs="Amiri"/>
          <w:color w:val="111111"/>
          <w:sz w:val="28"/>
          <w:sz w:val="28"/>
          <w:szCs w:val="28"/>
          <w:rtl w:val="true"/>
          <w:lang w:bidi="ar-SA"/>
        </w:rPr>
        <w:t>، وعن ظاهر النهاية وصريح الحلبي</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بثلاث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أكثر الأحكام الشرعيّة على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غَسل الثوب المأخوذ من 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فلمنعه، لأنّ أكثر الأحكام مبنيّة على الظنون الخاصّة، لا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بالطهارة لحجّةٍ شرعيّة من أصلٍ أو استصحاب لا يكون ترجيحاً للمرجوح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فلمعارضته بما يدلّ على جواز الصلاة فيما يكون عمل الكافر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ممّا يقتضيه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w:t>
      </w:r>
    </w:p>
    <w:p>
      <w:pPr>
        <w:pStyle w:val="BookText"/>
        <w:rPr/>
      </w:pPr>
      <w:r>
        <w:rPr>
          <w:rFonts w:ascii="Amiri" w:hAnsi="Amiri" w:eastAsia="Amiri" w:cs="Amiri"/>
          <w:color w:val="111111"/>
          <w:sz w:val="28"/>
          <w:sz w:val="28"/>
          <w:szCs w:val="28"/>
          <w:rtl w:val="true"/>
          <w:lang w:bidi="ar-SA"/>
        </w:rPr>
        <w:t>في إعارة الثوب لليهودي والنصراني</w:t>
      </w:r>
      <w:r>
        <w:rPr>
          <w:rStyle w:val="FootnoteAnchor"/>
          <w:rtl w:val="true"/>
        </w:rPr>
        <w:footnoteReference w:id="346"/>
      </w:r>
      <w:r>
        <w:rPr>
          <w:rFonts w:ascii="Amiri" w:hAnsi="Amiri" w:eastAsia="Amiri" w:cs="Amiri"/>
          <w:color w:val="111111"/>
          <w:sz w:val="28"/>
          <w:sz w:val="28"/>
          <w:szCs w:val="28"/>
          <w:rtl w:val="true"/>
          <w:lang w:bidi="ar-SA"/>
        </w:rPr>
        <w:t>، وما ورد في الجُبُنّ والفأرة المتسلّخة في الماء</w:t>
      </w:r>
      <w:r>
        <w:rPr>
          <w:rStyle w:val="FootnoteAnchor"/>
          <w:rtl w:val="true"/>
        </w:rPr>
        <w:footnoteReference w:id="347"/>
      </w:r>
      <w:r>
        <w:rPr>
          <w:rFonts w:ascii="Amiri" w:hAnsi="Amiri" w:eastAsia="Amiri" w:cs="Amiri"/>
          <w:color w:val="111111"/>
          <w:sz w:val="28"/>
          <w:sz w:val="28"/>
          <w:szCs w:val="28"/>
          <w:rtl w:val="true"/>
          <w:lang w:bidi="ar-SA"/>
        </w:rPr>
        <w:t>وغير ذلك من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ذو اليد بنجاسته، وقامت البيِّنة على الطهارة، قُدِّمت البيِّنة على الإخبار،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مسعدة المتقدّمة، الدالّة على حجيّة البيِّنة في مقابل اليد، وما دلَّ على القضاء بالبيِّنة في مقابل دعوى ذي اليد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دليل حجيّة قوله عن شمول مورد التعارض،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البيِّنة مستندة إلى الأصل، يُقدَّم قول ذي اليد لتقدّمه على الأصل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 w:name="pg11794_146925"/>
    </w:p>
    <w:p>
      <w:pPr>
        <w:pStyle w:val="Heading6"/>
        <w:numPr>
          <w:ilvl w:val="5"/>
          <w:numId w:val="1"/>
        </w:numPr>
        <w:rPr/>
      </w:pPr>
      <w:bookmarkStart w:id="109" w:name="__RefHeading___Toc10298966_73709187"/>
      <w:bookmarkStart w:id="110" w:name="_Toc39"/>
      <w:bookmarkEnd w:id="108"/>
      <w:bookmarkEnd w:id="109"/>
      <w:r>
        <w:rPr>
          <w:rtl w:val="true"/>
        </w:rPr>
        <w:t>تعارض البيّنتين</w:t>
      </w:r>
      <w:bookmarkEnd w:id="11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البيّنتان تساقطتا، لأنّه الأصل في تعارض الأمارتين فيما لا يمكن التخيير في المسألة الفرعيّة،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الترجيح أو التخيير، يختصّ بالأخبار الدالّة على الأحكام، ولا يعمّ الحاكية عن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الترجيح في البيّنتين المتعارضتين</w:t>
      </w:r>
      <w:r>
        <w:rPr>
          <w:rStyle w:val="FootnoteAnchor"/>
          <w:rtl w:val="true"/>
        </w:rPr>
        <w:footnoteReference w:id="348"/>
      </w:r>
      <w:r>
        <w:rPr>
          <w:rFonts w:ascii="Amiri" w:hAnsi="Amiri" w:eastAsia="Amiri" w:cs="Amiri"/>
          <w:color w:val="111111"/>
          <w:sz w:val="28"/>
          <w:sz w:val="28"/>
          <w:szCs w:val="28"/>
          <w:rtl w:val="true"/>
          <w:lang w:bidi="ar-SA"/>
        </w:rPr>
        <w:t>من الأكثريّة و غيرها، إنّما يختصّ بالمعارضة عند القاضي في مقام المرافعة، والتعدّي يحتاج إلى دليل، والدليل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مستند كلتا البيّنتين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مستند إحداهما العلم والاُخرى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كلّ واحدةٍ منهما مكذّبة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بيّنة الطهارة المستندة إلى العلم مثلاً حاكية عن عدم تحقّق النجاسة ولو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فيؤخذ بما تكون مستندةً إلى العلم، كما لو أخبرت بيّنة الطهارة في الفرض بحصول الطهارة بعد تحقّق النجاسة، ولو على فرض تحقّقها، فإنّها تقدّم على بيّنة النجاسة المستندة إلى الاستصحاب، لأنّه لا تعارض بينهما فيعمل بهما معاً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ضعف ما ذكره بعض أعاظم العصر</w:t>
      </w:r>
      <w:r>
        <w:rPr>
          <w:rStyle w:val="FootnoteAnchor"/>
          <w:rtl w:val="true"/>
        </w:rPr>
        <w:footnoteReference w:id="349"/>
      </w:r>
      <w:r>
        <w:rPr>
          <w:rFonts w:ascii="Amiri" w:hAnsi="Amiri" w:eastAsia="Amiri" w:cs="Amiri"/>
          <w:color w:val="111111"/>
          <w:sz w:val="28"/>
          <w:sz w:val="28"/>
          <w:szCs w:val="28"/>
          <w:rtl w:val="true"/>
          <w:lang w:bidi="ar-SA"/>
        </w:rPr>
        <w:t>من تقديم البيِّنة المستندة إلى العلم مطلقاً، مستدلّاً له بأنّها تقدّم على الأصل الذي هو مستند الاُخرى، فتبطل هي لبطلان مستندها</w:t>
      </w:r>
      <w:r>
        <w:rPr>
          <w:rFonts w:eastAsia="Amiri" w:cs="Amiri" w:ascii="Amiri" w:hAnsi="Amiri"/>
          <w:color w:val="111111"/>
          <w:sz w:val="28"/>
          <w:szCs w:val="28"/>
          <w:rtl w:val="true"/>
          <w:lang w:bidi="ar-SA"/>
        </w:rPr>
        <w:t>.</w:t>
      </w:r>
      <w:bookmarkStart w:id="111" w:name="pg11794_146926"/>
    </w:p>
    <w:p>
      <w:pPr>
        <w:pStyle w:val="Heading6"/>
        <w:numPr>
          <w:ilvl w:val="5"/>
          <w:numId w:val="1"/>
        </w:numPr>
        <w:rPr/>
      </w:pPr>
      <w:bookmarkStart w:id="112" w:name="__RefHeading___Toc10298968_73709187"/>
      <w:bookmarkStart w:id="113" w:name="_Toc40"/>
      <w:bookmarkEnd w:id="111"/>
      <w:bookmarkEnd w:id="112"/>
      <w:r>
        <w:rPr>
          <w:rtl w:val="true"/>
        </w:rPr>
        <w:t>في اعتبار علم الوسواسي وعدمه</w:t>
      </w:r>
      <w:bookmarkEnd w:id="113"/>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بعلم الوسواسي في الطهارة والنجاسة كما هو المشهور، والمراد من عدم اعتبار علمه بالطهارة، ليس أنّه لو حصل له العلم بها لا يعتني به، بل المراد أنّه لا يجب تحصيله فيما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اعتباره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عَبْدِ اللّهِ عليه السلام رَجُلا مُبْتَلًى بِالْوُضُوءِ والصَّلاةِ، وقُلْتُ هُوَ رَجُلٌ عَاقِلٌ؟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 مِنْ عَمَلِ الشَّيْطَان</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عمل غيره لا يكون حجّة، لإنصراف أدلّة حجيّة خبر الواحد أو البيِّنة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عمل نفسه، فيمكن أنْ يستدلّ لعدم الاعتبار به بالصحيح المتقدّم، فتأمّل فإنّ الظاهر منه إرادة صورة الشكّ 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لا تُعَوِّدُوا الْخَبِيثَ مِنْ أَنْفُسِكُمْ نَقْضَ الصَّلاةِ فَتُطْمِعُوهُ، فَإِنَّ الشَّيْطَانَ خَبِيثٌ مُعْتَادٌ لِمَا عُوِّدَ، فَلْيَمْضِ أَحَدُكُمْ فِي الْوَهْمِ ولا يُكْثِرَنَّ نَقْضَ الصَّلاةِ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وارد في مورد عدم الاعتناء بالشكّ، لاحظ خبري زرارة وأبي </w:t>
      </w:r>
    </w:p>
    <w:p>
      <w:pPr>
        <w:pStyle w:val="BookText"/>
        <w:rPr/>
      </w:pPr>
      <w:r>
        <w:rPr>
          <w:rFonts w:ascii="Amiri" w:hAnsi="Amiri" w:eastAsia="Amiri" w:cs="Amiri"/>
          <w:color w:val="111111"/>
          <w:sz w:val="28"/>
          <w:sz w:val="28"/>
          <w:szCs w:val="28"/>
          <w:rtl w:val="true"/>
          <w:lang w:bidi="ar-SA"/>
        </w:rPr>
        <w:t>بصير</w:t>
      </w:r>
      <w:r>
        <w:rPr>
          <w:rStyle w:val="FootnoteAnchor"/>
          <w:rtl w:val="true"/>
        </w:rPr>
        <w:footnoteReference w:id="352"/>
      </w:r>
      <w:r>
        <w:rPr>
          <w:rFonts w:ascii="Amiri" w:hAnsi="Amiri" w:eastAsia="Amiri" w:cs="Amiri"/>
          <w:color w:val="111111"/>
          <w:sz w:val="28"/>
          <w:sz w:val="28"/>
          <w:szCs w:val="28"/>
          <w:rtl w:val="true"/>
          <w:lang w:bidi="ar-SA"/>
        </w:rPr>
        <w:t>وغيرهما، فإذاً العمدة فيه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حجّة عقلاً، لا يمكن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دلالة الدليل على عدم الاعتبار بعلمه، نلتزم بتبدّل الواقع عن حكمه، فلا يكون الواقع موضوعاً في حال الوسواس للحكم الذي يكون موضوعاً له في غير هذه الحال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4" w:name="pg11794_146928"/>
    </w:p>
    <w:p>
      <w:pPr>
        <w:pStyle w:val="Heading6"/>
        <w:numPr>
          <w:ilvl w:val="5"/>
          <w:numId w:val="1"/>
        </w:numPr>
        <w:rPr/>
      </w:pPr>
      <w:bookmarkStart w:id="115" w:name="__RefHeading___Toc10298970_73709187"/>
      <w:bookmarkStart w:id="116" w:name="_Toc41"/>
      <w:bookmarkEnd w:id="114"/>
      <w:bookmarkEnd w:id="115"/>
      <w:r>
        <w:rPr>
          <w:rtl w:val="true"/>
        </w:rPr>
        <w:t>ذكر السبب في الشهادة</w:t>
      </w:r>
      <w:bookmarkEnd w:id="116"/>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البيِّنة ذكر مستند الشهادة</w:t>
      </w:r>
      <w:r>
        <w:rPr>
          <w:rStyle w:val="FootnoteAnchor"/>
          <w:rtl w:val="true"/>
        </w:rPr>
        <w:footnoteReference w:id="353"/>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وأبي العبّاس</w:t>
      </w:r>
      <w:r>
        <w:rPr>
          <w:rStyle w:val="FootnoteAnchor"/>
          <w:rtl w:val="true"/>
        </w:rPr>
        <w:footnoteReference w:id="355"/>
      </w:r>
      <w:r>
        <w:rPr>
          <w:rFonts w:ascii="Amiri" w:hAnsi="Amiri" w:eastAsia="Amiri" w:cs="Amiri"/>
          <w:color w:val="111111"/>
          <w:sz w:val="28"/>
          <w:sz w:val="28"/>
          <w:szCs w:val="28"/>
          <w:rtl w:val="true"/>
          <w:lang w:bidi="ar-SA"/>
        </w:rPr>
        <w:t>والصيمري</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 إلّا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يعتقد أنّ سؤر المسوخ نجس</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المعاصرين</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الخطأ في المستند ملغى بأصالة عدم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الخطأ في الحدسيّات 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الخطأ في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 لإثبات الواقع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 بعد العلم بالواقع لإثبات أنّ ما يعتقده المُخبِر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تكون حجّة في الأوّل، وأمّا في الثاني فهي حجّة مطلقاً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على إتّباع شيء، لابدَّ وأن يكون لأجل كاشفيّته النوعيّة، وعليه التزموا بحجيّة الخبر إذا كان الإخبارُ عن حسٍّ، وعدمها إذا كان عن حدس، فإنّ الخبر الحسّي إذا صدر ممّن يوثق بقوله، ولم تكن آفة في حاسّته، يكون كاشفاً </w:t>
      </w:r>
    </w:p>
    <w:p>
      <w:pPr>
        <w:pStyle w:val="BookText"/>
        <w:rPr/>
      </w:pPr>
      <w:r>
        <w:rPr>
          <w:rFonts w:ascii="Amiri" w:hAnsi="Amiri" w:eastAsia="Amiri" w:cs="Amiri"/>
          <w:color w:val="111111"/>
          <w:sz w:val="28"/>
          <w:sz w:val="28"/>
          <w:szCs w:val="28"/>
          <w:rtl w:val="true"/>
          <w:lang w:bidi="ar-SA"/>
        </w:rPr>
        <w:t>نوعيّاً عن الواقع، فيكون بناء العقلاء على إتّباع خبره، وعدم الاعتناء باحتمال خطائه الواقعي في إحساسه، وأمّا إذا كان عن حدسٍ، فلا يكون لخبره كاشفيّة نوعيّة، لتوقّفها على تصويب حدسه ونظره، فلا يكون بناء العقلاء على إتّباع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حجيّة أصالة عدم الخطأ في الحسّ دون الحدس، ولا يفرّق في ذلك بين الموردين المذكورين في كلامه، إذ أنّ علم الشخص بالواقع لا يوجب كاشفيّة خبر غيره عن الواقع،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رحمه الله وهو أنّه لو احتمل أن يكون مستند المخبر بالنجاسة ما لا يكون سبباً لا يقبل خبره، ويكون حكمه حكم ما لو ذكر مستندها وعلم عدم صحّته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يشهدا بالنجاسة بل بموجبها كفى، إذ لا يعتبر في العمل بالحجّة كون مؤدّاها أثراً شرعيّاً، بل يكفي كونه ذا أثرٍ شرعي عند من قامت عنده الحجّة، فإذا شهدا بأنّ هذا الشيء لاقى عرق الجنب من الحرام، وكان المشهود عنده يرى نجاسة العرق، تكفي هذه الشهادة في الحكم في النجاسة</w:t>
      </w:r>
      <w:r>
        <w:rPr>
          <w:rFonts w:eastAsia="Amiri" w:cs="Amiri" w:ascii="Amiri" w:hAnsi="Amiri"/>
          <w:color w:val="111111"/>
          <w:sz w:val="28"/>
          <w:szCs w:val="28"/>
          <w:rtl w:val="true"/>
          <w:lang w:bidi="ar-SA"/>
        </w:rPr>
        <w:t>.</w:t>
      </w:r>
      <w:bookmarkStart w:id="117" w:name="pg11794_146930"/>
    </w:p>
    <w:p>
      <w:pPr>
        <w:pStyle w:val="Heading6"/>
        <w:numPr>
          <w:ilvl w:val="5"/>
          <w:numId w:val="1"/>
        </w:numPr>
        <w:rPr/>
      </w:pPr>
      <w:bookmarkStart w:id="118" w:name="__RefHeading___Toc10298972_73709187"/>
      <w:bookmarkStart w:id="119" w:name="_Toc42"/>
      <w:bookmarkEnd w:id="117"/>
      <w:bookmarkEnd w:id="118"/>
      <w:r>
        <w:rPr>
          <w:rtl w:val="true"/>
        </w:rPr>
        <w:t>ذكر الموجب في الشهادة</w:t>
      </w:r>
      <w:bookmarkEnd w:id="119"/>
    </w:p>
    <w:p>
      <w:pPr>
        <w:pStyle w:val="Heading6"/>
        <w:numPr>
          <w:ilvl w:val="5"/>
          <w:numId w:val="1"/>
        </w:numPr>
        <w:rPr/>
      </w:pPr>
      <w:bookmarkStart w:id="120" w:name="__RefHeading___Toc10298974_73709187"/>
      <w:bookmarkStart w:id="121" w:name="_Toc43"/>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شهدا بالنجاسة و اختلف مستندهما، كفى في ثبوتها عند جماعة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بواقعةٍ واحدةٍ شخصيّة، ويكون الاختلاف بينهما في الخصوصيّات والعناوين المنطبقة على ذلك الوجود الخاص، كما إذا اتّفقا على وقوع قطرة من ماء في الإناء الخاص أو في الإناء المعيّن، واختلفا في كونه البول أو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بواقعتين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ثبوت النجاسة بشهادتهما، إذ كلّ من الشاهدين يشهد بما يشهد به الآخر، ولا يعتبر في حجيّة البيِّنة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تثبت، إذ كلّ من الشاهدين يشهد بغير ما يشهد به الآخر، وترتّب أثرٍ واحدٍ على تينك الواقعتين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لعدم تعلّق الشهادة بها، هذا بناءً على عدم حجيّة الخبر الواحد، وإلّا فتثبت النجاسة في كلتا الصورتين كما لا يخفى</w:t>
      </w:r>
      <w:r>
        <w:rPr>
          <w:rStyle w:val="FootnoteAnchor"/>
          <w:rtl w:val="true"/>
        </w:rPr>
        <w:footnoteReference w:id="360"/>
      </w:r>
      <w:r>
        <w:rPr>
          <w:rFonts w:ascii="Amiri" w:hAnsi="Amiri" w:eastAsia="Amiri" w:cs="Amiri"/>
          <w:color w:val="111111"/>
          <w:sz w:val="28"/>
          <w:sz w:val="28"/>
          <w:szCs w:val="28"/>
          <w:rtl w:val="true"/>
          <w:lang w:bidi="ar-SA"/>
        </w:rPr>
        <w:t>، من غير فرقٍ في ذلك بين نفي كلٍّ منهما قول الآخر وعدمه، لأنّه لو كان ما يشهد به كلٌّ منهما عين ما يشهد به الآخر، وكان الاختلاف في العناوين المنطبقة عليه، فتثبت النجاسة حتّى مع نفي كلٍّ منهما قول الآخر في انطباق ما يراه منطبقاً عليه، وإلّا فلا تثبت النجاسة حتّى في صورة عدم النفي، هذا بناءً على عدم حجيّة الخبر الواحد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عليها، فتثبت النجاسة في كلتا الصورتين، كما مرّ</w:t>
      </w:r>
      <w:r>
        <w:rPr>
          <w:rFonts w:eastAsia="Amiri" w:cs="Amiri" w:ascii="Amiri" w:hAnsi="Amiri"/>
          <w:color w:val="111111"/>
          <w:sz w:val="28"/>
          <w:szCs w:val="28"/>
          <w:rtl w:val="true"/>
          <w:lang w:bidi="ar-SA"/>
        </w:rPr>
        <w:t>.</w:t>
      </w:r>
      <w:bookmarkStart w:id="122" w:name="pg11794_146931"/>
    </w:p>
    <w:p>
      <w:pPr>
        <w:pStyle w:val="Heading6"/>
        <w:numPr>
          <w:ilvl w:val="5"/>
          <w:numId w:val="1"/>
        </w:numPr>
        <w:rPr/>
      </w:pPr>
      <w:bookmarkStart w:id="123" w:name="__RefHeading___Toc10298976_73709187"/>
      <w:bookmarkStart w:id="124" w:name="_Toc44"/>
      <w:bookmarkEnd w:id="122"/>
      <w:bookmarkEnd w:id="123"/>
      <w:r>
        <w:rPr>
          <w:rtl w:val="true"/>
        </w:rPr>
        <w:t>القسم الأوّل من اختلاف شهادة الشاهدين</w:t>
      </w:r>
      <w:bookmarkEnd w:id="124"/>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بالإجمال، والآخر بالتعيين، كما إذا قال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هذين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معيناً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المسألة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عنهما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خصوصيّة التعيين لم تقم عليها البيِّنة، بخلاف ملاقاة أحدهما للنجس، فيثبت نجاسة أحدهما لا على التعيين، فيجب الاحتياط بالاجتناب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المعيّن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طرفه لم يقم حجّة على نجاسته، إذ الشهادة بالمردّد وإنْ كان لازمها الاجتناب عنه، إلّاأنّها واحدة، والشهادة بالمعين لا تقتضيه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الاجتناب</w:t>
      </w:r>
      <w:r>
        <w:rPr>
          <w:rStyle w:val="FootnoteAnchor"/>
          <w:rtl w:val="true"/>
        </w:rPr>
        <w:footnoteReference w:id="363"/>
      </w:r>
      <w:r>
        <w:rPr>
          <w:rFonts w:ascii="Amiri" w:hAnsi="Amiri" w:eastAsia="Amiri" w:cs="Amiri"/>
          <w:color w:val="111111"/>
          <w:sz w:val="28"/>
          <w:sz w:val="28"/>
          <w:szCs w:val="28"/>
          <w:rtl w:val="true"/>
          <w:lang w:bidi="ar-SA"/>
        </w:rPr>
        <w:t>عنهما، لعدم قيام البيِّنة لا على المعيّن، ولا على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 المعاصرين</w:t>
      </w:r>
      <w:r>
        <w:rPr>
          <w:rStyle w:val="FootnoteAnchor"/>
          <w:rtl w:val="true"/>
        </w:rPr>
        <w:footnoteReference w:id="364"/>
      </w:r>
      <w:r>
        <w:rPr>
          <w:rFonts w:ascii="Amiri" w:hAnsi="Amiri" w:eastAsia="Amiri" w:cs="Amiri"/>
          <w:color w:val="111111"/>
          <w:sz w:val="28"/>
          <w:sz w:val="28"/>
          <w:szCs w:val="28"/>
          <w:rtl w:val="true"/>
          <w:lang w:bidi="ar-SA"/>
        </w:rPr>
        <w:t>وهو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تكون الشهادتان حاكيتين عن 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تكونا حاكيتين عن واقعة واحدة، ويكون أحد الشاهدين جاهلاً بالتعيين والآخر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لزوم الاجتناب عنهما في الثاني، وعدم لزومه عن شيء منهما في الأوّل،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الأقوال والوجوه كلّها 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يُقال إنّ هناك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بحجيّة خبر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المبنى الأوّل</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الشهادتان حاكيتين عن واقعتين، فيتفرّع عن ذلك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الواقعتان متقارنتين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إحداهما مقدّمة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الثانية</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نموذجان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الواقعة التي يحكيها من يشهد بالمعيّن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النموذج الأوّل، أي أن تكون الواقعة التي يحكيها من يشهد بالمعيّن 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لدينا أربع صور في المقام، ولكلّ منها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الصورتين الأوليّتين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يجب الاجتناب عن المعيّن دون طرفه، إذ الخبر الواحد لا يزيد على العلم، فكما أنّ العلم الإجمالي لا يوجب التنجّز إذا تنجّز التكليف في أحد طرفيه بمنجّزٍ آخر قبل العلم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الخبر الواحد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الاجتناب عنهما، إذ قيام المنجّز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 أحد الطرفين، لا يوجب انحلال المنجّز السابق عليه، القائم على أحدهما لا بعينه، وتفصيل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كانت الشهادتان حاكيتين عن واقعةٍ واحدة، فيجب الاجتناب عن المعيّن فقط مطلقاً،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حجيّة الخبر الواحد،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الشهادتان حاكيتين عن واقعتين، فلا يجب الاجتناب عن شيء منهما، لعدم قيام الحجّة على شيء من الواقعتين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الشهادتان حاكيتين عن واقعة واحدة، فيجب الاجتناب عنهما، لقيام الحجّة على إحداهما لا بعينها، ولم يثبت تعيّنها</w:t>
      </w:r>
      <w:r>
        <w:rPr>
          <w:rFonts w:eastAsia="Amiri" w:cs="Amiri" w:ascii="Amiri" w:hAnsi="Amiri"/>
          <w:color w:val="111111"/>
          <w:sz w:val="28"/>
          <w:szCs w:val="28"/>
          <w:rtl w:val="true"/>
          <w:lang w:bidi="ar-SA"/>
        </w:rPr>
        <w:t>.</w:t>
      </w:r>
      <w:bookmarkStart w:id="125" w:name="pg11794_146934"/>
    </w:p>
    <w:p>
      <w:pPr>
        <w:pStyle w:val="Heading6"/>
        <w:numPr>
          <w:ilvl w:val="5"/>
          <w:numId w:val="1"/>
        </w:numPr>
        <w:rPr/>
      </w:pPr>
      <w:bookmarkStart w:id="126" w:name="__RefHeading___Toc10298978_73709187"/>
      <w:bookmarkStart w:id="127" w:name="_Toc45"/>
      <w:bookmarkEnd w:id="125"/>
      <w:bookmarkEnd w:id="126"/>
      <w:r>
        <w:rPr>
          <w:rtl w:val="true"/>
        </w:rPr>
        <w:t>القسم الثاني من اختلاف شهادة الشاهدين</w:t>
      </w:r>
      <w:bookmarkEnd w:id="127"/>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بنجاسة الشيء فعلاً، والآخر بنجاسته سابقاً مع الجهل بحاله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الاجتناب، بناءً على اعتبار قول العدل الواحد،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الاحتياج إلى شهادة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الشهادتان حاكيتين عن واقعتين، فلا تثبت النجاسة، لأنّ كلّ واقعة لم تقم عليها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كانتا حاكيتين عن واقعة واحدة، فتلك الواقعة قامت الحجّة عليها، فيترتّب عليها أثرها وهو النجاسة، وحيث أنّ في زمان تلك الواقعة يكون بين الشاهدين اختلافٌ، فلا تثبت في شيء من الزمانين بالخصوص، وإنّما تثبت النجاسة إمّا سابقاً أو فعلاً، وحيث أنّ من قامت عنده البيِّنة يحتمل ثبوت النجاسة سابقاً وارتفاعها، فيجري في حقه الاستصحاب ويحكم بالنجاسة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اليقين بالثبوت سابقاً،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اليقين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الإجمالي لا يُصحّح الاستصحاب بالنسبة إلى أحد الاحتمالات بعينه، لعدم اليقين بالإضافة إليه، وإنّما يصحّح إذا كان الأمر الإجمالي مشكوك البقاء على كلّ من احتمالاته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الأمر الإجمالي متيقّن البقاء على بعض احتمالاته، ومشكوك البقاء على بعضها الآخر، يجري فيه الاستصحاب، إذ ذلك يوجب الشكّ </w:t>
      </w:r>
    </w:p>
    <w:p>
      <w:pPr>
        <w:pStyle w:val="BookText"/>
        <w:rPr/>
      </w:pPr>
      <w:r>
        <w:rPr>
          <w:rFonts w:ascii="Amiri" w:hAnsi="Amiri" w:eastAsia="Amiri" w:cs="Amiri"/>
          <w:color w:val="111111"/>
          <w:sz w:val="28"/>
          <w:sz w:val="28"/>
          <w:szCs w:val="28"/>
          <w:rtl w:val="true"/>
          <w:lang w:bidi="ar-SA"/>
        </w:rPr>
        <w:t>في بقاء نفس ما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شهدا معاً بالنجاسة السابقة، لجريان الاستصحاب، لأنّ مقتضى دليل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بمنزلة 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جعل الحجيِّة لما ليس بحجّة ذاتاً، ولا يكون طريقاً تامّاً، جعل صفة المحرزيّة والطريقيّة التامّة له، كما حُقّق في محلّه، ولذلك اخترنا في محلّه</w:t>
      </w:r>
      <w:r>
        <w:rPr>
          <w:rStyle w:val="FootnoteAnchor"/>
          <w:rtl w:val="true"/>
        </w:rPr>
        <w:footnoteReference w:id="369"/>
      </w:r>
      <w:r>
        <w:rPr>
          <w:rFonts w:ascii="Amiri" w:hAnsi="Amiri" w:eastAsia="Amiri" w:cs="Amiri"/>
          <w:color w:val="111111"/>
          <w:sz w:val="28"/>
          <w:sz w:val="28"/>
          <w:szCs w:val="28"/>
          <w:rtl w:val="true"/>
          <w:lang w:bidi="ar-SA"/>
        </w:rPr>
        <w:t>قيام الأمارات مقام القطع المأخوذ في الموضوع على وجه الطريقيّة، ففي نصوص الاستصحاب وإنْ اُخذ اليقين موضوعاً، ولكنّه أُخذ بما أنّه طريق إلى الواقع، فيقوم مقامه سائر الأمارات والطرق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لجريان الاستصحاب في أمثال المقام،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370"/>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الاستصحاب، هو جعل الملازمة بين الحدوث والبقاء، ويكون التعبّد بالبقاء لا بالحدوث، فيكفي الشكّ في البقاء على تقدير الحدوث، فلو قامت البيِّنة على الحدوث، فلأجل ثبوت هذه الملازمة تدلّ بالإلتزام على النجاسة في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لازم ذلك كون الاستصحاب حكماً واقعيّاً معلّقاً على ثبوت موضوعه، أنّ الإلتزام بذلك مخالفٌ لظاهر النصوص، إذ ظاهرها اعتبار اليقين بالحدوث، والشكّ في البقاء في جريان الاستصحاب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أدلّة حجيّة الأمارات، جعل أحكام ظاهريّة في مواردها، وعليه فلو قامت البيِّنة على النجاسة السابقة، فثبوتها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النجاسة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فإذا شُكّ بعده في البقاء، يجري الاستصحاب ويحكم ببقائها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حقّقناه في محلّه من أنّ مفاد أدلّة الأمارات ليس ذلك، إذ الالتزام به لا يُصحّح الاستصحاب، وذلك لأنّه بعد ما يشكّ في بقاء ما قامت البيِّنة عليه، فالحكم الظاهري الثابت بها يكون مرتفعاً، لدوران ثبوته مدار موضوعه، وهو إخبار الشاهدين المعدوم في الزمان اللّاحق، فالمشكوك فيه إنّما هو بقاء الواقع، فالمتيَّقن غير المشكوك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الحكم الظاهري، لليقين بارتفاعه لعدم قيام البيِّنة في الزمان اللّاحق، بل هي متضمّنة للثبوت سابقاً، واستصحاب الحكم الواقعي ممتنعٌ، لعدم اليقين بالثبوت، فتدبّر، فالصحيح ما ذكرناه</w:t>
      </w:r>
      <w:r>
        <w:rPr>
          <w:rFonts w:eastAsia="Amiri" w:cs="Amiri" w:ascii="Amiri" w:hAnsi="Amiri"/>
          <w:color w:val="111111"/>
          <w:sz w:val="28"/>
          <w:szCs w:val="28"/>
          <w:rtl w:val="true"/>
          <w:lang w:bidi="ar-SA"/>
        </w:rPr>
        <w:t>.</w:t>
      </w:r>
      <w:bookmarkStart w:id="128" w:name="pg11794_146937"/>
    </w:p>
    <w:p>
      <w:pPr>
        <w:pStyle w:val="Heading6"/>
        <w:numPr>
          <w:ilvl w:val="5"/>
          <w:numId w:val="1"/>
        </w:numPr>
        <w:rPr/>
      </w:pPr>
      <w:bookmarkStart w:id="129" w:name="__RefHeading___Toc10298980_73709187"/>
      <w:bookmarkStart w:id="130" w:name="_Toc46"/>
      <w:bookmarkEnd w:id="128"/>
      <w:bookmarkEnd w:id="129"/>
      <w:r>
        <w:rPr>
          <w:rtl w:val="true"/>
        </w:rPr>
        <w:t>القسم الثالث من اختلاف شهادة الشاهدين</w:t>
      </w:r>
      <w:bookmarkEnd w:id="130"/>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نجساً والآن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يخبران عن واقع واحد، وأُخرى عن واقعين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تارةً يكون مستند من يخبر بنجاسته فعلاً استصحاب النجاسة، وأُخرى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اتّحاد المشهود به، وكون مستند المخبر بالنجاسة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فبناءً على اعتبار قول العدل الواحد، يتعارض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إخبار أحدهما بالنجاسة الفعليّة والآخر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ويتساقطان، والمرجع استصحاب النجاسة السابقة الثابتة بإخبار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بناءً على الاحتياج إلى شهادة العدلين، فإخبار من يخبر بالطهارة لايُعتنى به، لكونه واحداً، وتكون شهادتهما حجّة على ثبوت النجاسة في أحد الزمانين، فيكون حكمه حكم المسألة السابقة، فيجري فيه ما ذكرناه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فرض اتّحاد المشهود به، وكون مستند من يخبر بالنجاسة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 اعتبار قول العدل الواحد، يكون إخبار من يشهد بالطهارة حجّة، ومقدماً على إخبار من يخبر بالنجاسة، لحكومته على مستنده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بناءً على الاحتياج إلى شهادة العدلين، لا تثبت الطهارة، لعدم قيام البيِّنة عليها، ويحكم بالنجاسة، لأنّ شهادتهما حجّة على ثبوتها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فرض تعدّد الواقعة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 الاحتياج إلى شهادة العدلين، لا تثبت النجاسة، لأنّ ما تحكيه شهادة أحدهما غير ما تحكيه شهادة الآخر، فشيءٌ من الواقعتين لم تقم البيِّنة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اعتبار قول العدل الواحد، فالكلام فيه هو الكلام في سابقه،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اثنان بأحد الأمرين، وشهد أربعة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يتساقط الاثنان بالاثنين، ويبقى الآخران كما أفتى به بعض الأساطين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يتساقط الطرفان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عدم وجود مرجّحٍ من الأعدليّة والأكثريّة وغيرهما؟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الثاني</w:t>
      </w:r>
      <w:r>
        <w:rPr>
          <w:rStyle w:val="FootnoteAnchor"/>
          <w:rtl w:val="true"/>
        </w:rPr>
        <w:footnoteReference w:id="371"/>
      </w:r>
      <w:r>
        <w:rPr>
          <w:rFonts w:ascii="Amiri" w:hAnsi="Amiri" w:eastAsia="Amiri" w:cs="Amiri"/>
          <w:color w:val="111111"/>
          <w:sz w:val="28"/>
          <w:sz w:val="28"/>
          <w:szCs w:val="28"/>
          <w:rtl w:val="true"/>
          <w:lang w:bidi="ar-SA"/>
        </w:rPr>
        <w:t>، لأنّ دليل حجيّة البيِّنة كدليل حجيّة الخبر الواحد، نسبته إلى الواحد والمتعدّد نسبة واحدة، فكما أنّه لو قام خبرٌ واحدٌ على شيء وعارضه خبران أو أكثر يتساقط الطرفان، ولم يتوهّم أحدٌ تعارض الواحد بالواحد، وبقاء الآخر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القول الأوّل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الواردة في تعارض البيّنتين عند القاضي في مقام المرافعة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موردها يحتاج إلى دليل وهو مفقود في المقام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31" w:name="pg11794_146939"/>
    </w:p>
    <w:p>
      <w:pPr>
        <w:pStyle w:val="Heading6"/>
        <w:numPr>
          <w:ilvl w:val="5"/>
          <w:numId w:val="1"/>
        </w:numPr>
        <w:rPr/>
      </w:pPr>
      <w:bookmarkStart w:id="132" w:name="__RefHeading___Toc10298982_73709187"/>
      <w:bookmarkStart w:id="133" w:name="_Toc47"/>
      <w:bookmarkEnd w:id="131"/>
      <w:bookmarkEnd w:id="132"/>
      <w:r>
        <w:rPr>
          <w:rtl w:val="true"/>
        </w:rPr>
        <w:t>الماء المشكوك فيه</w:t>
      </w:r>
      <w:bookmarkEnd w:id="133"/>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نجاسته طاهرٌ، لقاعدة الطهارة المستفادة من خبر عمّار الذي رواه بِإِسْنَادِهِ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حَمَّادِ بْنِ عُثَْمانَ، المرويّ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لم يعلم نجاسته سابقاً، وإلّا فمقتضى استصحاب النجاسة المقدَّم على قاعدة الطهارة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إباحته، 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بعدم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بأنّه ملك الغير، وشكّ في إذنه في تصرّفاته، يستصحب عدمه، فيحكم بعدم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بذلك، واحتمل أن يكون من المباحات الأصليّة، فمقتضى قاعدة الحِلّ إباحة التصرّفات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عدم الجواز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الرضا عليه السلام في المكاتبة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وجوب إيصال حصّة الإمام من الخمس إليه،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الاذْنَ فِي الْخُمُسِ؟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اللّهَ وَاسِعٌ كَرِيمٌ، ضَمِنَ عَلَى الْعَمَلِ الثَّوَابَ، وعَلَى الضِّيقِ الْهَمَّ، لا يَحِلُّ مَالٌ إِلّا مِنْ وَجْهٍ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مقتضاه أصالة الحرمة في الأموال، إلّامع العلم بوجود السبب المحلل، لأنّه مع الشكّ فيه يرجع إلى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ضعف سندها، لأنّ في الطريق محمّد بن زيد الطبري، وهو مجهول</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المدّعى، إذ الحكم بالحليّة مستنداً إلى قاعدة الحِلّ، حكمٌ به من وجه أحلّه اللّه، فتدبّر فإنّه لا يخلو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من أصالة الاحتياط في الأبواب الثلاثة، التي منها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تثبت بنحو الكليّة الشاملة، فيما إذا لم يكن هناك أصلٌ موضوعي مقتضٍ للحرمة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وجهان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بأنّه كان ملك الغير، وشكّ في انتقاله إليه، فمقتضى الأصل عدمه،د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يحل إلّابطيب نفس مالكه، وإنْ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كان سابقاً من المباحات الأصليّة، واحتمل صيرورته مملوكاً لغيره، فلا يكون ملكاً له حينئذٍ بالحيازة، فهنا يستصحب عدم ملكيّة غيره له، المقتضي لحليته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يعلم بذلك</w:t>
      </w:r>
      <w:r>
        <w:rPr>
          <w:rStyle w:val="FootnoteAnchor"/>
          <w:rtl w:val="true"/>
        </w:rPr>
        <w:footnoteReference w:id="377"/>
      </w:r>
      <w:r>
        <w:rPr>
          <w:rFonts w:ascii="Amiri" w:hAnsi="Amiri" w:eastAsia="Amiri" w:cs="Amiri"/>
          <w:color w:val="111111"/>
          <w:sz w:val="28"/>
          <w:sz w:val="28"/>
          <w:szCs w:val="28"/>
          <w:rtl w:val="true"/>
          <w:lang w:bidi="ar-SA"/>
        </w:rPr>
        <w:t>، بأنْ كان أمره دائراً من أوّل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ملكاً له، أو ملكاً لغيره، كالماء المشكوك في أنّه ماؤه المتولّد من بئره، أو المتولّد من بئر غيره، أو حيوانٍ أنّه متولّد من حيوانه، أو من حيوان غيره، فالحكم هو الحليّة لقاعدة الحلّ، وأصالة الحرمة في الأموال، والمكاتبة، وقد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صور المسألة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إباحته إنْ علم حالته السابقة تستصحب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علم أنّه كان ملكاً لغيره، وشكّ في انتقاله إليه، أو إعراضه عنه، يستصحب بقاء ملكيّته، فيحكم بعدم جواز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 بأنّه كان مِلْكاً له، وشكّ في انتقاله عنه، يستصحب بقاء ملكيّته، فيحكم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 بأنّه كان من المباحات الأصليّة، وشكّ في تملّك الغير إيّاه، يستصحب العدم، المقتضي لملكيّته له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حالته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كان أمره دائراً من أوّل وجوده بين كونه مملوكاً له أو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دائراً بين كونه من المباحات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كونه مملوكاً لغيره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فيحكم بالإباحة لقاعدة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نجس أو مغصوب، 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محصور، فحينئذٍ يجب الاجتناب عن الجميع، للعلم الإجمالي الذي حُقّق في محلّه أنّ الاُصول تتعارض في أطرافه فتتساقط، فيجب الاجتناب عن كلّ طرفٍ، لقاعدة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اشتُبه في 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كما عن جماعةٍ</w:t>
      </w:r>
      <w:r>
        <w:rPr>
          <w:rStyle w:val="FootnoteAnchor"/>
          <w:rtl w:val="true"/>
        </w:rPr>
        <w:footnoteReference w:id="378"/>
      </w:r>
      <w:r>
        <w:rPr>
          <w:rFonts w:ascii="Amiri" w:hAnsi="Amiri" w:eastAsia="Amiri" w:cs="Amiri"/>
          <w:color w:val="111111"/>
          <w:sz w:val="28"/>
          <w:sz w:val="28"/>
          <w:szCs w:val="28"/>
          <w:rtl w:val="true"/>
          <w:lang w:bidi="ar-SA"/>
        </w:rPr>
        <w:t>بعدم وجوب الاجتناب عن شيء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محلّه أنّ غير المحصور بعنوانه، لا يوجبُ عدم تنجيز العلم الإجمالي، وكثرة الأطراف وقلّتها من حيث هما، ليستا ملاكاً للفرق في 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ضابطاً لغير المحصور ووجهاً لعدم منجّزيّة العلم الإجمالي في الشبهة غير المحصورة،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بلغت كثرة الأطراف حدّاً لا يتمكّن المكلّف من المخالفة القطعيّة، لا يكون العلم منجّزاً، ولا يجبُ موافقته القطعيّة، لتبعيّتها لحرمة المخالفة القطعيّة التي لا تحرم في الفرض، لعدم التمكّن منها، لما حقّقناه في محلّه من أنّ عدم جريان الاُصول في أطراف العلم الإجمالي، إنّما يكون لأجل لزوم الترخيص في المعصية لو جرت في جميع الأطراف، ولا تجري في بعض الأطراف، لكونه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بما أنّه لايلزم من جريانها في جميع الأطراف الترخيص في المعصية، لعدم التمكّن من الجمع في الارتكاب بين المحتملات، فلا محذور في جريانها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ذكره بعض الأعاظم رحمهم الله</w:t>
      </w:r>
      <w:r>
        <w:rPr>
          <w:rStyle w:val="FootnoteAnchor"/>
          <w:rtl w:val="true"/>
        </w:rPr>
        <w:footnoteReference w:id="379"/>
      </w:r>
      <w:r>
        <w:rPr>
          <w:rFonts w:ascii="Amiri" w:hAnsi="Amiri" w:eastAsia="Amiri" w:cs="Amiri"/>
          <w:color w:val="111111"/>
          <w:sz w:val="28"/>
          <w:sz w:val="28"/>
          <w:szCs w:val="28"/>
          <w:rtl w:val="true"/>
          <w:lang w:bidi="ar-SA"/>
        </w:rPr>
        <w:t>ردّاً على شيخنا النائيني قدس سره من أنّ العجز عن المخالفة القطعيّة، لا يوجب سقوط العمل بالتكليف عن المنجّزيّة،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المضاف،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المضاف في محصور، جاز أن يكرّر الوضوء أو الغسل إلى أنْ يحصل له العلم باستعمال مطلق في ضمنه، بلا إشكال ولا خلاف مع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مبتنياً على ما ذكره المحقّق النائيني قدس سره</w:t>
      </w:r>
      <w:r>
        <w:rPr>
          <w:rStyle w:val="FootnoteAnchor"/>
          <w:rtl w:val="true"/>
        </w:rPr>
        <w:footnoteReference w:id="380"/>
      </w:r>
      <w:r>
        <w:rPr>
          <w:rFonts w:ascii="Amiri" w:hAnsi="Amiri" w:eastAsia="Amiri" w:cs="Amiri"/>
          <w:color w:val="111111"/>
          <w:sz w:val="28"/>
          <w:sz w:val="28"/>
          <w:szCs w:val="28"/>
          <w:rtl w:val="true"/>
          <w:lang w:bidi="ar-SA"/>
        </w:rPr>
        <w:t>، تبعاً لجماعة من الفحول، من تقدّم رتبة الامتثال التفصيلي مع الإمكان على الامتثال الإجمالي إنّه لا يجوز في الفرض، بل لابدَّ وأن يتوضّأ أو يغتسل بالماء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ضعف المبنى، إذ العقل لا يحكم إلّابلزوم الاطاعة، وليست هي إلّاإتيان ذات المأمور به بجميع قيوده، مضافاً إلى المولى، وليس للعقل وراء ذلك حكمٌ بلزوم الانبعاث عن بعث المولى، وعدم كفاية التحرك عن احتمال البعث والتحريك، ولو شكّ في ذلك يكون المرجع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فيجوز في الفرض أن يُكرّر الوضوء أو الغُسل إلى عددٍ يعلم استعمال ماءٍ مطلق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وجود ماء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اشتبه المضاف وكان في غير المحصور، جاز استعمال كلّ منها، بناءً على ما ذكره شيخ مشايخنا الأنصاري قدس سره في فرائده</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لعدم منجزيّة العلم الإجمالي في الشبهة غير المحصورة، وضابطاً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كثرة الأطراف موجبة لبناء العقلاء على عدم الاعتناء باحتمال انطباق المعلوم بالإجمال على كلّ واحدٍ من الأطراف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فكلّ طرفٍ وإنْ كان يحتمل كونه مضافاً، إلّاأنّه في نظر العقلاء يكون هذا الاحتمال بحكم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حقّقنا في محلّه ضعف المبنى، وأنّه لو بلغت كثرة الأطراف حدّاً لا يتمكّن المكلّف من المخالفة القطعيّة، لا يكون العلم منجّزاً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آنفاً أنّه على هذا المبنى غاية ما يكون، كون العلم كلا علم، لا الشبهة كلا شبهة، فمقتضى استصحاب بقاء الحدث بعد التوضّي بأحدها، التكرار بما يزيد على المضاف المعلوم بينها بواحد</w:t>
      </w:r>
      <w:r>
        <w:rPr>
          <w:rFonts w:eastAsia="Amiri" w:cs="Amiri" w:ascii="Amiri" w:hAnsi="Amiri"/>
          <w:color w:val="111111"/>
          <w:sz w:val="28"/>
          <w:szCs w:val="28"/>
          <w:rtl w:val="true"/>
          <w:lang w:bidi="ar-SA"/>
        </w:rPr>
        <w:t xml:space="preserve">. </w:t>
      </w:r>
      <w:bookmarkStart w:id="134" w:name="pg11794_146945"/>
    </w:p>
    <w:p>
      <w:pPr>
        <w:pStyle w:val="Heading6"/>
        <w:numPr>
          <w:ilvl w:val="5"/>
          <w:numId w:val="1"/>
        </w:numPr>
        <w:rPr/>
      </w:pPr>
      <w:bookmarkStart w:id="135" w:name="__RefHeading___Toc10298984_73709187"/>
      <w:bookmarkStart w:id="136" w:name="_Toc48"/>
      <w:bookmarkEnd w:id="134"/>
      <w:bookmarkEnd w:id="135"/>
      <w:r>
        <w:rPr>
          <w:rtl w:val="true"/>
        </w:rPr>
        <w:t>الشكّ في إطلاق الماء وإضافته</w:t>
      </w:r>
      <w:bookmarkEnd w:id="13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إلّاماءٌ وشكّ في إطلاقه وإضافته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فأغلب المتأخّرين أفتوا بلزوم الجمع بين التيمّم والوضوء في الفرض، نظراً إلى العلم الإجمالي بوجوب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عدم وجوب ضمّ الوضوء، بل يتيمّم خاصّة،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كانت حالته السابقة الإضافة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لم تكن حالته السابقة معلومة، لاستصحاب عدم مائيّة المائع الخارجي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ولايعارضه استصحاب عدم الإضافة، لأنّه لاتثبت به مائيّته ليجب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الإضافة ليس موضوعاً لوجوبه، وهذا بخلاف عدم المائيّة، فإنّه موضوع لوجوب التيمّم، مضافاً إلى أنّ مقتضى استصحاب عدم وجدان الماء، فيما إذا علم بفقد الماء قبل الابتلاء بالمشكوك فيه، وجوب التيمّم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ينحلّ العلم الإجمالي، وتجري أصالة البراءة عن وجوب الوضوء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قبل الابتلاء بالمشكوك فيه واجدا للماء يجري استصحاب وجود الماء، وهذا الأصل يكون مقدّماً على استصحاب العدم الأزلي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القسم الثالث من أقسام استصحاب الكلّي، و المختار عدم جريانه</w:t>
      </w:r>
      <w:r>
        <w:rPr>
          <w:rFonts w:eastAsia="Amiri" w:cs="Amiri" w:ascii="Amiri" w:hAnsi="Amiri"/>
          <w:color w:val="111111"/>
          <w:sz w:val="28"/>
          <w:szCs w:val="28"/>
          <w:rtl w:val="true"/>
          <w:lang w:bidi="ar-SA"/>
        </w:rPr>
        <w:t>.</w:t>
      </w:r>
      <w:bookmarkStart w:id="137" w:name="pg11794_146946"/>
    </w:p>
    <w:p>
      <w:pPr>
        <w:pStyle w:val="Heading6"/>
        <w:numPr>
          <w:ilvl w:val="5"/>
          <w:numId w:val="1"/>
        </w:numPr>
        <w:rPr/>
      </w:pPr>
      <w:bookmarkStart w:id="138" w:name="__RefHeading___Toc10298986_73709187"/>
      <w:bookmarkStart w:id="139" w:name="_Toc49"/>
      <w:bookmarkEnd w:id="137"/>
      <w:bookmarkEnd w:id="138"/>
      <w:r>
        <w:rPr>
          <w:rtl w:val="true"/>
        </w:rPr>
        <w:t>حكم العلم إجمالاً بنجاسة الماء أو إضافته</w:t>
      </w:r>
      <w:bookmarkEnd w:id="13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هذا الماء إمّا نجسٌ أو مضاف، يجوز شربه، لأصالة الطهارة والحليَّة، ولايجوز الوضوء به للعلم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لإضافته أو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في محلّه أنّ مثل هذا العلم الإجمالي الذي يكون المترتّب على أحد طرفيه عين ما يترتّب على الآخر، وشيئاً زائداً، ولا يكون للآخر أثرٌ مختصٌّ، ويكون الموضوع واحداً، لا يكون منجّزاً بالنسبة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علم بأنّه مديون لزيد إمّا بدرهم أو بدرهمين، فإنّه تجري البراءة عن وجوب أداء الدرهم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علم بأنّه إمّا مضافٌ أو مغصوبٌ، يعني في فساد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جواز الشرب، فليس كذلك على الإطلاق، إذ لكلّ من طرفي العلم الإجمالي أثرٌ يخصّه، لأنّه لو كان مغصوباً لا يجوز شربه، ولو كان مضافاً لا يكون رافعاً للخبث،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الحالة السابقة على فرض إضافته فعلاً هي الإطلاق، فاستصحاب إطلاقه المقتضي لرافعيته للخَبَث، يعارض مع الأصل المقتضي لجواز الشرب، فيتساقطان، فمقتضى العلم الإجمالي عدم جواز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لم تكن الحالة السابقة هي الإطلاق، فبما أنّ الأصل الجاري في رافعيّته للخَبَث هو استصحاب بقاء النجاسة، فينحلّ بذلك العلم الإجمالي، وتجري أصالة الطهارة والحليَّة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الشكّ في الغصبيّة مورداً لقاعدة الحِلّ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كما لو علم بأنّ حالته السابقة هي مملوكيّته للغير فلا يجوز الشرب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اُريق أحد المشتبهين من حيث النجاسة أو الغصبيّة، لايجوز التوضّي بالآخر، لعدم خروجه عن طرف العلم بإراقة الآخر، ومقتضى تنجّز العلم الإجمالي عدم جريان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أنّ المانع عن جريان الأصل في أطراف العلم الإجمالي، هو المعارضة، يُشكل وجوب الاجتناب عن الباقي، لعدم المعارضة بعد الإراقة، فضلاً عن جعل المرتكز العقلائي في مثل هذا المورد الذي هو وجوب الاجتناب دليلاً على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 في الاُصول من أنّه حتّى على هذا المسلك لا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يستصحب لزوم الاجتناب شرعاً الثابت قبل الإراقة عن أحدهما، وبما أنّه يكون المستصحب حكماً شرعيّاً لا يحتاج في جريان الاستصحاب إلى شيء سوى عدم اللّغويّة وهو محقّقٌ، لأنّه بعد جريان الاستصحاب المذكور يحكم العقل بلزوم الاجتناب عن الباقي،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أريق أحد المشتبهين من حيث الإضافة، لا يكفي الوضوء بالآخر، بل الأحوط الجمع بينه وبين التيمّم، فيما إذا لم يجد ماءً سواه، للعلم الإجمالي بوجوب الوضوء بالباقي أو وجوب التيمّم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في الفرع الثالث من المسألة الخامسة، من عدم وجوب الوضوء لا يجري في المقام، لأنّ مقتضى استصحاب وجوب الوضوء، أو استصحاب وجدان الماء، الثابتين قبل الإراقة، لزوم الوضوء بالباقي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وجه لوجوب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يثبت بهما كون الباقي ماءً، أو وجوب الوضوء بالباقي شرعاً،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يُحرز به الطهارة المعتبرة ما لم ينضمّ إليه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عدم الوجدان في هذا الحال، فيقتصر على التيمّم، لأنّ المراد منه عدم العلم لا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عدم الوجدان ما يساوق الفقدان، ومع احتمال مائيّته لم يحرز الفقدان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الجمع بين الوضوء بالباقي والتيمّم</w:t>
      </w:r>
      <w:r>
        <w:rPr>
          <w:rFonts w:eastAsia="Amiri" w:cs="Amiri" w:ascii="Amiri" w:hAnsi="Amiri"/>
          <w:color w:val="111111"/>
          <w:sz w:val="28"/>
          <w:szCs w:val="28"/>
          <w:rtl w:val="true"/>
          <w:lang w:bidi="ar-SA"/>
        </w:rPr>
        <w:t>.</w:t>
      </w:r>
      <w:bookmarkStart w:id="140" w:name="pg11794_146949"/>
    </w:p>
    <w:p>
      <w:pPr>
        <w:pStyle w:val="Heading6"/>
        <w:numPr>
          <w:ilvl w:val="5"/>
          <w:numId w:val="1"/>
        </w:numPr>
        <w:rPr/>
      </w:pPr>
      <w:bookmarkStart w:id="141" w:name="__RefHeading___Toc10298988_73709187"/>
      <w:bookmarkStart w:id="142" w:name="_Toc50"/>
      <w:bookmarkEnd w:id="140"/>
      <w:bookmarkEnd w:id="141"/>
      <w:r>
        <w:rPr>
          <w:rtl w:val="true"/>
        </w:rPr>
        <w:t>الملاقي لطرف الشبهة</w:t>
      </w:r>
      <w:bookmarkEnd w:id="14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الشبهة المحصورة لا يُحكم عليه بالنجاسة، لأصالة الطهارة، إذ أنّ وجوب الاجتناب عن الملاقي من باب المقدّمة العلميّة، لا يوجب نجاسة ملاقيه، ولا لزوم الاجتناب عنه، مع عدم كونه طرفاً لذلك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إجمالاً بنجاسته أو نجاسة الطرف الآخر، لا يوجب عدم جريان الأصل فيه، إذ بعد فرض عدم جريان الأصل في الطرف الآخر بمنجّزٍ آخر موجودٍ قبله يجري الأصل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عدّة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لاقى مع كلّ واحدٍ من الأطراف شيءٌ يحكم بلزوم الاجتناب عن الجميع، للعلم بنجاسة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لاقى مع أحد الطرفين شيء، ولكن كان الطرف الآخر ممّا يجري فيه أصلٌ آخر محكوم، لما سقط بالمعارضة، ولا يكون من الاُصول الطوليّة التي تسقط أيضاً بالمعارضة مع الأصل الواحد في الطرف الآخر، كما لو علم بنجاسة التراب أو الماء، فإنّ أصالة الطهارة في كلّ منهما تعارض مع الأصل الجاري في الآخر ويتساقطان، والمرجع حينئذٍ وعند الشكّ في الحرمة في الماء إلى قاعدة الحِلّ، فلو لاقى في الفرض شيءٌ مع التراب يجب الاجتناب عن الجميع للعلم بنجاسته أو حرمة الماء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يجب الاجتناب عن الملاقى، إذا كانت الحالة السابقة في المشتبهين النجاسة، فإنّه يجري استصحاب النجاسة في الملاقى، ويحكم بنجاسة ملاقيه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يجب الاجتناب عنه فيما لو حصل العلم بالنجاسة بعد الملاقاة أو حينها، فإنّه يحصل العلمان في زمان واحد، وهما العلم بنجاسة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طرفه، والعلم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طرف الملاقي، ولا ينحلّ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الملاقي متأخّرٌ رتبةً عن الأصل فيما لاقاه، ففي المرتبة السابقة يعارض ذلك الأصل مع الأصل الجاري في الطرف فيتساقطان، وفي المرتبة الثانية يجري الأصل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الأحكام أحكام للزمان لا للرتبة، وحيث أنّ الأصل في الملاقي والملاقى متّحدان زماناً، فكلاهما طرف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تأخّر الثاني، لكن لا يكون متأخّراً عن الأصل الجاري في الطرف الآخر، بل هما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لتوهم التأخّر، إلّاأنّ ما هو متأخّرٌ عن شيء رتبةً، متأخّرٌ عمّا يكون في رتبته أيضاً، وإنْ لم يكن بينهما ملاك التأخّر الرتبي، وهو فاسد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 أنّه قد يجب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الملاقى، كما لو علم إجمالاً بنجاسة أحد الإنائين، ثمّ علم أنّ نجاسة أحدهما المعيّن إنْ كانت فهي ناشئة عن ملاقاته لإناءٍ ثالث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 كلّ واحد من هذه الفروض موكولٌ إلى محلّه</w:t>
      </w:r>
      <w:r>
        <w:rPr>
          <w:rFonts w:eastAsia="Amiri" w:cs="Amiri" w:ascii="Amiri" w:hAnsi="Amiri"/>
          <w:color w:val="111111"/>
          <w:sz w:val="28"/>
          <w:szCs w:val="28"/>
          <w:rtl w:val="true"/>
          <w:lang w:bidi="ar-SA"/>
        </w:rPr>
        <w:t>.</w:t>
      </w:r>
      <w:bookmarkStart w:id="143" w:name="pg11794_146951"/>
    </w:p>
    <w:p>
      <w:pPr>
        <w:pStyle w:val="Heading6"/>
        <w:numPr>
          <w:ilvl w:val="5"/>
          <w:numId w:val="1"/>
        </w:numPr>
        <w:rPr/>
      </w:pPr>
      <w:bookmarkStart w:id="144" w:name="__RefHeading___Toc10298990_73709187"/>
      <w:bookmarkStart w:id="145" w:name="_Toc51"/>
      <w:bookmarkEnd w:id="143"/>
      <w:bookmarkEnd w:id="144"/>
      <w:r>
        <w:rPr>
          <w:rtl w:val="true"/>
        </w:rPr>
        <w:t>انحصار الماء في المشتبهين</w:t>
      </w:r>
      <w:bookmarkEnd w:id="145"/>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الماء في المشتبهين، تعيّن التيمّم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مَعَهُ إِنَاءَ‌انِ، وَقَعَ فِي أَحَدِهِمَا قَذَرٌ ولا يَدْرِي أَيُّهُمَا هُوَ، ولَيْسَ يَقْدِرُ عَلَى مَاءٍ غَيْرِهِمَا؟ قَالَ يُهَرِيقُهُمَا ويَتَيَمَّمُ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حديث عمّار</w:t>
      </w:r>
      <w:r>
        <w:rPr>
          <w:rStyle w:val="FootnoteAnchor"/>
          <w:rtl w:val="true"/>
        </w:rPr>
        <w:footnoteReference w:id="384"/>
      </w:r>
      <w:r>
        <w:rPr>
          <w:rFonts w:ascii="Amiri" w:hAnsi="Amiri" w:eastAsia="Amiri" w:cs="Amiri"/>
          <w:color w:val="111111"/>
          <w:sz w:val="28"/>
          <w:sz w:val="28"/>
          <w:szCs w:val="28"/>
          <w:rtl w:val="true"/>
          <w:lang w:bidi="ar-SA"/>
        </w:rPr>
        <w:t xml:space="preserve">المعوّل بهما عند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ظاهرهما الاختصاص بالقليل، فإنّ لفظ الإناء لو سُلّم شموله للكُرّ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أحدهما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دالّاً على نجاسته بمجرّد الملاقاة، ظاهر في الاختصاص بالقليل، ففي الكُرّ لابدَّ من الرجوع إلى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المحقّق الخراساني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التفصيل بين الكرّ والقليل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صحّة الوضوء أو الغُسل لو توضّأ بأحدهما أو اغتسل، وصحّة الصلاة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العدم، بل مقتضى القاعدة كالنص تعيّن التيمّم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فللإبتلاء بنجاسة البدن ظاهراً بحكم الاستصحاب، للقطع </w:t>
      </w:r>
    </w:p>
    <w:p>
      <w:pPr>
        <w:pStyle w:val="BookText"/>
        <w:rPr/>
      </w:pPr>
      <w:r>
        <w:rPr>
          <w:rFonts w:ascii="Amiri" w:hAnsi="Amiri" w:eastAsia="Amiri" w:cs="Amiri"/>
          <w:color w:val="111111"/>
          <w:sz w:val="28"/>
          <w:sz w:val="28"/>
          <w:szCs w:val="28"/>
          <w:rtl w:val="true"/>
          <w:lang w:bidi="ar-SA"/>
        </w:rPr>
        <w:t xml:space="preserve">بحصول النجاسة حال ملاقاة المتوضّأ من الإناء الثاني، إمّا بملاقاته أو بملاقاة الأوّل، ولأجل ذلك أمر بالتيمّم، لأنّ النجاسة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الطهارة المائيّة، ولا يعارضه استصحاب الطهارة للجهل بتاريخها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جهة عدم الحاجة في حصول الطهارة به إلى التعدّد أو انفصال الغسالة، لا يعلم تفصيلاً بنجاسة شيء من الأعضاء، وإنْ علم بنجاسته إجمالاً حين ملاقاة الأوّل أو الثاني، فلا مجال لاستصحابها، فيرجع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تطهير بعض الأعضاء بالثاني، يعلم إجمالاً بنجاسة أحد العضوين، أمّا العضو الذي طهر لنجاسة ما طهر به، أو الباقي لنجاسة الأوّل، فيستصحب النجاسة المعلوم تاريخها إلى ما بعد تطهير الباقي،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ضعيف، إذ المختار جريان الاستصحاب في مجهول التاريخ كما يجري في معلومه، فتتعارض أصالة الطهارة الثابتة بعد استعمال الطاهر منهما، المردّدة بين بقاء الطهارة قبل الاستعمال وحدوث غيرها، وهي معلومة الثبوت مشكوكة البقاء، مع استصحاب النجاسة في كلا الفرضين، فيتساقطان، فيرجع إلى قاعدة الطهارة، ففي كليهما لو توضّأ أو اغتسل بالنحو المزبور تحصل له الطهارة المائيّة مع عدم الابتلاء بالنجاسة الخبثيّة ظاهراً، فلا مجال معه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كرّر الصلاة عقيب كلّ وضوء، أحرز أداءه الصلاة الصحيحة واجدة للطهارة الحدثيّة والخبثيّة، فالأمر بالإراقة والتيمّم إنّما يكون على خلاف القاعدة، وحيث أنّ النصّ مختصٌّ بالقليل، فلا يتعدّى عنه إلى الكُرّ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بينهما على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باحتماله، إذ تطهير الأعضاء، وتطهير ما يترشّح عليه ماء الوضوء أو الغَسل من مواضع البدن والثوب بالقليل متعسر غالباً، بخلاف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لو كانا قليلين، فيتعيّن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كانا جميعاً أو أحدهما كُرّين، فالوضوء أو الغسل بالنحو المذكور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تكرار الصلاة عقيب كلّ وضوء أو غسل</w:t>
      </w:r>
      <w:r>
        <w:rPr>
          <w:rFonts w:eastAsia="Amiri" w:cs="Amiri" w:ascii="Amiri" w:hAnsi="Amiri"/>
          <w:color w:val="111111"/>
          <w:sz w:val="28"/>
          <w:szCs w:val="28"/>
          <w:rtl w:val="true"/>
          <w:lang w:bidi="ar-SA"/>
        </w:rPr>
        <w:t>.</w:t>
      </w:r>
      <w:bookmarkStart w:id="146" w:name="pg11794_146954"/>
    </w:p>
    <w:p>
      <w:pPr>
        <w:pStyle w:val="Heading6"/>
        <w:numPr>
          <w:ilvl w:val="5"/>
          <w:numId w:val="1"/>
        </w:numPr>
        <w:rPr/>
      </w:pPr>
      <w:bookmarkStart w:id="147" w:name="__RefHeading___Toc10298992_73709187"/>
      <w:bookmarkStart w:id="148" w:name="_Toc52"/>
      <w:bookmarkEnd w:id="146"/>
      <w:bookmarkEnd w:id="147"/>
      <w:r>
        <w:rPr>
          <w:rtl w:val="true"/>
        </w:rPr>
        <w:t>حكم الإناء المشكوك مالكه</w:t>
      </w:r>
      <w:bookmarkEnd w:id="148"/>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إناء لا يعلم أنّه لزيد أو لعمرو، والمفروض أنّه مأذون من قبل زيد، لا يجوز استعماله، لاستصحاب عدم إذن مالك هذا الإناء، إذ الشكّ في كونه لزيد أو لعمرو يوجب الشكّ في إذن مالكه في التصرّف فيه، وبما أنّه مسبوق بالعدم يستصحب عدم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الاستصحاب إنّما يكون جارياً في الفرد المعيّن في الواقع غير المعلوم عندنا، وليس من الأصل الجاري في الفرد المردّد الذي هو محلّ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مائان توضّأ بأحدهما، ثم بعد الفراغ حصل له العلم بأنّ أحدهما نجسٌ، فهل يصحّ الوضوء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عدم صحّة الوضوء،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الفراغ في أمثال المورد ممّا لا يكون المكلّف ملتفتاً حال العمل، لما ورد في موثّق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والارتكازات العقلائيّة تساعد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ذكرنا في محلّه</w:t>
      </w:r>
      <w:r>
        <w:rPr>
          <w:rStyle w:val="FootnoteAnchor"/>
          <w:rtl w:val="true"/>
        </w:rPr>
        <w:footnoteReference w:id="387"/>
      </w:r>
      <w:r>
        <w:rPr>
          <w:rFonts w:ascii="Amiri" w:hAnsi="Amiri" w:eastAsia="Amiri" w:cs="Amiri"/>
          <w:color w:val="111111"/>
          <w:sz w:val="28"/>
          <w:sz w:val="28"/>
          <w:szCs w:val="28"/>
          <w:rtl w:val="true"/>
          <w:lang w:bidi="ar-SA"/>
        </w:rPr>
        <w:t>أنّها ليست من الاُصول التعبّدية، وتكون من الأمارات النوعيّة، لوقوع المشكوك فيه في ظرفه، فإنّ المريد لشيء يكون التفاته إلى خصوصياته أقوى منه بعد الفراغ عنه، والروايات إنّما هي إشارة إلى ذلك، ومع عدم الأماريّة كما في الفرض لا معنى لجريانها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بعض المعاصرين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 المحقّقين</w:t>
      </w:r>
      <w:r>
        <w:rPr>
          <w:rStyle w:val="FootnoteAnchor"/>
          <w:rtl w:val="true"/>
        </w:rPr>
        <w:footnoteReference w:id="389"/>
      </w:r>
      <w:r>
        <w:rPr>
          <w:rFonts w:ascii="Amiri" w:hAnsi="Amiri" w:eastAsia="Amiri" w:cs="Amiri"/>
          <w:color w:val="111111"/>
          <w:sz w:val="28"/>
          <w:sz w:val="28"/>
          <w:szCs w:val="28"/>
          <w:rtl w:val="true"/>
          <w:lang w:bidi="ar-SA"/>
        </w:rPr>
        <w:t>على جريانها في أمثال الفرض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الأخبار المطلقة الخالية عن ذكر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الحسين بن أبي العلاء، الظاهر في جواز المضيّ ولو مع النسيان، وهي الرواية المرويّة عَنْ عِدَّةٍ مِنْ أَصْحَابِنَا،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الْخَاتَمِ إذا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الْوُضُوءِ تُدِيرُهُ فَإِنْ نَسِيتَ حَتَّى تَقُومَ فِي الصَّلاةِ، فَلا آمُرُكَ أَنْ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يحمل ما في الموثّق ونحوه على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ذكر ما يوجب تقييد المطلقات منفصلاً عنها في الفقه غير عزيز، فليكن المورد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كون السؤال والجواب واردين على الخاتم الواسع الذي يصل الماء تحته، ويكون جوابه عليه السلام دالّاً على استحباب التحويل والإدارة في الفرض كما هو المشهور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فقهائنا، فنسيانهما في مثله لا يوجب الشكّ في وصول الماء بنفسه، فيكون الحديث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ظهوره في ذلك فلا أقلّ من الإجمال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لو سُلّم ظهوره فيما ادّعى، لكنّه لا يدلّ على صحّة الوضوء، وإنّما يدلّ على صحّة الصلاة، فيدلّ على أنّ الإخلال بالطهارة نسياناً كالإخلال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بالقراءة لا يوجب البطلان، فيكون معارضاً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وهو مقدّمٌ لوجوه لاتخفى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والعلم بأنّ الصلاة تعاد من ناحية الطهارة، لا يوجب ظهور الرواية في إرادة صحّة الوضوء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الوضوء والغُسل في الفرع، هو معارضة قاعدة الفراغ الحاكمة بصحّتهما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جريانها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أصالة الطهارة الجارية في الطرف الآخر لو كان موجوداً، وإلّا ففي ملاقيه للعلم بنجاسته أو وجوب الوضوء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لا يتمّ مع فقد الطرف الآخر وعدم وجود الملاقي 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9" w:name="pg11794_146957"/>
    </w:p>
    <w:p>
      <w:pPr>
        <w:pStyle w:val="Heading6"/>
        <w:numPr>
          <w:ilvl w:val="5"/>
          <w:numId w:val="1"/>
        </w:numPr>
        <w:rPr/>
      </w:pPr>
      <w:bookmarkStart w:id="150" w:name="__RefHeading___Toc10298994_73709187"/>
      <w:bookmarkStart w:id="151" w:name="_Toc53"/>
      <w:bookmarkEnd w:id="149"/>
      <w:bookmarkEnd w:id="150"/>
      <w:r>
        <w:rPr>
          <w:rtl w:val="true"/>
        </w:rPr>
        <w:t>حكم استعمال المشتبه بالغصب</w:t>
      </w:r>
      <w:bookmarkEnd w:id="151"/>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أحد المشتبهين بالغصبيّة، فهل يحكم عليه بالضمان أم لا، أو يفصل بين الصور؟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المستعمل غاصباً للماء قبل الاستعمال، ففي هذه الصورة وإنْ كان الاستعمال لا يوجب الضمان، إلّاأنّ الضمان الثابت بمقتضى على اليد متحقّق قبله، فهو محكوم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يكن غاصباً له قبله، ولم يعلم بكونه للغير مثلاً، فبعد الاستعمال حصل له العلم الاجمالى بكونه أو الباقي مِلْكاً لمن لا يكون راضياً بالاستعمال، ففي هذه الصورة أيضاً يحكم عليه بالضمان للعلم الإجمالي، إمّا به أو بعدم جواز التصرّف في الآخر، فلا تجري أصالة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هو الغاصب، ولكن قبل الاستعمال علم إجمالاً بكون أحدهما للغير، ففي هذه الصورة لا يُحكم على المستعمل لأحدهما بالضمان، لأنّ حكمه حكم الملاقى في عدم لزوم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العلم الإجمالي إمّا بالضمان أو بحرمة التصرّف في الآخر، لزوم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بانحلاله بالعلم السابق عليه زماناً، وهو العلم بغصبيّة أحدهما وحرمة التصرّف فيه قبل الاستعمال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الفرق بين هذه الصورة وبين الصورة السابقة</w:t>
      </w:r>
      <w:r>
        <w:rPr>
          <w:rFonts w:eastAsia="Amiri" w:cs="Amiri" w:ascii="Amiri" w:hAnsi="Amiri"/>
          <w:color w:val="111111"/>
          <w:sz w:val="28"/>
          <w:szCs w:val="28"/>
          <w:rtl w:val="true"/>
          <w:lang w:bidi="ar-SA"/>
        </w:rPr>
        <w:t>.</w:t>
      </w:r>
      <w:bookmarkStart w:id="152" w:name="pg11794_146958"/>
    </w:p>
    <w:p>
      <w:pPr>
        <w:pStyle w:val="BookText"/>
        <w:rPr/>
      </w:pPr>
      <w:bookmarkEnd w:id="152"/>
      <w:r>
        <w:rPr>
          <w:rFonts w:ascii="Amiri" w:hAnsi="Amiri" w:eastAsia="Amiri" w:cs="Amiri"/>
          <w:color w:val="111111"/>
          <w:sz w:val="28"/>
          <w:sz w:val="28"/>
          <w:szCs w:val="28"/>
          <w:rtl w:val="true"/>
          <w:lang w:bidi="ar-SA"/>
        </w:rPr>
        <w:t>وأمّا المضاف فهو كالمعتصر من الأجسام الممتزجة بها مزجاً يسلبه الإطلاق، كماء الوَرد والمَرَق ونحوهما، وهو ينجسُ بكلّ ما يقع فيه النجاسة، سواءً كان الماء قليلاً أو كثيراً،</w:t>
      </w:r>
    </w:p>
    <w:p>
      <w:pPr>
        <w:pStyle w:val="Heading5"/>
        <w:numPr>
          <w:ilvl w:val="4"/>
          <w:numId w:val="1"/>
        </w:numPr>
        <w:rPr/>
      </w:pPr>
      <w:bookmarkStart w:id="153" w:name="__RefHeading___Toc10298996_73709187"/>
      <w:bookmarkStart w:id="154" w:name="_Toc54"/>
      <w:bookmarkEnd w:id="153"/>
      <w:r>
        <w:rPr>
          <w:rtl w:val="true"/>
        </w:rPr>
        <w:t>الماء المضاف</w:t>
      </w:r>
      <w:bookmarkEnd w:id="154"/>
    </w:p>
    <w:p>
      <w:pPr>
        <w:pStyle w:val="Heading6"/>
        <w:numPr>
          <w:ilvl w:val="5"/>
          <w:numId w:val="1"/>
        </w:numPr>
        <w:rPr/>
      </w:pPr>
      <w:bookmarkStart w:id="155" w:name="__RefHeading___Toc10298998_73709187"/>
      <w:bookmarkStart w:id="156" w:name="_Toc55"/>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المضاف؛ فهو كالمعتصر من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الممتزجة بها مزجاً يسلبه الإطلاق، كماء الورد والمرق ونحوهما، وهو ينجس بكلّ ما يقع فيه النجاسة، سواءً كان الماء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منقولاً من جماعةٍ</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المصنّف رحمه الله</w:t>
      </w:r>
      <w:r>
        <w:rPr>
          <w:rStyle w:val="FootnoteAnchor"/>
          <w:rtl w:val="true"/>
        </w:rPr>
        <w:footnoteReference w:id="392"/>
      </w:r>
      <w:r>
        <w:rPr>
          <w:rFonts w:ascii="Amiri" w:hAnsi="Amiri" w:eastAsia="Amiri" w:cs="Amiri"/>
          <w:color w:val="111111"/>
          <w:sz w:val="28"/>
          <w:sz w:val="28"/>
          <w:szCs w:val="28"/>
          <w:rtl w:val="true"/>
          <w:lang w:bidi="ar-SA"/>
        </w:rPr>
        <w:t>، والشهيدان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لعموم خبر السّاباطي</w:t>
      </w:r>
      <w:r>
        <w:rPr>
          <w:rStyle w:val="FootnoteAnchor"/>
          <w:rtl w:val="true"/>
        </w:rPr>
        <w:footnoteReference w:id="394"/>
      </w:r>
      <w:r>
        <w:rPr>
          <w:rFonts w:ascii="Amiri" w:hAnsi="Amiri" w:eastAsia="Amiri" w:cs="Amiri"/>
          <w:color w:val="111111"/>
          <w:sz w:val="28"/>
          <w:sz w:val="28"/>
          <w:szCs w:val="28"/>
          <w:rtl w:val="true"/>
          <w:lang w:bidi="ar-SA"/>
        </w:rPr>
        <w:t>الآتي الدالّ على تنجّس كلّ شيء بملاقاة النجاسة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النصوص الواردة</w:t>
      </w:r>
      <w:r>
        <w:rPr>
          <w:rStyle w:val="FootnoteAnchor"/>
          <w:rtl w:val="true"/>
        </w:rPr>
        <w:footnoteReference w:id="395"/>
      </w:r>
      <w:r>
        <w:rPr>
          <w:rFonts w:ascii="Amiri" w:hAnsi="Amiri" w:eastAsia="Amiri" w:cs="Amiri"/>
          <w:color w:val="111111"/>
          <w:sz w:val="28"/>
          <w:sz w:val="28"/>
          <w:szCs w:val="28"/>
          <w:rtl w:val="true"/>
          <w:lang w:bidi="ar-SA"/>
        </w:rPr>
        <w:t>في نجاسة المرق ونحوه بملاقاة النجاسة، إذ مقتضى إطلاقها عدم الفرق بين القليل والكثير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رفع الحدث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 بعدم تنجّس المضاف كلّه، إذا كان كثيراً، بأن كان مقدار ألف كُرٍّ مثلاً، ولاقى أحد أطرافه مع النجاسة، لا يخلو من قوّةٍ، لأنّ ثبوت الإجماع في الفرض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إنّما يدلّ على نجاسة خصوص موضع الملاقاة، وما تسري إليه النجاسة، والسراية في الفرض غير ظاهرة، بل عدمها ثابت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w:t>
      </w:r>
      <w:r>
        <w:rPr>
          <w:rStyle w:val="FootnoteAnchor"/>
          <w:rtl w:val="true"/>
        </w:rPr>
        <w:footnoteReference w:id="396"/>
      </w:r>
      <w:r>
        <w:rPr>
          <w:rFonts w:ascii="Amiri" w:hAnsi="Amiri" w:eastAsia="Amiri" w:cs="Amiri"/>
          <w:color w:val="111111"/>
          <w:sz w:val="28"/>
          <w:sz w:val="28"/>
          <w:szCs w:val="28"/>
          <w:rtl w:val="true"/>
          <w:lang w:bidi="ar-SA"/>
        </w:rPr>
        <w:t>في المرق إذا وقعت فيها نجاسة كالفأرة، لا يشملُ الكثير الملاقي مع النجاسة بأحد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رفع الحدث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وتشهد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مَعَهُ اللَّبَنُ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والصَّعِيدُ</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ممّا يقتضيه الأصل كما لا يخفى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والغُسل بماء الورد، واستدلّ له بخبر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يَغْتَسِلُ بِمَاءِ الْوَرْدِ ويَتَوَضَّأُ بِهِ لِلصَّلاةِ؟ قَالَ لا بَأْسَ بِذَلِكَ</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لو سُلّم صحّة سنده، لا يُعتمد عليه لإعراض الأصحاب عنه، وقد ادّعى الإجماع على خلافه جملةٌ من الأعاظم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أنّه من المحتمل</w:t>
      </w:r>
      <w:r>
        <w:rPr>
          <w:rStyle w:val="FootnoteAnchor"/>
          <w:rtl w:val="true"/>
        </w:rPr>
        <w:footnoteReference w:id="402"/>
      </w:r>
      <w:r>
        <w:rPr>
          <w:rFonts w:ascii="Amiri" w:hAnsi="Amiri" w:eastAsia="Amiri" w:cs="Amiri"/>
          <w:color w:val="111111"/>
          <w:sz w:val="28"/>
          <w:sz w:val="28"/>
          <w:szCs w:val="28"/>
          <w:rtl w:val="true"/>
          <w:lang w:bidi="ar-SA"/>
        </w:rPr>
        <w:t xml:space="preserve">أن يكون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يورد منه الدواب، وعليه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403"/>
      </w:r>
      <w:r>
        <w:rPr>
          <w:rFonts w:ascii="Amiri" w:hAnsi="Amiri" w:eastAsia="Amiri" w:cs="Amiri"/>
          <w:color w:val="111111"/>
          <w:sz w:val="28"/>
          <w:sz w:val="28"/>
          <w:szCs w:val="28"/>
          <w:rtl w:val="true"/>
          <w:lang w:bidi="ar-SA"/>
        </w:rPr>
        <w:t>مطهريّته من الحدث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أن يستدلّ به له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حقّقناه في محلّه من عدم جريانها في أمثال المقام، أنّها إنّما تكون حجّة إذا لم يعيّن الشارع الوظيفة عند عدم القدرة على إتيان المأمور به، وفي المقام بحسب تعيين الشارع تكون الوظيفة عند فقد الماء هو التيمّم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الآنفة الواردة في الورد تنزيلاً لها على صورة الاضطرار،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رواية ابن المغيرة، المرويّة عن بعض الصادقين عليهم السلام في التوضّي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لا يَقْدِرُ عَلَى الْمَاءِ، وهُوَ يَقْدِرُ عَلَى اللَّبَنِ، فَلا يَتَوَضَّأْ بِاللَّبَنِ إِنَّمَا هُوَ الْمَاءُ أَوِ التَّيَمُّمُ، فَإِنْ لَمْ يَقْدِرْ عَلَى الْمَاءِ وكَانَ نَبِيذاً، فَإِنِّي سَمِعْتُ حَرِيزاً يَذْكُرُ فِي حَدِيثٍ أَنَّ النَّبِيَّ صلى الله عليه و آله قَدْ تَوَضَّأَ بِنَبِيذٍ ولَمْ يَقْدِرْ عَلَى الْمَاءِ</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ظاهر نسبة المعصوم إلى حديثٍ ذكره حريز، أنّه عليه السلام لم يكن يراه جائزاً أو أنّه عليه السلام أشار بذلك إلى ما رواه بعض عنه عليه السلام، وإلى ما سيأتي في محلّه من نجاسة النبيذ</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يحتمل أن يكون المراد من النبيذ، الماء الذي نَبُذ فيه بعض التمرات، غير المغيّرة لاسمه، كما ورد في الحديث أنّه بهذا المعنى حلالٌ وطهور</w:t>
      </w:r>
      <w:r>
        <w:rPr>
          <w:rStyle w:val="FootnoteAnchor"/>
          <w:rtl w:val="true"/>
        </w:rPr>
        <w:footnoteReference w:id="405"/>
      </w:r>
      <w:r>
        <w:rPr>
          <w:rFonts w:ascii="Amiri" w:hAnsi="Amiri" w:eastAsia="Amiri" w:cs="Amiri"/>
          <w:color w:val="111111"/>
          <w:sz w:val="28"/>
          <w:sz w:val="28"/>
          <w:szCs w:val="28"/>
          <w:rtl w:val="true"/>
          <w:lang w:bidi="ar-SA"/>
        </w:rPr>
        <w:t>، وهو الذي كان رسول اللّه صلى الله عليه و آله يتوضّأ منه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فساد ما عن أبي حنيفة</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أحداهن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بنبيذ التمر المطبوخ إذا كان في سفر وعدم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بينه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عن جواز الوضوء بنبيذ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المجموع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جواز الوضوء بنبيذ التمر عند عدم الماء، كما ظَهَر فساد ما عن الأوزاعي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جواز التوضّي بسائر الأنبذة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7" w:name="pg11794_146963"/>
    </w:p>
    <w:p>
      <w:pPr>
        <w:pStyle w:val="BookText"/>
        <w:rPr/>
      </w:pPr>
      <w:bookmarkEnd w:id="157"/>
      <w:r>
        <w:rPr>
          <w:rFonts w:ascii="Amiri" w:hAnsi="Amiri" w:eastAsia="Amiri" w:cs="Amiri"/>
          <w:color w:val="111111"/>
          <w:sz w:val="28"/>
          <w:sz w:val="28"/>
          <w:szCs w:val="28"/>
          <w:rtl w:val="true"/>
          <w:lang w:bidi="ar-SA"/>
        </w:rPr>
        <w:t>ولا إزالة الخَبَث وإنْ كان طاهراً</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0299000_73709187"/>
      <w:bookmarkStart w:id="159" w:name="_Toc56"/>
      <w:bookmarkEnd w:id="158"/>
      <w:r>
        <w:rPr>
          <w:rtl w:val="true"/>
        </w:rPr>
        <w:t>عدم مطهّريّة المضاف من الخبث</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طهارته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مطهريّته من الخبث، فهو المشهور بين الأصحاب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ممّا يقتضيه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الموارد المتفرّقة، مثل ما عَنْ بُرَيْدِ بْنِ مُعَاوِيَةَ،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 ولا يُجْزِي مِنَ الْبَوْلِ إِلّا الْمَاءُ</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في الأخبار يوجب القطع بأنّ الغَسل لابدَّ وأن يكون بالماء، وأنّ ذلك كان مغروساً في أذهان السائلين عنهم عليهم السلام، مفروغاً عنه عندهم، مضافاً إلى انصراف المطلقات الآمرة بالغَسل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قدس سره</w:t>
      </w:r>
      <w:r>
        <w:rPr>
          <w:rStyle w:val="FootnoteAnchor"/>
          <w:rtl w:val="true"/>
        </w:rPr>
        <w:footnoteReference w:id="410"/>
      </w:r>
      <w:r>
        <w:rPr>
          <w:rFonts w:ascii="IRNazanin" w:hAnsi="IRNazanin" w:eastAsia="IRNazanin"/>
          <w:color w:val="111111"/>
          <w:sz w:val="28"/>
          <w:sz w:val="28"/>
          <w:szCs w:val="28"/>
          <w:rtl w:val="true"/>
          <w:lang w:bidi="fa-IR"/>
        </w:rPr>
        <w:t>والمرتضى رحمه الله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الخبث به، واحتجّ السيّد على ما نقل عنه بوجوه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الطهارة، إزالة عين النجاسة، وهي تحصل بالمايعات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تسليم تأثير النجاسة في الملاقي، وحصول الأثر فيه، سواءً كان واقعيّاً أو اعتباريّاً، بما أنّه لا يعلم أنّه بأيّ شيء يزول، فلابدَّ من إتباع الدليل، وقد عرفت أنّه لا دليل على زواله بغير الماء، بل الدليل يدلّ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كلامه قدس سره إلى عدم تأثير النجاسة في الملاقي فستعرف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الذي رواه عَنْ أَبِي عَبْدِ اللّهِ،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ذكره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من أنّ غياثاً تِبرْيٌ ضعيفُ الرواية، ولا يعمل على ما يتفرّد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أعرضوا عنه، ولم يعملوا به، مع أنّ مفاده أخصّ من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الشيخ الكليني مُحَمَّدُ بْنُ يَعْقُوبَ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لا يُغْسَلُ بِالرِّيقِ شَيْ‌ءٌ إِلّا الدَّم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حكم بن حكيم الصيرفي، سَأَلَ أَبَا عَبْدِ اللّهِ عليه السلام، فَقَالَ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 فَلا أُصِيبُ الْمَاءَ، وقَدْ أَصَابَ يَدِي شَيْ‌ءٌ مِنَ الْبَوْلِ، فَأَمْسَحُهُ بِالْحَائِطِ وَبِالتُّرَابِ، ثُمَّ تَعْرَقُ يَدِي فَأَمْسَحُ وَجْهِي أَوْ بَعْضَ جَسَدِي، أَوْ يُصِيبُ ثَوْبِي؟ فَقَالَ لا بَأْسَ بِهِ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المقام، لأنّ مورد السؤال والجواب فيه ليس هو موضع إصابة البول، بل ما لاقاه بعد إزالة العين، فهو ممّا يدلّ على عدم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السؤال إنّما يكون عن ذلك الموضع، فيتعيّن طرحه، لأنّ التراب لا يكون مطهِّراً باتّفاق منّا ومن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بالغَسل من النجاسة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الغَسل بالماء مأخوذاً في مفهوم الغسل، فلا ريب في انصرافه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الإطلاق، فهو يقيّد بما عرفت من الأخبار الدالّة على اعتبار ذلك في حصول الطهارة،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الموارد التي فيها الأمر بالغَسل، فيعتبر أن يكون بالماء، وغيرها فيكفي زوال العين ولو بالغسل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كلامه أنّ مراده عدم كون النجاسات منجّسة لجميع الأشياء، وأمّا على فرض التنجيس فيعترف بلزوم أن يكون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للقاعدة المسلّمة المغروسة في أذهان المتشرّعة، وهي أنّ النجس يوجب تنجّس ملاقيه، الثابتة بالإجماع والأخبار، حيث أنّ المتتبّع للنصوص الواردة في الموارد الخاصّة كالبول والمني وغيرهما، لا يشكّ في أنّ نجاسة ملاقي النجاسات كانت من الاُمور المفروغ عنها عند السائلين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خبر عمّار السّاباطي، سَأَلَ أَبَا عَبْدِ اللّهِ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يَجِدُ فِي إِنَائِهِ فَأْرَةً وقَدْ تَوَضَّأَ مِنْ ذَلِكَ الإنَاءِ مِرَاراً أَوِ اغْتَسَلَ مِنْهُ أَوْ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غَسَلَ ثِيَابَهُ وقَدْ كَانَتِ الْفَأْرَةُ مُتَسَلِّخَةً؟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ويَغْسِلَ كُلَّ مَا أَصَابَهُ ذَلِكَ الْمَاءُ، ويُعِيدَ الْوُضُوءَ والصَّلاةَ، وإِنْ كَانَ إِنَّمَا رَآهَا بَعْدَ مَا فَرَغَ مِنْ ذَلِكَ وفَعَلَهُ، فَلا يَمَسَّ مِنْ ذَلِكَ الْمَاءِ شيئاً ولَيْسَ عَلَيْهِ شَيْ‌ءٌ، لأنَّهُ لا يَعْلَمُ مَتَى سَقَطَتْ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تنجّس كلّ شيء بملاقاة النجاسة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معاوية بن شريح،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عُذَافِرٌ أَبَا عَبْدِ اللّهِ عليه السلام وأَنَا عِنْدَهُ عَنْ سُؤْرِ السِّنَّوْرِ والشَّاةِ والْبَقَرَةِ والْبَعِيرِ والْحِمَارِ والْفَرَسِ والْبَغْلِ والسِّبَاعِ يُشْرَبُ مِنْهُ أَوْ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نَجَسٌ لا واللّهِ إِنَّهُ نَجَسٌ</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تعليل الحكم بالاجتناب عن سؤر الكلب بأنّه نجس، يدلّ بعمومه على تنجّس كلّ شيء به كما لا يخفى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0" w:name="pg11794_146967"/>
    </w:p>
    <w:p>
      <w:pPr>
        <w:pStyle w:val="Heading6"/>
        <w:numPr>
          <w:ilvl w:val="5"/>
          <w:numId w:val="1"/>
        </w:numPr>
        <w:rPr/>
      </w:pPr>
      <w:bookmarkStart w:id="161" w:name="__RefHeading___Toc10299002_73709187"/>
      <w:bookmarkStart w:id="162" w:name="_Toc57"/>
      <w:bookmarkEnd w:id="160"/>
      <w:bookmarkEnd w:id="161"/>
      <w:r>
        <w:rPr>
          <w:rtl w:val="true"/>
        </w:rPr>
        <w:t>إذا شكّ في مائع أنّه مضافٌ أو مطلق</w:t>
      </w:r>
      <w:bookmarkEnd w:id="162"/>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مائع أنّه مضاف أو مطلق،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يعلم الحالة السابقة، وأُخرى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حالته السابقة أخذ بها للاستصحاب، سواءً أكانت الإطلاق أو الإضافة، من غير فرقٍ بين أن يكون الشكّ بنحو الشبهة الموضوعيّة أو بنحو الشبهة المفهوميّة، فيما لو كان شكّ في حدود المفهوم، على نحو يوجب الشكّ في صدقه على المورد، بناءً على ما هو الحقّ من جريان الاستصحاب في الشبهات المفهوميّة، وأمّا بناءً على عدم جريانه فيها، فحكمه حكم ما لم يعلم 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استصحاب الحكم السابق، كاستصحاب كونه مطهّراً إذا كان مطلقاً، أو استصحاب انفعاله بالملاقاة إذا علم أنّه كان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استصحاب الحكم في مثله، للشكّ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الحالة السابقة، لا يُحكم عليه بالإطلاق، فلا يرفع الحَدَث والخَبَث، لاستصحاب بقائها بعد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عن أنّه هل ينجس بملاقاة النجاسة إنْ كان بقدر الكُرّ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لاستصحاب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عدم اتّصاف المايع الخارجي بالمائية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الصحيح جريان هذا الأصل، فيترتّب عليه نجاسته بملاقاة النجس ولو كان بقدر الكُرّ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قد استدلّ للقول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اقتضاء الملاقاة للانفعال، وأنّ الكُرّ من الماء مانعٌ عنه، فمع الشكّ في المانع يكون المرجع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يتوقّف على تماميّة قاعدة المقتضي والمانع، ولا نقول بها، مضافاً إلى أنّه لو تمّت القاعدة، فإنّما هي فيما لو كان الشكّ في وجود المانع، لا في ما شكّ في مانعيّة الموجود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420"/>
      </w:r>
      <w:r>
        <w:rPr>
          <w:rFonts w:ascii="Amiri" w:hAnsi="Amiri" w:eastAsia="Amiri" w:cs="Amiri"/>
          <w:color w:val="111111"/>
          <w:sz w:val="28"/>
          <w:sz w:val="28"/>
          <w:szCs w:val="28"/>
          <w:rtl w:val="true"/>
          <w:lang w:bidi="ar-SA"/>
        </w:rPr>
        <w:t xml:space="preserve">من أنّ تعليق الحكم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تكليفيّاً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وجودي بالالتزام العرفي، يدلّ على إناطته بإحراز ذلك الأمر، ودخالة الإحراز في الموضوع، فإذا لم يحرز المائيّة لا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مشمولاً لما دلّ على تنجّس كلّ شيء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لنا أن تكون هناك قاعدة عقلائيّة ظاهريّة تقتضي ذلك، نعم قد يقتضي الأصل انتفاء الأمر المنوط به الجواز، وهذا غير ما ادّعاه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يؤخذ العلم في لسان الدليل دخيلاً في الموضوع، لا يكون الحكم منوطاً به، من غير فرقٍ بين الحكم الترخيصي والإلزامي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تنجّس كلّ شيء بالملاقاة إلّاالماء الكُرّ، فمع الشكّ في المائيّة، يشكّ في المصداق، والمرجع في الشبهة المصداقيّة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w:t>
      </w:r>
      <w:r>
        <w:rPr>
          <w:rStyle w:val="FootnoteAnchor"/>
          <w:rtl w:val="true"/>
        </w:rPr>
        <w:footnoteReference w:id="421"/>
      </w:r>
      <w:r>
        <w:rPr>
          <w:rFonts w:ascii="Amiri" w:hAnsi="Amiri" w:eastAsia="Amiri" w:cs="Amiri"/>
          <w:color w:val="111111"/>
          <w:sz w:val="28"/>
          <w:sz w:val="28"/>
          <w:szCs w:val="28"/>
          <w:rtl w:val="true"/>
          <w:lang w:bidi="ar-SA"/>
        </w:rPr>
        <w:t>عدم جواز التمسّك بالعام في الشبهة المصداقيّة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يقول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الأساطين رحمه الله على ما يظهر من فتاويه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القول في المقام بالنجاسة، فحكمه قدس سره بالطهارة اشتباه منه</w:t>
      </w:r>
      <w:r>
        <w:rPr>
          <w:rFonts w:eastAsia="Amiri" w:cs="Amiri" w:ascii="Amiri" w:hAnsi="Amiri"/>
          <w:color w:val="111111"/>
          <w:sz w:val="28"/>
          <w:szCs w:val="28"/>
          <w:rtl w:val="true"/>
          <w:lang w:bidi="ar-SA"/>
        </w:rPr>
        <w:t xml:space="preserve">.). </w:t>
      </w:r>
      <w:bookmarkStart w:id="163" w:name="pg11794_146969"/>
    </w:p>
    <w:p>
      <w:pPr>
        <w:pStyle w:val="Heading6"/>
        <w:numPr>
          <w:ilvl w:val="5"/>
          <w:numId w:val="1"/>
        </w:numPr>
        <w:rPr/>
      </w:pPr>
      <w:bookmarkStart w:id="164" w:name="__RefHeading___Toc10299004_73709187"/>
      <w:bookmarkStart w:id="165" w:name="_Toc58"/>
      <w:bookmarkEnd w:id="163"/>
      <w:bookmarkEnd w:id="164"/>
      <w:r>
        <w:rPr>
          <w:rtl w:val="true"/>
        </w:rPr>
        <w:t>حكم إلقاء الماء المضاف على الكُرّ</w:t>
      </w:r>
      <w:bookmarkEnd w:id="16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المضاف في كُرٍّ فخرج من الإطلاق إلى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تنجّس إن صار مضافاً قبل الاستهلاك، لأنّه يصير مضافاً ملاقياً للنجس في زمان، فينجس فيه، وبعد نجاسته لا يفيد الاستهلاك، بل يكون من قبيل إخراج النجس بعد تنجّسه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حصل الاستهلاك والإضافة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معقوليّة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 المحقّقين</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معقوليته، إذ الاستهلاك ملازم لكونه مطلقاً، وانعدام الممزوج بالماء حينئذٍ، فلا يمكن أن يكون مع ذلك مضافاً، لأنّه ملازمٌ لبقائه بنحوٍ يوجب سلب اسم الماء، وهل هذا إلّا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مضافاً عبارةٌ عن غلبة المضاف، وهذا لا يجتمع مع مغلوبيته بنحوٍ يصدق الاستهلاك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يتصوّر تأثير شيء في الماء، بأن يخرجه عن المائيّة مع انعدام نفسه، كما يشاهد ذلك فيما يخالط الماء، ويوجب انجماده وصيرورته ثلجاً، فإنّه يؤثّر في الماء ويخرجه عن المائيّة، مع انعدام نفسه واستهلاكه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فيمكن أنْ يخالط ذلك الشيء أوّلاً مع النجس، ثمّ يُلقى في الماء، فيوجب ذلك انجماد الماء مع استهلاكه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معقوليّة أن يصبح الماء مضافاً بعد إلقاء المضاف النجس عليه، ثمّ يستهلك النجس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تنجّسه، إلّاإذا تغيّر الماء بأحد الأوصاف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تغيّر، فلما مرَّ من أنّ التغيّر يوجب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لم يتغيّر، فللاستصحاب وقاعدة الطهارة، وذلك لأنّه بما أنّ إضافة الماء إنّما تكون متأخّرة عن الملاقاة، ففي ظرف الملاقاة لا يكون الماء مضافاً حتّى ينجس، وحينما يصبح مضافاً، بما أنّ النجس مستهلكٌ في ذلك الزمان، فالمضاف لا يلاقي مع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الملاقاة لا يكون مضافاً، وحين الإضافة لا يكون ملاقياً مع النجس، فلا وجه للحكم بنجاسته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حكم ما لو صار مستهلكاً، ثمّ صار مضافاً، فإنّ الحكم بطهارة الماء في هذا الفرض واضح</w:t>
      </w:r>
      <w:r>
        <w:rPr>
          <w:rFonts w:eastAsia="Amiri" w:cs="Amiri" w:ascii="Amiri" w:hAnsi="Amiri"/>
          <w:color w:val="111111"/>
          <w:sz w:val="28"/>
          <w:szCs w:val="28"/>
          <w:rtl w:val="true"/>
          <w:lang w:bidi="ar-SA"/>
        </w:rPr>
        <w:t>.</w:t>
      </w:r>
      <w:bookmarkStart w:id="166" w:name="pg11794_146971"/>
    </w:p>
    <w:p>
      <w:pPr>
        <w:pStyle w:val="Heading6"/>
        <w:numPr>
          <w:ilvl w:val="5"/>
          <w:numId w:val="1"/>
        </w:numPr>
        <w:rPr/>
      </w:pPr>
      <w:bookmarkStart w:id="167" w:name="__RefHeading___Toc10299006_73709187"/>
      <w:bookmarkStart w:id="168" w:name="_Toc59"/>
      <w:bookmarkEnd w:id="166"/>
      <w:bookmarkEnd w:id="167"/>
      <w:r>
        <w:rPr>
          <w:rtl w:val="true"/>
        </w:rPr>
        <w:t>في حكم الوضوء بهذا الماء المشكوك</w:t>
      </w:r>
      <w:bookmarkEnd w:id="16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ضيق الوقت يتيمّم بلا خلاف، بخلاف ما إذا كان في سعة الوقت فإنّه يجب عليه أن يصبر حتّى يصفى ثمّ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ذكره بعض الأساطين من صدق الوجدان مع السّعة دون الضيق، بل لصدق عدم الوجدان مع الضيق دون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المأمور بها إنّما هي الكلّي الطبيعي على 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هو طبيعي الصلاة في مجموع الوقت، والشارع إنّما جعل الطهارة المائيّة شرطاً لهذا المأمور به مع إمكانها، ومع عدمه جعل التيمّم بدلاً 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فالمستفاد من الأدلّة أنّ الشرط هو الطهارة المائيّة مع الوجدان، ولو في جزءٍ من الوقت، ومع عدم الوجدان في مجموع الوقت ينتقل التكليف إلى التيمّم</w:t>
      </w:r>
      <w:r>
        <w:rPr>
          <w:rFonts w:eastAsia="Amiri" w:cs="Amiri" w:ascii="Amiri" w:hAnsi="Amiri"/>
          <w:color w:val="111111"/>
          <w:sz w:val="28"/>
          <w:szCs w:val="28"/>
          <w:rtl w:val="true"/>
          <w:lang w:bidi="ar-SA"/>
        </w:rPr>
        <w:t>.</w:t>
      </w:r>
      <w:bookmarkStart w:id="169" w:name="pg11794_146972"/>
    </w:p>
    <w:p>
      <w:pPr>
        <w:pStyle w:val="Heading5"/>
        <w:numPr>
          <w:ilvl w:val="4"/>
          <w:numId w:val="1"/>
        </w:numPr>
        <w:rPr/>
      </w:pPr>
      <w:bookmarkStart w:id="170" w:name="__RefHeading___Toc10299008_73709187"/>
      <w:bookmarkStart w:id="171" w:name="_Toc60"/>
      <w:bookmarkEnd w:id="169"/>
      <w:bookmarkEnd w:id="170"/>
      <w:r>
        <w:rPr>
          <w:rtl w:val="true"/>
        </w:rPr>
        <w:t>مسائل</w:t>
      </w:r>
      <w:r>
        <w:rPr>
          <w:rtl w:val="true"/>
        </w:rPr>
        <w:t>:</w:t>
      </w:r>
      <w:bookmarkEnd w:id="171"/>
    </w:p>
    <w:p>
      <w:pPr>
        <w:pStyle w:val="Heading6"/>
        <w:numPr>
          <w:ilvl w:val="5"/>
          <w:numId w:val="1"/>
        </w:numPr>
        <w:rPr/>
      </w:pPr>
      <w:bookmarkStart w:id="172" w:name="__RefHeading___Toc10299010_73709187"/>
      <w:bookmarkStart w:id="173" w:name="_Toc61"/>
      <w:bookmarkEnd w:id="172"/>
      <w:r>
        <w:rPr>
          <w:rtl w:val="true"/>
        </w:rPr>
        <w:t>الأولى</w:t>
      </w:r>
      <w:r>
        <w:rPr>
          <w:rtl w:val="true"/>
        </w:rPr>
        <w:t xml:space="preserve">: </w:t>
      </w:r>
      <w:r>
        <w:rPr>
          <w:rtl w:val="true"/>
        </w:rPr>
        <w:t>الماءُ المُستَعمل في رفع الحَدَث طاهرٌ ومطهّرٌ</w:t>
      </w:r>
      <w:bookmarkEnd w:id="173"/>
    </w:p>
    <w:p>
      <w:pPr>
        <w:pStyle w:val="Heading6"/>
        <w:numPr>
          <w:ilvl w:val="5"/>
          <w:numId w:val="1"/>
        </w:numPr>
        <w:rPr/>
      </w:pPr>
      <w:bookmarkStart w:id="174" w:name="__RefHeading___Toc10299012_73709187"/>
      <w:bookmarkStart w:id="175" w:name="_Toc62"/>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رفع الحَدَث طاهرٌ ومطهّرٌ</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0299014_73709187"/>
      <w:bookmarkStart w:id="177" w:name="_Toc63"/>
      <w:bookmarkEnd w:id="176"/>
      <w:r>
        <w:rPr>
          <w:rtl w:val="true"/>
        </w:rPr>
        <w:t>الماء المستعمل في رفع الحدث</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رفع الحدث طاهر ومطهّر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المستعمل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وعموم ما دلَّ</w:t>
      </w:r>
      <w:r>
        <w:rPr>
          <w:rStyle w:val="FootnoteAnchor"/>
          <w:rtl w:val="true"/>
        </w:rPr>
        <w:footnoteReference w:id="423"/>
      </w:r>
      <w:r>
        <w:rPr>
          <w:rFonts w:ascii="Amiri" w:hAnsi="Amiri" w:eastAsia="Amiri" w:cs="Amiri"/>
          <w:color w:val="111111"/>
          <w:sz w:val="28"/>
          <w:sz w:val="28"/>
          <w:szCs w:val="28"/>
          <w:rtl w:val="true"/>
          <w:lang w:bidi="ar-SA"/>
        </w:rPr>
        <w:t>على أنّ الماء طاهرٌ ومطهّر، وخصوص خبر ابن سنان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424"/>
      </w:r>
      <w:r>
        <w:rPr>
          <w:rFonts w:ascii="Amiri" w:hAnsi="Amiri" w:eastAsia="Amiri" w:cs="Amiri"/>
          <w:color w:val="111111"/>
          <w:sz w:val="28"/>
          <w:sz w:val="28"/>
          <w:szCs w:val="28"/>
          <w:rtl w:val="true"/>
          <w:lang w:bidi="ar-SA"/>
        </w:rPr>
        <w:t>والمفيد</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التنزّه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المستعمل في رفع الحدث الأكبر، وحيث أنّ الحَدَث الأكبر في غير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بمجموع الغُسل والوضوء، فحينئذٍ يشمل إطلاق بعض النصوص وضوء ذلك المُحدِث، فيثبت في غيره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لم يكن تامّاً، إلّاأنّه لا بأس بجعله مدركاً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المستعمل في 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التنزّه عنه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الْحَسَنِ </w:t>
      </w:r>
    </w:p>
    <w:p>
      <w:pPr>
        <w:pStyle w:val="BookText"/>
        <w:rPr/>
      </w:pPr>
      <w:r>
        <w:rPr>
          <w:rFonts w:ascii="Amiri" w:hAnsi="Amiri" w:eastAsia="Amiri" w:cs="Amiri"/>
          <w:color w:val="111111"/>
          <w:sz w:val="28"/>
          <w:sz w:val="28"/>
          <w:szCs w:val="28"/>
          <w:rtl w:val="true"/>
          <w:lang w:bidi="ar-SA"/>
        </w:rPr>
        <w:t>الرِّضَا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الْمَاءِ الَّذِي قَدِ اغْتُسِلَ فِيهِ فَأَصَابَهُ الْجُذَامُ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 إِنَّ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يَغْتَسِلُ فِيهِ الْجُنُبُ مِنَ الْحَرَامِ والزَّانِي والنَّاصِبُ الَّذِي هُوَ شَرُّهُمَا، وكُلٌّ مِنْ خَلْقِ اللّهِ، ثُمَّ يَكُونُ فِيهِ شِفَاءٌ مِنَ الْعَيْنِ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إطلاقه يشمل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ذيل الخبر ينفي هذا الإطلاق، وأظنّ أنّ نظر المفيد رحمه الله إلى إطلاق قوله عليه السلام في خبر ابن سنان الآتي وأشباهه، بناءً على عطفها على الضمير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المستعمل في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طهارة البدن، فالظاهر أنّ طهارته موضوع اتّفاق الأصحاب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رفعه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أن يستدلّ به لهذا القول، توهّم عموم التوضّي في خبر ابن سنان الآتي لمطلق التطهير، ولو من الخبث، إذ لم تثبت الحقيقة الشرعيّة في غير لفظ الوضوء من مشتقّات هذه المادّة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الخبر لا يدلّ على المنع كما ستعرف، مع أنّه لو دلَّ لاختصّ بغير رفع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الخبث، بقرينة صدره وذيله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استعماله في رفع الحَدَث، فهو المشهور</w:t>
      </w:r>
      <w:r>
        <w:rPr>
          <w:rStyle w:val="FootnoteAnchor"/>
          <w:rtl w:val="true"/>
        </w:rPr>
        <w:footnoteReference w:id="432"/>
      </w:r>
      <w:r>
        <w:rPr>
          <w:rFonts w:ascii="Amiri" w:hAnsi="Amiri" w:eastAsia="Amiri" w:cs="Amiri"/>
          <w:color w:val="111111"/>
          <w:sz w:val="28"/>
          <w:sz w:val="28"/>
          <w:szCs w:val="28"/>
          <w:rtl w:val="true"/>
          <w:lang w:bidi="ar-SA"/>
        </w:rPr>
        <w:t>بين المتأخّرين، على ما نُسب إليهم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434"/>
      </w:r>
      <w:r>
        <w:rPr>
          <w:rFonts w:ascii="Amiri" w:hAnsi="Amiri" w:eastAsia="Amiri" w:cs="Amiri"/>
          <w:color w:val="111111"/>
          <w:sz w:val="28"/>
          <w:sz w:val="28"/>
          <w:szCs w:val="28"/>
          <w:rtl w:val="true"/>
          <w:lang w:bidi="ar-SA"/>
        </w:rPr>
        <w:t>والسيّدين</w:t>
      </w:r>
      <w:r>
        <w:rPr>
          <w:rStyle w:val="FootnoteAnchor"/>
          <w:rtl w:val="true"/>
        </w:rPr>
        <w:footnoteReference w:id="435"/>
      </w:r>
      <w:r>
        <w:rPr>
          <w:rFonts w:ascii="Amiri" w:hAnsi="Amiri" w:eastAsia="Amiri" w:cs="Amiri"/>
          <w:color w:val="111111"/>
          <w:sz w:val="28"/>
          <w:sz w:val="28"/>
          <w:szCs w:val="28"/>
          <w:rtl w:val="true"/>
          <w:lang w:bidi="ar-SA"/>
        </w:rPr>
        <w:t>وغيرهم</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اختاروه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والصدوقين وابني حمزة</w:t>
      </w:r>
      <w:r>
        <w:rPr>
          <w:rStyle w:val="FootnoteAnchor"/>
          <w:rtl w:val="true"/>
        </w:rPr>
        <w:footnoteReference w:id="438"/>
      </w:r>
      <w:r>
        <w:rPr>
          <w:rFonts w:ascii="Amiri" w:hAnsi="Amiri" w:eastAsia="Amiri" w:cs="Amiri"/>
          <w:color w:val="111111"/>
          <w:sz w:val="28"/>
          <w:sz w:val="28"/>
          <w:szCs w:val="28"/>
          <w:rtl w:val="true"/>
          <w:lang w:bidi="ar-SA"/>
        </w:rPr>
        <w:t>والبرّاج</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لعدم جواز الاستعمال بروايات عديدة منها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 فَقَالَ الْمَاءُ الَّذِي يُغْسَلُ بِهِ الثَّوْبُ أَوْ يَغْتَسِلُ بِهِ الرَّجُلُ مِنَ الْجَنَابَةِ لا يَجُوزُ أَنْ يُتَوَضَّأَ مِنْهُ وأَشْبَاهِهِ، وأَمَّا الَّذِي يَتَوَضَّأُ الرَّجُلُ بِهِ فَيَغْسِلُ بِهِ وَجْهَهُ ويَدَهُ فِي شَيْ‌ءٍ نَظِيفٍ، فَلا بَأْسَ أَنْ يَأْخُذَهُ غَيْرُهُ ويَتَوَضَّأَ بِهِ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بدعوى أنّ الظاهر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الضمير المجرور، فيدلّ على المنع من الوضوء بكلّ مستعمل في رفع الأكبر ولو كان غير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لاشتماله على أحمد بن هلال العَبَرْتائي الملعون المذموم كما عن الكشّي</w:t>
      </w:r>
      <w:r>
        <w:rPr>
          <w:rStyle w:val="FootnoteAnchor"/>
          <w:rtl w:val="true"/>
        </w:rPr>
        <w:footnoteReference w:id="441"/>
      </w:r>
      <w:r>
        <w:rPr>
          <w:rFonts w:ascii="Amiri" w:hAnsi="Amiri" w:eastAsia="Amiri" w:cs="Amiri"/>
          <w:color w:val="111111"/>
          <w:sz w:val="28"/>
          <w:sz w:val="28"/>
          <w:szCs w:val="28"/>
          <w:rtl w:val="true"/>
          <w:lang w:bidi="ar-SA"/>
        </w:rPr>
        <w:t>، والذي رجع عن التشيّع</w:t>
      </w:r>
      <w:r>
        <w:rPr>
          <w:rStyle w:val="FootnoteAnchor"/>
          <w:rtl w:val="true"/>
        </w:rPr>
        <w:footnoteReference w:id="442"/>
      </w:r>
      <w:r>
        <w:rPr>
          <w:rFonts w:ascii="Amiri" w:hAnsi="Amiri" w:eastAsia="Amiri" w:cs="Amiri"/>
          <w:color w:val="111111"/>
          <w:sz w:val="28"/>
          <w:sz w:val="28"/>
          <w:szCs w:val="28"/>
          <w:rtl w:val="true"/>
          <w:lang w:bidi="ar-SA"/>
        </w:rPr>
        <w:t>إلى النصب، كما عن سعد بن عبد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أكثروا في الطعن عليه برميه بالغلوّ تارةً، وبالنَّصب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بما أنّ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وهو ممّن طعن عليه، مع شدة اهتمامه بترك رواية المخالفين، وأنّ أحمد إنّما روى عن ابن محبوب، وعن ابن الغصائري، مع أنّه لم يتوقّف في روايته عن ابن أبي عمير وابن محبوب، فالخبر موثوق الصدور، ولا يعتبر في الحجيّة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اعتماد القميّين والمشايخ الثلاثة عليه، فالرواية من حيث السند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فنوقش فيها باحتمال إرادة إزالة الوسخ من غَسل الثوب لا النجاسة، فالنهيّ محمول على مطلق المرجوحيّة، فلا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إرادة الغَسل الشرعي، وليس هو إلّاالغَسل لإزالة النجاسة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النصوص الواردة في كيفيّة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الخبر مورد الغالب، من اشتمال بدن الجُنُب على النجاسة،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صدر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 بِهِ وَجْهَهُ ويَدَهُ فِي شَيْ‌ءٍ نَظِيفٍ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لي من هذه الرواية، بعد ملاحظة تلك القرائن، أنّه عليه السلام بيِّن في بداية الحديث أنّ الماء المستعمل من حيث أنّه مستعملٌ لا بأس باستعماله ثانياً في رفع الخَبَث والحَدَث، ما لم تضمّ إليه جهة أُخرى موجبة للنجاسة كغُسل الثوب النجس به، واغتسال الجُنُب منه، وإلّا فلا يجوز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تنضم إليه هذه الجهة، كما لو توضّأ مع طهارة الموضع في شيء نظيف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الوضوء بالذِّكر، لعلّه يكون لردّ المبتدعين القائلين بنجاسة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فالرواية من خلال إطلاق ما في صدرها تدلّ على جواز استعمال الماء المستعمل في رفع الأكبر، في رفع الحدث، ولا تدلّ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ما ذكرناه أنّه لا يصحّ الاستدلال لهذا القول بما ورد من النهي عن الاغتسال بغُسالة الحمّام</w:t>
      </w:r>
      <w:r>
        <w:rPr>
          <w:rStyle w:val="FootnoteAnchor"/>
          <w:rtl w:val="true"/>
        </w:rPr>
        <w:footnoteReference w:id="443"/>
      </w:r>
      <w:r>
        <w:rPr>
          <w:rFonts w:ascii="Amiri" w:hAnsi="Amiri" w:eastAsia="Amiri" w:cs="Amiri"/>
          <w:color w:val="111111"/>
          <w:sz w:val="28"/>
          <w:sz w:val="28"/>
          <w:szCs w:val="28"/>
          <w:rtl w:val="true"/>
          <w:lang w:bidi="ar-SA"/>
        </w:rPr>
        <w:t>، معلّلاً بأنّ فيها غسالة الجُنُب، فإنّ الظاهر منه أنّ المنع إنّما يكون لأجل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بِإِزَارٍ ولا تَغْتَسِلْ مِنْ مَاءٍ آخَرَ، إِلّا أَنْ يَكُونَ فِيهِمْ جُنُبٌ أَوْ يَكْثُرَ أَهْلُهُ فَلا يُدْرَى فِيهِمْ جُنُبٌ أَمْ لا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لزوم الاغتسال من ماء آخر، إلّامع وجود الجنب فيه واستعماله الماء، ولو كان رفع الحدث بالماء المستعمل جائزاً، لم يكن وجه للزوم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الاغتسال من ماء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حمل النهي في الخبر على الحرمة، من غير فرق بين إرادة ما في الخزانة من الماء، وبين إرادة ما في الحياض الصغار الذي هو بمنزلة الماء الجاري، لجواز الاغتسال منه إذا كان كُرّاً، كما هو الغالب باتّفاق النَّص والفتوى،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المتعارف بين الناس الاغتسال حول الحياض الصغار لا فيه، والرشحات التي تنضح فيها حال الغسل لا تضرّ قطعاً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معارضته بروايات اُخر دالّة على جواز الاغتسال منه في الفرض، وأنّه لا يجب الاغتسال من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مناط النهي لو كان استعماله في غُسل الجنابة، كان اللّازم تخصيصه بالعلم، لا تعميمه لما إذا احتمل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الجهات لابدَّ من حمل الخبر على ماء الخزانة المتعارفة في زماننا، وحمل النهي على الكراهة، أو حمله على ما إذا كان الجُنُب في الحمّام مشغولاً بالاغتسال، ولأجل اشتمال بدنه على النجاسة، يوجب نجاسة من اجتمع معه حول الحوض الصغير الذي كان أخذ الماء منه متعارفاً في تلك الأزمنة، فيتعذّر أو يتعسّر حصول الغُسل الصحيح، فيتعيّن حمل النهي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سَأَلَ أَبَا عَبْدِ اللّهِ الصادق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يَنْتَهِي إِلَى الْمَاءِ الْقَلِيلِ فِي الطَّرِيقِ، فَيُرِيدُ أَنْ يَغْتَسِلَ ولَيْسَ مَعَهُ إِنَاءٌ، والْمَاءُ فِي وَهْدَةٍ، فَإِنْ هُوَ اغْتَسَلَ رَجَعَ غُسْلُهُ فِي الْمَاءِ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بِكَفٍّ بَيْنَ يَدَيْهِ وكَفّاً مِنْ خَلْفِهِ وكَفّاً عَنْ يَمِينِهِ وكَفّاً عَنْ شِمَالِهِ، ثُمَّ يَغْتَسِلُ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كون محذور رجوع الغَسل في الماء، عدم صحّة 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الذي قرره عليه السلام يحتمل أن يكون كراهة الاستعمال لا الحرمة، مع أنّ نضح الأكفّ لا يمنع من رجوع الماء، فالأمر بالغُسل على الإطلاق يدلّ على الجواز وإنْ رجع إليه الماء، ولعلّ نضح الأكفّ بالكيفيّة الخاصّة، يكون من آداب الغُسل والوضوء من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الخبر أيضاً على خلاف مطلوبهم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الجميع الاستدلال لهذا القول بصحيح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وسُئِلَ عَنِ الْمَاءِ تَبُولُ فِيهِ الدَّوَابُّ وتَلَغُ فِيهِ الْكِلابُ، ويَغْتَسِلُ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منه نجاسة الماء القليل إذا اغتسل فيه الجُنُب، فلابدَّ من حمله على ما إذا كان بدنه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شيءٍ ممّا استدلّ به على المنع، بل بعض تلك الأدلّة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جعفر، عَنْ أَبِي الْحَسَنِ الاوَّلِ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الْمَاءَ فِي سَاقِيَةٍ أَوْ مُسْتَنْقِعٍ، أَ يَغْتَسِلُ مِنْهُ لِلْجَنَابَةِ أَوْ يَتَوَضَّأُ مِنْهُ لِلصَّلاةِ، إذا كَانَ لا يَجِدُ غَيْرَه، ُ والْمَاءُ لا يَبْلُغُ صَاعاً لِلْجَنَابَةِ، ولا مُدّاً لِلْوُضُوءِ، وهُوَ مُتَفَرِّقٌ، فَكَيْفَ يَصْنَعُ وهُوَ يَتَخَوَّفُ أَنْ تَكُونَ السِّبَاعُ قَدْ شَرِبَتْ مِنْهُ؟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نَظِيفَةً فَلْيَأْخُذْ كَفّاً مِنَ الْمَاءِ بِيَدٍ وَاحِدَةٍ، فَلْيَنْضِحْهُ خَلْفَهُ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وكَفّاً أَمَامَهُ وكَفّاً عَنْ يَمِينِهِ وكَفّاً عَنْ شِمَالِه، ِ فَإِنْ خَشِيَ أَنْ لا يَكْفِيَهُ غَسَلَ رَأْسَهُ ثَلاثَ مَرَّاتٍ، ثُمَّ مَسَحَ جِلْدَهُ بِيَدِهِ، فَإِنَّ ذَلِكَ يُجْزِيهِ، وإِنْ كَانَ الْوُضُوءُ غَسَلَ وَجْهَهُ ومَسَحَ يَدَهُ عَلَى ذِرَاعَيْهِ ورَأْسِهِ ورِجْلَيْهِ، وإِنْ كَانَ الْمَاءُ مُتَفَرِّقاً فَقَدَرَ أَنْ يَجْمَعَهُ وإِلّا اغْتَسَلَ مِنْ هَذَا ومِنْ هَذَا، وإِنْ كَانَ فِي مَكَانٍ وَاحِدٍ وهُوَ قَلِيلٌ لا يَكْفِيهِ لِغُسْلِهِ، فَلا عَلَيْهِ أَنْ يَغْتَسِلَ ويَرْجِعَ الْمَاءَ فِيهِ فَإِنَّ ذَلِكَ يُجْزِيهِ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الرواية على الجواز في صورة عدم وجدان غيره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دلالتها على الجواز حتّى في صورة وجود غيره، لأنّ الماء الذي يغسل به الرأس ويرجع إلى الساقية، ممّايكفي في تحصيل مسمّى الغُسل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عدم الكفاية عدمها إذا اغتسل به على نحو الصبّ على الأعضاء على ما هو المتعارف، فيدلّ على جواز الاغتسال به حتّى بعد رجوع الماء إلى الساقية أو المستنقع، وبه ترفع اليد عن ظاهر ما استدلّ به على المنع على تقدير ظهوره فيه، فيُحمل على صورة نجاسة بدن الجُنُب، أو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جواز استعماله في رفع الحدث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8" w:name="pg11794_146980"/>
    </w:p>
    <w:p>
      <w:pPr>
        <w:pStyle w:val="Heading6"/>
        <w:numPr>
          <w:ilvl w:val="5"/>
          <w:numId w:val="1"/>
        </w:numPr>
        <w:rPr/>
      </w:pPr>
      <w:bookmarkStart w:id="179" w:name="__RefHeading___Toc10299016_73709187"/>
      <w:bookmarkStart w:id="180" w:name="_Toc64"/>
      <w:bookmarkEnd w:id="178"/>
      <w:bookmarkEnd w:id="179"/>
      <w:r>
        <w:rPr>
          <w:rtl w:val="true"/>
        </w:rPr>
        <w:t>الثانية</w:t>
      </w:r>
      <w:r>
        <w:rPr>
          <w:rtl w:val="true"/>
        </w:rPr>
        <w:t xml:space="preserve">: </w:t>
      </w:r>
      <w:r>
        <w:rPr>
          <w:rtl w:val="true"/>
        </w:rPr>
        <w:t>المستعمل في إزالة النجاسة نجس</w:t>
      </w:r>
      <w:bookmarkEnd w:id="180"/>
    </w:p>
    <w:p>
      <w:pPr>
        <w:pStyle w:val="Heading6"/>
        <w:numPr>
          <w:ilvl w:val="5"/>
          <w:numId w:val="1"/>
        </w:numPr>
        <w:rPr/>
      </w:pPr>
      <w:bookmarkStart w:id="181" w:name="__RefHeading___Toc10299018_73709187"/>
      <w:bookmarkStart w:id="182" w:name="_Toc65"/>
      <w:bookmarkEnd w:id="181"/>
      <w:r>
        <w:rPr>
          <w:rtl w:val="true"/>
        </w:rPr>
        <w:t>الماءُ المستعمل في الاستنجاء</w:t>
      </w:r>
      <w:bookmarkEnd w:id="18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إزالة النجاسة نجس سواء تغيّر بالنجاسة أو لم يتغيّر عدا ماء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 إزالة النجاسة نجسٌ، سواءٌ تغيّر بالنجاسة أو لم يتغيّر عدا ماء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مورد الكلام هو ما يشمل الاستنجاء من البول، ولا يختصّ بالاستنجاء من الغائط، كما صرّح به جماعة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الفقهاء الحكم له، وهو يشهد بعموم معناه، ويساعده العرف في زماننا، مضافاً إلى قضاء العادة بندرة انفراد الغائط عن البول، وعدم انفكاك ماء الاستنجاء من الغائط عن ماء الاستنجاء من البول إلّانادراً، فيكون الدليل المطلق الوارد في مقام بيان الحكم ظاهراً في طهارتهما، فتثبت طهارة ماء الاستنجاء من البول وحده بعدم الفصل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مع الشروط الآتية طاهر كما صرّح به جماعة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ينجس الثوب</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معفوٌّ عنه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الإجماع على كلّ واحدٍ من التعبيرات إلّاالثالث</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النصوص أزيد من طهارة ملاقيه، وعدم تنجّسه به، وهذا مستفادٌ من ملاحظة مصحّحة محمّد بن نعمان،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المصحّحة الاُخرى التي رواها الشيخ المفيد مُحَمَّدِ بْنِ النُّعْمَانِ بسنده،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أَسْتَنْجِي ثُمَّ يَقَعُ ثَوْبِي فِيهِ وأَنَا جُنُبٌ؟ فَقَالَ لا بَأْسَ بِهِ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رجوع الضمير إلى الثوب ونفي البأس عنه بقول مطلق عبارة أُخرى عن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منهما صحيح عبد الكريم بن عتبة الهاشمي،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يَقَعُ ثَوْبُهُ عَلَى الْمَاءِ الَّذِي اسْتَنْجَى بِهِ أيُنَجِّسُ ذَلِكَ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رواية العلل التي رواها الشيخ الصَّدُوقُ عَنْ أَبِيهِ، أَنَّهُ قَالَ لأبِي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يَسْتَنْجِي فَيَقَعُ ثَوْبُهُ فِي الْمَاءِ الَّذِي اسْتَنْجَى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الظاهرة بقرينة التعليل في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إرساله، وإنْ كان المرسل يونس بن عبد الرحمن، وإلى أنّ الغزار</w:t>
      </w:r>
      <w:r>
        <w:rPr>
          <w:rStyle w:val="FootnoteAnchor"/>
          <w:rtl w:val="true"/>
        </w:rPr>
        <w:footnoteReference w:id="458"/>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مورد التعليل لا يمكن، لما تقدّم من إنفعال الماء القليل، وعدم التعدّي يوجب البناء على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لا يمكن الاستدلال بظاهرها، فلا يستفاد من النصوص طهارة الماء، ممّا يعني أنّ عموم ما دلّ على إنفعال الماء القليل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المعاصرين</w:t>
      </w:r>
      <w:r>
        <w:rPr>
          <w:rStyle w:val="FootnoteAnchor"/>
          <w:rtl w:val="true"/>
        </w:rPr>
        <w:footnoteReference w:id="459"/>
      </w:r>
      <w:r>
        <w:rPr>
          <w:rFonts w:ascii="Amiri" w:hAnsi="Amiri" w:eastAsia="Amiri" w:cs="Amiri"/>
          <w:color w:val="111111"/>
          <w:sz w:val="28"/>
          <w:sz w:val="28"/>
          <w:szCs w:val="28"/>
          <w:rtl w:val="true"/>
          <w:lang w:bidi="ar-SA"/>
        </w:rPr>
        <w:t>بعد اعترافه بعدم دلالة النصوص على طهارة الماء 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تستفاد بالملازمة العرفيّة بين طهارة ملاقي الشيء وطهارته، كالملازمة بين نجاسة الملاقي ونجاسته، وبها يُخصّص ما يدلّ على إنفعال القليل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ساقطة في المقام قطعاً، لأنّ الأمر يدور بين كون الماء نجساً وملاقيه طاهراً، أو كون القذر المستنجأ منه كذلك، وليس الثاني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المحقّق الهمداني رحمه الله</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الالتزام بنجاسة الماء، مستلزمٌ للتصرّف في جميع الأدلّة الدالّة على عدم جواز استعمال الماء النجس في المأكول والمشروب والوضوء والصلاة وغيرها، وهذا بخلاف الالتزام بطهارة الماء، فإنّه لا يستلزمُ إلّاالتصرّف في عموم إنفعال الماء القليل، ولا ريب في أنّ الثاني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يدلّ دليل على جواز استعمال ماء الإستنجاء فيما تشترط فيه الطهارة، وعلى فرض ثبوته بما أنّ أصالة العموم في تلك العمومات ساقطة، لا يمكن الاستدلال بها، إمّا للتخصّص أو للتخصيص، فتبقى أصالة العموم في ما يدلّ على إنفعال القليل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الجواب عمّا أورد على ما ذكرناه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الإجمالي بسقوط قاعدة نجاسة ملاقي المتنجّس للعلم بتخصيصها، أمّا بالنسبة إلى ملاقي الماء بناءً على نجاسته، أو بالنسبة إلى نفس الماء الملاقي للنجس بناءً على طهارته، لا مورد للاستدلال بعموم ما دلَّ على إنفعال الماء القليل، فيرجع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في القاعدة بالنسبة إلى ملاقي ماء الاستنجاء ساقطة إمّا للتخصيص أو للتخصّص، فيكون الأصل بالنسبة إلى الماء الملاقي للنجس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نجاسة ماء الإستنجاء، وعدم منجّسيّته لملاقيه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بعضهم،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آخرين،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فمقتضى القاعدة عدم جواز رفع الحَدَث والخَبَث به، وعدم جواز استعماله في الوضوء والغُسل المندوبين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طهارة ماء الاستنجاء، فمقتضى القاعدة جواز الجميع، إلّاأن يثبت الإجماع على عدم جواز رفع الحدث بما تزال به النجاسة مطلقاً، كما اعترف به جماعة، أو يتعدّى عن مورد خبر ابن سنان</w:t>
      </w:r>
      <w:r>
        <w:rPr>
          <w:rStyle w:val="FootnoteAnchor"/>
          <w:rtl w:val="true"/>
        </w:rPr>
        <w:footnoteReference w:id="461"/>
      </w:r>
      <w:r>
        <w:rPr>
          <w:rFonts w:ascii="Amiri" w:hAnsi="Amiri" w:eastAsia="Amiri" w:cs="Amiri"/>
          <w:color w:val="111111"/>
          <w:sz w:val="28"/>
          <w:sz w:val="28"/>
          <w:szCs w:val="28"/>
          <w:rtl w:val="true"/>
          <w:lang w:bidi="ar-SA"/>
        </w:rPr>
        <w:t>المتقدّم في المستعمل في رفع الحدث الأكبر، الدالّ على المنع، ولو بناءً على نجاسة الغسالة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3" w:name="pg11794_146985"/>
    </w:p>
    <w:p>
      <w:pPr>
        <w:pStyle w:val="Heading6"/>
        <w:numPr>
          <w:ilvl w:val="5"/>
          <w:numId w:val="1"/>
        </w:numPr>
        <w:rPr/>
      </w:pPr>
      <w:bookmarkStart w:id="184" w:name="__RefHeading___Toc10299020_73709187"/>
      <w:bookmarkStart w:id="185" w:name="_Toc66"/>
      <w:bookmarkEnd w:id="183"/>
      <w:bookmarkEnd w:id="184"/>
      <w:r>
        <w:rPr>
          <w:rtl w:val="true"/>
        </w:rPr>
        <w:t>الماء المستعمل في رفع الخبث</w:t>
      </w:r>
      <w:bookmarkEnd w:id="18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المستعمل في رفع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طهارته ونجاسته خلافٌ، وهو إنّما يكون بعد البناء على إنفعال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عدم الانفعال، فلا محيص عن القول بالطهارة، وبذلك يظهر أنّ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الالتباس</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القول بالطهارة إلى شيوخ المذهب كالسيّد والشيخ وابني إدريس وحمزة وابن أبي عقيل، في غير محلّها</w:t>
      </w:r>
      <w:r>
        <w:rPr>
          <w:rStyle w:val="FootnoteAnchor"/>
          <w:rtl w:val="true"/>
        </w:rPr>
        <w:footnoteReference w:id="463"/>
      </w:r>
      <w:r>
        <w:rPr>
          <w:rFonts w:ascii="Amiri" w:hAnsi="Amiri" w:eastAsia="Amiri" w:cs="Amiri"/>
          <w:color w:val="111111"/>
          <w:sz w:val="28"/>
          <w:sz w:val="28"/>
          <w:szCs w:val="28"/>
          <w:rtl w:val="true"/>
          <w:lang w:bidi="ar-SA"/>
        </w:rPr>
        <w:t>، إذ العُمّاني لا يقول بانفعال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انفعاله، إذا كان وارداً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وأمّاالشيخ قدس سره فقداختلفت كلماته المحكيّة في كتبه، فعن مبسوطه القول بالنجاسة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ففي المسألة أقوال متكثّرة باعتبار ظاهر كلمات العلماء، فالمهمّ تحقيق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إنّه نجسٌ، إمّا نجاسة الغَسلة المزيلة فهو المشهور بين المتأخّرين</w:t>
      </w:r>
      <w:r>
        <w:rPr>
          <w:rStyle w:val="FootnoteAnchor"/>
          <w:rtl w:val="true"/>
        </w:rPr>
        <w:footnoteReference w:id="464"/>
      </w:r>
      <w:r>
        <w:rPr>
          <w:rFonts w:ascii="Amiri" w:hAnsi="Amiri" w:eastAsia="Amiri" w:cs="Amiri"/>
          <w:color w:val="111111"/>
          <w:sz w:val="28"/>
          <w:sz w:val="28"/>
          <w:szCs w:val="28"/>
          <w:rtl w:val="true"/>
          <w:lang w:bidi="ar-SA"/>
        </w:rPr>
        <w:t>، ويدلّ عليه عموم ما دلَّ على إنفعال الماء القليل بالملاقاة من دون فرق بين ورود الماء على النجس أو العكس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الذي هو ممّا يدلّ على إنفعال القليل، بعدم العموم لمفهومه، بدعوى أنّ نقيض السالبة الكليّة الموجبة الجزئيّة، والمتيقّن منه غير الفرض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هذه الدعوى وإنْ كانت تامّة كما عرفت، إلّاأنّها لا تقدح في الاستدلال به للمقام، إذ محلّ الحاجة في المقام ليس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عموم الحكم لجميع أنحاء الملاقاة من ورود الماء على النجس، والعكس والوارد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الإزالة وغيره، فإنا نأخذ بالنجاسة التي يعترف الخصم بانفعال القليل بملاقاتها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فالمفهوم يدلّ على نجاسة ذلك الماء بالملاقاة معها، بأيّ كيفيّة كانت، إذ العرف لا يفهم من مثل هذا الدليل إلّاأنّ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يشكّ أحدٌ من المتشرّعة في أنّه لا يفرّق في حصولها بين أن تكون الملاقاة من فوقه أو تحته أو أحد جانبيه، وكذلك لا يشكّون في عدم الفرق فيه بين الدّواعي والأغراض في الملاقاة بأن يكون الغرض منها إزالة النجاسة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لا يبقى موردٌ للترديد في العموم المذكور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ظهر أنّه لا حاجة إلى التشبّث بعموم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كما وقع من بعض الأكابر</w:t>
      </w:r>
      <w:r>
        <w:rPr>
          <w:rStyle w:val="FootnoteAnchor"/>
          <w:rtl w:val="true"/>
        </w:rPr>
        <w:footnoteReference w:id="466"/>
      </w:r>
      <w:r>
        <w:rPr>
          <w:rFonts w:ascii="Amiri" w:hAnsi="Amiri" w:eastAsia="Amiri" w:cs="Amiri"/>
          <w:color w:val="111111"/>
          <w:sz w:val="28"/>
          <w:sz w:val="28"/>
          <w:szCs w:val="28"/>
          <w:rtl w:val="true"/>
          <w:lang w:bidi="ar-SA"/>
        </w:rPr>
        <w:t xml:space="preserve">، فإنّه وإنْ كان هذا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اختلاف التلاقي موجباً لتعدّد أفراد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ليس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الاستدلال للحكم في المقام بجميع ما دلّ على انفعال الماء القليل،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أَصَابَهُ قَطْرَةٌ مِنْ طَشْتٍ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أَوْ قَذَرٍ فَيَغْسِلُ مَا أَصَابَهُ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السند في جهة أنّها مرسلة، ورويت في كتب الفقهاء عن العيص من دون ذكر الطريق، ولا تكون مذكورة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لأنّ الظاهر من رواية الشيخ عن العيص وجدانها في كتابه، وطريق الشيخ إليه حَسَنٌ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ليس على نحو يحصل الوثوق به، لاحتمال أن يكون الشيخ رواها من غير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الشيخ ذكرها في مقام الاستدلال، واعتمد عليها، فهذا كاشفٌ عن صحّة سندها لديه، وهذا المقدار كافٍ في دخول الخبر في موضوع الحجيّة، كما لايخفى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الطعن في الدلالة، بحملها على الطشت الذي يكون فيه عين البول والقذر، يدفعه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سنان المتقدّمة</w:t>
      </w:r>
      <w:r>
        <w:rPr>
          <w:rStyle w:val="FootnoteAnchor"/>
          <w:rtl w:val="true"/>
        </w:rPr>
        <w:footnoteReference w:id="468"/>
      </w:r>
      <w:r>
        <w:rPr>
          <w:rFonts w:ascii="Amiri" w:hAnsi="Amiri" w:eastAsia="Amiri" w:cs="Amiri"/>
          <w:color w:val="111111"/>
          <w:sz w:val="28"/>
          <w:sz w:val="28"/>
          <w:szCs w:val="28"/>
          <w:rtl w:val="true"/>
          <w:lang w:bidi="ar-SA"/>
        </w:rPr>
        <w:t>في بحث الماء المستعمل في رفع الحدث الأكبر، الدالّة على عدم جواز استعمال الغسالة 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من النجاسة، ولذا التزم به القائل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الاستدلال لها بموثّق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الْكُوزِ والإنَاءِ يَكُونُ قَذِراً كَيْفَ يُغْسَلُ، وكَمْ مَرَّةً يُغْسَلُ؟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 فَيُحَرَّكُ فِيهِ ثُمَّ يُفْرَغُ مِنْهُ وقَدْ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الأمر بالإفراغ إرشاداً إلى اعتبار انفصال الغسالة في التطهير لأجل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وإنْ كان في الغَسلة المزيلة، إلّاأنّه تدلّ تلك الأدلّة على نجاسة الغُسالة في غيرها أيضاً، بناءً على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وبأنّ القول بالنجاسة يؤدّي إلى أنّ الثوب وغيره لا يطهر إلّابإيراد كُرّ عليه، وذلك يشقّ، وينافي ضرورة المذهب، فلابدَّ من القول بعدم انفعال الغُسالة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وبخبر عمر بن يزيد،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فِي مُغْتَسَلٍ يُبَالُ فِيهِ ويُغْتَسَلُ مِنَ الْجَنَابَةِ فَيَقَعُ فِي الإنَاءِ مَا يَنْزُو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ورد في كتب العامّة بصيغ مختلفة</w:t>
      </w:r>
      <w:r>
        <w:rPr>
          <w:rStyle w:val="FootnoteAnchor"/>
          <w:rtl w:val="true"/>
        </w:rPr>
        <w:footnoteReference w:id="471"/>
      </w:r>
      <w:r>
        <w:rPr>
          <w:rFonts w:ascii="Amiri" w:hAnsi="Amiri" w:eastAsia="Amiri" w:cs="Amiri"/>
          <w:color w:val="111111"/>
          <w:sz w:val="28"/>
          <w:sz w:val="28"/>
          <w:szCs w:val="28"/>
          <w:rtl w:val="true"/>
          <w:lang w:bidi="ar-SA"/>
        </w:rPr>
        <w:t>، منها ما ذكره البخاري في جامعه،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فَبَالَ فِي طَائِفَةِ الْمَسْجِدِ فَزَجَرَهُ‌النَّاسُ، فَنَهَاهُمْ النَّبِيُّ صلى الله عليه و آله فَلَمَّا قَضَى بَوْلَهُ أَمَرَ النَّبِيُّ صلى الله عليه و آله بِذَنُوبٍ مِنْ مَاءٍ فَأُهْرِيقَ عَلَيْهِ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وبالتعليل المتقدّم في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ورد في صحيح الأحول،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أَسْتَنْجِي ثُمَّ يَقَعُ ثَوْبِي فِيهِ وأَنَا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أنّه ظاهر في الاستنجاء من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ورد في غُسالة الحمّام التي لا تنفكّ غالباً عن الماء المستعمل في إزالة النجاسة من نفيه عليه السلام البأس عنها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يرجع إليه مع عدم الدليل، وقد عرفت ما يدلّ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أنّ النجس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اُريد بذلك أنّه تعتبر طهارة الماء المطهر قبل الغسل، فهو ممّا لا ريب 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نصّاً وفتوى، إلّاأنّه لا ينافي تنجّسه بعد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اعتبار طهارته حتّى بعد الغسل، فهو 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اعتبارها،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الدالّة على عدم جواز الانتفاع بالمايعات النجسة ونظائرها، إنّما تدلّ على عدم جواز الانتفاع بما يكون نجساً قبل الانتفاع، وأمّا ما يصير نجساً بعد الانتفاع، فتلك الأخبار 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كلّ نجسٍ منجسٌ، فلا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مخصّصة في المقام قطعاً، سواءٌ التزمنا بعدم إنفعال القليل، أو انفعاله وعدم منجّسيّته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بالأوّل ليس بأولى من العكس، بل الثاني أولى، لأنّ ما تأثّر من شيء يمتنع تأثيره فيه بمثل الأثر الموجود، بل بحسب الاعتبار يؤثّر فيه خلافه بنقل ما فيه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أصالة العموم بالنسبة إلى الماء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للتخصيص، أو للتخصّص، بخلاف قاعدة إنفعال القليل، فإنّه يشكّ في تخصيصها، فيرجع فيها إلى أصالة العموم وعدم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طَعَن فيه بعض المعاصرين بضعف السند، ولم أرَ وجهاً له إلّاكون معلّى بن محمّد في الطريق،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لكونه من مشايخ الإجازة، تكون رواياته موثّقات، إلّا أنّه لا يدلّ على هذا القول إذ يحتمل أن يكون مورد السؤال صورة الشكّ في إصابة القطرة الموضع الذي أصابه البول لا صورة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نجاسة ما اغتسل به من الجنابة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لو تمّت دلالته، لدلَّ على عدم نجاسة القطرة الملاقية مع النجس </w:t>
      </w:r>
    </w:p>
    <w:p>
      <w:pPr>
        <w:pStyle w:val="BookText"/>
        <w:rPr/>
      </w:pPr>
      <w:r>
        <w:rPr>
          <w:rFonts w:ascii="Amiri" w:hAnsi="Amiri" w:eastAsia="Amiri" w:cs="Amiri"/>
          <w:color w:val="111111"/>
          <w:sz w:val="28"/>
          <w:sz w:val="28"/>
          <w:szCs w:val="28"/>
          <w:rtl w:val="true"/>
          <w:lang w:bidi="ar-SA"/>
        </w:rPr>
        <w:t>غير المستقرّة معه، وهي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هريرة، وهي عندنا ضعيفة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المتقدّم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محلّه</w:t>
      </w:r>
      <w:r>
        <w:rPr>
          <w:rStyle w:val="FootnoteAnchor"/>
          <w:rtl w:val="true"/>
        </w:rPr>
        <w:footnoteReference w:id="475"/>
      </w:r>
      <w:r>
        <w:rPr>
          <w:rFonts w:ascii="Amiri" w:hAnsi="Amiri" w:eastAsia="Amiri" w:cs="Amiri"/>
          <w:color w:val="111111"/>
          <w:sz w:val="28"/>
          <w:sz w:val="28"/>
          <w:szCs w:val="28"/>
          <w:rtl w:val="true"/>
          <w:lang w:bidi="ar-SA"/>
        </w:rPr>
        <w:t>أنّه لا يمكن التعدّي عن مورده،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أنّه أخصّ من المدّعى، ظاهره الاستنجاء من البول والغائط في حال الجنابة، إذ الظاهر أنّ السائل تخيّل دخلها في اختلاف حكم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حُملت على الغالب من عدم خلوّ الماء المجتمع عن وجود المستعمل في إزالة الاخباث فيه، لدلّت على طهارته مع ملاقاة نجس العين، فإنّ التعليل في كثيرٍ من الأخبار الناهية باغتسال أصناف الكفّار، ظاهرٌ في عدم الانفكاك، أو كون الغالب ذلك، وهو ممّا لا يلتزم به المستدلّ، لأنّ الكلام في المقام بعد الفراغ عن إنفعال الماء القليل، فلا محيص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الغُسالة التي وقع الخلاف في حكمها، وهي ما لم يعلم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المياه المجتمعة المتّصلة بالمادّة، ولو بجريان الماء إليها من الحياض الصغار، كما تؤيّده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والحَرَج من الحكم بنجاستها،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w:t>
      </w:r>
      <w:r>
        <w:rPr>
          <w:rStyle w:val="FootnoteAnchor"/>
          <w:rtl w:val="true"/>
        </w:rPr>
        <w:footnoteReference w:id="476"/>
      </w:r>
      <w:r>
        <w:rPr>
          <w:rFonts w:ascii="Amiri" w:hAnsi="Amiri" w:eastAsia="Amiri" w:cs="Amiri"/>
          <w:color w:val="111111"/>
          <w:sz w:val="28"/>
          <w:sz w:val="28"/>
          <w:szCs w:val="28"/>
          <w:rtl w:val="true"/>
          <w:lang w:bidi="ar-SA"/>
        </w:rPr>
        <w:t>لطهارة خصوص الغَسلة المطهّرة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الماء الباقي بعد الانفصال طاهرٌ بلا كلام، فلو كان طاهراً قبل انفصال ما ينفصل، لزم اختلاف حكم الماء الواحد، وإلّا لزم طهارة الماء بدون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الماء في الغَسلة المطهّرة مزيلٌ للنجاسة وغالبٌ عليها، فلايكون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في القاعدة المزبورة ساقطة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للتخصيص أو للتخصّص، وإمّا لقاعدة إنفعال القليل، فيشكّ في تخصيصها، فيرجع فيه إلى أصالة العموم وعدم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تخصيص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إذ هو الموافق للمرتكز العرفي في قذاراتهم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يخرج عن الجزئيّة بالانفصال، ويتبع المغسول في الحكم، كما يدلّ عليه الإجماع، ويساعده العرف والإعتبار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بعض الأعاظم</w:t>
      </w:r>
      <w:r>
        <w:rPr>
          <w:rStyle w:val="FootnoteAnchor"/>
          <w:rtl w:val="true"/>
        </w:rPr>
        <w:footnoteReference w:id="477"/>
      </w:r>
      <w:r>
        <w:rPr>
          <w:rFonts w:ascii="Amiri" w:hAnsi="Amiri" w:eastAsia="Amiri" w:cs="Amiri"/>
          <w:color w:val="111111"/>
          <w:sz w:val="28"/>
          <w:sz w:val="28"/>
          <w:szCs w:val="28"/>
          <w:rtl w:val="true"/>
          <w:lang w:bidi="ar-SA"/>
        </w:rPr>
        <w:t>من أنّ التبعيّة ليست من المطهّرات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مضافاً إلى ما أوردناه أوّلاً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الماء في الغَسلة المطهرة يحمل القذارة عن المحلّ، وينقلها إلى نفسه، فهو يصير نجساً والمحلّ طاهراً، وهذا هو الموافق للمرتكز العرفي، وتدلّ عليه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بالنجاسة في جميع الغَسَلات أقوى بحسب الأدلّة،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نزاعين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بالطهارة، هل هي على سبيل العفو، بمعنى الطهارة دون الطهوريّة؟</w:t>
      </w:r>
    </w:p>
    <w:p>
      <w:pPr>
        <w:pStyle w:val="BookText"/>
        <w:rPr/>
      </w:pPr>
      <w:r>
        <w:rPr>
          <w:rFonts w:ascii="Amiri" w:hAnsi="Amiri" w:eastAsia="Amiri" w:cs="Amiri"/>
          <w:color w:val="111111"/>
          <w:sz w:val="28"/>
          <w:sz w:val="28"/>
          <w:szCs w:val="28"/>
          <w:rtl w:val="true"/>
          <w:lang w:bidi="ar-SA"/>
        </w:rPr>
        <w:t>أو تكون طاهرة ومطهرة من الحَدَث والخَبَث؟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تكون رافعة للخبث دون الحدث؟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أقواها الأوّل، إذ يدلّ على عدم رافعيّتها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المتقدّم في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عدم رافعيّتها للخبث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من إنّ القول برفع الخَبَث بها دون الحَدَث خَرقٌ للإجماع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الوارد في كيفيّة تطهير الإناء والكوز، المتقدّم في صدر المسألة، فإنّ أمره عليه السلام بإفراغ الماء، وصبّ ماءٍ آخر فيه، يدلّ على أنّه لا يزيل الخبث، وإلّا لأمكن غسل الإناء ثلاث مرّات بماء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كالمحلّ قبل الغَسل، فيجب التعدّد فيما وجب فيه ذلك، ولو كانت من الأخيرة؟</w:t>
      </w:r>
    </w:p>
    <w:p>
      <w:pPr>
        <w:pStyle w:val="BookText"/>
        <w:rPr/>
      </w:pPr>
      <w:r>
        <w:rPr>
          <w:rFonts w:ascii="Amiri" w:hAnsi="Amiri" w:eastAsia="Amiri" w:cs="Amiri"/>
          <w:color w:val="111111"/>
          <w:sz w:val="28"/>
          <w:sz w:val="28"/>
          <w:szCs w:val="28"/>
          <w:rtl w:val="true"/>
          <w:lang w:bidi="ar-SA"/>
        </w:rPr>
        <w:t>أم هي كالمحلّ بعد تلك الغسلة، فتنقص كلّما ينقص؟</w:t>
      </w:r>
    </w:p>
    <w:p>
      <w:pPr>
        <w:pStyle w:val="BookText"/>
        <w:rPr/>
      </w:pPr>
      <w:r>
        <w:rPr>
          <w:rFonts w:ascii="Amiri" w:hAnsi="Amiri" w:eastAsia="Amiri" w:cs="Amiri"/>
          <w:color w:val="111111"/>
          <w:sz w:val="28"/>
          <w:sz w:val="28"/>
          <w:szCs w:val="28"/>
          <w:rtl w:val="true"/>
          <w:lang w:bidi="ar-SA"/>
        </w:rPr>
        <w:t>أم يكفي فيها مطلق الغسل؟</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 الثاني</w:t>
      </w:r>
      <w:r>
        <w:rPr>
          <w:rStyle w:val="FootnoteAnchor"/>
          <w:rtl w:val="true"/>
        </w:rPr>
        <w:footnoteReference w:id="478"/>
      </w:r>
      <w:r>
        <w:rPr>
          <w:rFonts w:ascii="Amiri" w:hAnsi="Amiri" w:eastAsia="Amiri" w:cs="Amiri"/>
          <w:color w:val="111111"/>
          <w:sz w:val="28"/>
          <w:sz w:val="28"/>
          <w:szCs w:val="28"/>
          <w:rtl w:val="true"/>
          <w:lang w:bidi="ar-SA"/>
        </w:rPr>
        <w:t xml:space="preserve">، لأنّه وإنْ كان مقتضى القاعدة في نجاسة ما لم يرد من الشارع في إزالتها تحديد الغسل حتّى يتيقّن بالطهارة،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كما سيمرّ عليك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ريب في ضعف النجاسة في الغَسلة الثانية وما بعدها، إذ الفرع لا يزيد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الغَسل لإطلاق أمره عليه السلام بالغَسل في خبر العيص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في مقام البيان من هذه الجهة، وإنّما هو في مقام بيان التفصيل بين الغُسالة والماء المستعمل في الوضوء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طهارة القطرات التي تقع في الإناء عند الغسل، كما عن جماعة</w:t>
      </w:r>
      <w:r>
        <w:rPr>
          <w:rStyle w:val="FootnoteAnchor"/>
          <w:rtl w:val="true"/>
        </w:rPr>
        <w:footnoteReference w:id="479"/>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كلّ يسير من الماء المستعمل الذي يمتزج بما يضمحلّ فيه، ولا يصدق عليه هذا العنوان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الاستهلاك حتّى يُقال إنّه غير معقول في المتجانسين، بل المراد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الجواز في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أدلّة المانعين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كصحيحة الفضيل،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الْجُنُبِ يَغْتَسِلُ فَيَنْتَضِحُ مِنَ الْمَاءِ فِي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هذه النصوص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السؤال الإغتسال ممّا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الغالب في التقاطر كونه في أوّل الغسل، وعدم التنبيه على عدم جواز الاغتسال به، يدلّ على الجواز</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مقتضى إطلاق نفي البأس هي الطهارة والمطهريّة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احتمله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مع تساوي المستعمل وغيره، بدعوى ظهور الدليل في انحصار الغسل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الدليل النهي عن استعماله في الغَسل، فيشمل صورة ضميمة غيره معه</w:t>
      </w:r>
      <w:r>
        <w:rPr>
          <w:rFonts w:eastAsia="Amiri" w:cs="Amiri" w:ascii="Amiri" w:hAnsi="Amiri"/>
          <w:color w:val="111111"/>
          <w:sz w:val="28"/>
          <w:szCs w:val="28"/>
          <w:rtl w:val="true"/>
          <w:lang w:bidi="ar-SA"/>
        </w:rPr>
        <w:t>.</w:t>
      </w:r>
      <w:bookmarkStart w:id="186" w:name="pg11794_146996"/>
    </w:p>
    <w:p>
      <w:pPr>
        <w:pStyle w:val="Heading6"/>
        <w:numPr>
          <w:ilvl w:val="5"/>
          <w:numId w:val="1"/>
        </w:numPr>
        <w:rPr/>
      </w:pPr>
      <w:bookmarkStart w:id="187" w:name="__RefHeading___Toc10299022_73709187"/>
      <w:bookmarkStart w:id="188" w:name="_Toc67"/>
      <w:bookmarkEnd w:id="186"/>
      <w:bookmarkEnd w:id="187"/>
      <w:r>
        <w:rPr>
          <w:rtl w:val="true"/>
        </w:rPr>
        <w:t>شرائط طهارة ماء الاستنجاء</w:t>
      </w:r>
      <w:bookmarkEnd w:id="188"/>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طهارة ماء الاستنجاء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تغيّره في أحد الأوصاف الثلاثة، وعن غير واحدٍ دعوى الإجماع عليه، لما دلَّ على نجاسة المتغيّر، والنسبة بينه وبين ما دلَّ على طهارة ماء الاستنجاء وإنْ كانت عموماً من وجه، إلّاأنّه يقدّم</w:t>
      </w:r>
      <w:r>
        <w:rPr>
          <w:rStyle w:val="FootnoteAnchor"/>
          <w:rtl w:val="true"/>
        </w:rPr>
        <w:footnoteReference w:id="481"/>
      </w:r>
      <w:r>
        <w:rPr>
          <w:rFonts w:ascii="Amiri" w:hAnsi="Amiri" w:eastAsia="Amiri" w:cs="Amiri"/>
          <w:color w:val="111111"/>
          <w:sz w:val="28"/>
          <w:sz w:val="28"/>
          <w:szCs w:val="28"/>
          <w:rtl w:val="true"/>
          <w:lang w:bidi="ar-SA"/>
        </w:rPr>
        <w:t>لظهور ما دلَّ على الطهارة في طهارته من حيث الملاقاة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 إطلاق حمله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ملاحظة نجاسة الكرّ والجاري والمطر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أسهل من حمل ما يدلّ على النجاسة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التعليل في خبر الأحول المتقدّم كالنصّ في الاختصاص بغير المتغيّر، إذ المراد من أكثريّة الماء من القذر استهلاكه له، وعدم ظهور أثره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القول بنجاسته، وعدم منجّسيّته لملاقيه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ما يدلّ على نجاسة ملاقي الماء المتغيّر، هو ما يدلّ بعمومه على نجاسة ملاقي كلّ نجسٍ، فالنسبة بينه وبين ما يدلّ على عدم البأس بماء الاستنجاء،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اشتراط الشرط المزبور قويٌ، للتعليل، ولظهور نصوص المقام في عدم منجّسيّته من حيث الملاقاة لا مطلقاً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نجاسةٍ إليه من الخارج، لعدم تعرّض نصوص المقام لهذه الجهة، فيرجع إلى عموم دليل نجاسة ملاقي النجس، أو عموم ما دلَّ على </w:t>
      </w:r>
    </w:p>
    <w:p>
      <w:pPr>
        <w:pStyle w:val="BookText"/>
        <w:rPr/>
      </w:pPr>
      <w:r>
        <w:rPr>
          <w:rFonts w:ascii="Amiri" w:hAnsi="Amiri" w:eastAsia="Amiri" w:cs="Amiri"/>
          <w:color w:val="111111"/>
          <w:sz w:val="28"/>
          <w:sz w:val="28"/>
          <w:szCs w:val="28"/>
          <w:rtl w:val="true"/>
          <w:lang w:bidi="ar-SA"/>
        </w:rPr>
        <w:t>إنفعال الماء القليل على اختلاف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اعتبار الشرائط الثلاثة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معه نجاسة أُخرى مثل الدم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أجزاء من الغائط بحيث تتميّز</w:t>
      </w:r>
      <w:r>
        <w:rPr>
          <w:rFonts w:eastAsia="Amiri" w:cs="Amiri" w:ascii="Amiri" w:hAnsi="Amiri"/>
          <w:color w:val="111111"/>
          <w:sz w:val="28"/>
          <w:szCs w:val="28"/>
          <w:rtl w:val="true"/>
          <w:lang w:bidi="ar-SA"/>
        </w:rPr>
        <w:t>.</w:t>
      </w:r>
      <w:bookmarkStart w:id="189" w:name="pg11794_146998"/>
    </w:p>
    <w:p>
      <w:pPr>
        <w:pStyle w:val="Heading6"/>
        <w:numPr>
          <w:ilvl w:val="5"/>
          <w:numId w:val="1"/>
        </w:numPr>
        <w:rPr/>
      </w:pPr>
      <w:bookmarkStart w:id="190" w:name="__RefHeading___Toc10299024_73709187"/>
      <w:bookmarkStart w:id="191" w:name="_Toc68"/>
      <w:bookmarkEnd w:id="189"/>
      <w:bookmarkEnd w:id="190"/>
      <w:r>
        <w:rPr>
          <w:rtl w:val="true"/>
        </w:rPr>
        <w:t>حكم خروج الدود مع الغائط</w:t>
      </w:r>
      <w:bookmarkEnd w:id="19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مع الغائط دودٌ، أو جزء غير منهضم من الغذاء، ففي طهارته وعدمها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وهو ماقوّاه الشيخ الأعظم رحمه الله، وقوّاه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وهو ما قوّاه المحقّق الهمداني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الأشياء بنظر العرف لا يكون لها أثرٌ مستقلّ، مضافاً إلى غلبة حدوثها، وترك التفصيل في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في الأمزجة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ترتّب أثرٍ مستقلّ عليها بنظر العرف، و عدم كونها بنظرهم من الخصوصيّات المصنّفة لماء الاستنجاء، مع فرض دلالة الأدلّة الشرعيّة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لايعتنى به؛ لعدم كون الأحكام الشرعيّة منوطة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طهارة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نجاسته وعدم منجّسيّته فكذلك، لاختصاص الأدلّة بالماء المتمحّض في الملاقاة مع النجاسة الخاصّة، والمتنجّس بها كالنجس الأجنبي لا يكون مشمولاً لهذه الأدلّة، وعدم التنبيه على حكمها في النصوص كعدم التنبيه على حكم الدم الخارج مع أحدهما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اعتبار عدم خروج هذه الأشياء مع الغائط في الحكم المترتّب على ماء الاستنجاء</w:t>
      </w:r>
      <w:r>
        <w:rPr>
          <w:rFonts w:eastAsia="Amiri" w:cs="Amiri" w:ascii="Amiri" w:hAnsi="Amiri"/>
          <w:color w:val="111111"/>
          <w:sz w:val="28"/>
          <w:szCs w:val="28"/>
          <w:rtl w:val="true"/>
          <w:lang w:bidi="ar-SA"/>
        </w:rPr>
        <w:t>.</w:t>
      </w:r>
      <w:bookmarkStart w:id="192" w:name="pg11794_146999"/>
    </w:p>
    <w:p>
      <w:pPr>
        <w:pStyle w:val="Heading6"/>
        <w:numPr>
          <w:ilvl w:val="5"/>
          <w:numId w:val="1"/>
        </w:numPr>
        <w:rPr/>
      </w:pPr>
      <w:bookmarkStart w:id="193" w:name="__RefHeading___Toc10299026_73709187"/>
      <w:bookmarkStart w:id="194" w:name="_Toc69"/>
      <w:bookmarkEnd w:id="192"/>
      <w:bookmarkEnd w:id="193"/>
      <w:r>
        <w:rPr>
          <w:rtl w:val="true"/>
        </w:rPr>
        <w:t>حكم خروج الغائط من المخرج غير الطبيعي</w:t>
      </w:r>
      <w:bookmarkEnd w:id="19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الغائط من غير المخرج الطبيعي،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كالطبيعي مطلقاً، وكون حكمه حكم سائر النجاسات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الاعتياد فكالطبيعي، وبين عدمه فحكمه حكم النجاسات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إذا الاستنجاء بحسب المتفاهم العرفي، عبارة عن غسل موضع النجو، ولا يصدق هذا العنوان مع كون خروجه بمحض الاتّفاق، بل يعتبر كونه معدّاً لذلك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يفرّق بين أن يكون الإعداد أصليّاً كالمخرج الطبيعي، وبين أن يكون عَرَضيّاً كغيره مع الاعتياد</w:t>
      </w:r>
      <w:r>
        <w:rPr>
          <w:rFonts w:eastAsia="Amiri" w:cs="Amiri" w:ascii="Amiri" w:hAnsi="Amiri"/>
          <w:color w:val="111111"/>
          <w:sz w:val="28"/>
          <w:szCs w:val="28"/>
          <w:rtl w:val="true"/>
          <w:lang w:bidi="ar-SA"/>
        </w:rPr>
        <w:t>.</w:t>
      </w:r>
      <w:bookmarkStart w:id="195" w:name="pg11794_147000"/>
    </w:p>
    <w:p>
      <w:pPr>
        <w:pStyle w:val="Heading6"/>
        <w:numPr>
          <w:ilvl w:val="5"/>
          <w:numId w:val="1"/>
        </w:numPr>
        <w:rPr/>
      </w:pPr>
      <w:bookmarkStart w:id="196" w:name="__RefHeading___Toc10299028_73709187"/>
      <w:bookmarkStart w:id="197" w:name="_Toc70"/>
      <w:bookmarkEnd w:id="195"/>
      <w:bookmarkEnd w:id="196"/>
      <w:r>
        <w:rPr>
          <w:rtl w:val="true"/>
        </w:rPr>
        <w:t>الشكّ في حقيقة ماء الغُسالة</w:t>
      </w:r>
      <w:bookmarkEnd w:id="19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ماءٍ أنّه غسالة الاستنجاء، أو غسالة سائر النجاسات؟ فقد يتوهّم أنّه يحكم عليه بالطهارة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لزوم الاجتناب، لأنّ الجمع بين ما دلَّ على إنفعال القليل مطلقاً، وبين ما دلَّ على طهارة ماء الاستنجاء أو عدم منجّسيّته، يقتضي أن يكون موضوع حكم العام القليل الملاقي للنجس الذي ليس بماء الإستنجاء، وحيثُ أنّ جزء من الموضوع وهو الملاقاة وجداني، والآخر وهو عدم كونه ماء الاستنجاء مورداً للاستصحاب، فمع ضمّ الوجدان بالأصل يُحرز موضوع الانفعال فيحكم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أيضاً الاجتناب على بعض المباني، كالبناء على أنّ إناطة الحكم الترخيصي على أمرٍ وجودي تقتضي إحرازه، ومع الشكّ فيه يبنى على عدمه، وكالبناء على التمسّك بالعام في الشبهة المصداقيّة، وتماميّة قاعدة المقتضي والمانع، ولكن عرفت عدم تماميّة شيء من هذه المباني فلا نعيد</w:t>
      </w:r>
      <w:r>
        <w:rPr>
          <w:rFonts w:eastAsia="Amiri" w:cs="Amiri" w:ascii="Amiri" w:hAnsi="Amiri"/>
          <w:color w:val="111111"/>
          <w:sz w:val="28"/>
          <w:szCs w:val="28"/>
          <w:rtl w:val="true"/>
          <w:lang w:bidi="ar-SA"/>
        </w:rPr>
        <w:t>.</w:t>
      </w:r>
      <w:bookmarkStart w:id="198" w:name="pg11794_147001"/>
    </w:p>
    <w:p>
      <w:pPr>
        <w:pStyle w:val="Heading6"/>
        <w:numPr>
          <w:ilvl w:val="5"/>
          <w:numId w:val="1"/>
        </w:numPr>
        <w:rPr/>
      </w:pPr>
      <w:bookmarkStart w:id="199" w:name="__RefHeading___Toc10299030_73709187"/>
      <w:bookmarkStart w:id="200" w:name="_Toc71"/>
      <w:bookmarkEnd w:id="198"/>
      <w:bookmarkEnd w:id="199"/>
      <w:r>
        <w:rPr>
          <w:rtl w:val="true"/>
        </w:rPr>
        <w:t>حُكم الغُسل في ماء الكُرّ</w:t>
      </w:r>
      <w:bookmarkEnd w:id="200"/>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في كُرّ كخزانة الحمّام، أو استنجى فيه، لا يصدق عليه غُسالة الحَدَث الأكبر، أو غسالة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صدق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ريب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النزاع مخصوص في المستعمل إذا كان قليلاً، وأمّا لو كان كثيراً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الأعظم رحمه الله</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خبر ابن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المستند للمنع بما يغتسل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لابدَّ من التفصيل بين ما لو كان الاغتسال بالصبّ على المحلّ، ولو كان كثيراً، وبين ما لو كان بالارتماس ولو كان قليلاً، فيمنع في الأوّل</w:t>
      </w:r>
      <w:r>
        <w:rPr>
          <w:rStyle w:val="FootnoteAnchor"/>
          <w:rtl w:val="true"/>
        </w:rPr>
        <w:footnoteReference w:id="486"/>
      </w:r>
      <w:r>
        <w:rPr>
          <w:rFonts w:ascii="Amiri" w:hAnsi="Amiri" w:eastAsia="Amiri" w:cs="Amiri"/>
          <w:color w:val="111111"/>
          <w:sz w:val="28"/>
          <w:sz w:val="28"/>
          <w:szCs w:val="28"/>
          <w:rtl w:val="true"/>
          <w:lang w:bidi="ar-SA"/>
        </w:rPr>
        <w:t>دون الثاني</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شمول الرواية 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فرض تماميّة دلالة خبر ابن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لابدَّ من الخروج عنه في الكثير لصحيح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الْحِيَاضِ الَّتِي مَا بَيْنَ مَكَّةَ إِلَى الْمَدِينَةِ، تَرِدُهَا السِّبَاعُ، وتَلَغُ فِيهَا الْكِلابُ، وتَشْرَبُ مِنْهَا الْحَمِيرُ، ويَغْتَسِلُ فِيهَا الْجُنُبُ ويُتَوَضَّأُ مِنْهُ؟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وإِلَى الرُّكْبَةِ،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201" w:name="pg11794_147002"/>
    </w:p>
    <w:p>
      <w:pPr>
        <w:pStyle w:val="Heading6"/>
        <w:numPr>
          <w:ilvl w:val="5"/>
          <w:numId w:val="1"/>
        </w:numPr>
        <w:rPr/>
      </w:pPr>
      <w:bookmarkStart w:id="202" w:name="__RefHeading___Toc10299032_73709187"/>
      <w:bookmarkStart w:id="203" w:name="_Toc72"/>
      <w:bookmarkEnd w:id="201"/>
      <w:bookmarkEnd w:id="202"/>
      <w:r>
        <w:rPr>
          <w:rtl w:val="true"/>
        </w:rPr>
        <w:t>الثالثة</w:t>
      </w:r>
      <w:r>
        <w:rPr>
          <w:rtl w:val="true"/>
        </w:rPr>
        <w:t xml:space="preserve">: </w:t>
      </w:r>
      <w:r>
        <w:rPr>
          <w:rtl w:val="true"/>
        </w:rPr>
        <w:t>غُسالة الحمّام نجسة</w:t>
      </w:r>
      <w:bookmarkEnd w:id="203"/>
    </w:p>
    <w:p>
      <w:pPr>
        <w:pStyle w:val="Heading6"/>
        <w:numPr>
          <w:ilvl w:val="5"/>
          <w:numId w:val="1"/>
        </w:numPr>
        <w:rPr/>
      </w:pPr>
      <w:bookmarkStart w:id="204" w:name="__RefHeading___Toc10299034_73709187"/>
      <w:bookmarkStart w:id="205" w:name="_Toc7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نجسة، ما لم يعلم خُلوّها من النجاسة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0299036_73709187"/>
      <w:bookmarkStart w:id="207" w:name="_Toc74"/>
      <w:bookmarkEnd w:id="206"/>
      <w:r>
        <w:rPr>
          <w:rtl w:val="true"/>
        </w:rPr>
        <w:t>غُسالة الحمّام</w:t>
      </w:r>
      <w:bookmarkEnd w:id="20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بملاقاتها مع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كُرّاً، بلا خلاف، كما أنّه لا كلام في الطهارة مع العلم بعدم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خُلوّها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المصنّف رحمه الله في جملةٍ من كتبه</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الكركي</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 آخرين منهم الصدوقان</w:t>
      </w:r>
      <w:r>
        <w:rPr>
          <w:rStyle w:val="FootnoteAnchor"/>
          <w:rtl w:val="true"/>
        </w:rPr>
        <w:footnoteReference w:id="491"/>
      </w:r>
      <w:r>
        <w:rPr>
          <w:rFonts w:ascii="Amiri" w:hAnsi="Amiri" w:eastAsia="Amiri" w:cs="Amiri"/>
          <w:color w:val="111111"/>
          <w:sz w:val="28"/>
          <w:sz w:val="28"/>
          <w:szCs w:val="28"/>
          <w:rtl w:val="true"/>
          <w:lang w:bidi="ar-SA"/>
        </w:rPr>
        <w:t>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جواز التطهير والغُسل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استعمالها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 والمطهريّة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ابن أبي يعفور،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وهُوَ لا يَطْهُرُ إِلَى سَبْعَةِ آبَاء، ٍ وفِيهَا غُسَالَةُ النَّاصِبِ وهُوَ شَرُّهُمَا، إِنَّ اللّهَ لَمْ يَخْلُقْ خَلْقاً شَرّاً مِنَ الْكَلْبِ، وإِنَّ النَّاصِبَ أَهْوَنُ عَلَى اللّهِ مِنَ الْكَلْبِ</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الآخر الذي رواه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حمزة بن أحمد،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أَوْ سَأَلَهُ غَيْرِي عَنِ الْحَمَّامِ؟ قَالَ ادْخُلْهُ بِمِئْزَرٍ وغُضَّ بَصَرَكَ، ولا تَغْتَسِلْ مِنَ الْبِئْرِ الَّتِي يَجْتَمِعُ فِيهَا مَاءُ الْحَمَّامِ، فَإِنَّهُ يَسِيلُ فِيهَا مَا يَغْتَسِلُ بِهِ الْجُنُبُ ووَلَدُ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الاغتسال أعمّ من النجاسة، لاسيّما بملاحظة اشتمالها على التعليل بملاقاتها لما ليس ينجس كولد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ينافيه ذكر الناصب واليهودي والنصراني والمجوسي فيها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التعليل ليس صورة العلم بوجود غسالتهم في البئر، فإنّه حينئذٍ لا شبهة في النجاسة، وقد عرفت خروج هذه الصورة عن مورد الكلام،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المراد احتمال وجودها أو الظنّ به، وعدم النجاسة في الفرض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ينافي حمل النهي على إرادة عدم جواز التطهير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بعض الأجلّة</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هذه الدعوى، من إمكان طهارة الماء المجتمع لاتّصاله بما يجري عليه من أرض الحمّام، المتّصل بما في الحياض المتّصل بالمادّة،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معارضتها بالنصوص الدالّة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التي رواها أبي يحيى الواسطي،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وغَيْرُهُ أَغْتَسِلُ مِنْ مَائِهِ؟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ولَقَدِ اغْتَسَلْتُ فِيهِ ثُمَّ جِئْتُ فَغَسَلْتُ رِجْلَيَّ ومَا غَسَلْتُهُمَا إِلّا مِمَّا لَزِقَ بِهِمَا مِنَ التُّرَابِ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يَخْرُجُ مِنَ الْحَمَّامِ فَيَمْضِي كَمَا هُوَ لا يَغْسِلُ رِجْلَيْهِ حَتَّى يُصَلِّيَ</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نصوص المسألة هو البئر الّتي يجتمع فيها ماء الحمّام، وإلحاق المياه المنحدرة في سطح الحمّام الّتي هي مورد الخبرين الأخيرين بها لا دليل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فالاستدلال بهما في المقام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الآبار إنّما كانت معدَّة لاجتماع المياه التي تجري من أرض الحمّام التي يغتسل عليها، فحكم سطح الحمّام حكم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غَسل رجله عليه السلام كان لأجل حصول الطهارة من المشي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قوله عليه السلام 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غَسَلْتُهُمَا إِلّا مِمَّا لَزِقَ بِهِمَا مِنَ التُّرَابِ</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الطهارة وعدم صحّة الاغتسال منها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8" w:name="pg11794_147006"/>
    </w:p>
    <w:p>
      <w:pPr>
        <w:pStyle w:val="Heading6"/>
        <w:numPr>
          <w:ilvl w:val="5"/>
          <w:numId w:val="1"/>
        </w:numPr>
        <w:rPr/>
      </w:pPr>
      <w:bookmarkStart w:id="209" w:name="__RefHeading___Toc10299038_73709187"/>
      <w:bookmarkStart w:id="210" w:name="_Toc75"/>
      <w:bookmarkEnd w:id="208"/>
      <w:bookmarkEnd w:id="209"/>
      <w:r>
        <w:rPr>
          <w:rtl w:val="true"/>
        </w:rPr>
        <w:t>الرابعة</w:t>
      </w:r>
      <w:r>
        <w:rPr>
          <w:rtl w:val="true"/>
        </w:rPr>
        <w:t xml:space="preserve">: </w:t>
      </w:r>
      <w:r>
        <w:rPr>
          <w:rtl w:val="true"/>
        </w:rPr>
        <w:t>الماءُ النجس لا يجوزُ استعماله في الطهارة</w:t>
      </w:r>
      <w:bookmarkEnd w:id="210"/>
    </w:p>
    <w:p>
      <w:pPr>
        <w:pStyle w:val="Heading6"/>
        <w:numPr>
          <w:ilvl w:val="5"/>
          <w:numId w:val="1"/>
        </w:numPr>
        <w:rPr/>
      </w:pPr>
      <w:bookmarkStart w:id="211" w:name="__RefHeading___Toc10299040_73709187"/>
      <w:bookmarkStart w:id="212" w:name="_Toc7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النجس لا يجوزُ استعماله في الطهارة، ولا إزالة النجاسة، ولا الشُّرب، إلّا مع الضرورة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0299042_73709187"/>
      <w:bookmarkStart w:id="214" w:name="_Toc77"/>
      <w:bookmarkEnd w:id="213"/>
      <w:r>
        <w:rPr>
          <w:rtl w:val="true"/>
        </w:rPr>
        <w:t>عدم جواز استعمال الماء النجس</w:t>
      </w:r>
      <w:bookmarkEnd w:id="21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النجس لا يجوز استعماله في الطهارة، ولا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الطهارة في المطهِّر من الحَدَث والخَبَث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نصّاً وفتوى،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جوازه حينئذٍ</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رفع ما اضطرّوا إليه</w:t>
      </w:r>
      <w:r>
        <w:rPr>
          <w:rStyle w:val="FootnoteAnchor"/>
          <w:rtl w:val="true"/>
        </w:rPr>
        <w:footnoteReference w:id="503"/>
      </w:r>
      <w:r>
        <w:rPr>
          <w:rFonts w:ascii="Amiri" w:hAnsi="Amiri" w:eastAsia="Amiri" w:cs="Amiri"/>
          <w:color w:val="111111"/>
          <w:sz w:val="28"/>
          <w:sz w:val="28"/>
          <w:szCs w:val="28"/>
          <w:rtl w:val="true"/>
          <w:lang w:bidi="ar-SA"/>
        </w:rPr>
        <w:t>، وأدلّة نفي الضرر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سقيه للحيوانات 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استدلّ به، أو يمكن أنْ يُستدلّ به على عدم جواز سقيه للحيوان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الآيات والروايات على عدم جواز الانتفاع بالمتنجّس إلّا ما خرج بالدليل، وحيثُ لم يدلّ دليلٌ على الجواز في المقام، فمقتضى القاعدة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حيثُ دلَّ بمقتضى التفريع على لزوم اجتناب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المراد من الرِّجس هو القذر، فالظاهر منه ما كان كذلك في ذاته لا ما عَرَض له ذلك، فيختصُّ بالأعيان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يكون المراد منه العمل القبيح، كما هو أحد معانيه، ويؤيّد إرادة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مبتدعاته، إذ المايع المتنجّس إذا تنجّس، لا يكون من أعمال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الجواب عن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بناءً على أنّ المراد بالرجز هو الرجس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يحتمل أن يكون المراد منه عبادة الأوثان، كما هي إحدى معانيه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تحريم الخبائث</w:t>
      </w:r>
      <w:r>
        <w:rPr>
          <w:rStyle w:val="FootnoteAnchor"/>
          <w:rtl w:val="true"/>
        </w:rPr>
        <w:footnoteReference w:id="506"/>
      </w:r>
      <w:r>
        <w:rPr>
          <w:rFonts w:ascii="Amiri" w:hAnsi="Amiri" w:eastAsia="Amiri" w:cs="Amiri"/>
          <w:color w:val="111111"/>
          <w:sz w:val="28"/>
          <w:sz w:val="28"/>
          <w:szCs w:val="28"/>
          <w:rtl w:val="true"/>
          <w:lang w:bidi="ar-SA"/>
        </w:rPr>
        <w:t>، بدعوى كون كلّ متنجّس خبيثاً، والتحريم المطلق يدلّ على عموم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أضعف من الاُولى، إذ فيه أنّ الظاهر منها حرمة الأكل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عدد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وفيها تعليل النهي عن بيع وجوه النجس بحرمة أكله وشربه وإمساكه وجميع 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صحّة السند، مع أنّها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العنوان، والشيء المتنجّس لا يكون عنواناً للنجاسة، وملاقي النجس ليس من عناوينها في مقابل سائر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الأمر بإهراق المايعات المتنجّسة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بطرحها إنّما يكون لأجل أنّ منفعتها المعتدّ بها عرفاً، والمطلوبة منها هو الأكل، فيكون هذا الأمر كناية عن عدم الانتفاع بها في الأكل خاصّة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اُمرنا بطرحه الدهن والزيت، مع أنّه يجوز الاستصباح بهما بلا كلام، فالمراد طرحها من ظرفٍ اُعدَّ للأكل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ذهب إليه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والسيّدين والحلّي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الانتفاع بالمتنجّس مطلقاً، ضعيفٌ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وفاقاً لأكثر المتأخّرين جوازه،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هذا جواز السقي للحيوانات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الْبَهِيمَةِ الْبَقَرَةِ وغَيْرِهَا تُسْقَى أَوْ تُطْعَمُ مَا لا يَحِلُّ لِلْمُسْلِمِ أَكْلُهُ أَوْ شُرْبُهُ أيُكْرَهُ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غياث</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الجواز على كراهيّة، ويؤيّد الجواز ما دلّ على الأمر بإطعام المرق المتنجّس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سقيه للحيوانات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5" w:name="pg11794_147010"/>
    </w:p>
    <w:p>
      <w:pPr>
        <w:pStyle w:val="Heading6"/>
        <w:numPr>
          <w:ilvl w:val="5"/>
          <w:numId w:val="1"/>
        </w:numPr>
        <w:rPr/>
      </w:pPr>
      <w:bookmarkStart w:id="216" w:name="__RefHeading___Toc10299044_73709187"/>
      <w:bookmarkStart w:id="217" w:name="_Toc78"/>
      <w:bookmarkEnd w:id="215"/>
      <w:bookmarkEnd w:id="216"/>
      <w:r>
        <w:rPr>
          <w:rtl w:val="true"/>
        </w:rPr>
        <w:t>حكم سقي الأطفال الماء النجس</w:t>
      </w:r>
      <w:bookmarkEnd w:id="21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سقيه للأطفال للعموم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للعدم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النهي عن سَقي المُسكر لهم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حرمة شرب الماء النجس عامٌ للصبيّ، فيدلّ على وجود المفسدة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رفع القلم</w:t>
      </w:r>
      <w:r>
        <w:rPr>
          <w:rStyle w:val="FootnoteAnchor"/>
          <w:rtl w:val="true"/>
        </w:rPr>
        <w:footnoteReference w:id="512"/>
      </w:r>
      <w:r>
        <w:rPr>
          <w:rFonts w:ascii="Amiri" w:hAnsi="Amiri" w:eastAsia="Amiri" w:cs="Amiri"/>
          <w:color w:val="111111"/>
          <w:sz w:val="28"/>
          <w:sz w:val="28"/>
          <w:szCs w:val="28"/>
          <w:rtl w:val="true"/>
          <w:lang w:bidi="ar-SA"/>
        </w:rPr>
        <w:t>نافٍ للإلزام والاستحقاق، ولا يكون مخصّصاً له، فسقيه إيقاعٌ له في المفسدة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يحتمل خصوصيّة للمسكر، فلا يمكن استفادة حكم المقام منه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إنّما يدلّ على رفع التكليف، فيكون مخصّصاً للعمومات، ومعه لا كاشف عن وجود المفسدة، مع أنّه لم يدلّ دليلٌ على حرمة إيقاع الصبي في مثل هذه المفسدة</w:t>
      </w:r>
      <w:r>
        <w:rPr>
          <w:rFonts w:eastAsia="Amiri" w:cs="Amiri" w:ascii="Amiri" w:hAnsi="Amiri"/>
          <w:color w:val="111111"/>
          <w:sz w:val="28"/>
          <w:szCs w:val="28"/>
          <w:rtl w:val="true"/>
          <w:lang w:bidi="ar-SA"/>
        </w:rPr>
        <w:t>.</w:t>
      </w:r>
      <w:bookmarkStart w:id="218" w:name="pg11794_147011"/>
    </w:p>
    <w:p>
      <w:pPr>
        <w:pStyle w:val="Heading6"/>
        <w:numPr>
          <w:ilvl w:val="5"/>
          <w:numId w:val="1"/>
        </w:numPr>
        <w:rPr/>
      </w:pPr>
      <w:bookmarkStart w:id="219" w:name="__RefHeading___Toc10299046_73709187"/>
      <w:bookmarkStart w:id="220" w:name="_Toc79"/>
      <w:bookmarkEnd w:id="218"/>
      <w:bookmarkEnd w:id="219"/>
      <w:r>
        <w:rPr>
          <w:rtl w:val="true"/>
        </w:rPr>
        <w:t>بيع الماء النجس</w:t>
      </w:r>
      <w:bookmarkEnd w:id="22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بيعه، لأنّه إذا كان له منفعة محلّلة يدلّ على صحّة بيعه عموم أدلّة صحّة البيع، وما يدلّ على وجوب الوفاء بالعقود، واستصحاب الحكم قبل التنجّس، وقوله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يَكُونُ لَهُمْ فِيهِ الصَّلاحُ مِنْ جِهَةٍ مِنَ الْجِهَاتِ، فَهَذَا كُلُّهُ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فقد عرفتَ أنّهما لا يدلّان على عدم جواز الانتفاع به، فضلاً عن حرمة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دلالة النهي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شيءٍ من وجوه النجس على هذا القول، لتعليله فيها بحرمة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بقرينة حذف المتعلّق، الحرمة المؤدّية إلى سلب المنفعة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يجب الإعلام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الإعلام، وعدمه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الأعظم الأنصاري قدس سره على وجوب الإعلام، بأنّ تركه تسبيب إلى فعل الحرام، كمن قدَّم إلى غيره طعاماً حراماً، فهو فاعلٌ للحرام، وفعل الحرام يستند إليه، لأنّ استناد الفعل إلى السبب أقوى، ولذا يستقرّ الضمان على السبب دون المباشر الجاهل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حرمة التسبيب بالكليّة، والفعل لا يستند إلى السبب حقيقة مع وساطة اختيار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الماء النجس، وهو الفاعل له، واستقرار الضمان على السبب، ليس لأجل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 إنّما يكون لأجل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لوجوب الإعلام، بأنّ تركه مستلزمٌ للتسبيب إلى وجود مبغوض الشارع في الخارج إذا شربه، وهو قبيحٌ بحكم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نام المولى ونَهى عبيده عن الدخول في الدار، فكما أنّ دخول العبد قبيح، كذلك تسبيبه لدخول الآخر، وبالملازمة تستكشف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بقول الإمام الصادق عليه السلام، في صحيح معاوية، الوارد في 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جُرَذٍ مَاتَ فِي زَيْتٍ مَا تَقُولُ فِي بَيْعِ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وبَيِّنْهُ لِمَنِ اشْتَرَاهُ لِيَسْتَصْبِحَ بِهِ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أمر عليه السلام بالإعلام، وبما أنّه لا ترتّب بينه وبين الاستصباح، مضافاً إلى عدم وجوبه يقيناً، فلا يكون غايةً للواجب، لأنّ غاية الواجب واجبة، وإلّا لم يكن الإعلام واجباً، بل الترتّب إنّما يكون بين الإعلام وترك الأكل، ولأجل انحصار الفائدة فيهما غالباً، كان تركه ملازماً للاستصباح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فالتعليل به إنّما يكون عَرَضيّاً، والعلّة الحقيقيّة إنّما هي ترك الأكل، فتكون العلّة في وجوب الإعلام، عدم وقوع المشتري في المحرّم الواقعي جهلاً بتسليط المالك البايع إيّاه، وبما أنّ ظاهر الدليل التنبيه على أمرٍ عرفي، يتعدّى عن مورده إلى سائر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الوجهين الذين ذكرناهما لوجوب الإعلام، فوجوبه إنّما يكون مولويّاً لا إرشاديّاً إلى شرطيّته للبيع، بل على الوجه الذي ذكره العلّامة الأكبر قدس سره يكون كذلك كما لا يخفى، فترك الإعلام مبغوض لا يوجب 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لشرطيّته لصحّة البيع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لولاه لكان قصد المشتري الانتفاع بالمحرم، فيكون أكل الثمن بإزائه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خبر إِسْمَاعِيلَ بْنِ عَبْدِ الْخَالِقِ،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سَعِيدٌ الاعْرَجُ السَّمَّانُ وأَنَا حَاضِرٌ، عَنِ الزَّيْتِ والسَّمْنِ والْعَسَلِ تَقَعُ فِيهِ الْفَأْرَةُ فَتَمُوتُ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إِلّا لِمَنْ تُبَيِّنُ لَهُ فَيَبْتَاعُ لِلسِّرَاجِ، وأَمَّا الأكْلُ فَلا، وأَمَّا السَّمْنُ فَإِنْ كَانَ ذَائِباً فَهُوَ كَذَلِكَ، وإِنْ كَانَ جَامِداً والْفَأْرَةُ فِي أَعْلاهُ فَيُؤْخَذُ مَا تَحْتَهَا ومَا حَوْلَهَا ثُمَّ لا بَأْسَ بِهِ، والْعَسَلُ كَذَلِكَ إِنْ كَانَ جَامِداً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فساد البيع مع عدم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عن مورده إلى سائر الموارد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الثمن في البيع إنّما يكون في مقابل العين لا المنفعة، ومع فرض وجود المنفعة المحلّلة يكون مالاً، ولا يكون أكل المال بإزائه أكلاً للمال بالباطل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ذكرنا في محلّه أنّ اشتراط صرف المبيع في المنفعة المحرّمة بنفسه لا يكون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موجباً لفساد البيع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قصد المشتري وحده لا يكفي في صدق الأكل بالباطل بالنسبة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 البدوي وإنْ كان لا يُنكر، لظهور النهي عن المعاملة في الإرشاديّة، إلّاأنّه فيما لا تكون قرينة تصلح لصرف ظهوره وإرادة التحريم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إذ وجوب الإعلام على ما عرفت، يوجبُ عدم ظهور النهي عن البيع إلّامعه في الإرشاد إلى فساده بدونه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وجوب الإعلام نفسي لا شرطي</w:t>
      </w:r>
      <w:r>
        <w:rPr>
          <w:rFonts w:eastAsia="Amiri" w:cs="Amiri" w:ascii="Amiri" w:hAnsi="Amiri"/>
          <w:color w:val="111111"/>
          <w:sz w:val="28"/>
          <w:szCs w:val="28"/>
          <w:rtl w:val="true"/>
          <w:lang w:bidi="ar-SA"/>
        </w:rPr>
        <w:t>.</w:t>
      </w:r>
      <w:bookmarkStart w:id="221" w:name="pg11794_147015"/>
    </w:p>
    <w:p>
      <w:pPr>
        <w:pStyle w:val="Heading3"/>
        <w:numPr>
          <w:ilvl w:val="2"/>
          <w:numId w:val="1"/>
        </w:numPr>
        <w:rPr/>
      </w:pPr>
      <w:bookmarkStart w:id="222" w:name="__RefHeading___Toc10299048_73709187"/>
      <w:bookmarkStart w:id="223" w:name="_Toc80"/>
      <w:bookmarkEnd w:id="221"/>
      <w:bookmarkEnd w:id="222"/>
      <w:r>
        <w:rPr>
          <w:rtl w:val="true"/>
        </w:rPr>
        <w:t>الباب الثاني</w:t>
      </w:r>
      <w:r>
        <w:rPr>
          <w:rtl w:val="true"/>
        </w:rPr>
        <w:t xml:space="preserve">: </w:t>
      </w:r>
      <w:r>
        <w:rPr>
          <w:rtl w:val="true"/>
        </w:rPr>
        <w:t>في الوضوء</w:t>
      </w:r>
      <w:bookmarkEnd w:id="223"/>
    </w:p>
    <w:p>
      <w:pPr>
        <w:pStyle w:val="Heading4"/>
        <w:numPr>
          <w:ilvl w:val="3"/>
          <w:numId w:val="1"/>
        </w:numPr>
        <w:rPr/>
      </w:pPr>
      <w:bookmarkStart w:id="224" w:name="__RefHeading___Toc10299050_73709187"/>
      <w:bookmarkStart w:id="225" w:name="_Toc81"/>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0299052_73709187"/>
      <w:bookmarkStart w:id="227" w:name="_Toc82"/>
      <w:bookmarkEnd w:id="226"/>
      <w:r>
        <w:rPr>
          <w:rtl w:val="true"/>
        </w:rPr>
        <w:t>الفصل الأوّل</w:t>
      </w:r>
      <w:r>
        <w:rPr>
          <w:rtl w:val="true"/>
        </w:rPr>
        <w:t xml:space="preserve">: </w:t>
      </w:r>
      <w:r>
        <w:rPr>
          <w:rtl w:val="true"/>
        </w:rPr>
        <w:t>في موجبه</w:t>
      </w:r>
      <w:bookmarkEnd w:id="227"/>
    </w:p>
    <w:p>
      <w:pPr>
        <w:pStyle w:val="Heading5"/>
        <w:numPr>
          <w:ilvl w:val="4"/>
          <w:numId w:val="1"/>
        </w:numPr>
        <w:rPr/>
      </w:pPr>
      <w:bookmarkStart w:id="228" w:name="__RefHeading___Toc10299054_73709187"/>
      <w:bookmarkStart w:id="229" w:name="_Toc83"/>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بخروج البول والغائط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وناقضه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0299056_73709187"/>
      <w:bookmarkStart w:id="231" w:name="_Toc84"/>
      <w:bookmarkEnd w:id="230"/>
      <w:r>
        <w:rPr>
          <w:rtl w:val="true"/>
        </w:rPr>
        <w:t>(</w:t>
      </w:r>
      <w:r>
        <w:rPr>
          <w:rtl w:val="true"/>
        </w:rPr>
        <w:t>إنّما يجبُ</w:t>
      </w:r>
      <w:r>
        <w:rPr>
          <w:rtl w:val="true"/>
        </w:rPr>
        <w:t xml:space="preserve">) </w:t>
      </w:r>
      <w:r>
        <w:rPr>
          <w:rtl w:val="true"/>
        </w:rPr>
        <w:t>الوضوء باُمور</w:t>
      </w:r>
      <w:r>
        <w:rPr>
          <w:rtl w:val="true"/>
        </w:rPr>
        <w:t>:</w:t>
      </w:r>
      <w:bookmarkEnd w:id="231"/>
    </w:p>
    <w:p>
      <w:pPr>
        <w:pStyle w:val="Heading6"/>
        <w:numPr>
          <w:ilvl w:val="5"/>
          <w:numId w:val="1"/>
        </w:numPr>
        <w:rPr/>
      </w:pPr>
      <w:bookmarkStart w:id="232" w:name="__RefHeading___Toc10299058_73709187"/>
      <w:bookmarkStart w:id="233" w:name="_Toc85"/>
      <w:bookmarkEnd w:id="232"/>
      <w:r>
        <w:rPr>
          <w:rtl w:val="true"/>
        </w:rPr>
        <w:t>الأوّل والثاني</w:t>
      </w:r>
      <w:r>
        <w:rPr>
          <w:rtl w:val="true"/>
        </w:rPr>
        <w:t xml:space="preserve">: </w:t>
      </w:r>
      <w:r>
        <w:rPr>
          <w:rtl w:val="true"/>
        </w:rPr>
        <w:t>البول والغائط</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إجماعاً كما عن جماعة كثيرة حكايته</w:t>
      </w:r>
      <w:r>
        <w:rPr>
          <w:rStyle w:val="FootnoteAnchor"/>
          <w:rtl w:val="true"/>
        </w:rPr>
        <w:footnoteReference w:id="519"/>
      </w:r>
      <w:r>
        <w:rPr>
          <w:rFonts w:ascii="Amiri" w:hAnsi="Amiri" w:eastAsia="Amiri" w:cs="Amiri"/>
          <w:color w:val="111111"/>
          <w:sz w:val="28"/>
          <w:sz w:val="28"/>
          <w:szCs w:val="28"/>
          <w:rtl w:val="true"/>
          <w:lang w:bidi="ar-SA"/>
        </w:rPr>
        <w:t>، بل الظاهر أنّ عليه إجماع المسلمين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زكريّا بن آدم،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النَّاسُور</w:t>
      </w:r>
      <w:r>
        <w:rPr>
          <w:rStyle w:val="FootnoteAnchor"/>
          <w:rtl w:val="true"/>
        </w:rPr>
        <w:footnoteReference w:id="522"/>
      </w:r>
      <w:r>
        <w:rPr>
          <w:rFonts w:ascii="Amiri" w:hAnsi="Amiri" w:eastAsia="Amiri" w:cs="Amiri"/>
          <w:color w:val="111111"/>
          <w:sz w:val="28"/>
          <w:sz w:val="28"/>
          <w:szCs w:val="28"/>
          <w:rtl w:val="true"/>
          <w:lang w:bidi="ar-SA"/>
        </w:rPr>
        <w:t>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 الْبَوْلُ والْغَائِطُ والرِّيحُ</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خروجهما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الموضع الأصلي مع الاعتياد، وهذا القسم هو القدر المتيقّن إرادته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 مع عدم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الفاضلان</w:t>
      </w:r>
      <w:r>
        <w:rPr>
          <w:rStyle w:val="FootnoteAnchor"/>
          <w:rtl w:val="true"/>
        </w:rPr>
        <w:footnoteReference w:id="525"/>
      </w:r>
      <w:r>
        <w:rPr>
          <w:rFonts w:ascii="Amiri" w:hAnsi="Amiri" w:eastAsia="Amiri" w:cs="Amiri"/>
          <w:color w:val="111111"/>
          <w:sz w:val="28"/>
          <w:sz w:val="28"/>
          <w:szCs w:val="28"/>
          <w:rtl w:val="true"/>
          <w:lang w:bidi="ar-SA"/>
        </w:rPr>
        <w:t>والنراقي</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الناقضيّة في هذا القسم، ويشهد لها إطلاق النصوص والآية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صورة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الإنصراف الناشيء عن ندرة الوجود لا يصحّ لرفع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اعتبر الاعتياد الشخصي في غير المخرج الأصلي، ليس له التمسّك بالإطلاق، وينحصر مدركه حينئذٍ بالإجماع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غير الموضع الأصلي، والظاهر أنّه مع انسداده لا خلاف في النقض،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عدمه، فالمشهور بين الأصحاب التفصيل فيما يخرج بين صورة الاعتياد فينقض، وغيرها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النقض مطلقاً،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وإنّما التزم بالنقض في صورة الانسداد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بالنقض مطلقاً، وظاهر الشيخ</w:t>
      </w:r>
      <w:r>
        <w:rPr>
          <w:rStyle w:val="FootnoteAnchor"/>
          <w:rtl w:val="true"/>
        </w:rPr>
        <w:footnoteReference w:id="532"/>
      </w:r>
      <w:r>
        <w:rPr>
          <w:rFonts w:ascii="Amiri" w:hAnsi="Amiri" w:eastAsia="Amiri" w:cs="Amiri"/>
          <w:color w:val="111111"/>
          <w:sz w:val="28"/>
          <w:sz w:val="28"/>
          <w:szCs w:val="28"/>
          <w:rtl w:val="true"/>
          <w:lang w:bidi="ar-SA"/>
        </w:rPr>
        <w:t>والقاضي</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حيث استندا في منع النقض بما يخرج ممّا فوق المعدة بعدم تسميته غائطاً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منصرفة إلى المعتاد، ولعلّ هذا هو مدرك المشهور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تقييدها بالنصوص الكثيرة الحاصرة للناقض فيما يخرج من الطرفين، كصحيح زرارة،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الاسْفَلَيْنِ مِنَ الذَّكَرِ والدُّبُرِ مِنَ الْغَائِطِ والْبَوْلِ أَوْ مَنِيٍّ أَوْ رِيحٍ والنَّوْمُ حَتَّى يُذْهِبَ الْعَقْلَ</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وصحيح ابن بزيع، عَنْ أَبِي الْحَسَنِ الرِّضَا عليه السلام، فِي حَدِيثٍ طَوِيلٍ،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مَا خَرَجَ مِنْ طَرَفَيْكَ اللَّذَيْنِ جَعَلَ اللّهُ لَكَ، أَوْ قَالَ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فيما اختاره إلى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مراراً من أنّ الانصراف الناشيء من غَلَبة وجود فردٍ وندرة آخر، لايصلُح لرفع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تلك النصوص وإنْ كان اختصاص الحكم بما يخرج من الموضع الأصلي، إذ دعوى صدق الطرفين الأسفلين على الحادثين ضعيفة، لأنّ الظاهر منهما الذَّكر والدُّبر، كما صرّح بذلك في صحيح زرارة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طريق البول والغائط في السبيلين عادة، يمنعُ من ظهور النصوص في إرادة التحرّز عن الأخبثين، على تقدير خروجهما من غير الموضع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لها سوى دعوى الانصراف التي عرفت ما فيها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ونظيرهما دعوى أنّ الالتزام بارادة الاختصاص منها، مستلزمٌ لتخصيص الأكثر، فلابدَّ وان تُحمل على إرادة أنّ الشيء الذي صفته أنّه يخرج من السبيلين بحسب العادة ناقضٌ، إذ ما يخرج من السبيلين غير الأخبثين أقلّ منهما كما لايخفى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المتقدّمة في الاختصاص ممّا لاينبغي إنكاره، إلّا أنّه لابدَّ من رفع اليد عنه لأجل ما يدلّ على عموم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فضل بن شاذان الذي رواه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الْوُضُوءُ مِمَّا خَرَجَ مِنَ الطَّرَفَيْنِ خَاصَّةً، ومِنَ النَّوْمِ دُونَ سَائِرِ الأشْيَاءِ لأنَّ الطَّرَفَيْنِ هُمَا طَرِيقُ النَّجَاسَةِ، ولَيْسَ لِلانْسَانِ طَرِيقٌ تُصِيبُهُ النَّجَاسَةُ مِنْ نَفْسِهِ إِلّا مِنْهُمَا، فَأُمِرُوا بِالطَّهَارَةِ عِنْدَمَا تُصِيبُهُمْ تِلْكَ النَّجَاسَةُ مِنْ أَنْفُسِهِمْ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سنان الذي رواه الشيخ الصدوق بِأَسَانِيدِهِ عَنْ مُحَمَّدِ بْنِ سِنَانٍ، فِي جَوَابِ الْعِلَلِ،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التَّخْفِيفِ فِي الْبَوْلِ والْغَائِطِ، لأنَّهُ أَكْثَرُ وأَدْوَمُ مِنَ الْجَنَابَةِ، فَرَضِيَ فِيهِ بِالْوُضُوءِ لِكَثْرَتِهِ ومَشَقَّتِهِ ومَجِيئِهِ بِغَيْرِ إِرَادَةٍ مِنْهُمْ ولا شَهْوَةٍ، والْجَنَابَةُ لا تَكُونُ إِلّا بِالاسْتِلْذَاذِ مِنْهُمْ والاكْرَاهِ لانْفُسِهِمْ</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ظاهرهما أنّ وجوب الوضوء ممّا يترتّب على البول والغائط من حيث هما، وأنّ التخصيص بما يخرج من السبيلين إنّما هو لأجل كون سبيلهما بمقتضى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هي الناقضيّة مطلقاً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4" w:name="pg11794_147020"/>
    </w:p>
    <w:p>
      <w:pPr>
        <w:pStyle w:val="BookText"/>
        <w:rPr/>
      </w:pPr>
      <w:bookmarkEnd w:id="234"/>
      <w:r>
        <w:rPr>
          <w:rFonts w:ascii="Amiri" w:hAnsi="Amiri" w:eastAsia="Amiri" w:cs="Amiri"/>
          <w:color w:val="111111"/>
          <w:sz w:val="28"/>
          <w:sz w:val="28"/>
          <w:szCs w:val="28"/>
          <w:rtl w:val="true"/>
          <w:lang w:bidi="ar-SA"/>
        </w:rPr>
        <w:t>والريح من المعتاد</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0299060_73709187"/>
      <w:bookmarkStart w:id="236" w:name="_Toc86"/>
      <w:bookmarkEnd w:id="235"/>
      <w:r>
        <w:rPr>
          <w:rtl w:val="true"/>
        </w:rPr>
        <w:t>الأمر الثالث</w:t>
      </w:r>
      <w:r>
        <w:rPr>
          <w:rtl w:val="true"/>
        </w:rPr>
        <w:t xml:space="preserve">: </w:t>
      </w:r>
      <w:r>
        <w:rPr>
          <w:rtl w:val="true"/>
        </w:rPr>
        <w:t>ناقضيّة الريح</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ناقضيّتها في الجملة، بل إجماعاً كما عن غير واحد</w:t>
      </w:r>
      <w:r>
        <w:rPr>
          <w:rStyle w:val="FootnoteAnchor"/>
          <w:rtl w:val="true"/>
        </w:rPr>
        <w:footnoteReference w:id="539"/>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منها صحيحا زرارة وخبر زكريّا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الحكم بما إذا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الدُّبر وعدمه؟</w:t>
      </w:r>
    </w:p>
    <w:p>
      <w:pPr>
        <w:pStyle w:val="BookText"/>
        <w:rPr/>
      </w:pPr>
      <w:r>
        <w:rPr>
          <w:rFonts w:ascii="Amiri" w:hAnsi="Amiri" w:eastAsia="Amiri" w:cs="Amiri"/>
          <w:color w:val="111111"/>
          <w:sz w:val="28"/>
          <w:sz w:val="28"/>
          <w:szCs w:val="28"/>
          <w:rtl w:val="true"/>
          <w:lang w:bidi="ar-SA"/>
        </w:rPr>
        <w:t>فالمشهور بين الأصحاب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الموجز</w:t>
      </w:r>
      <w:r>
        <w:rPr>
          <w:rFonts w:eastAsia="IRNazanin" w:cs="IRNazanin"/>
          <w:color w:val="111111"/>
          <w:sz w:val="28"/>
          <w:szCs w:val="28"/>
          <w:rtl w:val="true"/>
          <w:lang w:bidi="fa-IR"/>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الخارجة من قُبُل المرأة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الريح الخارجة عن ذَكر الرجل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مطلق الهواء الخارج من منفذٍ لا يكون ناقضاً، وإنْ سُلّم تسميته ريحاً، بل الظاهر من النصوص الاختصاص بما يخرج من الدُّبر إذا كان </w:t>
      </w:r>
    </w:p>
    <w:p>
      <w:pPr>
        <w:pStyle w:val="BookText"/>
        <w:rPr/>
      </w:pPr>
      <w:r>
        <w:rPr>
          <w:rFonts w:ascii="Amiri" w:hAnsi="Amiri" w:eastAsia="Amiri" w:cs="Amiri"/>
          <w:color w:val="111111"/>
          <w:sz w:val="28"/>
          <w:sz w:val="28"/>
          <w:szCs w:val="28"/>
          <w:rtl w:val="true"/>
          <w:lang w:bidi="ar-SA"/>
        </w:rPr>
        <w:t xml:space="preserve">من المعدة، 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الخارج من غير المعدة والدُّبر لايُسمّى ضرطةً أو فسوةً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خرج من غير مخرج الغائط كالخارج من قُبُل المرأة، وإنْ كان من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لقُبُل المرأة منفذاً إلى الجوف، فيمكن خروج الريح من المعدة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ما خرج من مخرج الغائط غير الدُّبر، يكون ناقضاً، لصدق الضرطة أو الفسوة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صحيح زرارة أنّ العبرة في الريح بسماع الصوت واستشمام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يتعيّن حمله على إرادة كونهما طريقاً عاديّاً للعلم بتحقّق ما هو موضوع الحكم وهو الريح الخارجة من المعدة، لا لمدخليّتهما في الموضوع، والشاهد على ذلك ما ورد في الخبر الذي رواه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 عَنْ أَخِيهِ مُوسَى ابْنِ جَعْفَرٍ عليه السلام،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يَكُونُ فِي الصَّلاةِ فَيَعْلَمُ أَنَّ رِيحاً قَدْ خَرَجَتْ فَلا يَجِدُ رِيحَهَا ولا يَسْمَعُ صَوْتَهَا؟ قَالَ يُعِيدُ الْوُضُوءَ والصَّلاةَ ولا يَعْتَدُّ بِشَيْ‌ءٍ مِمَّا صَلَّى 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ذَلِكَ يَقِيناً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المتدبّر في جملة من النصوص المتضمّنة لهما، يقطع بأنّهما من طرق العلم بتحقّق موضوع الحكم، لا أنّهما دخيلان في الموضوع، لاحظ خبر ابن أبي عبد اللّه حيث قَالَ لِلصَّادِقِ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الرِّيحَ فِي بَطْنِي حَتَّى أَظُنَّ أَنَّهَا قَدْ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حَتَّى تَسْمَعَ الصَّوْتَ أَوْ تَجِدَ الرِّيحَ،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يَجْلِسُ بَيْنَ أَلْيَتَيِ الرَّجُلِ فَيُحْدِثُ لِيُشَكِّكَهُ</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7" w:name="pg11794_147023"/>
    </w:p>
    <w:p>
      <w:pPr>
        <w:pStyle w:val="BookText"/>
        <w:rPr/>
      </w:pPr>
      <w:bookmarkEnd w:id="237"/>
      <w:r>
        <w:rPr>
          <w:rFonts w:ascii="Amiri" w:hAnsi="Amiri" w:eastAsia="Amiri" w:cs="Amiri"/>
          <w:color w:val="111111"/>
          <w:sz w:val="28"/>
          <w:sz w:val="28"/>
          <w:szCs w:val="28"/>
          <w:rtl w:val="true"/>
          <w:lang w:bidi="ar-SA"/>
        </w:rPr>
        <w:t>والنَّوم الغالب على السَّمع والبَصَر</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0299062_73709187"/>
      <w:bookmarkStart w:id="239" w:name="_Toc87"/>
      <w:bookmarkEnd w:id="238"/>
      <w:r>
        <w:rPr>
          <w:rtl w:val="true"/>
        </w:rPr>
        <w:t>الأمر الرابع</w:t>
      </w:r>
      <w:r>
        <w:rPr>
          <w:rtl w:val="true"/>
        </w:rPr>
        <w:t xml:space="preserve">: </w:t>
      </w:r>
      <w:r>
        <w:rPr>
          <w:rtl w:val="true"/>
        </w:rPr>
        <w:t>ناقضيّة النوم</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النواقض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وتقييده في كلام المصنّف رحمه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على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لإيراد به تقسيمه إلى قسمين، إذ غير الغالب عليهما لايكون نوماً حقيقةً، كما تشهد له جملة من نصوص الباب، الدالّة على أنّ تمام الموضوع هو النوم من حيث هو، كصحيح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الْخَفْقَةِ</w:t>
      </w:r>
      <w:r>
        <w:rPr>
          <w:rStyle w:val="FootnoteAnchor"/>
          <w:rtl w:val="true"/>
        </w:rPr>
        <w:footnoteReference w:id="547"/>
      </w:r>
      <w:r>
        <w:rPr>
          <w:rFonts w:ascii="Amiri" w:hAnsi="Amiri" w:eastAsia="Amiri" w:cs="Amiri"/>
          <w:color w:val="111111"/>
          <w:sz w:val="28"/>
          <w:sz w:val="28"/>
          <w:szCs w:val="28"/>
          <w:rtl w:val="true"/>
          <w:lang w:bidi="ar-SA"/>
        </w:rPr>
        <w:t>والْخَفْقَتَيْنِ؟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والْخَفْقَتَيْنِ،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إِنَّ عَلِيّاً عليه السلام كَانَ يَقُولُ مَنْ وَجَدَ طَعْمَ النَّوْمِ، فَإِنَّمَا أُوجِبَ عَلَيْهِ الْوُضُوءُ</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 ذكره في كلامه من باب متابعة النصّ، وذكره فيه إنّما يكون من باب المثال، ولذا ترى اختلاف النصوص في المقام، فإنّه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Style w:val="FootnoteAnchor"/>
          <w:rtl w:val="true"/>
        </w:rPr>
        <w:footnoteReference w:id="5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وقيّده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بنوم العين والاُذُن والقلب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صحيحٍ آخر له</w:t>
      </w:r>
      <w:r>
        <w:rPr>
          <w:rStyle w:val="FootnoteAnchor"/>
          <w:rtl w:val="true"/>
        </w:rPr>
        <w:footnoteReference w:id="552"/>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بذهاب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موثّق ابن بكير</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سماع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عدم اعتبار شيءٍ في موضوع الحكم بالنقض، سوى تحقّق حقيقة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النوم ناقضاً مطلقاً، سواءً كان في حال الاضطجاع أو القعود أو القيام كما هو المشهور</w:t>
      </w:r>
      <w:r>
        <w:rPr>
          <w:rStyle w:val="FootnoteAnchor"/>
          <w:rtl w:val="true"/>
        </w:rPr>
        <w:footnoteReference w:id="554"/>
      </w:r>
      <w:r>
        <w:rPr>
          <w:rFonts w:ascii="Amiri" w:hAnsi="Amiri" w:eastAsia="Amiri" w:cs="Amiri"/>
          <w:color w:val="111111"/>
          <w:sz w:val="28"/>
          <w:sz w:val="28"/>
          <w:szCs w:val="28"/>
          <w:rtl w:val="true"/>
          <w:lang w:bidi="ar-SA"/>
        </w:rPr>
        <w:t>؟ بل عن السيّد</w:t>
      </w:r>
      <w:r>
        <w:rPr>
          <w:rStyle w:val="FootnoteAnchor"/>
          <w:rtl w:val="true"/>
        </w:rPr>
        <w:footnoteReference w:id="555"/>
      </w:r>
      <w:r>
        <w:rPr>
          <w:rFonts w:ascii="Amiri" w:hAnsi="Amiri" w:eastAsia="Amiri" w:cs="Amiri"/>
          <w:color w:val="111111"/>
          <w:sz w:val="28"/>
          <w:sz w:val="28"/>
          <w:szCs w:val="28"/>
          <w:rtl w:val="true"/>
          <w:lang w:bidi="ar-SA"/>
        </w:rPr>
        <w:t>والشيخ</w:t>
      </w:r>
      <w:r>
        <w:rPr>
          <w:rStyle w:val="FootnoteAnchor"/>
          <w:rtl w:val="true"/>
        </w:rPr>
        <w:footnoteReference w:id="556"/>
      </w:r>
      <w:r>
        <w:rPr>
          <w:rFonts w:ascii="Amiri" w:hAnsi="Amiri" w:eastAsia="Amiri" w:cs="Amiri"/>
          <w:color w:val="111111"/>
          <w:sz w:val="28"/>
          <w:sz w:val="28"/>
          <w:szCs w:val="28"/>
          <w:rtl w:val="true"/>
          <w:lang w:bidi="ar-SA"/>
        </w:rPr>
        <w:t>والفاضلين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p>
    <w:p>
      <w:pPr>
        <w:pStyle w:val="BookText"/>
        <w:rPr/>
      </w:pPr>
      <w:r>
        <w:rPr>
          <w:rFonts w:ascii="Amiri" w:hAnsi="Amiri" w:eastAsia="Amiri" w:cs="Amiri"/>
          <w:color w:val="111111"/>
          <w:sz w:val="28"/>
          <w:sz w:val="28"/>
          <w:szCs w:val="28"/>
          <w:rtl w:val="true"/>
          <w:lang w:bidi="ar-SA"/>
        </w:rPr>
        <w:t>أم لا يكون النوم قاعداً مع عدم الإنفراج ناقضاً؟ كما هو المنسوب إلى الصدوق رحمه الله</w:t>
      </w:r>
      <w:r>
        <w:rPr>
          <w:rStyle w:val="FootnoteAnchor"/>
          <w:rtl w:val="true"/>
        </w:rPr>
        <w:footnoteReference w:id="55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أقواهما الأوّل، لإطلاق جملة من النصوص، وخصوص جملةٍ اُخرى، كصحيح ابن الحجّاج المتقدّم، وخبر عبد الحميد، عَنْ أَبِي عَبْدِ اللّهِ عليه السلام،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وهُوَ رَاكِعٌ أَوْ سَاجِدٌ أَوْ مَاشٍ عَلَى أَيِّ الْحَالاتِه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فَعَلَيْهِ الْوُضُوء</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لما نُسب إلى الصدوق رحمه الله، بما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مُوسَى بْنُ جَعْفَرٍ عليه السلام عَنِ الرَّجُلِ يَرْقُدُ وهُوَ قَاعِدٌ هَلْ عَلَيْهِ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 دَامَ قَاعِداً إِنْ لَمْ يَنْفَرِجْ</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الحضرمي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طرحهما لإعراض الأصحاب عنهما، ومعارضتهما بما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خبر عمران بن حمران حيث ورد فيه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عَبْداً صَالِحاً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وهُوَ جَالِسٌ لا يَتَعَمَّدُ النَّوْمَ فَلا وُضُوءَ عَلَيْهِ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هَلْ يُنْقَضُ وُضُوؤُهُ إذا نَامَ، وهُوَ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الْجُمُعَةِ فِي الْمَسْجِدِ فَلا وُضُوءَ عَلَيْهِ، وذَلِكَ أَنَّهُ فِي حَالِ ضَرُورَةٍ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 ينقل العمل بهما عن أحدٍ من فقهاء الإماميّة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بحثٌ في أنّه هل يكون النوم بنفسه من النواقض؟ أم يكون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طريقاً إلى تحقّق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علم بأنّه في حال النوم لم يخرج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الثاني لايجب عليه الوضوء، بخلافه على الأوّل، إذ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وأنّ النوم يعدّ بنفسه من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ظاهرجملةٍ من النصوص، وصريحُ بعضها كصحيح ابن الحجّاج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Style w:val="FootnoteAnchor"/>
          <w:rtl w:val="true"/>
        </w:rPr>
        <w:footnoteReference w:id="563"/>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الصباح الكناني،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يَخْفِقُ وهُوَ فِي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يَحْفَظُ حَدَثاً مِنْهُ إِنْ كَانَ، فَعَلَيْهِ الْوُضُوءُ وإِعَادَةُ الصَّلاةِ، وإِنْ كَانَ يَسْتَيْقِنُ أَنَّهُ لَمْ يُحْدِثْ، فَلَيْسَ عَلَيْهِ وُضُوءٌ ولا إِعَادَةٌ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الآتِي، عَنِ الْفَضْلِ،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الْوُضُوءُ مِمَّا خَرَجَ مِنَ الطَّرَفَيْنِ خَاصَّةً، ومِنَ النَّوْمِ دُونَ سَائِرِ الأشْيَاءِ، لأنَّ الطَّرَفَيْنِ هُمَا طَرِيقُ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النَّوْمُ فَإِنَّ النَّائِمَ إذا غَلَبَ عَلَيْهِ النَّوْمُ، يُفْتَحُ كُلُّ شَيْ‌ءٍ مِنْهُ واسْتَرْخَى، فَكَانَ أَغْلَبُ الأشْيَاءِ عَلَيْهِ فِيَما يَخْرُجُ مِنْهُ الرِّيحَ، فَوَجَبَ عَلَيْهِ الْوُضُوءُ لِهَذِهِ الْعِلّةِ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أنّ الرجل في الفرض الذي لايعلم أنّه قد نام، إنْ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حاله بحيث لو خَرَج الحدث لايلتفت، يجبُ عليه الوضوء، لأنّ ذلك أمارة حصول النوم الذي يوجب تعطيل الحواس، وإلّا فلا، لكونه أجنبيّاً عمّا استدلّ به عليه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أنّ حكمة جعل الناقضيّة للنوم هي ذلك، فلاحظ وتدبّر</w:t>
      </w:r>
      <w:r>
        <w:rPr>
          <w:rFonts w:eastAsia="Amiri" w:cs="Amiri" w:ascii="Amiri" w:hAnsi="Amiri"/>
          <w:color w:val="111111"/>
          <w:sz w:val="28"/>
          <w:szCs w:val="28"/>
          <w:rtl w:val="true"/>
          <w:lang w:bidi="ar-SA"/>
        </w:rPr>
        <w:t>.</w:t>
      </w:r>
      <w:bookmarkStart w:id="240" w:name="pg11794_147028"/>
    </w:p>
    <w:p>
      <w:pPr>
        <w:pStyle w:val="BookText"/>
        <w:rPr/>
      </w:pPr>
      <w:bookmarkEnd w:id="240"/>
      <w:r>
        <w:rPr>
          <w:rFonts w:ascii="Amiri" w:hAnsi="Amiri" w:eastAsia="Amiri" w:cs="Amiri"/>
          <w:color w:val="111111"/>
          <w:sz w:val="28"/>
          <w:sz w:val="28"/>
          <w:szCs w:val="28"/>
          <w:rtl w:val="true"/>
          <w:lang w:bidi="ar-SA"/>
        </w:rPr>
        <w:t>وما في معناه</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0299064_73709187"/>
      <w:bookmarkStart w:id="242" w:name="_Toc88"/>
      <w:bookmarkEnd w:id="241"/>
      <w:r>
        <w:rPr>
          <w:rtl w:val="true"/>
        </w:rPr>
        <w:t>الأمر الخامس</w:t>
      </w:r>
      <w:r>
        <w:rPr>
          <w:rtl w:val="true"/>
        </w:rPr>
        <w:t xml:space="preserve">: </w:t>
      </w:r>
      <w:r>
        <w:rPr>
          <w:rtl w:val="true"/>
        </w:rPr>
        <w:t>الإغماء والسُّكر والجنون</w:t>
      </w:r>
      <w:bookmarkEnd w:id="2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يلحق بالنّوم في الناقضيّة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الإغماء والسُّكر والجنون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الأصحاب نقلوا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معمّر بن خلّاد،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بِهِ عِلَّةٌ لا يَقْدِرُ عَلَى الاضْطِجَاعِ والْوُضُوءُ، يَشْتَدُّ عَلَيْهِ وهُوَ قَاعِدٌ مُسْتَنِدٌ بِالْوَسَائِدِ، فَرُبَّمَا أَغْفَى وهُوَ قَاعِدٌ عَلَى تِلْكَ الْحَالِ؟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عَلَيْهِ الصَّوْتُ، فَقَدْ وَجَبَ عَلَيْهِ الْوُضُوءُ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الظُّهْرَ ويُصَلِّيهَا مَعَ الْعَصْرِ يَجْمَعُ بَيْنَهُمَا وكَذَلِكَ الْمَغْرِبُ والْعِشَاءُ</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أنّ الظاهر منه كون تمام الموضوع هو خفاء الصوت، مع أنّ الإغفاء وإنْ كان لغةً بمعنى النوم، إلّاأنّ الظاهر أنّ المراد منه في المقام هو الإغماء، لأنّه المناسب للمرض الشديد، فيدلّ على ناقضيّة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ناقضيّة النوم إنّما تكون في صورة خفاء الصوت الذي هو أمارة حصوله، لأنّ تمام الموضوع هو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والمناسبة المذكورة غير تامّة، إذ بما أنّه فَرَض أوّلاً كون الاضطجاع عَسِراً عليه سأل عن حكم النوم في حال القعود،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جملةٍ من نصوص الباب من تعليق ناقضيّة النوم على ذهاب العقل، فإنّه يستفاد من ذلك أنّ تمام الموضوع هو 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ما ذكر في النصوص من ذهاب العقل والغَلَبة على السّمع والبصر ونحوهما، إنّما وقع على جهة التقدير للنوم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عَنْ آبَائِهِ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لا يَجِبُ إِلّا مِنْ حَدَثٍ، وأَنَّ الْمَرْءَ إذا تَوَضَّأَ صَلَّى بِوُضُوئِهِ ذَلِكَ مَا شَاءَ مِنَ الصَّلاةِ، مَا لَمْ يُحْدِثْ أَوْ يَنَمْ أَوْ يُجَامِعْ أَوْ يُغْمَ عَلَيْهِ، أَوْ يَكُنْ مِنْهُ مَا يَجِبُ مِنْهُ إِعَادَةُ الْوُضُوء</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بعد سقوط الوجوه المذكورة، أنّ العمدة في ثبوت الحكم في المقام هو الإجماع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43" w:name="pg11794_147030"/>
    </w:p>
    <w:p>
      <w:pPr>
        <w:pStyle w:val="BookText"/>
        <w:rPr/>
      </w:pPr>
      <w:bookmarkEnd w:id="243"/>
      <w:r>
        <w:rPr>
          <w:rFonts w:ascii="Amiri" w:hAnsi="Amiri" w:eastAsia="Amiri" w:cs="Amiri"/>
          <w:color w:val="111111"/>
          <w:sz w:val="28"/>
          <w:sz w:val="28"/>
          <w:szCs w:val="28"/>
          <w:rtl w:val="true"/>
          <w:lang w:bidi="ar-SA"/>
        </w:rPr>
        <w:t>والاستحاضة القليلة الدم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0299066_73709187"/>
      <w:bookmarkStart w:id="245" w:name="_Toc89"/>
      <w:bookmarkEnd w:id="244"/>
      <w:r>
        <w:rPr>
          <w:rtl w:val="true"/>
        </w:rPr>
        <w:t>الأمر السادس</w:t>
      </w:r>
      <w:r>
        <w:rPr>
          <w:rtl w:val="true"/>
        </w:rPr>
        <w:t xml:space="preserve">: </w:t>
      </w:r>
      <w:r>
        <w:rPr>
          <w:rtl w:val="true"/>
        </w:rPr>
        <w:t>الإستحاضة القليلة الدّم</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الأحداث الموجبة للوضوء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الاستحاضة القليلة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إلّامن ابن أبي عقيل</w:t>
      </w:r>
      <w:r>
        <w:rPr>
          <w:rStyle w:val="FootnoteAnchor"/>
          <w:rtl w:val="true"/>
        </w:rPr>
        <w:footnoteReference w:id="573"/>
      </w:r>
      <w:r>
        <w:rPr>
          <w:rFonts w:ascii="Amiri" w:hAnsi="Amiri" w:eastAsia="Amiri" w:cs="Amiri"/>
          <w:color w:val="111111"/>
          <w:sz w:val="28"/>
          <w:sz w:val="28"/>
          <w:szCs w:val="28"/>
          <w:rtl w:val="true"/>
          <w:lang w:bidi="ar-SA"/>
        </w:rPr>
        <w:t>، فلم يوجب وضوءً ولا غُسلاً، وابن الجنيد</w:t>
      </w:r>
      <w:r>
        <w:rPr>
          <w:rStyle w:val="FootnoteAnchor"/>
          <w:rtl w:val="true"/>
        </w:rPr>
        <w:footnoteReference w:id="574"/>
      </w:r>
      <w:r>
        <w:rPr>
          <w:rFonts w:ascii="Amiri" w:hAnsi="Amiri" w:eastAsia="Amiri" w:cs="Amiri"/>
          <w:color w:val="111111"/>
          <w:sz w:val="28"/>
          <w:sz w:val="28"/>
          <w:szCs w:val="28"/>
          <w:rtl w:val="true"/>
          <w:lang w:bidi="ar-SA"/>
        </w:rPr>
        <w:t>فأوجب بها غُسلاً واحداً في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ومثله غيره في عدم نقل الخلاف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ما نُقل من بعض عبارات القدماء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الحاصر لنواقض الوضوء في غيرها لم يفهموا منه الخلاف</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لما اختاره العماني</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وبالأخبار الحاصرة موجبات الوضوء في 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فهو ساقط لا مجال للرجوع إليه، لقيام الدليل في مقابله وهو قول الصادق عليه السلام في ما رواه عنه معاوية بن عمّار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الدَّمُ لا يَثْقُبُ الْكُرْسُفَ، تَوَضَّأَتْ ودَخَلَتِ الْمَسْجِدَ وصَلَّتْ كُلَّ صَلاةٍ بِوُضُوء</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الآتية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يقيّد إطلاق النصوص الحاصرة موجبات الوضوء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اختاره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الآمرة بالغُسل إنْ لم يجر الدّم الكُرُسف</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في محلّه أنّ تلك النصوص مختصّة بالمتوسّطة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كونها من الأحداث الموجبة للوضوء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46" w:name="pg11794_147032"/>
    </w:p>
    <w:p>
      <w:pPr>
        <w:pStyle w:val="BookText"/>
        <w:rPr/>
      </w:pPr>
      <w:bookmarkEnd w:id="246"/>
      <w:r>
        <w:rPr>
          <w:rFonts w:ascii="Amiri" w:hAnsi="Amiri" w:eastAsia="Amiri" w:cs="Amiri"/>
          <w:color w:val="111111"/>
          <w:sz w:val="28"/>
          <w:sz w:val="28"/>
          <w:szCs w:val="28"/>
          <w:rtl w:val="true"/>
          <w:lang w:bidi="ar-SA"/>
        </w:rPr>
        <w:t>ولا يجب بغير ذلك</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0299068_73709187"/>
      <w:bookmarkStart w:id="248" w:name="_Toc90"/>
      <w:bookmarkEnd w:id="247"/>
      <w:r>
        <w:rPr>
          <w:rtl w:val="true"/>
        </w:rPr>
        <w:t>عدم انتقاض الوضوء بالمذي والودي</w:t>
      </w:r>
      <w:bookmarkEnd w:id="2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شهرةً عظيمة، وتشهد له الأخبار الحاصرة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الوضوء عقيب المذي، لأنّه مقتضى الجمع بين النصوص الآمرة به عقيب خروجه مطلقاً، أو إذا كان عن شهوة، كصحيح ابن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يُمْذِي وهُوَ فِي الصَّلاةِ مِنْ شَهْوَةٍ أَوْ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الْمَذْيُ يَخْرُجُ 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لَكَ فِيهِ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مِنْكَ عَلَى شَهْوَةٍ فَتَوَضَّأْ وإِنْ خَرَجَ مِنْكَ عَلَى غَيْرِ ذَلِكَ فَلَيْسَ عَلَيْكَ فِيهِ وُضُوءٌ</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النصوص النافية له، كمصحّح زرارة، عَنْ أَبِي عَبْدِ اللّهِ عليه السلام،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 مِنْ ذَكَرِكَ شَيْ‌ءٌ مِنْ مَذْيٍ أَوْ وَدْيٍ وأَنْتَ فِي الصَّلاةِ، فَلا تَغْسِلْهُ، ولا تَقْطَعْ لَهُ الصَّلاةَ، ولا تَنْقُضْ لَهُ الُْوضُوءَ، وإِنْ بَلَغَ عَقِبَيْكَ فَإِنَّمَا ذَلِكَ بِمَنْزِلَةِ النُّخَامَةِ، وكُلُّ شَيْ‌ءٍ خَرَجَ مِنْكَ بَعْدَ الْوُضُوءِ، فَإِنَّهُ مِنَ الْحَبَائِلِ أَوْ مِنَ الْبَوَاسِيرِ، ولَيْسَ بِشَيْ‌ءٍ، فَلا تَغْسِلْهُ مِنْ ثَوْبِكَ إِلّا أَنْ تُقْذِرَه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249" w:name="pg11794_147033"/>
    </w:p>
    <w:p>
      <w:pPr>
        <w:pStyle w:val="BookText"/>
        <w:rPr/>
      </w:pPr>
      <w:bookmarkEnd w:id="249"/>
      <w:r>
        <w:rPr>
          <w:rFonts w:ascii="Amiri" w:hAnsi="Amiri" w:eastAsia="Amiri" w:cs="Amiri"/>
          <w:color w:val="111111"/>
          <w:sz w:val="28"/>
          <w:sz w:val="28"/>
          <w:szCs w:val="28"/>
          <w:rtl w:val="true"/>
          <w:lang w:bidi="ar-SA"/>
        </w:rPr>
        <w:t>وصحيح ابن أبي عمير،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الْمَذْيِ مِنَ الشَّهْوَةِ ولا مِنَ الانْعَاظِ ولا مِنَ الْقُبْلَةِ ولا مِنْ مَسِّ الْفَرْجِ ولا مِنَ الْمُضَاجَعَةِ، وُضُوءٌ، ولا يُغْسَلُ مِنْهُ الثَّوْبُ ولا الْجَسَدُ</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جمعٌ عرفي، صحيح محمّد بن إسماعيل،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الْمَذْيِ؟ فَأَمَرَنِي بِالْوُضُوءِ مِنْهُ، ثُمَّ أَعَدْتُ عَلَيْهِ سَنَةً أُخْرَى فَأَمَرَنِي بِالْوُضُوءِ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أَمَرَ الْمِقْدَادَ أَنْ يَسْأَلَ رَسُولَ اللّهِ صلى الله عليه و آله واسْتَحْيَا أَنْ يَسْأَلَهُ، فَقَالَ فِيهِ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عقيب الودي لصحيح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يَخْرُجْنَ مِنَ الإحْلِيلِ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الْمَنِيُّ وفِيهِ الْغُسْلُ، والْوَدْيُ فَمِنْهُ الْوُضُوءُ لأنَّهُ يَخْرُجُ مِنْ دَرِيرَةِ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والْمَذْيُ لَيْسَ فِيهِ وُضُوءٌ، إِنَّمَا هُوَ بِمَنْزِلَةِ مَا يَخْرُجُ مِنَ الأنْفِ</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الوارد في هذا الخبر محمول على الاستحباب جمعاً بينه وبين مصحّح زرارة المتقدّم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0299070_73709187"/>
      <w:bookmarkStart w:id="251" w:name="_Toc91"/>
      <w:bookmarkEnd w:id="250"/>
      <w:r>
        <w:rPr>
          <w:rtl w:val="true"/>
        </w:rPr>
        <w:t>ما يستحبّ الوضوء منه</w:t>
      </w:r>
      <w:bookmarkEnd w:id="251"/>
    </w:p>
    <w:p>
      <w:pPr>
        <w:pStyle w:val="BookText"/>
        <w:rPr/>
      </w:pPr>
      <w:r>
        <w:rPr>
          <w:rFonts w:ascii="Amiri" w:hAnsi="Amiri" w:eastAsia="Amiri" w:cs="Amiri"/>
          <w:color w:val="111111"/>
          <w:sz w:val="28"/>
          <w:sz w:val="28"/>
          <w:szCs w:val="28"/>
          <w:rtl w:val="true"/>
          <w:lang w:bidi="ar-SA"/>
        </w:rPr>
        <w:t>استحباب الوضوء بعد القيء والرعاف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بعد القيء والرعاف، لصحيح أبي عُبيدة الحذّاء،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الرُّعَافُ والْقَيْ‌ءُ والتَّخْلِيلُ يَسِيلُ الدَّمَ، إذا اسْتَكْرَهْتَ شَيْئاً يَنْقُضُ الْوُضُوءَ، وإِنْ لَمْ تَسْتَكْرِهْهُ لَمْ يَنْقُضِ الْوُضُوء</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الاستحباب، بقرينة خبر أبي هلال الوارد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أَيَنْقُضُ الرُّعَافُ والْقَيْ‌ءُ ونَتْفُ الابْطِ الْوُضُوء؟ َ فَقَالَ وَمَا تَصْنَعُ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الْمُغِيرَةِ بْنِ سَعِيدٍ لَعَنَ اللّهُ الْمُغِيرَةَ، يُجْزِيكَ مِنْ الرُّعَافِ والْقَيْ‌ءِ أَنْ تَغْسِلَهُ ولا تُعِيدُ الْوُضُوءَ</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الرُّعَافِ والْحِجَامَةِ وكُلِّ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ظهر استحبابه بعد التخليل إذا أدمى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الوضوء عقيب التقبيل بشهوة، ومسّ الفرج، لصحيح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الاستحباب، بقرينة خبر عبد الرحمن، عَنْ أَبِي عَبْدِ اللّهِ عليه السلام،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مَسَّ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وإِنْ شَاءَ غَسَلَ يَدَهُ، والْقُبْلَةُ لا يُتَوَضَّأُ مِنْها</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للمسّ باطن الدبر والإحليل على المشهور شهرةً عظيمة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تكون إجماعاً بل هي 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بمسّ الرجل باطن دبره أو باطن إحليله أو فتح إحليله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يَتَوَضَّأُ ثُمَّ يَمَسُّ بَاطِنَ دُبُرِهِ؟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وُضُوءَهُ، وإِنْ مَسَّ بَاطِنَ إِحْلِيلِهِ فَعَلَيْهِ أَنْ يُعِيدَ الْوُضُوءَ، وإِنْ كَانَ فِي الصَّلاةِ قَطَعَ الصَّلاةَ ويَتَوَضَّأُ ويُعِيدُ الصَّلاةَ، وإِنْ فَتَحَ إِحْلِيلَهُ أَعَادَ الْوُضُوءَ وأَعَادَ الصَّلاةَ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للعمل بظاهر هذا الخبر، بل يحمل على الاستحباب لإعراض الأصحاب عنه، ومعارضته بما دلّ على حَصر النواقض الوارد في مقام بيان عدم ناقضيّة ما اشتهر بين العامّة ناقضيته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يَمَسُّ ذَكَرَهُ أَوْ فَرْجَهُ أَوْ أَسْفَلَ مِنْ ذَلِكَ، وهُوَ قَائِمٌ يُصَلِّي، يُعِيدُ وُضُوءَهُ؟ فَقَالَ لا بَأْسَ بِذَلِكَ إِنَّمَا هُوَ مِنْ جَسَدِهِ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العلّة المنصوصة عدم الفرق بين ظاهره وباطنه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الوضوء مع نسيان الاستنجاء، لصحيح سليمان بن خالد،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فَيَنْسَى غَسْلَ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الاستحباب، لصحيح ابن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فَيَنْسَى غَسْلَ ذَكَرِهِ، ثُمَّ يَتَوَضَّأُ وُضُوءَ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ولا يُعِيدُ الْوُضُوءَ</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أيضاً في مواضع اُخر، والتي لكثرتها وعدم الخلاف فيها أغمضنا عن ذكرها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2" w:name="pg11794_147037"/>
    </w:p>
    <w:p>
      <w:pPr>
        <w:pStyle w:val="Heading4"/>
        <w:numPr>
          <w:ilvl w:val="3"/>
          <w:numId w:val="1"/>
        </w:numPr>
        <w:rPr/>
      </w:pPr>
      <w:bookmarkStart w:id="253" w:name="__RefHeading___Toc10299072_73709187"/>
      <w:bookmarkStart w:id="254" w:name="_Toc92"/>
      <w:bookmarkEnd w:id="252"/>
      <w:bookmarkEnd w:id="253"/>
      <w:r>
        <w:rPr>
          <w:rtl w:val="true"/>
        </w:rPr>
        <w:t>الفصل الثاني</w:t>
      </w:r>
      <w:r>
        <w:rPr>
          <w:rtl w:val="true"/>
        </w:rPr>
        <w:t xml:space="preserve">: </w:t>
      </w:r>
      <w:r>
        <w:rPr>
          <w:rtl w:val="true"/>
        </w:rPr>
        <w:t>في آداب الخلوة</w:t>
      </w:r>
      <w:r>
        <w:rPr>
          <w:rtl w:val="true"/>
        </w:rPr>
        <w:t>:</w:t>
      </w:r>
      <w:bookmarkEnd w:id="254"/>
    </w:p>
    <w:p>
      <w:pPr>
        <w:pStyle w:val="Heading5"/>
        <w:numPr>
          <w:ilvl w:val="4"/>
          <w:numId w:val="1"/>
        </w:numPr>
        <w:rPr/>
      </w:pPr>
      <w:bookmarkStart w:id="255" w:name="__RefHeading___Toc10299074_73709187"/>
      <w:bookmarkStart w:id="256" w:name="_Toc9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ستر العورة على طالب الحدث</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0299076_73709187"/>
      <w:bookmarkStart w:id="258" w:name="_Toc94"/>
      <w:bookmarkEnd w:id="257"/>
      <w:r>
        <w:rPr>
          <w:rtl w:val="true"/>
        </w:rPr>
        <w:t>في وجوب ستر العورة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سَتر العورة على طالب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وعلى غيره عن الناظر المحترم إجماعاً</w:t>
      </w:r>
      <w:r>
        <w:rPr>
          <w:rStyle w:val="FootnoteAnchor"/>
          <w:rtl w:val="true"/>
        </w:rPr>
        <w:footnoteReference w:id="598"/>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وغيرها، بل فيها دعوى الضرورة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فِي كِتَابِ اللّهِ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الآتِي،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يَنْظُرُ أَحَدُكُمْ إِلَى فَرْجِ أَخِيهِ الْمُؤْمِنِ، أَوْ يُمَكِّنُهُ مِنَ النَّظَرِ إِلَى فَرْجِهِ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حديث المناهي، عَنِ الصَّادِقِ، عَنْ آبَائِهِ عليهم السلام، عَنِ النَّبِيِّ صلى الله عليه و آله فِي حَدِيثِ </w:t>
      </w:r>
      <w:bookmarkStart w:id="259" w:name="pg11794_147038"/>
    </w:p>
    <w:p>
      <w:pPr>
        <w:pStyle w:val="BookText"/>
        <w:rPr/>
      </w:pPr>
      <w:bookmarkEnd w:id="259"/>
      <w:r>
        <w:rPr>
          <w:rFonts w:ascii="Amiri" w:hAnsi="Amiri" w:eastAsia="Amiri" w:cs="Amiri"/>
          <w:color w:val="111111"/>
          <w:sz w:val="28"/>
          <w:sz w:val="28"/>
          <w:szCs w:val="28"/>
          <w:rtl w:val="true"/>
          <w:lang w:bidi="ar-SA"/>
        </w:rPr>
        <w:t>الْمَنَاهِي،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أَحَدُكُمْ فِي فَضَاءٍ مِنَ الأرْضِ، فَلْيُحَاذِرْ عَلَى عَوْرَتِهِ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ودُخُولَ الْحَمَّامِ بِغَيْرِ مِئْزَرٍ،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والْمَنْظُورُ إِلَيْهِ</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موثّق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أَيَتَجَرَّدُ الرَّجُلُ عِنْدَ صَبِّ الْمَاءِ تُرَى عَوْرَتُهُ، أَوْ يُصَبُّ عَلَيْهِ الْمَاءُ، أَوْ يَرَى 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ظهور الكراهة في الكراهة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المراد منها المبغوضيّة لما تقدّم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0299078_73709187"/>
      <w:bookmarkStart w:id="261" w:name="_Toc95"/>
      <w:bookmarkEnd w:id="260"/>
      <w:r>
        <w:rPr>
          <w:rtl w:val="true"/>
        </w:rPr>
        <w:t>في حرمة النظر إلى عورة الآخرين</w:t>
      </w:r>
      <w:bookmarkEnd w:id="261"/>
    </w:p>
    <w:p>
      <w:pPr>
        <w:pStyle w:val="BookText"/>
        <w:rPr/>
      </w:pPr>
      <w:r>
        <w:rPr>
          <w:rFonts w:ascii="Amiri" w:hAnsi="Amiri" w:eastAsia="Amiri" w:cs="Amiri"/>
          <w:color w:val="111111"/>
          <w:sz w:val="28"/>
          <w:sz w:val="28"/>
          <w:szCs w:val="28"/>
          <w:rtl w:val="true"/>
          <w:lang w:bidi="ar-SA"/>
        </w:rPr>
        <w:t>ثمّ إنّه كما يجب ستر العورة، كذلك يحرم النظر إلى عورة الغير بلا خلاف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 وصحيح حريز،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يَنْظُرَ الرَّجُلُ إِلَى عَوْرَةِ أَخِيهِ الْمُسْلِمِ،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 ونَهَى الْمَرْأَةَ أَنْ تَنْظُرَ إِلَى عَوْرَةِ الْمَرْأَةِ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ما ورد في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إذاعة سِرّه كما ورد في صحيح ابن سنان، المروي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عَوْرَةُ الْمُؤْمِنِ عَلَى الْمُؤْمِنِ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سُفْلَيْهِ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حذيفة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هما إنّما يدلّان على أنّ المراد من هذه الجملة هو ذلك، ولايدلّان على عدم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ما اشتمل على لفظ الكراهة أيضاً لا ينافي ذلك؟</w:t>
      </w:r>
    </w:p>
    <w:p>
      <w:pPr>
        <w:pStyle w:val="BookText"/>
        <w:rPr/>
      </w:pPr>
      <w:r>
        <w:rPr>
          <w:rFonts w:ascii="Amiri" w:hAnsi="Amiri" w:eastAsia="Amiri" w:cs="Amiri"/>
          <w:color w:val="111111"/>
          <w:sz w:val="28"/>
          <w:sz w:val="28"/>
          <w:szCs w:val="28"/>
          <w:rtl w:val="true"/>
          <w:lang w:bidi="ar-SA"/>
        </w:rPr>
        <w:t>وعليه، فما عن بعض الأصحاب</w:t>
      </w:r>
      <w:r>
        <w:rPr>
          <w:rStyle w:val="FootnoteAnchor"/>
          <w:rtl w:val="true"/>
        </w:rPr>
        <w:footnoteReference w:id="611"/>
      </w:r>
      <w:r>
        <w:rPr>
          <w:rFonts w:ascii="Amiri" w:hAnsi="Amiri" w:eastAsia="Amiri" w:cs="Amiri"/>
          <w:color w:val="111111"/>
          <w:sz w:val="28"/>
          <w:sz w:val="28"/>
          <w:szCs w:val="28"/>
          <w:rtl w:val="true"/>
          <w:lang w:bidi="ar-SA"/>
        </w:rPr>
        <w:t>من أنّه لو لم يكن مخافة خلاف الإجماع، لأمكن القول بكراهة النطر دون الحرمة، ضعيفٌ غايته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62" w:name="pg11794_147040"/>
    </w:p>
    <w:p>
      <w:pPr>
        <w:pStyle w:val="Heading5"/>
        <w:numPr>
          <w:ilvl w:val="4"/>
          <w:numId w:val="1"/>
        </w:numPr>
        <w:rPr/>
      </w:pPr>
      <w:bookmarkStart w:id="263" w:name="__RefHeading___Toc10299080_73709187"/>
      <w:bookmarkStart w:id="264" w:name="_Toc96"/>
      <w:bookmarkEnd w:id="262"/>
      <w:bookmarkEnd w:id="263"/>
      <w:r>
        <w:rPr>
          <w:rtl w:val="true"/>
        </w:rPr>
        <w:t>حكم النظر إلى عورة الكافر</w:t>
      </w:r>
      <w:bookmarkEnd w:id="264"/>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جملةٍ من النصوص والفتاوي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الحرمة بين عورة المسلم والكافر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ظاهر الصدوق رحمه الله</w:t>
      </w:r>
      <w:r>
        <w:rPr>
          <w:rStyle w:val="FootnoteAnchor"/>
          <w:rtl w:val="true"/>
        </w:rPr>
        <w:footnoteReference w:id="612"/>
      </w:r>
      <w:r>
        <w:rPr>
          <w:rFonts w:ascii="IRNazanin" w:hAnsi="IRNazanin" w:eastAsia="IRNazanin"/>
          <w:color w:val="111111"/>
          <w:sz w:val="28"/>
          <w:sz w:val="28"/>
          <w:szCs w:val="28"/>
          <w:rtl w:val="true"/>
          <w:lang w:bidi="fa-IR"/>
        </w:rPr>
        <w:t>وصاحب الوسائل قدس سره</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عورة غير المسلم بغير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أَكْرَهُ النَّظَرَ إِلَى عَوْرَةِ الْمُسْلِمِ؛ فَأَمَّا النَّظَرُ إِلَى عَوْرَةِ مَنْ لَيْسَ بِمُسْلِمٍ مِثْلُ النَّظَرِ إِلَى عَوْرَةِ الْحِمَارِ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بمصحّح ابن أبي عمير،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فإنّ جملة من نصوص المنع من جهة التقييد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بالمسلم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منها على العموم مثل النبويين المتقدّمين، وموثّق ابن أبي يعفور المتقدّم، معارض بالخبرين، ولكن إعراض الأصحاب عنهما، وإفتائهم بالمنع، يوجب سقوط الخبرين عن الحجيّة،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النظر إلى عورة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حفظ العورة من أنْ ينظر الكافر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لاخلاف في وجوبه، ويشهد له إطلاق النصّ والفتوى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وجوب الحفظ عن كلّ ناظرٍ عدا الطفل غير المميّز، ومَنْ استُثني من الزوج والزوجة ونحوهما</w:t>
      </w:r>
      <w:r>
        <w:rPr>
          <w:rFonts w:eastAsia="Amiri" w:cs="Amiri" w:ascii="Amiri" w:hAnsi="Amiri"/>
          <w:color w:val="111111"/>
          <w:sz w:val="28"/>
          <w:szCs w:val="28"/>
          <w:rtl w:val="true"/>
          <w:lang w:bidi="ar-SA"/>
        </w:rPr>
        <w:t>.</w:t>
      </w:r>
      <w:bookmarkStart w:id="265" w:name="pg11794_147042"/>
    </w:p>
    <w:p>
      <w:pPr>
        <w:pStyle w:val="Heading5"/>
        <w:numPr>
          <w:ilvl w:val="4"/>
          <w:numId w:val="1"/>
        </w:numPr>
        <w:rPr/>
      </w:pPr>
      <w:bookmarkStart w:id="266" w:name="__RefHeading___Toc10299082_73709187"/>
      <w:bookmarkStart w:id="267" w:name="_Toc97"/>
      <w:bookmarkEnd w:id="265"/>
      <w:bookmarkEnd w:id="266"/>
      <w:r>
        <w:rPr>
          <w:rtl w:val="true"/>
        </w:rPr>
        <w:t>حكم النظر إلى عورة الغير بالواسطة</w:t>
      </w:r>
      <w:bookmarkEnd w:id="26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إلى عورة الغير في المرآة، أو الماء الصافي، لإطلاق الأدلّة، بناءً على ما هو الحقّ من أنّ ما يُرى فيهما هو بعينه ذلك الموجود الخارجي، لا أنّه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الخنثى المُشكل من النظر في المرآة إلى عورتها عند بولها، كي يُميّز أنّها رجلٌ أو امرأة، فلا ينافي ذلك لوروده مورد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منه أنّ النظر إليها في المرآة أهون من النظر إليها ابتداءً، وبذلك ظهر حرمة النظر إليها من وراء الزجاجة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وجود الناظر أو كونه محترماً يجبُ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أدلّة وجوبه إنّما تدلّ على لزوم المحافظة والمحاذرة، ومقتضى لزومهما الستر مع الشكّ في وجود الناظر المحترم، إذ معه لو لم يستر لايصدق أنّه حفظ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بناء الفقهاء في الأمانة التي يجب حفظها، أنّه لو وضع الأمين المال في محل يشكّ في بقائه محفوظاً فيه فتلف يكون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وقف في مكانٍ يشكّ في وقوع نظره على عورة الغير، لا يجبُ عليه الغضّ، أو التعدّي عن ذلك المكان، للأصل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الفرق بين المسألتين، فالإيراد على الفارقين بينهما، والحكم في الاُولى بوجوب الستر، وفي الثانية بعدم وجوب الغضّ، بأنّ مقتضى الاُصول فيهما عدم الوجوب، في غير محلّه</w:t>
      </w:r>
      <w:r>
        <w:rPr>
          <w:rFonts w:eastAsia="Amiri" w:cs="Amiri" w:ascii="Amiri" w:hAnsi="Amiri"/>
          <w:color w:val="111111"/>
          <w:sz w:val="28"/>
          <w:szCs w:val="28"/>
          <w:rtl w:val="true"/>
          <w:lang w:bidi="ar-SA"/>
        </w:rPr>
        <w:t>.</w:t>
      </w:r>
      <w:bookmarkStart w:id="268" w:name="pg11794_147043"/>
    </w:p>
    <w:p>
      <w:pPr>
        <w:pStyle w:val="Heading5"/>
        <w:numPr>
          <w:ilvl w:val="4"/>
          <w:numId w:val="1"/>
        </w:numPr>
        <w:rPr/>
      </w:pPr>
      <w:bookmarkStart w:id="269" w:name="__RefHeading___Toc10299084_73709187"/>
      <w:bookmarkStart w:id="270" w:name="_Toc98"/>
      <w:bookmarkEnd w:id="268"/>
      <w:bookmarkEnd w:id="269"/>
      <w:r>
        <w:rPr>
          <w:rtl w:val="true"/>
        </w:rPr>
        <w:t>ما شُكّ في حرمة النظر إليه</w:t>
      </w:r>
      <w:bookmarkEnd w:id="27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عورة مكشوفةً، وشكَّ في أنّها عورة حيوانٍ أو إنسان؟ فلا يجب عليه الغضّ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أنّها من إنسانٍ وشُكّ في أنّها من صبي غير مميّز أو من بالغ؟ ففي العروة</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وجه له سوى التمسّك بعموم مادلّ على عدم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تمسّك بالعام في الشبهة المصداقيّة، كما هو واضح، وهو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المورد يجري استصحاب عدم البلوغ، ويترتّب عليه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أنّها من زوجته، أو مملوكته، أو أجنبيّة؟ فعن جملةٍ من الفقهاء</w:t>
      </w:r>
      <w:r>
        <w:rPr>
          <w:rStyle w:val="FootnoteAnchor"/>
          <w:rtl w:val="true"/>
        </w:rPr>
        <w:footnoteReference w:id="617"/>
      </w:r>
      <w:r>
        <w:rPr>
          <w:rFonts w:ascii="IRNazanin" w:hAnsi="IRNazanin" w:eastAsia="IRNazanin"/>
          <w:color w:val="111111"/>
          <w:sz w:val="28"/>
          <w:sz w:val="28"/>
          <w:szCs w:val="28"/>
          <w:rtl w:val="true"/>
          <w:lang w:bidi="fa-IR"/>
        </w:rPr>
        <w:t>عدم جواز النظر، ووجوب الغضّ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إناطة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وضعيّاً كان أم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خاص وجودي تدلّ بالالتزام العرفي على أنّ الموضوع هو إحراز ذلك العنوان، فلابدَّ من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العمومات حرمة النظر إلى عورة كلّ أحدٍ، خرجت عنها عورة الزوجة والمملوكة، فمع الشكّ في كونها من إحداهما بما أنّه شكّ في مصداق الخاص يكون المرجع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قبيل المقتضي والمانع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وبالأصل المتّفق عليه وهو أصالة الاحتياط في الفروج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إناطة حكمٍ ترخيصي بأمرٍ وجودي، كإناطة المنع به، لا يُراد بها إلّاجعل حكمٍ واقعيٍ لموضوع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لا يكون مرجعاً عند الشكّ في الخاص، لاسيّما إذا كان المخصّص متّصلاً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القاعدة أوّلاً، وعدم تمييز المقتضي عن المانع في التشريعات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الاحتياط في الفروج ليست أصلاً مستقلّاً غير الاستصحاب، وعلى فرض تسليم كونها أصلاً برأسها، فإنّما هي بالنسبة إلى الوطئ، لا النظر،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إحراز الحالة السابقة، يجري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كانت الحالة السابقة هي عدم كونها زوجته أو مملوكته، فيجري الاستصحاب ويُحكم بعدم جواز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كانت الحالة السابقة، هي كونها زوجته أو مملوكته، فمقتضى الاستصحاب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لكونها على فرض مملوكيّتها من أوّل وجودها كذلك، بناءً على عدم جريان الأصل في العدم الأزلي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في موارد توارد الحالتين مع الجهل بتقدّم إحداهما على الاُخرى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حينئذٍ لا مجال لجريان الاستصحاب، فالمحكّم حينئذ أصالة البراءة المقتضية للجواز</w:t>
      </w:r>
      <w:r>
        <w:rPr>
          <w:rFonts w:eastAsia="Amiri" w:cs="Amiri" w:ascii="Amiri" w:hAnsi="Amiri"/>
          <w:color w:val="111111"/>
          <w:sz w:val="28"/>
          <w:szCs w:val="28"/>
          <w:rtl w:val="true"/>
          <w:lang w:bidi="ar-SA"/>
        </w:rPr>
        <w:t>.</w:t>
      </w:r>
      <w:bookmarkStart w:id="271" w:name="pg11794_147045"/>
    </w:p>
    <w:p>
      <w:pPr>
        <w:pStyle w:val="Heading5"/>
        <w:numPr>
          <w:ilvl w:val="4"/>
          <w:numId w:val="1"/>
        </w:numPr>
        <w:rPr/>
      </w:pPr>
      <w:bookmarkStart w:id="272" w:name="__RefHeading___Toc10299086_73709187"/>
      <w:bookmarkStart w:id="273" w:name="_Toc99"/>
      <w:bookmarkEnd w:id="271"/>
      <w:bookmarkEnd w:id="272"/>
      <w:r>
        <w:rPr>
          <w:rtl w:val="true"/>
        </w:rPr>
        <w:t>النظر إلى عورة الخنثى</w:t>
      </w:r>
      <w:bookmarkEnd w:id="273"/>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نظر كلٍّ من الرجل والأُنثى إلى دُبُر الخُنثى، لكونه عورة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قُبُلها فلا يجوز لمحارمها النظر، للعلم الإجمالي بكون أحدهما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النظر إلى ما يماثل عورته للعلم بحرمته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عورة، أو لأنّه جزء من بدن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الطرف الآخر المخالف لعورته، فحيثُ إنّه لم يَحرز كونه عورة، ولا كونه جزءٌ من بدن الأجنبي، فيشكّ في جواز النظر إليه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العلم الإجمالي بكون أحدهما عورة ينحلّ بالعلم بحرمة النظر تفصيلاً إلى ما يماثل عورته، فتجري أصالة البراءة فيه بلا معارض، وهي تقتضي الجواز</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0299088_73709187"/>
      <w:bookmarkStart w:id="275" w:name="_Toc100"/>
      <w:bookmarkEnd w:id="274"/>
      <w:r>
        <w:rPr>
          <w:rtl w:val="true"/>
        </w:rPr>
        <w:t>مصاديق عورة الرجل والمرأة</w:t>
      </w:r>
      <w:bookmarkEnd w:id="275"/>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العورة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والبيضتان والدُّبر، وفي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أبي يحيى الواسطي، عَنْ أَبِي الْحَسَنِ الْمَاضِي عليه السلام،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الْعَوْرَةُ عَوْرَتَانِ الْقُبُلُ والدُّبُرُ، والدُّبُرُ مَسْتُورٌ بِالالْيَتَيْنِ، فَإِذَا سَتَرْتَ الْقَضِيبَ </w:t>
      </w:r>
    </w:p>
    <w:p>
      <w:pPr>
        <w:pStyle w:val="BookText"/>
        <w:rPr/>
      </w:pPr>
      <w:r>
        <w:rPr>
          <w:rFonts w:ascii="Amiri" w:hAnsi="Amiri" w:eastAsia="Amiri" w:cs="Amiri"/>
          <w:color w:val="111111"/>
          <w:sz w:val="28"/>
          <w:sz w:val="28"/>
          <w:szCs w:val="28"/>
          <w:rtl w:val="true"/>
          <w:lang w:bidi="ar-SA"/>
        </w:rPr>
        <w:t>والْبَيْضَتَيْنِ فَقَدْ سَتَرْتَ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المرسل الذي رواه الشيخ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الدُّبُرُ فَقَدْ سَتَرَتْهُ الالْيَتَانِ، وأَمَّا الْقُبُلُ فَاسْتُرْهُ بِيَدِكَ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الميثمي،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أَوْ مَنْ رَآهُ مُتَجَرِّداً وعَلَى عَوْرَتِهِ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الْفَخِذَ لَيْسَتْ مِنَ الْعَوْرَةِ</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تعرّضنا لهذه المسألة في كتاب الصلاة</w:t>
      </w:r>
      <w:r>
        <w:rPr>
          <w:rStyle w:val="FootnoteAnchor"/>
          <w:rtl w:val="true"/>
        </w:rPr>
        <w:footnoteReference w:id="620"/>
      </w:r>
      <w:r>
        <w:rPr>
          <w:rFonts w:ascii="Amiri" w:hAnsi="Amiri" w:eastAsia="Amiri" w:cs="Amiri"/>
          <w:color w:val="111111"/>
          <w:sz w:val="28"/>
          <w:sz w:val="28"/>
          <w:szCs w:val="28"/>
          <w:rtl w:val="true"/>
          <w:lang w:bidi="ar-SA"/>
        </w:rPr>
        <w:t>مفصّلاً فمن أراد فليراجع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76" w:name="pg11794_147047"/>
    </w:p>
    <w:p>
      <w:pPr>
        <w:pStyle w:val="BookText"/>
        <w:rPr/>
      </w:pPr>
      <w:bookmarkEnd w:id="276"/>
      <w:r>
        <w:rPr>
          <w:rFonts w:ascii="Amiri" w:hAnsi="Amiri" w:eastAsia="Amiri" w:cs="Amiri"/>
          <w:color w:val="111111"/>
          <w:sz w:val="28"/>
          <w:sz w:val="28"/>
          <w:szCs w:val="28"/>
          <w:rtl w:val="true"/>
          <w:lang w:bidi="ar-SA"/>
        </w:rPr>
        <w:t>ويحرم عليه استقبال القبلة واستدبارها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0299090_73709187"/>
      <w:bookmarkStart w:id="278" w:name="_Toc101"/>
      <w:bookmarkEnd w:id="277"/>
      <w:r>
        <w:rPr>
          <w:rtl w:val="true"/>
        </w:rPr>
        <w:t>الاستقبال والاستدبار في حال التخلّي</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طالب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القبلة واستدبارها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المشهور شهرةً عظيمة</w:t>
      </w:r>
      <w:r>
        <w:rPr>
          <w:rStyle w:val="FootnoteAnchor"/>
          <w:rtl w:val="true"/>
        </w:rPr>
        <w:footnoteReference w:id="621"/>
      </w:r>
      <w:r>
        <w:rPr>
          <w:rFonts w:ascii="Amiri" w:hAnsi="Amiri" w:eastAsia="Amiri" w:cs="Amiri"/>
          <w:color w:val="111111"/>
          <w:sz w:val="28"/>
          <w:sz w:val="28"/>
          <w:szCs w:val="28"/>
          <w:rtl w:val="true"/>
          <w:lang w:bidi="ar-SA"/>
        </w:rPr>
        <w:t xml:space="preserve">،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وابن زهرة</w:t>
      </w:r>
      <w:r>
        <w:rPr>
          <w:rStyle w:val="FootnoteAnchor"/>
          <w:rtl w:val="true"/>
        </w:rPr>
        <w:footnoteReference w:id="62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المناهي،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 السلام، أَنَّ النَّبِيَّ صلى الله عليه و آله قَالَ فِي حَدِيثِ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عبد 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 عليهما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مثله مرسلاً عن أبي </w:t>
      </w:r>
    </w:p>
    <w:p>
      <w:pPr>
        <w:pStyle w:val="BookText"/>
        <w:rPr/>
      </w:pPr>
      <w:r>
        <w:rPr>
          <w:rFonts w:ascii="Amiri" w:hAnsi="Amiri" w:eastAsia="Amiri" w:cs="Amiri"/>
          <w:color w:val="111111"/>
          <w:sz w:val="28"/>
          <w:sz w:val="28"/>
          <w:szCs w:val="28"/>
          <w:rtl w:val="true"/>
          <w:lang w:bidi="ar-SA"/>
        </w:rPr>
        <w:t>الحسن عليه السلام، وما رفعه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حَنِيفَةَ مِنْ عِنْدِ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مُوسَى عليه السلام قَائِمٌ 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الْقِبْلَةَ بِغَائِطٍ ولا بَوْلٍ وارْفَعْ ثَوْبَكَ وضَعْ حَيْثُ شِئْتَ</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جبر سندها بعمل الأصحاب، بضعف السند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مساقها مساق الأدب، وهو يمنع من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أنّ ذلك في نفسه لا يصلح قرينةً لصرف الظهور، أنّ المنع عن الاستدبار غير مناسبٍ، لكون الحكم أدبيّاً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واشتمال بعضها على بعض المكروهات، وما لم يلتزم به أحدٌ، لا يوجبُ رفع اليد عن ما لا محذور في الأخذ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من تقوية القول بالكراهة، ضعيف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النصوص حرمة الاستقبال والاستدبار في حال التخلّي بمقاديم بدنه، وإن أمال عورته إلى غيرهما، إذ المنهيّ عنه استقبال المتخلّي واستدباره،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العنوانان يصدقان حتّى مع إمالة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من أنّ المحرّم استقبال القبلة ببول أو غائط، وأنّه لو انحرف بعورته عن القبلة حين البول لم يضرّ الاستقبال بسائر بدنه،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يستقبل المتخلّي القبلة ولا استدبرها، فهل يجوز الاستقبال والاستدبار بطرف عورته فقط، أو لا يجوز؟ أم يفصل بين الأوّل فلا يجوز والثاني فيجوز؟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جواز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القمّي المتقدّم، وما في حديث المناهي،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رَسُولُ اللّهِ صلى الله عليه و آله عَنِ اسْتِقْبَالِ الْقِبْلَةِ بِبَوْلٍ أَوْ غَائِطٍ</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وامتناع ذلك عادةً بالنسبة إلى الغائط في الجالس الذي هو الغالب، لا يوجب حمل الاستقبال به وبالبول على الاستقبال بالفرج حال البول والغائط، إذ اشتمال الدليل على بيان حكم فرد نادر لا محذور فيه، وليس نظير حمل المطلق على الفرد النادر، ولجواز الثاني،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79" w:name="pg11794_147050"/>
    </w:p>
    <w:p>
      <w:pPr>
        <w:pStyle w:val="BookText"/>
        <w:rPr/>
      </w:pPr>
      <w:bookmarkEnd w:id="279"/>
      <w:r>
        <w:rPr>
          <w:rFonts w:ascii="Amiri" w:hAnsi="Amiri" w:eastAsia="Amiri" w:cs="Amiri"/>
          <w:color w:val="111111"/>
          <w:sz w:val="28"/>
          <w:sz w:val="28"/>
          <w:szCs w:val="28"/>
          <w:rtl w:val="true"/>
          <w:lang w:bidi="ar-SA"/>
        </w:rPr>
        <w:t>في الصَّحاري والبُنيان</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0299092_73709187"/>
      <w:bookmarkStart w:id="281" w:name="_Toc102"/>
      <w:bookmarkEnd w:id="280"/>
      <w:r>
        <w:rPr>
          <w:rtl w:val="true"/>
        </w:rPr>
        <w:t>حكم التخلّي في الصحاري والبنيان</w:t>
      </w:r>
      <w:bookmarkEnd w:id="281"/>
    </w:p>
    <w:p>
      <w:pPr>
        <w:pStyle w:val="BookText"/>
        <w:rPr/>
      </w:pPr>
      <w:r>
        <w:rPr>
          <w:rFonts w:ascii="Amiri" w:hAnsi="Amiri" w:eastAsia="Amiri" w:cs="Amiri"/>
          <w:color w:val="111111"/>
          <w:sz w:val="28"/>
          <w:sz w:val="28"/>
          <w:szCs w:val="28"/>
          <w:rtl w:val="true"/>
          <w:lang w:bidi="ar-SA"/>
        </w:rPr>
        <w:t xml:space="preserve">ويستوي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ممنوعيّة الاستقبال والاستدبار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الصحاري والبنيان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كما 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نقلاً 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643"/>
      </w:r>
      <w:r>
        <w:rPr>
          <w:rFonts w:ascii="Amiri" w:hAnsi="Amiri" w:eastAsia="Amiri" w:cs="Amiri"/>
          <w:color w:val="111111"/>
          <w:sz w:val="28"/>
          <w:sz w:val="28"/>
          <w:szCs w:val="28"/>
          <w:rtl w:val="true"/>
          <w:lang w:bidi="ar-SA"/>
        </w:rPr>
        <w:t>والمفيد</w:t>
      </w:r>
      <w:r>
        <w:rPr>
          <w:rStyle w:val="FootnoteAnchor"/>
          <w:rtl w:val="true"/>
        </w:rPr>
        <w:footnoteReference w:id="644"/>
      </w:r>
      <w:r>
        <w:rPr>
          <w:rFonts w:ascii="Amiri" w:hAnsi="Amiri" w:eastAsia="Amiri" w:cs="Amiri"/>
          <w:color w:val="111111"/>
          <w:sz w:val="28"/>
          <w:sz w:val="28"/>
          <w:szCs w:val="28"/>
          <w:rtl w:val="true"/>
          <w:lang w:bidi="ar-SA"/>
        </w:rPr>
        <w:t>وسلّار</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الحرمة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أقوى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إسماعيل،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الرِّضَا عليه السلام وفِي مَنْزِلِهِ كَنِيفٌ مُسْتَقْبِلَ الْقِبْلَةِ،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إِجْلالا لِلْقِبْلَةِ وتَعْظِيماً لَهَا لَمْ يَقُمْ مِنْ مَقْعَدِهِ ذَلِكَ حَتَّى يُغْفَرَ لَهُ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الخبر، عدم وجوب تغيّر ما بني مستقبل القبلة، ولا يدلّ على جواز الاستقبال في حال التخلّي، بل ذيله يدلّ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أصل الحكم يقتضي المقام التعرّض لفروعه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التشريق أو 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عدم وجوب التشريق أو التغريب، وأنّه يكتفى بما يتحقّق به ترك الاستقبال والاستدبار، وهو الميل إلى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الذي رواه عيسى الْهَاشميِّ،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ولا تَسْتَدْبِرْهَا، ولَكِنْ شَرِّقُوا أَوْ غَرِّبُوا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 سنده في نفسه، وعدم عمل الأصحاب به، يمكن أنْ يُقال إنّه بقرينة المقابلة اُريد به الميل إلى جهتهما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الحكم حال البول والغائط</w:t>
      </w:r>
    </w:p>
    <w:p>
      <w:pPr>
        <w:pStyle w:val="BookText"/>
        <w:rPr/>
      </w:pPr>
      <w:r>
        <w:rPr>
          <w:rFonts w:ascii="Amiri" w:hAnsi="Amiri" w:eastAsia="Amiri" w:cs="Amiri"/>
          <w:color w:val="111111"/>
          <w:sz w:val="28"/>
          <w:sz w:val="28"/>
          <w:szCs w:val="28"/>
          <w:rtl w:val="true"/>
          <w:lang w:bidi="ar-SA"/>
        </w:rPr>
        <w:t>المشهور بين الأصحاب اختصاص الحكم بحالة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لحال الاستنجاء، ومال إليه العلّامة الأنصاري رحمه الله في طهارته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يَسْتَنْجِيَ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 ولَيْسَ عَلَيْهِ أَنْ يَغْسِلَ بَاطِنَهُ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وبإطلاق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فَلا تَسْتَقْبِلَ القِبْلَةَ ولا تَسْتَدبِرها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كيفيّة الجلوس من حيث هو، والاستقبال والإستدبار ليسا من كيفيات الجلوس وحالاته، بل من الاُمور الخارجيّة المقارنة له، فما عن 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الموثّق ردّاً على العامّة، حيث يقعدون للاستنجاء نحواً آخر من زيادة التفريج وإدخال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القوي، ويؤيّده ما ورد في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عَليه أَنْ يَغْسِل مَا ظَهرَ منه، ولَيسَ عَلَيه أنْ يَغْسِل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 وعدم معلوميّة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غير مرادٍ قطعاً، بل الظاهر إرادة خصوص حالة البول والغائط،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شمول الحكم لحال الاستنجاء، كما يقتضيه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شمول الحكم لها، واستدلّ له بإطلاق النبويّ المتقدّم،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العلم بخروج البول، لا ينبغي التوقّف في شمول المنع لها، لإطلاق ما دلَّ على حرمة الاستقبال والاستدبار في حال البول الشامل للقليل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بخروج البلل، أمكن القول بثبوت المنع فيها، لأنّ مقتضى ما دلّ على لزوم الاجتناب عنه أنّه يحكم عليه بالبوليّة، فيثبت له ما للبول من الحكم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شكّ فيه أيضاً، فالأقوى هو العدم، لأصالة البراءة المقتضية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اشتباه القبلة</w:t>
      </w:r>
    </w:p>
    <w:p>
      <w:pPr>
        <w:pStyle w:val="BookText"/>
        <w:rPr/>
      </w:pPr>
      <w:r>
        <w:rPr>
          <w:rFonts w:ascii="Amiri" w:hAnsi="Amiri" w:eastAsia="Amiri" w:cs="Amiri"/>
          <w:color w:val="111111"/>
          <w:sz w:val="28"/>
          <w:sz w:val="28"/>
          <w:szCs w:val="28"/>
          <w:rtl w:val="true"/>
          <w:lang w:bidi="ar-SA"/>
        </w:rPr>
        <w:t>ولو اشتبهت القبلة، ففيها أربع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تارةً تتردّد بين جهات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بين الجهات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وثالثة يظنّ بكونها في إحداها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ورابعة تتردّد بين جهتين متقابلتين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جواز التخلّي مستقبلاً لجهةٍ من تلك الجهات، بل يجب الميل عنها إلى الجهات الخارجة عن أطراف الشبهة، إذ العلم الإجمالي كالعلم التفصيلي في منجّزيّته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أكابر المحقّقين رحمهم الله</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الشبهة غير المحصورة، التي لا يجب الاحتياط فيها، وعليه فلا يجب الفحص عن القبلة عند إرادة التخلّي، ويرجع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653"/>
      </w:r>
      <w:r>
        <w:rPr>
          <w:rFonts w:ascii="Amiri" w:hAnsi="Amiri" w:eastAsia="Amiri" w:cs="Amiri"/>
          <w:color w:val="111111"/>
          <w:sz w:val="28"/>
          <w:sz w:val="28"/>
          <w:szCs w:val="28"/>
          <w:rtl w:val="true"/>
          <w:lang w:bidi="ar-SA"/>
        </w:rPr>
        <w:t>، وأشرنا إليه في هذا الشرح غير مرّة؛ من أنّ الشبهة غير المحصورة من حيثُ هي ليست من موانع تنجّز التكليف، وأنّه في موارد العلم الإجمالي، حتّى ولو كانت أطراف الشبهة كثيرة، فإنّه إذا تمكّن من المخالفة والموافقة القطعيّتين، يكون العلم الإجمالي منجّزاً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بما أنّه يتمكّن من عدم التخلّي إلى شيءٍ من الجهات، ومن التخلّي إلى جميع الجهات، بأن يدور ببوله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الأطراف، فلا محالة يكون العلم منجّزاً، فلا يجوز التخلّي إلى شيء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لم يضطرّ إليه، بأن أمكن الانتظار إلى أن يحصل له العلم بالقبلة، وإلّا فإن اضطرّ إليه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الاضطرار إلى التخلّي إلى جهةٍ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بعد حدوث التكليف بعدم التخلّي مستقبلاً ومستدبراً وجب الاحتياط بعد التخلّي إلى غير تلك الجهة، لأنّ الاضطرار الحادث بعد العلم بالتكليف، لا يوجب رفع أثر العلم بالنسبة إلى ما لا يكون مضطرّاً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الاضطرار قبل حدوث التكليف، أو قبل العلم به، جاز التخلّي إلى غير تلك الجهة أيضاً، إذ العلم الحادث بعد الاضطرار لا تتعارض الاُصول في أطرافه، فلا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الاضطرار إلى أحد الأطراف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لزوم الاقتصار على خصوص ما يرفع به الاضطرار، لما حقّقناه في الاُصول من أنّ الاضطرار إلى ارتكاب بعضٍ غير معيّن من الأطراف، كما إذا علم بخمرية ما في أحد الإنائين، واضطرّ إلى شُرب ما في أحدهما، لا يوجب رفع التكليف المعلوم، لعدم تعلّق الاضطرار بفعل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للشارع الترخيص في ارتكابهما معاً، لكونه ترخيصاً في المخالفة القطعيّة، فلا محالة يكون المرخّص فيه هو شرب ما في أحد الإنائين الذي به يرفع الاضطرار، وأمّا ما في الإناء الآخر فيجب الاجتناب عنه بمقتضى العلم الإجمالي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أيضاً يتعيّن الاقتصار على ما يرفع به الاضطرار، ولا يجوز له التخلّي إلى غيره للعلم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w:t>
      </w:r>
      <w:r>
        <w:rPr>
          <w:rStyle w:val="FootnoteAnchor"/>
          <w:rtl w:val="true"/>
        </w:rPr>
        <w:footnoteReference w:id="654"/>
      </w:r>
      <w:r>
        <w:rPr>
          <w:rFonts w:ascii="IRNazanin" w:hAnsi="IRNazanin" w:eastAsia="IRNazanin"/>
          <w:color w:val="111111"/>
          <w:sz w:val="28"/>
          <w:sz w:val="28"/>
          <w:szCs w:val="28"/>
          <w:rtl w:val="true"/>
          <w:lang w:bidi="fa-IR"/>
        </w:rPr>
        <w:t>العمل بالظنّ، واستدلّ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باستصحاب بقاء التكليف المقتضي لقيام الظنّ مقام العلم، وإلّا لزم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بعض النصوص الشامل للمقام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التَّحَرِّي أَبَداً إذا لَمْ يُعْلَمْ أَيْنَ وَجْهُ الْقِبْلَةِ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التكليف لايستلزم قيام الظنّ مقام العلم، حتّى في صورة الاضطرار، لأنّه في الفرض يمنع الاضطرار من حكم العقل بلزوم العلم بامتثال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الأخذ بالأحرى إرادة الأعمال التي يعتبر فيها التوجّه إلى القبلة، ولايشمل الأعمال التي يعتبر فيها الميل عن القبلة،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كون حكم الطرف المظنون حكم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حكم الصورة الرابعة، وهو تعيّن اختيار الجهتين الاُخريين، للعلم بأنّ التوجّه إليهما ليس استقبال القبلة ولا 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حكمها حكم الصورة الثانية، أم يتعيّن في صورة الاضطرار اختيار الجهتين اللّتين في مقابل تلك الجهتين؟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r>
        <w:rPr>
          <w:rStyle w:val="FootnoteAnchor"/>
          <w:rtl w:val="true"/>
        </w:rPr>
        <w:footnoteReference w:id="656"/>
      </w:r>
      <w:r>
        <w:rPr>
          <w:rFonts w:ascii="Amiri" w:hAnsi="Amiri" w:eastAsia="Amiri" w:cs="Amiri"/>
          <w:color w:val="111111"/>
          <w:sz w:val="28"/>
          <w:sz w:val="28"/>
          <w:szCs w:val="28"/>
          <w:rtl w:val="true"/>
          <w:lang w:bidi="ar-SA"/>
        </w:rPr>
        <w:t>، بناءً على ما هو الأقوى، من أنّه إذا تزاحم الاستقبال والاستدبار قدم الاستدبار، لا لأنّ الاستقبال أعظم قبحاً وأشدّ في توهين القبلة، لأنّه يرد عليه عدم العلم بكون المناط هو تعظيم القبلة، بل لاحتمالن</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الاستقبال من الاستدبار، إمّا لذلك، أو لتكثّر الأخبار الدالّة على حرمته من دون احتمال أهميّة الاستدبار منه، لأنّه في المتزاحمين الذين يحتمل أهميّة أحدهما ويقدّم لذلك، لا يفرّق بين أن يكون كلّ واحدٍ منهما معلوماً تفصيليّاً أم إجماليّاً، مثلاً لو اضطرّ المكلّف إلى الشرب إمّا من أحد الإنائين المعلوم خمريّة ما في أحدهما، أو من أحد الإنائين المعلوم نجاسة ما في أحدهما، فإنّه لا شكّ في أنّ العقل يحكم بتعيّن اختيار الشرب من ما علم نجاسته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اشتباه القبلة مع الاضطرار إلى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اشتباه القبلة بين تمام الجهات، والاضطرار إلى استقبال جهةٍ منها، لا ريب في عدم جواز أن يدور ببوله إلى جميع الأطراف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عن أنّه هل يجوز اختيار جهةٍ في كلّ مرّةٍ غير الجهة التي اختارها في غيرها إلى أن يحصل العلم باستقبال القبلة، ام لا يجوز؟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لما حقّقناه في الاُصول من تنجيز العلم الإجمالي في التدريجات، حتّى فيما كان الحكم المعلوم فعليّاً على تقدير دون تقديرٍ، ولم يكن ملاك الأمر المتأخّر تامّاً من الآن، إذ ترخيص المولى في ارتكاب الطرف المبتلى به فعلاً، وترخيصه في ارتكاب الطرف الآخر في ظرفه، ترخيصٌ في تفويت الملاك الملزم،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يحرم إقعاد الطفل للتخلّي على وجهٍ يكون مستقبلاً أو مستدبراً، للأصل بعد عدم شمول النصوص له، لظهورها في إرادة الاستقبال ببدنه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التخلّي في هاتين الحالتين مبغوضٌ من كلّ أحدٍ وذو مفسدة، وإنّما لم ينه عنهما بالنسبة إلى الصبي للمانع من التكليف، فاستناد هذا الفعل المبغوض إلى البالغ قبيحٌ عقلاً وحرام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الإقعاد تسبيبٌ لحصول مبغوض المولى، وهو قبيحٌ بلا كلام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لاسبيل لنا إلى كشف المفسدة والمبغوضيّة سوى النهي، ومع عدمه 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كاشف عن وجودهما، وحيثُ لا يكون الصبي مكلّفاً؛ فتخلّيه مستقبلاً أو مستدبراً لم يتعلّق به النهي، فلا مُثبت لكونه مبغوضاً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لايجب منع الصبي أو المجنون إذا استقبلا أو استدبرا عند التخلّي، بل لو تمّ ما ذكر وجهاً لحرمة الإقعاد، لا يجب المنع لعدم جريانه فيه، كما لايخفى</w:t>
      </w:r>
      <w:r>
        <w:rPr>
          <w:rFonts w:eastAsia="Amiri" w:cs="Amiri" w:ascii="Amiri" w:hAnsi="Amiri"/>
          <w:color w:val="111111"/>
          <w:sz w:val="28"/>
          <w:szCs w:val="28"/>
          <w:rtl w:val="true"/>
          <w:lang w:bidi="ar-SA"/>
        </w:rPr>
        <w:t>.</w:t>
      </w:r>
      <w:bookmarkStart w:id="282" w:name="pg11794_147060"/>
    </w:p>
    <w:p>
      <w:pPr>
        <w:pStyle w:val="BookText"/>
        <w:rPr/>
      </w:pPr>
      <w:bookmarkEnd w:id="282"/>
      <w:r>
        <w:rPr>
          <w:rFonts w:ascii="Amiri" w:hAnsi="Amiri" w:eastAsia="Amiri" w:cs="Amiri"/>
          <w:color w:val="111111"/>
          <w:sz w:val="28"/>
          <w:sz w:val="28"/>
          <w:szCs w:val="28"/>
          <w:rtl w:val="true"/>
          <w:lang w:bidi="ar-SA"/>
        </w:rPr>
        <w:t>ويُستحبُّ له تقديم الرِّجل اليُسرى عند دخول الخلاء، واليمنى عند الخروج، وتغطية الرأس</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0299094_73709187"/>
      <w:bookmarkStart w:id="284" w:name="_Toc103"/>
      <w:bookmarkEnd w:id="283"/>
      <w:r>
        <w:rPr>
          <w:rtl w:val="true"/>
        </w:rPr>
        <w:t>مسنونات الخلوة</w:t>
      </w:r>
      <w:bookmarkEnd w:id="284"/>
    </w:p>
    <w:p>
      <w:pPr>
        <w:pStyle w:val="Heading6"/>
        <w:numPr>
          <w:ilvl w:val="5"/>
          <w:numId w:val="1"/>
        </w:numPr>
        <w:rPr/>
      </w:pPr>
      <w:bookmarkStart w:id="285" w:name="__RefHeading___Toc10299096_73709187"/>
      <w:bookmarkStart w:id="286" w:name="_Toc104"/>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مستحبّات ومكروهات</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299098_73709187"/>
      <w:bookmarkStart w:id="288" w:name="_Toc105"/>
      <w:bookmarkEnd w:id="287"/>
      <w:r>
        <w:rPr>
          <w:rtl w:val="true"/>
        </w:rPr>
        <w:t>تقديم الرِّجل اليُسرى عند دخول الخلاء</w:t>
      </w:r>
      <w:r>
        <w:rPr>
          <w:rtl w:val="true"/>
        </w:rPr>
        <w:t>...</w:t>
      </w:r>
      <w:bookmarkEnd w:id="288"/>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له تقديم الرِّجل اليُسرى عند دخول الخلاء، واليمنى عند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بهذا حجّةٍ، غير أنّ ما ذكره الشيخ وجماعة من الأصحاب حَسَن</w:t>
      </w:r>
      <w:r>
        <w:rPr>
          <w:rStyle w:val="FootnoteAnchor"/>
          <w:rtl w:val="true"/>
        </w:rPr>
        <w:footnoteReference w:id="660"/>
      </w:r>
      <w:r>
        <w:rPr>
          <w:rFonts w:ascii="Amiri" w:hAnsi="Amiri" w:eastAsia="Amiri" w:cs="Amiri"/>
          <w:color w:val="111111"/>
          <w:sz w:val="28"/>
          <w:sz w:val="28"/>
          <w:szCs w:val="28"/>
          <w:rtl w:val="true"/>
          <w:lang w:bidi="ar-SA"/>
        </w:rPr>
        <w:t>، وكفى به مستنداً بناءً على التسامح في أدلّة السنن</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299100_73709187"/>
      <w:bookmarkStart w:id="290" w:name="_Toc106"/>
      <w:bookmarkEnd w:id="289"/>
      <w:r>
        <w:rPr>
          <w:rtl w:val="true"/>
        </w:rPr>
        <w:t>تغطية الرأس</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اتّفاقاً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وغيرهما، لخبر أبي ذر عن النبيّ صلى الله عليه و آله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وليغطّ رأسه إنْ كان مكشوفاً، ليأمن بذلك من عَبَث الشيطان ومن وصول الرائحة الخبيثة إلى دماغه، وهو سُنّة من سنن النبيّ صلى الله عليه و آله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291" w:name="pg11794_147061"/>
    </w:p>
    <w:p>
      <w:pPr>
        <w:pStyle w:val="BookText"/>
        <w:rPr/>
      </w:pPr>
      <w:bookmarkEnd w:id="291"/>
      <w:r>
        <w:rPr>
          <w:rFonts w:ascii="Amiri" w:hAnsi="Amiri" w:eastAsia="Amiri" w:cs="Amiri"/>
          <w:color w:val="111111"/>
          <w:sz w:val="28"/>
          <w:sz w:val="28"/>
          <w:szCs w:val="28"/>
          <w:rtl w:val="true"/>
          <w:lang w:bidi="ar-SA"/>
        </w:rPr>
        <w:t>والتسمية والاستبراء</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0299102_73709187"/>
      <w:bookmarkStart w:id="293" w:name="_Toc107"/>
      <w:bookmarkEnd w:id="292"/>
      <w:r>
        <w:rPr>
          <w:rtl w:val="true"/>
        </w:rPr>
        <w:t>التسمية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الدخول، لمرسل ابن اسباط المرويّ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يَعْمَلُهُ إذا دَخَلَ الْكَنِيفَ يُقَنِّعُ رَأْسَهُ ويَقُولُ سِرّاً فِي نَفْسِهِ بِسْمِ اللّهِ وبِاللّهِ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كشف العورة، للمرسل المروي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انْكَشَفَ أَحَدُكُمْ لِبَوْلٍ أَوْ لِغَيْرِ ذَلِكَ فَلْيَقُلْ بِسْمِ اللّهِ، فَإِنَّ الشَّيْطَانَ يَغُضُّ بَصَرَهُ عَنْهُ حَتَّى يَفْرُغَ</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الخروج، لصحيح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 بِسْمِ اللّهِ اللَّهُمَّ إِنِّي أَعُوذُ بِكَ مِنَ الْخَبِيثِ الُْمخْبِثِ الرِّجْسِ النِّجْسِ الشَّيْطَانِ الرَّجِيمِ، فَإِذَا خَرَجْتَ فَقُلْ بِسْمِ اللّهِ الْحَمْدُ لِلَّهِ الَّذِي عَافَانِي مِنَ الْخَبِيثِ الُْمخْبِثِ وأَمَاطَ عَنِّي الأذَى</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10299104_73709187"/>
      <w:bookmarkStart w:id="295" w:name="_Toc108"/>
      <w:bookmarkEnd w:id="294"/>
      <w:r>
        <w:rPr>
          <w:rtl w:val="true"/>
        </w:rPr>
        <w:t>الاستبراء</w:t>
      </w:r>
      <w:bookmarkEnd w:id="295"/>
    </w:p>
    <w:p>
      <w:pPr>
        <w:pStyle w:val="Heading6"/>
        <w:numPr>
          <w:ilvl w:val="5"/>
          <w:numId w:val="1"/>
        </w:numPr>
        <w:rPr/>
      </w:pPr>
      <w:bookmarkStart w:id="296" w:name="__RefHeading___Toc10299106_73709187"/>
      <w:bookmarkStart w:id="297" w:name="_Toc109"/>
      <w:bookmarkEnd w:id="296"/>
      <w:r>
        <w:rPr>
          <w:rtl w:val="true"/>
        </w:rPr>
        <w:t>اشارة</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البول على المشهور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بصحيحي ابن مسلم، وحفص الآتيين المشتملين على الأمر بالنتر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ظهورهما في وجوبه، لورودهما في مقام بيان ما يترتّب عليه من طهارة ما يخرج من البلل بعد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سُلّم ظهورهما فيه، يتعيّن صرفه، وحملهما على الاستحباب، بقرينة صحيح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98" w:name="pg11794_147063"/>
    </w:p>
    <w:p>
      <w:pPr>
        <w:pStyle w:val="Heading6"/>
        <w:numPr>
          <w:ilvl w:val="5"/>
          <w:numId w:val="1"/>
        </w:numPr>
        <w:rPr/>
      </w:pPr>
      <w:bookmarkStart w:id="299" w:name="__RefHeading___Toc10299108_73709187"/>
      <w:bookmarkStart w:id="300" w:name="_Toc110"/>
      <w:bookmarkEnd w:id="298"/>
      <w:bookmarkEnd w:id="299"/>
      <w:r>
        <w:rPr>
          <w:rtl w:val="true"/>
        </w:rPr>
        <w:t>كيفيّة الاستبراء</w:t>
      </w:r>
      <w:bookmarkEnd w:id="3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فقهاءنا في كيفيّة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 الأساطين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يمسح من المقعدة إلى أصل القضيب ثلاثاً، ومنه إلى رأس الحَشَفة ثلاثاً، وينتره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والنتر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فيه جَفوةٌ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التسع المذكورة هو المشهور بين الأصحاب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بالمسح من المقعدة إلى الأنثيين ثلاث مرّات، ثمّ ينتر ذَكَره ثلاثاً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علم الهدى</w:t>
      </w:r>
      <w:r>
        <w:rPr>
          <w:rStyle w:val="FootnoteAnchor"/>
          <w:rtl w:val="true"/>
        </w:rPr>
        <w:footnoteReference w:id="685"/>
      </w:r>
      <w:r>
        <w:rPr>
          <w:rFonts w:ascii="Amiri" w:hAnsi="Amiri" w:eastAsia="Amiri" w:cs="Amiri"/>
          <w:color w:val="111111"/>
          <w:sz w:val="28"/>
          <w:sz w:val="28"/>
          <w:szCs w:val="28"/>
          <w:rtl w:val="true"/>
          <w:lang w:bidi="ar-SA"/>
        </w:rPr>
        <w:t>، وابن الجنيد</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بنتر الذَكَر من أصله إلى طرفه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غيرهم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 ثُمَّ إِنْ سَالَ حَتَّى يَبْلُغَ السَّاقَ فَلا يُبَالِي</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مستندُ السيّد وابن الجنيد، بدعوى أنّ الضمير في ينتره يرجع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الذَكَر قبله كي يرجع إليه، بل الظاهر رجوعه إلى البول، فمفاده حينئذٍ اعتبار النتر ثلاثاً في كلّ ما يكون دخيلاً في خروج البول، ولا ريب في مدخليّة المسح من عند المقعدة إلى أصل الذَكَر، ومنه إلى رأسه في ذلك، كما يشهد له الخبران الآتيان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يدلّ على اعتبار الثلاث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عَبْدِ الْمَلِكِ بْنِ عَمْرٍو،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ثُمَّ يَسْتَنْجِي، ثُمَّ يَجِدُ بَعْدَ ذَلِكَ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فَخَرَطَ مَا بَيْنَ الْمَقْعَدَةِ والأُنْثَيَيْنِ ثَلاثَ مَرَّاتٍ وغَمَزَ مَا بَيْنَهُمَا ثُمَّ اسْتَنْجَى، فَإِنْ سَالَ حَتَّى يَبْلُغَ السُّوقَ فَلا يُبَالِي</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بحسب الظاهر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فيدلّ هذا الخبر على مدخليّة غمز الذَكَر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الاستبراء، وخروج البول زائداً على اعتبار الخرط من عند المقعدة إلى أصل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إليه الخبر المتقدّم، تكون النتيجة اعتبار الثلاث في الغمز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ويَنْتُرُ طَرَفَهُ، فَإِنْ خَرَجَ بَعْدَ ذَلِكَ شَيْ‌ءٌ فَلَيْسَ مِنَ الْبَوْلِ، ولَكِنَّهُ مِنَ الْحَبَائِلِ</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الظاهر منه كون الغاية غايةً للعصر، فهو يدلّ على اعتبار المسح من أصل الذَكَر إلى طرفه ثلاثاً وعصر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الأوّل يدلّ على اعتبار كون ذلك أيضاً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هذه النصوص، يقتضي الحكم باعتبار تسع مَسَحات، وأمّا زائداً على ذلك بحيث يعتبر الترتيب بين المَسَحات بعضها مع بعض، وانفصال كلّ مسحةٍ عن الاُخرى، والموالات بينهما أو غيرها من القيود،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والإطلاقات عدم اعتبار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عَنْ مُحَمَّدِ بْنِ مُحَمَّدٍ الأشْعَثِ، عَنْ الإمام مُوسَى عن الكاظم عليه السلام، عن آبائه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فَلْيَضَعْ إِصْبَعَهُ الْوُسْطَى فِي أَصْلِ الْعِجَانِ ثُمَّ يَسْلِتُهَا ثَلاثاً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اعتبار وضع الوسطى خاصّة، فلضعفه لا يعتمد عليه، مع أنّ دعوى كونه إرشاداً إلى أنّ ذلك أمكن في الاستبراء قريبة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01" w:name="pg11794_147066"/>
    </w:p>
    <w:p>
      <w:pPr>
        <w:pStyle w:val="Heading6"/>
        <w:numPr>
          <w:ilvl w:val="5"/>
          <w:numId w:val="1"/>
        </w:numPr>
        <w:rPr/>
      </w:pPr>
      <w:bookmarkStart w:id="302" w:name="__RefHeading___Toc10299110_73709187"/>
      <w:bookmarkStart w:id="303" w:name="_Toc111"/>
      <w:bookmarkEnd w:id="301"/>
      <w:bookmarkEnd w:id="302"/>
      <w:r>
        <w:rPr>
          <w:rtl w:val="true"/>
        </w:rPr>
        <w:t>فروع</w:t>
      </w:r>
      <w:r>
        <w:rPr>
          <w:rtl w:val="true"/>
        </w:rPr>
        <w:t xml:space="preserve">: </w:t>
      </w:r>
      <w:r>
        <w:rPr>
          <w:rtl w:val="true"/>
        </w:rPr>
        <w:t>في الاستبراء</w:t>
      </w:r>
      <w:bookmarkEnd w:id="303"/>
    </w:p>
    <w:p>
      <w:pPr>
        <w:pStyle w:val="Heading6"/>
        <w:numPr>
          <w:ilvl w:val="5"/>
          <w:numId w:val="1"/>
        </w:numPr>
        <w:rPr/>
      </w:pPr>
      <w:bookmarkStart w:id="304" w:name="__RefHeading___Toc10299112_73709187"/>
      <w:bookmarkStart w:id="305" w:name="_Toc112"/>
      <w:bookmarkEnd w:id="304"/>
      <w:r>
        <w:rPr>
          <w:rtl w:val="true"/>
        </w:rPr>
        <w:t>الفرع الأوّل</w:t>
      </w:r>
      <w:r>
        <w:rPr>
          <w:rtl w:val="true"/>
        </w:rPr>
        <w:t xml:space="preserve">: </w:t>
      </w:r>
      <w:r>
        <w:rPr>
          <w:rtl w:val="true"/>
        </w:rPr>
        <w:t>في مقطوع الحَشَفة</w:t>
      </w:r>
      <w:bookmarkEnd w:id="305"/>
    </w:p>
    <w:p>
      <w:pPr>
        <w:pStyle w:val="BookText"/>
        <w:rPr/>
      </w:pPr>
      <w:r>
        <w:rPr>
          <w:rFonts w:ascii="Amiri" w:hAnsi="Amiri" w:eastAsia="Amiri" w:cs="Amiri"/>
          <w:color w:val="111111"/>
          <w:sz w:val="28"/>
          <w:sz w:val="28"/>
          <w:szCs w:val="28"/>
          <w:rtl w:val="true"/>
          <w:lang w:bidi="ar-SA"/>
        </w:rPr>
        <w:t>من قُطع حَشَفته أو ذَكَره يصنع ما ذُكر فيما بقي، إذ الظاهر من النصوص بواسطة مناسبة الحكم والموضوع، والتصريح به فيها، أنّ هذا الحكم ليس تعبّديّاً محضاً، وإنّما هو لنقاء المحلّ، ومنه يظهر حكم ما لو علم بعدم بقاء شيء في المجرى، وما لو علم نقاء ما بين المقعدة والأنثيين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0299114_73709187"/>
      <w:bookmarkStart w:id="307" w:name="_Toc113"/>
      <w:bookmarkEnd w:id="306"/>
      <w:r>
        <w:rPr>
          <w:rtl w:val="true"/>
        </w:rPr>
        <w:t>الفرع الثاني</w:t>
      </w:r>
      <w:r>
        <w:rPr>
          <w:rtl w:val="true"/>
        </w:rPr>
        <w:t xml:space="preserve">: </w:t>
      </w:r>
      <w:r>
        <w:rPr>
          <w:rtl w:val="true"/>
        </w:rPr>
        <w:t>في فائدة الاستبراء</w:t>
      </w:r>
      <w:bookmarkEnd w:id="307"/>
    </w:p>
    <w:p>
      <w:pPr>
        <w:pStyle w:val="BookText"/>
        <w:rPr/>
      </w:pPr>
      <w:r>
        <w:rPr>
          <w:rFonts w:ascii="Amiri" w:hAnsi="Amiri" w:eastAsia="Amiri" w:cs="Amiri"/>
          <w:color w:val="111111"/>
          <w:sz w:val="28"/>
          <w:sz w:val="28"/>
          <w:szCs w:val="28"/>
          <w:rtl w:val="true"/>
          <w:lang w:bidi="ar-SA"/>
        </w:rPr>
        <w:t xml:space="preserve">فائدة الاستبراء الحكم بطهارة الرطوبة المشتبهة، وعدم ناقضيّتها اتّفاقاً، كما عن 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الطهارة، وعدم الناقضيّة مطلقاً، كصحيح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بَالَ ثُمَّ تَوَضَّأَ ثُمَّ قَامَ إِلَى الصَّلاةِ ثُمَّ وَجَدَ بَلَلا؟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إِنَّمَا ذَلِكَ مِنَ الْحَبَائِلِ</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الناقضيّة، كصحيح ابن مُسْلِمٍ،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وهُوَ جُنُبٌ قَبْلَ أَنْ يَبُولَ، ثُمَّ يَجِدُ بَلَلاً، فَقَدِ انْتَقَضَ غُسْلُهُ، وإِنْ كَانَ بَالَ ثُمَّ اغْتَسَلَ ثُمَّ وَجَدَ بَلَلاً فَلَيْسَ يَنْقُضُ غُسْلَهُ، ولَكِنْ </w:t>
      </w:r>
      <w:bookmarkStart w:id="308" w:name="pg11794_147067"/>
    </w:p>
    <w:p>
      <w:pPr>
        <w:pStyle w:val="BookText"/>
        <w:rPr/>
      </w:pPr>
      <w:bookmarkEnd w:id="308"/>
      <w:r>
        <w:rPr>
          <w:rFonts w:ascii="Amiri" w:hAnsi="Amiri" w:eastAsia="Amiri" w:cs="Amiri"/>
          <w:color w:val="111111"/>
          <w:sz w:val="28"/>
          <w:sz w:val="28"/>
          <w:szCs w:val="28"/>
          <w:rtl w:val="true"/>
          <w:lang w:bidi="ar-SA"/>
        </w:rPr>
        <w:t>عَلَيْهِ الْوُضُوءُ، لأنَّ الْبَوْلَ لَمْ يَدَعْ شَيْئاً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خبر سماعة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الدالّة على التفصيل بين ما لو استبرء، وما إذا لم يستبرء، والحكم بالطهارة وعدم الناقضيّة في الأوّل، والنجاسة والناقضيّة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تقييد الطائفتين الأوليّتين بالثالثة، ولذلك يُحمل على الاستحباب ما رواه محمّد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رَجُلٌ هَلْ يَجِبُ الْوُضُوءُ مِمَّا خَرَجَ مِنَ الذَّكَرِ بَعْدَ الاسْتِبْرَاءِ؟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pStyle w:val="Heading6"/>
        <w:numPr>
          <w:ilvl w:val="5"/>
          <w:numId w:val="1"/>
        </w:numPr>
        <w:rPr/>
      </w:pPr>
      <w:bookmarkStart w:id="309" w:name="__RefHeading___Toc10299116_73709187"/>
      <w:bookmarkStart w:id="310" w:name="_Toc114"/>
      <w:bookmarkEnd w:id="309"/>
      <w:r>
        <w:rPr>
          <w:rtl w:val="true"/>
        </w:rPr>
        <w:t>الفرع الثالث</w:t>
      </w:r>
      <w:r>
        <w:rPr>
          <w:rtl w:val="true"/>
        </w:rPr>
        <w:t xml:space="preserve">: </w:t>
      </w:r>
      <w:r>
        <w:rPr>
          <w:rtl w:val="true"/>
        </w:rPr>
        <w:t>في استبراء المرأة</w:t>
      </w:r>
      <w:bookmarkEnd w:id="310"/>
    </w:p>
    <w:p>
      <w:pPr>
        <w:pStyle w:val="BookText"/>
        <w:rPr/>
      </w:pPr>
      <w:r>
        <w:rPr>
          <w:rFonts w:ascii="Amiri" w:hAnsi="Amiri" w:eastAsia="Amiri" w:cs="Amiri"/>
          <w:color w:val="111111"/>
          <w:sz w:val="28"/>
          <w:sz w:val="28"/>
          <w:szCs w:val="28"/>
          <w:rtl w:val="true"/>
          <w:lang w:bidi="ar-SA"/>
        </w:rPr>
        <w:t>ليس على المرأة استبراءٌ، لاختصاص النصوص بالرَّجل، فالبَلَل الخارجُ منها المشتبه محكومٌ بالطهارة لأصالتها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الرّجل والمرأة سواء ضعيفٌ</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0299118_73709187"/>
      <w:bookmarkStart w:id="312" w:name="_Toc115"/>
      <w:bookmarkEnd w:id="311"/>
      <w:r>
        <w:rPr>
          <w:rtl w:val="true"/>
        </w:rPr>
        <w:t>الفرع الرابع</w:t>
      </w:r>
      <w:r>
        <w:rPr>
          <w:rtl w:val="true"/>
        </w:rPr>
        <w:t xml:space="preserve">: </w:t>
      </w:r>
      <w:r>
        <w:rPr>
          <w:rtl w:val="true"/>
        </w:rPr>
        <w:t>في الرطوبة المردّدة قبل الاستبراء</w:t>
      </w:r>
      <w:bookmarkEnd w:id="31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بال ولم يستبرأ ثم خرجت منه رطوبة مردّدة بين البول والمني، يحكم عليها بأنّها بولٌ، لإطلاق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شمولها للمقام، لأنّ ظاهر النصوص أنّ ما يحكم عليه بأنّه بولٌ لولا الاستبراء، محكومٌ عليه بأنّه من الحبائل بعد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تعرّض النصوص لهذه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خرجت بعد الاستبراء، فمن حيث لزوم التعدّد وعدمه، بناءً على اعتبار التعدّد في الغَسل في البول وعدمه في المني، تقدّم الكلام فيه في مبحث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لزوم الوضوء أو الغُسل، ففيها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منه قبل التوضّأ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منه بعد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بقاء الحَدَث الأصغر، وعدم حدوث الحدث الأكبر، ويترتّب عليهما ارتفاع الحدث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كلّي الحدث، المعلوم إجمالاً حال خروج البلل المشتبه، المردّد بين الأصغر والأكبر، لكونه من قبيل القسم الثاني من أقسام استصحاب الكلّي، لتردّد الحَدَث المعلوم بالإجمال حينئذٍ بين وجودين يحتمل كلّ منهما بعينه دون الآخر، وهو يمنع عن الحكم بصحّة الصلاة مع ذلك الوضوء، إلّا أن يغتسل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عدم الأكبر في المقام يجري، ويترتّب عليه عدم بقاء الكلّي، وذلك لما حقّقناه في محلّه، وأشرنا إليه في مبحث النجاسات في المسألة الرابعة</w:t>
      </w:r>
      <w:r>
        <w:rPr>
          <w:rStyle w:val="FootnoteAnchor"/>
          <w:rtl w:val="true"/>
        </w:rPr>
        <w:footnoteReference w:id="697"/>
      </w:r>
      <w:r>
        <w:rPr>
          <w:rFonts w:ascii="Amiri" w:hAnsi="Amiri" w:eastAsia="Amiri" w:cs="Amiri"/>
          <w:color w:val="111111"/>
          <w:sz w:val="28"/>
          <w:sz w:val="28"/>
          <w:szCs w:val="28"/>
          <w:rtl w:val="true"/>
          <w:lang w:bidi="ar-SA"/>
        </w:rPr>
        <w:t>من أنّ الاستصحاب في الكلّي إنّما يجري فيما إذا تعارض الأصل الجاري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 الفردين، مع الأصل الجاري في الآخر، أو كان المستصحب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المستصحب من الأحكام والاعتبارات الشرعيّة، ولم يكن الأصل جارياً في الفرد المقطوع الارتفاع، فتجري أصالة عدم حدوث الفرد الآخر، ويترتّب عليها عدم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بما أنّ المستصحب من الأحكام الوضعيّة وهو الحدث، فيترتّب على أصالة عدم حدوث الأكبر عدم بقاء الحدث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الأكبر تعارض أصالة عدم حدوث الأصغر، فتتساقطان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العلم الإجمالي تحقّق أحدهما هو الاحتياط، والجمع بين الوضوء والغُسل</w:t>
      </w:r>
      <w:r>
        <w:rPr>
          <w:rFonts w:eastAsia="Amiri" w:cs="Amiri" w:ascii="Amiri" w:hAnsi="Amiri"/>
          <w:color w:val="111111"/>
          <w:sz w:val="28"/>
          <w:szCs w:val="28"/>
          <w:rtl w:val="true"/>
          <w:lang w:bidi="ar-SA"/>
        </w:rPr>
        <w:t>.</w:t>
      </w:r>
      <w:bookmarkStart w:id="313" w:name="pg11794_147070"/>
    </w:p>
    <w:p>
      <w:pPr>
        <w:pStyle w:val="BookText"/>
        <w:rPr/>
      </w:pPr>
      <w:bookmarkEnd w:id="313"/>
      <w:r>
        <w:rPr>
          <w:rFonts w:ascii="IRNazanin" w:hAnsi="IRNazanin" w:eastAsia="IRNazanin"/>
          <w:color w:val="111111"/>
          <w:sz w:val="28"/>
          <w:sz w:val="28"/>
          <w:szCs w:val="28"/>
          <w:rtl w:val="true"/>
          <w:lang w:bidi="fa-IR"/>
        </w:rPr>
        <w:t>والدّعاء عند الدخول والخروج والاستنجاء والفراغ،</w:t>
      </w:r>
    </w:p>
    <w:p>
      <w:pPr>
        <w:pStyle w:val="Heading6"/>
        <w:numPr>
          <w:ilvl w:val="5"/>
          <w:numId w:val="1"/>
        </w:numPr>
        <w:rPr/>
      </w:pPr>
      <w:bookmarkStart w:id="314" w:name="__RefHeading___Toc10299120_73709187"/>
      <w:bookmarkStart w:id="315" w:name="_Toc116"/>
      <w:bookmarkEnd w:id="314"/>
      <w:r>
        <w:rPr>
          <w:rtl w:val="true"/>
        </w:rPr>
        <w:t>استحباب الدّعاء</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صحيح معاوية المتقدّم، أو بما اشتملت عليه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عليه السلام إذا دَخَلَ الْخَلاءَ يَقُولُ الْحَمْدُ لِلَّهِ الْحَافِظِ الْمُؤَدِّي، فَإِذَا خَرَجَ مَسَحَ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عَنِّي أَذَاهُ، وأَبْقَى فِيَّ قُوَّتَهُ فَيَا لَهَا مِنْ نِعْمَةٍ لا يَقْدِرُ الْقَادِرُونَ قَدْرَها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الدّعاء بالمأثور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رواه عبد الرحمن بن كثير، في حكاية وضوء أمير المؤمنين عليه السلام،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عليه السلام قَاعِدٌ ومَعَهُ ابْنُهُ مُحَمَّدٌ، إذ قَالَ يَا مُحَمَّدُ ائْتِنِي بِإِنَاءٍ مِنْ مَاءٍ فَأَتَاهُ بِهِ، فَصَبَّهُ بِيَدِهِ الُْيمْنَى عَلَى يَدِهِ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الْمَاءَ طَهُوراً ولَمْ يَجْعَلْهُ نَجِساً ثُمَّ اسْتَنْجَى، فَقَالَ اللَّهُمَّ حَصِّنْ فَرْجِي وأَعِفَّهُ واسْتُرْ عَوْرَتِي وحَرِّمْهَا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يستحبّ الدّعاء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الاستنجاء، بما رواه أبو بَصِيرٍ، عَنْ أَحَدِهِمَا عليه السلام،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الْغَائِطَ فَقُلْ أَعُوذُ بِاللّهِ مِنَ الرِّجْسِ النِّجْسِ الْخَبِيثِ الُْمخْبِثِ </w:t>
      </w:r>
    </w:p>
    <w:p>
      <w:pPr>
        <w:pStyle w:val="BookText"/>
        <w:rPr/>
      </w:pPr>
      <w:r>
        <w:rPr>
          <w:rFonts w:ascii="Amiri" w:hAnsi="Amiri" w:eastAsia="Amiri" w:cs="Amiri"/>
          <w:color w:val="111111"/>
          <w:sz w:val="28"/>
          <w:sz w:val="28"/>
          <w:szCs w:val="28"/>
          <w:rtl w:val="true"/>
          <w:lang w:bidi="ar-SA"/>
        </w:rPr>
        <w:t>الشَّيْطَانِ الرَّجِيمِ، وإِذَا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الْبَلاءِ وأَمَاطَ عَنِّي الأذَى</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بما رواه أبو أُسَامَةَ،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وهُوَ عِنْدَهُ مَا السُّنَّةُ فِي دُخُولِ الْخَلاءِ؟ قَالَ يَذْكُرُ اللّهَ ويَتَعَوَّذُ بِاللّهِ مِنَ الشَّيْطَانِ الرَّجِيمِ، فَإِذَا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أَخْرَجَ مِنِّي مِنَ الاذَى فِي يُسْرٍ وعَافِيَةٍ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16" w:name="pg11794_147072"/>
    </w:p>
    <w:p>
      <w:pPr>
        <w:pStyle w:val="Heading6"/>
        <w:numPr>
          <w:ilvl w:val="5"/>
          <w:numId w:val="1"/>
        </w:numPr>
        <w:rPr/>
      </w:pPr>
      <w:bookmarkStart w:id="317" w:name="__RefHeading___Toc10299122_73709187"/>
      <w:bookmarkStart w:id="318" w:name="_Toc117"/>
      <w:bookmarkEnd w:id="316"/>
      <w:bookmarkEnd w:id="317"/>
      <w:r>
        <w:rPr>
          <w:rtl w:val="true"/>
        </w:rPr>
        <w:t>الجمع بين الأحجار والماء</w:t>
      </w:r>
      <w:bookmarkEnd w:id="318"/>
    </w:p>
    <w:p>
      <w:pPr>
        <w:pStyle w:val="Heading6"/>
        <w:numPr>
          <w:ilvl w:val="5"/>
          <w:numId w:val="1"/>
        </w:numPr>
        <w:rPr/>
      </w:pPr>
      <w:bookmarkStart w:id="319" w:name="__RefHeading___Toc10299124_73709187"/>
      <w:bookmarkStart w:id="320" w:name="_Toc118"/>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والجمع بين الأحجار والماء</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0299126_73709187"/>
      <w:bookmarkStart w:id="322" w:name="_Toc119"/>
      <w:bookmarkEnd w:id="321"/>
      <w:r>
        <w:rPr>
          <w:rtl w:val="true"/>
        </w:rPr>
        <w:t>حُكم الاستنجاء بالحَجر والماء</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بين الأحجار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من الغائط كما عن غير واحد التصريح به</w:t>
      </w:r>
      <w:r>
        <w:rPr>
          <w:rStyle w:val="FootnoteAnchor"/>
          <w:rtl w:val="true"/>
        </w:rPr>
        <w:footnoteReference w:id="70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المرسل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ويُتْبَعُ بِالْمَاءِ</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الجمهور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كُنتُم تَعْبرُونَ بَعْراً واليومَ تَثْلِطُونَ ثَلْطاَ، فأتْبِعوا الماءَ الأحْجَار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323" w:name="pg11794_147073"/>
    </w:p>
    <w:p>
      <w:pPr>
        <w:pStyle w:val="BookText"/>
        <w:rPr/>
      </w:pPr>
      <w:bookmarkEnd w:id="323"/>
      <w:r>
        <w:rPr>
          <w:rFonts w:ascii="Amiri" w:hAnsi="Amiri" w:eastAsia="Amiri" w:cs="Amiri"/>
          <w:color w:val="111111"/>
          <w:sz w:val="28"/>
          <w:sz w:val="28"/>
          <w:szCs w:val="28"/>
          <w:rtl w:val="true"/>
          <w:lang w:bidi="ar-SA"/>
        </w:rPr>
        <w:t>ويُكره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الشَّوارع، والمَشارع، ومَواضع اللّعن، وتَحت الأشجار المُثمرة، وفي النزّال،</w:t>
      </w:r>
    </w:p>
    <w:p>
      <w:pPr>
        <w:pStyle w:val="Heading5"/>
        <w:numPr>
          <w:ilvl w:val="4"/>
          <w:numId w:val="1"/>
        </w:numPr>
        <w:rPr/>
      </w:pPr>
      <w:bookmarkStart w:id="324" w:name="__RefHeading___Toc10299128_73709187"/>
      <w:bookmarkStart w:id="325" w:name="_Toc120"/>
      <w:bookmarkEnd w:id="324"/>
      <w:r>
        <w:rPr>
          <w:rtl w:val="true"/>
        </w:rPr>
        <w:t>مكروهات التخلّي</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الشوارع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جمعُ شارع، وهو الطريق الأعظم، كما عن جملةٍ من اللّغويين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مشرعة، وهو مورد الماء</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ومواضع اللَّعن، وتحت الأشجار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 عاصم بْنِ حُمَيْدٍ،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 الانْهَارِ، والطُّرُقَ النَّافِذَةَ، وتَحْتَ الأشْجَارِ الْمُثْمِرَةِ، ومَوَاضِعَ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ونحوه غيره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لمرفوع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حَنِيفَةَ مِنْ عِنْدِ أَبِي عَبْدِ اللّهِ عليه السلام، وأَبُو الْحَسَنِ مُوسَى عليه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أَيْنَ يَضَعُ الْغَرِيبُ بِبَلَدِكُمْ؟ فَقَالَ اجْتَنِبْ أَفْنِيَةَ الْمَسَاجِدِ، وشُطُوطَ الانْهَارِ، ومَسَاقِطَ الِّثمَارِ، </w:t>
      </w:r>
    </w:p>
    <w:p>
      <w:pPr>
        <w:pStyle w:val="BookText"/>
        <w:rPr/>
      </w:pPr>
      <w:r>
        <w:rPr>
          <w:rFonts w:ascii="IRNazanin" w:hAnsi="IRNazanin" w:eastAsia="IRNazanin"/>
          <w:color w:val="111111"/>
          <w:sz w:val="28"/>
          <w:sz w:val="28"/>
          <w:szCs w:val="28"/>
          <w:rtl w:val="true"/>
          <w:lang w:bidi="fa-IR"/>
        </w:rPr>
        <w:t>واستقبال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ومَنَازِلَ النُّزَّالِ، ولا تَسْتَقْبِلِ الْقِبْلَةَ بِغَائِطٍ ولا بَوْلٍ، وارْفَعْ ثَوْبَكَ وضَعْ حَيْثُ شِئْتَ</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711"/>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جملةٍ من النصوص، كخبر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يَسْتَقْبِلَ الرَّجُلُ الشَّمْسَ والْقَمَرَ بِفَرْجِهِ وهُوَ يَبُولُ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الكاهلي،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أَحَدُكُمْ وفَرْجُهُ بَادٍ لِلْقَمَرِ يَسْتَقْبِلُ بِهِ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المناهي</w:t>
      </w:r>
      <w:r>
        <w:rPr>
          <w:rStyle w:val="FootnoteAnchor"/>
          <w:rtl w:val="true"/>
        </w:rPr>
        <w:footnoteReference w:id="715"/>
      </w:r>
      <w:r>
        <w:rPr>
          <w:rFonts w:ascii="Amiri" w:hAnsi="Amiri" w:eastAsia="Amiri" w:cs="Amiri"/>
          <w:color w:val="111111"/>
          <w:sz w:val="28"/>
          <w:sz w:val="28"/>
          <w:szCs w:val="28"/>
          <w:rtl w:val="true"/>
          <w:lang w:bidi="ar-SA"/>
        </w:rPr>
        <w:t>، ومرسل الكافي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هذا الحكم عام البلوى، وخلوّ النصوص الاُخر، لاسيّما ما سُئل فيه عن حَدّ الغائط، وأجاب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ولا تَسْتَدْبِرْهَا</w:t>
      </w:r>
      <w:r>
        <w:rPr>
          <w:rFonts w:eastAsia="Amiri" w:cs="Amiri" w:ascii="Amiri" w:hAnsi="Amiri"/>
          <w:color w:val="111111"/>
          <w:sz w:val="28"/>
          <w:szCs w:val="28"/>
          <w:rtl w:val="true"/>
          <w:lang w:bidi="ar-SA"/>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والبول في الأرض الصلبة، ومواطن الهوام،</w:t>
      </w:r>
    </w:p>
    <w:p>
      <w:pPr>
        <w:pStyle w:val="BookText"/>
        <w:rPr/>
      </w:pPr>
      <w:r>
        <w:rPr>
          <w:rFonts w:ascii="Amiri" w:hAnsi="Amiri" w:eastAsia="Amiri" w:cs="Amiri"/>
          <w:color w:val="111111"/>
          <w:sz w:val="28"/>
          <w:sz w:val="28"/>
          <w:szCs w:val="28"/>
          <w:rtl w:val="true"/>
          <w:lang w:bidi="ar-SA"/>
        </w:rPr>
        <w:t>يذكر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مرفوع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وارْفَعْ ثَوْبَكَ وضَعْ حَيْثُ شِئْتَ</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وإعراض المشهور عن ظاهرها، تمنع من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بأس بجعلها سنداً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في الأرض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مسكان،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أَشَدَّ النَّاسِ تَوَقِّياً عَنِ الْبَوْلِ، كَانَ إذا أَرَادَ الْبَوْلَ يَعْمِدُ إِلَى مَكَانٍ مُرْتَفِعٍ مِنَ الأرْضِ، أَوْ إِلَى مَكَانٍ مِنَ الأمْكِنَةِ يَكُونُ فِيهِ التُّرَابُ الْكَثِيرُ، كَرَاهِيَةَ أَنْ يَنْضِحَ عَلَيْهِ الْبَوْلُ</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 الرَّجُلِ أَنْ يَرْتَادَ مَوْضِعاً لِبَوْلِهِ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 الهَوام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يُبَالَ فِي الجُحر</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الماء، واستقبال الرِّيح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كان أو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مَسْمع،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أَنْ يَبُولَ الرَّجُلُ فِي الْمَاءِ الْجَارِي إِلّا مِنْ ضَرُورَةٍ، وقَالَ إِنَّ لِلْمَاءِ أَهْلاً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حَكَمٍ، عَنْ رَجُلٍ،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الرَّجُلُ فِي الْمَاءِ؟ قَالَ، نَعَمْولَكِنْ يُتَخَوَّفُ عَلَيْهِمِنَ‌الشَّيْطَانِ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تَبُلْ فِي مَاءٍ نَقِيعٍ، فَإِنَّهُ مَنْ فَعَلَ ذَلِكَ فَأَصَابَهُ شَيْ‌ءٌ فَلا يَلُومَنَّ إِلّا نَفْسَهُ</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الكراهة في الثاني</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وأشدّيّة كراهته من الكراهة في الماء الجاري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يَبُولَ الرَّجُلُ فِي الْمَاءِ الْجَارِي، وكُرِهَ أَنْ يَبُولَ فِي الْمَاءِ الرَّاكِدِ</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فإنّ‌الجمع بين النصوص، يقتضي حمل نفي البأس في هذه النصوص على خِفّة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والأكل والشرب والسواك، والكلام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التخلّي، كما عن جماعةٍ</w:t>
      </w:r>
      <w:r>
        <w:rPr>
          <w:rStyle w:val="FootnoteAnchor"/>
          <w:rtl w:val="true"/>
        </w:rPr>
        <w:footnoteReference w:id="727"/>
      </w:r>
      <w:r>
        <w:rPr>
          <w:rFonts w:ascii="Amiri" w:hAnsi="Amiri" w:eastAsia="Amiri" w:cs="Amiri"/>
          <w:color w:val="111111"/>
          <w:sz w:val="28"/>
          <w:sz w:val="28"/>
          <w:szCs w:val="28"/>
          <w:rtl w:val="true"/>
          <w:lang w:bidi="ar-SA"/>
        </w:rPr>
        <w:t>، أو في بيت الخلاء كما عن آخرين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بالخبرين المشهورين</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إعطاء الحسين بن علي، ومحمّد بن علي الباقر عليهما السلام اللّقمة النجسة بعد غسلها لعبديهما حتّى يَدخلا الخلاء ليحفظ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والمستفاد منهما ثبوت الكراهة في بيت الخلاء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 عن الإمام الكاظم عليه السلام</w:t>
      </w:r>
      <w:r>
        <w:rPr>
          <w:rStyle w:val="FootnoteAnchor"/>
          <w:rtl w:val="true"/>
        </w:rPr>
        <w:footnoteReference w:id="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الاشْنَانِ يُذِيبُ الْبَدَنَ، والتَّدَلُّكُ بِالْخَزَفِ يُبْلِي الْجَسَدَ، والسِّوَاكُ فِي الْخَلاءِ يُورِثُ الْبَخَرَ</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صَفْوَانَ،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يُجِيبَ الرَّجُلُ آخَرَ وهُوَ عَلَى الْغَائِطِ أَوْ يُكَلِّمَهُ حَتَّى يَفْرُغَ</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عَلَى الْخَلاءِ فَإِنَّهُ مَنْ تَكَلَّمَ عَلَى الْخَلاءِ لَمْ تُقْضَ لَهُ حَاجَةٌ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بذكر اللّه تعالى، و حكاية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إنكار ظهورهما في الكراهة، وعليه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من القول بالمنع ضعيف، فالأقوى كراهته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حمزة،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الَّتِي لَمْ تُغَيَّرْ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أُعِزُّكَ وأُجِلُّكَ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ذِكْرِي حَسَنٌ عَلَى كُلِّ حَالٍ</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وحكاية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أَبِي جَعْفَرٍ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ذِكْرَ اللّهِ عَلَى كُلِّ حَالٍ، ولَوْ سَمِعْتَ الْمُنَادِيَ يُنَادِي بِالاذَانِ وأَنْتَ عَلَى الْخَلاءِ فَاذْكُرِ اللّهَ عَزَّ وجَلَّ وقُلْ كَمَا يَقُولُ الْمُؤَذِّنُ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ما رواه الصدوق بِإِسْنَادِهِ عَنْ مُحَمَّدِ بْنِ عَلِيِّ بْنِ مَحْبُوبٍ، عَنْ مُحَمَّدِ بْنِ عَبْدِ الْحَمِيدِ، عَنْ مُحَمَّدِ بْنِ عُمَرَ بْنِ يَزِيدَ، عَنْ مُحَمَّدِ بْنِ عُذَافِرٍ، عَنْ عُمَرَ بْنِ يَزِيدَ،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التَّسْبِيحِ فِي الَْمخْرَجِ، وقِرَاءَةِ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فِي أَكْثَرَ مِنْ آيَةِ الْكُرْسِيِّ، ويَحْمَدُ اللّهَ وآيَةٍ الْحَمْدُ لِلَّهِ رَبِّ الْعالَمِينَ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الضرورة والاستنجاء باليمين وباليسار، وفيها خاتم فيه اسم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نفي الحَرَج والضَرر، الحاكم على العمومات المثبتة للتكاليف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الإستنجاء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لخبر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الاسْتِنْجَاءُ بِالَْيمِينِ مِنَ الْجَفَاء</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مرسل يُونُسَ،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يَسْتَنْجِيَ الرَّجُلُ بِيَمِينِهِ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وباليسار، وفيها خاتمٌ فيه اسم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كخبر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نَقَشَ عَلَى خَاتَمِهِ اسْمَ اللّهِ فَلْيُحَوِّلْهُ عَنِ الْيَدِ الَّتِي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يَسْتَنْجِي بِهَا فِي الْمُتَوَضَّأ</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خبر وهب بن وهب،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يَسَارِهِ يَسْتَنْجِي بِهَا، وكَانَ نَقْشُ خَاتَمِ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يَدِهِ الْيُسْرَى، يَسْتَنْجِي بِها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راويه من أكذب البريّة</w:t>
      </w:r>
      <w:r>
        <w:rPr>
          <w:rStyle w:val="FootnoteAnchor"/>
          <w:rtl w:val="true"/>
        </w:rPr>
        <w:footnoteReference w:id="749"/>
      </w:r>
      <w:r>
        <w:rPr>
          <w:rFonts w:ascii="Amiri" w:hAnsi="Amiri" w:eastAsia="Amiri" w:cs="Amiri"/>
          <w:color w:val="111111"/>
          <w:sz w:val="28"/>
          <w:sz w:val="28"/>
          <w:szCs w:val="28"/>
          <w:rtl w:val="true"/>
          <w:lang w:bidi="ar-SA"/>
        </w:rPr>
        <w:t>على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جملةٍ من النصوص من كراهة استصحابه عند التخلّي، فلا يمكن العمل به، لمعارضة هذه النصوص مع ما اشتمل على أنّ رسول اللّه صلى الله عليه و آله كان يستنجي وخاتمه في إصبعه</w:t>
      </w:r>
      <w:r>
        <w:rPr>
          <w:rStyle w:val="FootnoteAnchor"/>
          <w:rtl w:val="true"/>
        </w:rPr>
        <w:footnoteReference w:id="750"/>
      </w:r>
      <w:r>
        <w:rPr>
          <w:rFonts w:ascii="Amiri" w:hAnsi="Amiri" w:eastAsia="Amiri" w:cs="Amiri"/>
          <w:color w:val="111111"/>
          <w:sz w:val="28"/>
          <w:sz w:val="28"/>
          <w:szCs w:val="28"/>
          <w:rtl w:val="true"/>
          <w:lang w:bidi="ar-SA"/>
        </w:rPr>
        <w:t xml:space="preserve">، وكذلك كان يفعل أمير المؤمنين عليه السلام، وكان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وفيه التعليل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كانوا يتختّمون في اليد اليمنى، وأنتم تتختّمون في اليد اليسرى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لاتعارض بينهما، لإمكان كونه من الخصائص، وكون حِكمة الكراهة خوف التلويث سهواً أو خطأً أو مسامحةً، وهي غير مقتضية للكراهة في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احتمال كونه من الخصائص، إذ لو كان كذلك كان عليه السلام يعلّل بذلك، لا بأنّهم عليهم السلام كانوا يتختّمون في اليد اليمنى، وأنتم تتختّمون في 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حكمتها ما ذُكر غير معلوم، بل معلوم العدم، لأنّ الخاتم إذا كان في اليد اليمنى أو الجيب لا يُحتمل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الحكم لا يدور مدار وجود الحكمة وعدمها، كما لايخفى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أنّه يكره أن يكون المتخلّي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أنبيائه عليهم السلام أو أحد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 خاتم وعليه اسم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أنبيائه عليهم السلام أو أحد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اسم فاطمة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لمناسبة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خبر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يُرِيدُ الْخَلاءَ، وعَلَيْهِ خَاتَمٌ فِيهِ اسْمُ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لإمكان حمله على ما حمله عليه الشيخ رحمه الله من إرادة نفي البأس من استصحابه، من غير أن يستنجي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26" w:name="pg11794_147083"/>
    </w:p>
    <w:p>
      <w:pPr>
        <w:pStyle w:val="BookText"/>
        <w:rPr/>
      </w:pPr>
      <w:bookmarkEnd w:id="326"/>
      <w:r>
        <w:rPr>
          <w:rFonts w:ascii="Amiri" w:hAnsi="Amiri" w:eastAsia="Amiri" w:cs="Amiri"/>
          <w:color w:val="111111"/>
          <w:sz w:val="28"/>
          <w:sz w:val="28"/>
          <w:szCs w:val="28"/>
          <w:rtl w:val="true"/>
          <w:lang w:bidi="ar-SA"/>
        </w:rPr>
        <w:t>ويجب عليه الاستنجاء،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مَخرج البول بالماء خاصّة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0299130_73709187"/>
      <w:bookmarkStart w:id="328" w:name="_Toc121"/>
      <w:bookmarkEnd w:id="327"/>
      <w:r>
        <w:rPr>
          <w:rtl w:val="true"/>
        </w:rPr>
        <w:t>في الاستنجاء</w:t>
      </w:r>
      <w:bookmarkEnd w:id="328"/>
    </w:p>
    <w:p>
      <w:pPr>
        <w:pStyle w:val="Heading6"/>
        <w:numPr>
          <w:ilvl w:val="5"/>
          <w:numId w:val="1"/>
        </w:numPr>
        <w:rPr/>
      </w:pPr>
      <w:bookmarkStart w:id="329" w:name="__RefHeading___Toc10299132_73709187"/>
      <w:bookmarkStart w:id="330" w:name="_Toc122"/>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غيريّاً، مقدّمةً لما يتوقّف صحّته على الطهارة الخَبَثيّة كالصلاة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غَسل مخرج البول بالماء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القدرة، إجماعاً محصّلاً ومنقولاً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كثيرة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المصرّحة بأنّه لا يجزي غيره، كخبر بُرَيْدِ بْنِ مُعَاوِيَةَ،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بِالاحْجَارِ ولا يُجْزِي مِنَ الْبَوْلِ إِلّا الْمَاءُ</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 ويُجْزِيكَ مِنَ الاسْتِنْجَاءِ ثَلاثَةُ أَحْجَارٍ، بِذَلِكَ جَرَتِ السُّنَّةُ مِنْ رَسُولِ اللّهِ صلى الله عليه و آله، وأَمَّا الْبَوْلُ فَإِنَّهُ لا بُدَّ مِنْ غَسْلِهِ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الخبر المرويّ عن ابن بُكَيْرٍ،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الرَّجُلُ يَبُولُ ولا يَكُونُ عِنْدَهُ الْمَاءُ، فَيَمْسَحُ ذَكَرَهُ بِالْحَائِطِ؟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تقدّم من أنّ الظاهر من الجواب، إرادة عدم سراية النجاسة مع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يعارضها موثّق حَنَانِ 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 عَلَى الْمَاءِ، ويَشْتَدُّ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 هَذَا مِنْ ذَاكَ</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يعارضها أيضاً خبر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أَبُولُ ثُمَّ أَتَمَسَّحُ بِالاحْجَارِ فَيَجِيءُ منِّي الْبَلَلُ مَا يُفْسِدُ سَرَاوِيلِي؟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مبحث تنجيس المتنجّس</w:t>
      </w:r>
      <w:r>
        <w:rPr>
          <w:rStyle w:val="FootnoteAnchor"/>
          <w:rtl w:val="true"/>
        </w:rPr>
        <w:footnoteReference w:id="769"/>
      </w:r>
      <w:r>
        <w:rPr>
          <w:rFonts w:ascii="Amiri" w:hAnsi="Amiri" w:eastAsia="Amiri" w:cs="Amiri"/>
          <w:color w:val="111111"/>
          <w:sz w:val="28"/>
          <w:sz w:val="28"/>
          <w:szCs w:val="28"/>
          <w:rtl w:val="true"/>
          <w:lang w:bidi="ar-SA"/>
        </w:rPr>
        <w:t>من أنّهما من جملة الأدلّة الدالّة على أنّ المتنجّس لا ينجّس،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المنقول عن جماعة كالمحقّق</w:t>
      </w:r>
      <w:r>
        <w:rPr>
          <w:rStyle w:val="FootnoteAnchor"/>
          <w:rtl w:val="true"/>
        </w:rPr>
        <w:footnoteReference w:id="770"/>
      </w:r>
      <w:r>
        <w:rPr>
          <w:rFonts w:ascii="Amiri" w:hAnsi="Amiri" w:eastAsia="Amiri" w:cs="Amiri"/>
          <w:color w:val="111111"/>
          <w:sz w:val="28"/>
          <w:sz w:val="28"/>
          <w:szCs w:val="28"/>
          <w:rtl w:val="true"/>
          <w:lang w:bidi="ar-SA"/>
        </w:rPr>
        <w:t>والمصنّف والشهيد</w:t>
      </w:r>
      <w:r>
        <w:rPr>
          <w:rStyle w:val="FootnoteAnchor"/>
          <w:rtl w:val="true"/>
        </w:rPr>
        <w:footnoteReference w:id="771"/>
      </w:r>
      <w:r>
        <w:rPr>
          <w:rFonts w:ascii="Amiri" w:hAnsi="Amiri" w:eastAsia="Amiri" w:cs="Amiri"/>
          <w:color w:val="111111"/>
          <w:sz w:val="28"/>
          <w:sz w:val="28"/>
          <w:szCs w:val="28"/>
          <w:rtl w:val="true"/>
          <w:lang w:bidi="ar-SA"/>
        </w:rPr>
        <w:t>، وغيرهم</w:t>
      </w:r>
      <w:r>
        <w:rPr>
          <w:rStyle w:val="FootnoteAnchor"/>
          <w:rtl w:val="true"/>
        </w:rPr>
        <w:footnoteReference w:id="772"/>
      </w:r>
      <w:r>
        <w:rPr>
          <w:rFonts w:ascii="Amiri" w:hAnsi="Amiri" w:eastAsia="Amiri" w:cs="Amiri"/>
          <w:color w:val="111111"/>
          <w:sz w:val="28"/>
          <w:sz w:val="28"/>
          <w:szCs w:val="28"/>
          <w:rtl w:val="true"/>
          <w:lang w:bidi="ar-SA"/>
        </w:rPr>
        <w:t>أنّه مع عدم القدرة يجب إزالة عين النجس وإنْ بقي الأثر، تخفيفاً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المستفادة من المراسيل المعروفة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بُكير المتقدّم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زُرَارَةَ، ومُحَمَّدِ بْنِ مُسْلِمٍ، عَنْ أَبِي جَعْفَرٍ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طَهُورِ الْمَرْأَةِ فِي النِّفَاسِ إذا طَهُرَتْ، وكَانَتْ لا تَسْتَطِيعُ أَنْ تَسْتَنْجِيَ بِالْمَاءِ، أَنَّهَا إِنِ اسْتَنْجَتْ اعْتَقَرَتْ، هَلْ لَهَا رُخْصَةٌ أَنْ تَتَوَضَّأَ مِنْ خَارِجٍ، وتُنَشِّفَهُ بِقُطْنٍ أَوْ خِرْقَةٍ؟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لَتَتَّقِي مِنْ دَاخِلٍ بِقُطْنٍ أَوْ بِخِرْقَةٍ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مراراً من أنّ موردها ما إذا كان متعلّق التكليف له أفراد متعدّدة تعذّر الجمع بينها، لا المركّب من أجزاء مختلفة الحقيقة قد تعذّر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من مثل المقام، ممّا ليس للمأمور به أجزاء، بل يكون له مراتب بنظر العرف، إذ التطهير الذي هو شرط في الصلاة، ليس له أجزاء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لزوم تنشيف الباطن، والباطن لا يجبُ غسله في حال الاختيار، فضلاً عن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أدلّة مانعيّة النجاسة، أنّها ملحوظة بنحو الطبيعة السارية، فكلّ ما يفرض من وجود النجاسة، يكون مانعاً مستقلّاً، فلو أمكن رفع البعض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لزوم الغَسل مرّةً فيما لزم التعدّد ولم يمكن، ولعلّه إلى ما ذكرناه يرجع استدلال بعضهم بأنّ الواجب إزالة العين والأثر، وتعذّر أحدهما لا يُسقط الثاني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31" w:name="pg11794_147086"/>
    </w:p>
    <w:p>
      <w:pPr>
        <w:pStyle w:val="Heading6"/>
        <w:numPr>
          <w:ilvl w:val="5"/>
          <w:numId w:val="1"/>
        </w:numPr>
        <w:rPr/>
      </w:pPr>
      <w:bookmarkStart w:id="332" w:name="__RefHeading___Toc10299134_73709187"/>
      <w:bookmarkStart w:id="333" w:name="_Toc123"/>
      <w:bookmarkEnd w:id="331"/>
      <w:bookmarkEnd w:id="332"/>
      <w:r>
        <w:rPr>
          <w:rtl w:val="true"/>
        </w:rPr>
        <w:t>المقدار المُجزي من ماء الاستنجاء</w:t>
      </w:r>
      <w:bookmarkEnd w:id="3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اختلفت كلمات الأصحاب في أقلّ ما يُجزي من الماء في تطهير مَخرج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الصدوق</w:t>
      </w:r>
      <w:r>
        <w:rPr>
          <w:rStyle w:val="FootnoteAnchor"/>
          <w:rtl w:val="true"/>
        </w:rPr>
        <w:footnoteReference w:id="775"/>
      </w:r>
      <w:r>
        <w:rPr>
          <w:rFonts w:ascii="Amiri" w:hAnsi="Amiri" w:eastAsia="Amiri" w:cs="Amiri"/>
          <w:color w:val="111111"/>
          <w:sz w:val="28"/>
          <w:sz w:val="28"/>
          <w:szCs w:val="28"/>
          <w:rtl w:val="true"/>
          <w:lang w:bidi="ar-SA"/>
        </w:rPr>
        <w:t>والكَرَكي</w:t>
      </w:r>
      <w:r>
        <w:rPr>
          <w:rStyle w:val="FootnoteAnchor"/>
          <w:rtl w:val="true"/>
        </w:rPr>
        <w:footnoteReference w:id="776"/>
      </w:r>
      <w:r>
        <w:rPr>
          <w:rFonts w:ascii="Amiri" w:hAnsi="Amiri" w:eastAsia="Amiri" w:cs="Amiri"/>
          <w:color w:val="111111"/>
          <w:sz w:val="28"/>
          <w:sz w:val="28"/>
          <w:szCs w:val="28"/>
          <w:rtl w:val="true"/>
          <w:lang w:bidi="ar-SA"/>
        </w:rPr>
        <w:t>والشهيدين</w:t>
      </w:r>
      <w:r>
        <w:rPr>
          <w:rStyle w:val="FootnoteAnchor"/>
          <w:rtl w:val="true"/>
        </w:rPr>
        <w:footnoteReference w:id="77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صريح جماعةٍ، وظاهر آخرين كالسيّدين</w:t>
      </w:r>
      <w:r>
        <w:rPr>
          <w:rStyle w:val="FootnoteAnchor"/>
          <w:rtl w:val="true"/>
        </w:rPr>
        <w:footnoteReference w:id="778"/>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والحلبي</w:t>
      </w:r>
      <w:r>
        <w:rPr>
          <w:rStyle w:val="FootnoteAnchor"/>
          <w:rtl w:val="true"/>
        </w:rPr>
        <w:footnoteReference w:id="780"/>
      </w:r>
      <w:r>
        <w:rPr>
          <w:rFonts w:ascii="Amiri" w:hAnsi="Amiri" w:eastAsia="Amiri" w:cs="Amiri"/>
          <w:color w:val="111111"/>
          <w:sz w:val="28"/>
          <w:sz w:val="28"/>
          <w:szCs w:val="28"/>
          <w:rtl w:val="true"/>
          <w:lang w:bidi="ar-SA"/>
        </w:rPr>
        <w:t>والقاضي</w:t>
      </w:r>
      <w:r>
        <w:rPr>
          <w:rStyle w:val="FootnoteAnchor"/>
          <w:rtl w:val="true"/>
        </w:rPr>
        <w:footnoteReference w:id="781"/>
      </w:r>
      <w:r>
        <w:rPr>
          <w:rFonts w:ascii="Amiri" w:hAnsi="Amiri" w:eastAsia="Amiri" w:cs="Amiri"/>
          <w:color w:val="111111"/>
          <w:sz w:val="28"/>
          <w:sz w:val="28"/>
          <w:szCs w:val="28"/>
          <w:rtl w:val="true"/>
          <w:lang w:bidi="ar-SA"/>
        </w:rPr>
        <w:t>والحلّي</w:t>
      </w:r>
      <w:r>
        <w:rPr>
          <w:rStyle w:val="FootnoteAnchor"/>
          <w:rtl w:val="true"/>
        </w:rPr>
        <w:footnoteReference w:id="782"/>
      </w:r>
      <w:r>
        <w:rPr>
          <w:rFonts w:ascii="Amiri" w:hAnsi="Amiri" w:eastAsia="Amiri" w:cs="Amiri"/>
          <w:color w:val="111111"/>
          <w:sz w:val="28"/>
          <w:sz w:val="28"/>
          <w:szCs w:val="28"/>
          <w:rtl w:val="true"/>
          <w:lang w:bidi="ar-SA"/>
        </w:rPr>
        <w:t>وابن حمزة</w:t>
      </w:r>
      <w:r>
        <w:rPr>
          <w:rStyle w:val="FootnoteAnchor"/>
          <w:rtl w:val="true"/>
        </w:rPr>
        <w:footnoteReference w:id="78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 المزيلة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بمثلي </w:t>
      </w:r>
    </w:p>
    <w:p>
      <w:pPr>
        <w:pStyle w:val="BookText"/>
        <w:rPr/>
      </w:pPr>
      <w:r>
        <w:rPr>
          <w:rFonts w:ascii="Amiri" w:hAnsi="Amiri" w:eastAsia="Amiri" w:cs="Amiri"/>
          <w:color w:val="111111"/>
          <w:sz w:val="28"/>
          <w:sz w:val="28"/>
          <w:szCs w:val="28"/>
          <w:rtl w:val="true"/>
          <w:lang w:bidi="ar-SA"/>
        </w:rPr>
        <w:t>البَلَل وإنْ لم يكن غَسلاً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لزوم الغَسل مرّتين، إطلاق ما دلّ على اعتبار التعدّد في البول المتقدّم في مطهّريّة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 إلى غير المقام، لاشتمال تلك النصوص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المنصرفة إلى إصابة البول، الكائن في غير الجسد للجسد، فلا تشمل البول الخارج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الفرق بين حافّة الذَّكر وغيرها من مواضع الجسد، كي يصحّ دعوى أنّ تلك النصوص تختصّ بما إذا أصاب البول غيرها، ولاتشمل ما إذا أصابها؟</w:t>
      </w:r>
    </w:p>
    <w:p>
      <w:pPr>
        <w:pStyle w:val="BookText"/>
        <w:rPr/>
      </w:pPr>
      <w:r>
        <w:rPr>
          <w:rFonts w:ascii="Amiri" w:hAnsi="Amiri" w:eastAsia="Amiri" w:cs="Amiri"/>
          <w:color w:val="111111"/>
          <w:sz w:val="28"/>
          <w:sz w:val="28"/>
          <w:szCs w:val="28"/>
          <w:rtl w:val="true"/>
          <w:lang w:bidi="ar-SA"/>
        </w:rPr>
        <w:t>نعم، لو صحّ دعوى عدم ثبوت الإطلاق لتلك النصوص، لما بقي وجهٌ لذلك، إذ لاسبيل إلى دعوى لزوم الغَسل مرّتين، لإستصحاب بقاء النجاسة بعد الغَسل مرّةً، لما ذكرناه غير مرّةٍ من عدم جريان الاستصحاب في الأحكام،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نَشِيطِ بْنِ صَالِحٍ،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كَمْ يُجْزِي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استدلّ به جماعة منهم المحقّق</w:t>
      </w:r>
      <w:r>
        <w:rPr>
          <w:rStyle w:val="FootnoteAnchor"/>
          <w:rtl w:val="true"/>
        </w:rPr>
        <w:footnoteReference w:id="790"/>
      </w:r>
      <w:r>
        <w:rPr>
          <w:rFonts w:ascii="Amiri" w:hAnsi="Amiri" w:eastAsia="Amiri" w:cs="Amiri"/>
          <w:color w:val="111111"/>
          <w:sz w:val="28"/>
          <w:sz w:val="28"/>
          <w:szCs w:val="28"/>
          <w:rtl w:val="true"/>
          <w:lang w:bidi="ar-SA"/>
        </w:rPr>
        <w:t>والشهيدان</w:t>
      </w:r>
      <w:r>
        <w:rPr>
          <w:rStyle w:val="FootnoteAnchor"/>
          <w:rtl w:val="true"/>
        </w:rPr>
        <w:footnoteReference w:id="791"/>
      </w:r>
      <w:r>
        <w:rPr>
          <w:rFonts w:ascii="Amiri" w:hAnsi="Amiri" w:eastAsia="Amiri" w:cs="Amiri"/>
          <w:color w:val="111111"/>
          <w:sz w:val="28"/>
          <w:sz w:val="28"/>
          <w:szCs w:val="28"/>
          <w:rtl w:val="true"/>
          <w:lang w:bidi="ar-SA"/>
        </w:rPr>
        <w:t>بدعوى أنّ المراد منه الغَسلَتان، كلُّ غسلةٍ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فمجملٌ لا يصحّ 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دعوى ظهوره في كفاية الغَسل مرّةً واحدة بمثلي ما على الحَشَفة، وإلّاكان اللّازم التقييد بالغَسل مرّتين، مع أنّ مثل ما على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اُريد به البلل الكائن على الحشفة، أو القطرة المتخلّفة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معه الغلبة على النجاسة كي يصدق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ضعف ما عن جماعةٍ</w:t>
      </w:r>
      <w:r>
        <w:rPr>
          <w:rStyle w:val="FootnoteAnchor"/>
          <w:rtl w:val="true"/>
        </w:rPr>
        <w:footnoteReference w:id="792"/>
      </w:r>
      <w:r>
        <w:rPr>
          <w:rFonts w:ascii="Amiri" w:hAnsi="Amiri" w:eastAsia="Amiri" w:cs="Amiri"/>
          <w:color w:val="111111"/>
          <w:sz w:val="28"/>
          <w:sz w:val="28"/>
          <w:szCs w:val="28"/>
          <w:rtl w:val="true"/>
          <w:lang w:bidi="ar-SA"/>
        </w:rPr>
        <w:t>من الاكتفاء بمثلي ما على الحشفة، وإنْ لم يصدق عليه الغَسل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اُريد به القطرة المتخلّفة، فالظاهر صدق الغسل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البَلَل الكائن على الحشفة، فبما أنّه لايحصل بمثليه الاستيلاء، فلا يجزي قطعاً، ويتعيّن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إرادة الفطرة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اعتبار التعدّد، إطلاق ما دلّ على اعتباره في البول، ولكن يتعيّن تقييده بخبر نشيط المتقدّم، وموثّق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ويُذْهِبُ الْغَائِطَ، ثُمَّ يَتَوَضَّأُ مَرَّتَيْنِ مَرَّتَيْنِ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جهة كونه في مقام بيان تمام ما يجب على المتوضّأ المزبور، وتقييد الوضوء بالمرتين، وعدم ذكرها في الوضوء، يكون في دلالته على كفاية مسمّى الغَسل أظهر من إطلاق تلك النصوص في اعتبار العدد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حَسَن ابن المغيرة المرويّ عَنْ أَبِي الْحَسَنِ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 ثَمَّةَ ويَبْقَى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استدلّ به بعض الأعاظم لهذا القول، فغيرُ ظاهرٍ فيه، لكونه مذيّلاً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فَإِنَّهُ يُنَقَّى مَا ثَمَّةَ ويَبْقَى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الاستنجاء في نفسه في الاستنجاء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الاستدلال بصحيح جَمِيلِ بْنِ دَرَّاجٍ،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 وارداً في مقام بيان عدم وجوب الصبر إلى أن يخرج جميع ما في المخرج والتنحنح والاستبراء، لا في مقام بيان عدد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الاستدلال بخبر نشيط بايرادين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طريقه مَرْوَكِ بن عبيد، وهو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بخبره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مَرْوَكِ بْنِ عُبَيْدٍ، عَنْ نَشِيطٍ،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الْبَوْلِ أَنْ يَغْسِلَهُ بِمِثْلِهِ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فلاعتماد الأصحاب عليه، حتّى أنّهم نقلوه بمتنه في فتاويهم، وهو يوجب إنجباره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نقل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w:t>
      </w:r>
      <w:r>
        <w:rPr>
          <w:rStyle w:val="FootnoteAnchor"/>
          <w:rtl w:val="true"/>
        </w:rPr>
        <w:footnoteReference w:id="797"/>
      </w:r>
      <w:r>
        <w:rPr>
          <w:rFonts w:ascii="IRNazanin" w:hAnsi="IRNazanin" w:eastAsia="IRNazanin"/>
          <w:color w:val="111111"/>
          <w:sz w:val="28"/>
          <w:sz w:val="28"/>
          <w:szCs w:val="28"/>
          <w:rtl w:val="true"/>
          <w:lang w:bidi="fa-IR"/>
        </w:rPr>
        <w:t>، عن محمّد بن مسعود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 عن مروك بن عُبيد بن سالم ابن أبي حفصة،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شيخ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إرسال المعارض، وإعراض الأصحاب عنه، وما تقدّم من عدم تحقّق مفهوم الغَسل بالمِثْل، لعدم تحقّق الاستيلاء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المراد، إذ كما يمكن أن يكون المراد بالمماثلة، المماثلة في الكمّ، يمكن أن تكون المماثلة من جهاتٍ اُخر؛ ككون الغَسل بالماء، والمراد من الاجتزاء به حينئذٍ عدم لزوم الدلك ومثله، كما يشير إلى ذلك بعض النصوص الاُخر،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ماءٌ فلا يُزيلُ إلّابالماء</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هذا الاحتمال، عدم اختصاص المرسل بمخرج البول، وعمومه لكلّ ما أصابه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الغَسل مرّةً، وإنْ كان الأحوط الغَسل مرّتين، والأفضل ثلاث مرّات، للخبر الصحيح الذي رواه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يَسْتَنْجِي مِنَ الْبَوْلِ ثَلاثَ مَرَّاتٍ ومِنَ الْغَائِطِ بِالْمَدَرِ والْخِرَقِ</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بالرَّجل، أم يعمّ الاُنثى؟</w:t>
      </w:r>
    </w:p>
    <w:p>
      <w:pPr>
        <w:pStyle w:val="BookText"/>
        <w:rPr/>
      </w:pP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يختصّ بالرجل، والثاني أنّه يعمّ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 بثلاث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السؤال والجواب في النصوص</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الأصل، بعد عدم شمول المطلقات للمقام، بناءً على عدم جريان الاستصحاب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مورد السؤال والجواب في خبر نشيط وموثّق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مستند القول بكفاية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والحَشَفة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مجراها ما إذا ثبت الحكم لموضوعٍ، وكان المخاطب به الرَّجل، فإنّه يتعدّى بواسطتها إلى الاُنثى، وليس شأنها إسراء الحكم من موضوعٍ إلى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موضوع الحكم هو الذَكَر والحَشَفة، فلا وجه للتعدّي وإثبات الحكم لقُبُل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الصحيح شمول المطلقات لمخرج البول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الأقوى اختصاص هذا الحكم بالذَكَر، وفي الاُنثى يرجع إلى ما تقتضيه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ثبوت الحكم لغير المخرج الطبيعي</w:t>
      </w:r>
      <w:r>
        <w:rPr>
          <w:rFonts w:eastAsia="Amiri" w:cs="Amiri" w:ascii="Amiri" w:hAnsi="Amiri"/>
          <w:color w:val="111111"/>
          <w:sz w:val="28"/>
          <w:szCs w:val="28"/>
          <w:rtl w:val="true"/>
          <w:lang w:bidi="ar-SA"/>
        </w:rPr>
        <w:t>.</w:t>
      </w:r>
      <w:bookmarkStart w:id="334" w:name="pg11794_147092"/>
    </w:p>
    <w:p>
      <w:pPr>
        <w:pStyle w:val="BookText"/>
        <w:rPr/>
      </w:pPr>
      <w:bookmarkEnd w:id="334"/>
      <w:r>
        <w:rPr>
          <w:rFonts w:ascii="Amiri" w:hAnsi="Amiri" w:eastAsia="Amiri" w:cs="Amiri"/>
          <w:color w:val="111111"/>
          <w:sz w:val="28"/>
          <w:sz w:val="28"/>
          <w:szCs w:val="28"/>
          <w:rtl w:val="true"/>
          <w:lang w:bidi="ar-SA"/>
        </w:rPr>
        <w:t>وغسل مخرج الغائط مع التعدّي</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0299136_73709187"/>
      <w:bookmarkStart w:id="336" w:name="_Toc124"/>
      <w:bookmarkEnd w:id="335"/>
      <w:r>
        <w:rPr>
          <w:rtl w:val="true"/>
        </w:rPr>
        <w:t>الاستنجاء من الغائط</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مخرج الغائط 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عند جماعةٍ كثيرة، بل ادّعى عليه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عن المحلّ المعتاد، ويصل إلى الإلية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عن المخرج ولا يتجاوز محلّ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ذكر من وجوب الماء، إذ أدلّة إجزاء المسح بالأحجار وغيرها قاصرة عن الشمول لها، لعدم صدق الاستنجاء في الفرض، ولذا لايعامل مع الماء المستعمل فيه حينئذٍ معاملة ماء الاستنجاء، ولا يلحقه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الجمهور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أحدكم ثلاثة أحجار إذا لم يتجاوز محلّ العادة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تعيّن الماء، إذ لا قصور في أدلّة إجزاء المسح بالأحجار وغيرها عن الشمول</w:t>
      </w:r>
      <w:r>
        <w:rPr>
          <w:rFonts w:eastAsia="Amiri" w:cs="Amiri" w:ascii="Amiri" w:hAnsi="Amiri"/>
          <w:color w:val="111111"/>
          <w:sz w:val="28"/>
          <w:szCs w:val="28"/>
          <w:rtl w:val="true"/>
          <w:lang w:bidi="ar-SA"/>
        </w:rPr>
        <w:t xml:space="preserve">. </w:t>
      </w:r>
      <w:bookmarkStart w:id="337" w:name="pg11794_147093"/>
    </w:p>
    <w:p>
      <w:pPr>
        <w:pStyle w:val="BookText"/>
        <w:rPr/>
      </w:pPr>
      <w:bookmarkEnd w:id="337"/>
      <w:r>
        <w:rPr>
          <w:rFonts w:ascii="Amiri" w:hAnsi="Amiri" w:eastAsia="Amiri" w:cs="Amiri"/>
          <w:color w:val="111111"/>
          <w:sz w:val="28"/>
          <w:sz w:val="28"/>
          <w:szCs w:val="28"/>
          <w:rtl w:val="true"/>
          <w:lang w:bidi="ar-SA"/>
        </w:rPr>
        <w:t>وبدونه يُجزي ثلاثة أحجار طاهرة، أو ثلاثُ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إذا تعدّى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هذه الدعوى مع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من أنّ الفقهاء بأجمعهم صرّحوا بأنّ الاستنجاء من الغائط غير منحصرٍ بالماء، إلّاأن يتعدّى عن المحلّ المعتاد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باعتبار تعدّي الشرج، وهو حَلَقة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التعدّي عن حواشي الدُّبر</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0299138_73709187"/>
      <w:bookmarkStart w:id="339" w:name="_Toc125"/>
      <w:bookmarkEnd w:id="338"/>
      <w:r>
        <w:rPr>
          <w:rtl w:val="true"/>
        </w:rPr>
        <w:t>إجزاء الأحجار ونحوها مع عدم التعدّي</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أحجارٍ طاهرة، أو ثلاث 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لكفاية الأحجار أكثر نصوص الباب، ولكفاية الخرق جملةٌ منها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 يَتَمَسَّحُ مِنَ الْغَائِطِ بِالْكُرْسُفِ، ولا يَغْسِلُ</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bookmarkStart w:id="340" w:name="pg11794_147094"/>
    </w:p>
    <w:p>
      <w:pPr>
        <w:pStyle w:val="Heading6"/>
        <w:numPr>
          <w:ilvl w:val="5"/>
          <w:numId w:val="1"/>
        </w:numPr>
        <w:rPr/>
      </w:pPr>
      <w:bookmarkStart w:id="341" w:name="__RefHeading___Toc10299140_73709187"/>
      <w:bookmarkStart w:id="342" w:name="_Toc126"/>
      <w:bookmarkEnd w:id="340"/>
      <w:bookmarkEnd w:id="341"/>
      <w:r>
        <w:rPr>
          <w:rtl w:val="true"/>
        </w:rPr>
        <w:t>تنبيهات الاستنجاء من الغائط</w:t>
      </w:r>
      <w:bookmarkEnd w:id="342"/>
    </w:p>
    <w:p>
      <w:pPr>
        <w:pStyle w:val="Heading6"/>
        <w:numPr>
          <w:ilvl w:val="5"/>
          <w:numId w:val="1"/>
        </w:numPr>
        <w:rPr/>
      </w:pPr>
      <w:bookmarkStart w:id="343" w:name="__RefHeading___Toc10299142_73709187"/>
      <w:bookmarkStart w:id="344" w:name="_Toc127"/>
      <w:bookmarkEnd w:id="343"/>
      <w:r>
        <w:rPr>
          <w:rtl w:val="true"/>
        </w:rPr>
        <w:t>التنبيه الأوّل</w:t>
      </w:r>
      <w:r>
        <w:rPr>
          <w:rtl w:val="true"/>
        </w:rPr>
        <w:t xml:space="preserve">: </w:t>
      </w:r>
      <w:r>
        <w:rPr>
          <w:rtl w:val="true"/>
        </w:rPr>
        <w:t>في كفاية كلّ قالع للنجاسة</w:t>
      </w:r>
      <w:bookmarkEnd w:id="344"/>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808"/>
      </w:r>
      <w:r>
        <w:rPr>
          <w:rFonts w:ascii="Amiri" w:hAnsi="Amiri" w:eastAsia="Amiri" w:cs="Amiri"/>
          <w:color w:val="111111"/>
          <w:sz w:val="28"/>
          <w:sz w:val="28"/>
          <w:szCs w:val="28"/>
          <w:rtl w:val="true"/>
          <w:lang w:bidi="ar-SA"/>
        </w:rPr>
        <w:t xml:space="preserve">أنّه يكفي كلّ قالعٍ للنجاسة، عدا ما استثني،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يعقوب المتقدّم، وفيه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ويُذْهِبُ الْغَائِطَ ثُمَّ يَتَوَضَّأُ مَرَّتَيْنِ مَرَّتَيْنِ</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أنّه في مقام بيان تمام ما يجب على المتوضّأ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الحسن الذي رواه ابْنِ الْمُغِيرَةِ،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 ثَمَّةَ ويَبْقَى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في مقام البيان من هذه الجهة، لكونه مسوقاً لبيان حَدّ الاستنجاء، لا لبيان ما يُستنجى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 في اللّغة</w:t>
      </w:r>
      <w:r>
        <w:rPr>
          <w:rStyle w:val="FootnoteAnchor"/>
          <w:rtl w:val="true"/>
        </w:rPr>
        <w:footnoteReference w:id="813"/>
      </w:r>
      <w:r>
        <w:rPr>
          <w:rFonts w:ascii="Amiri" w:hAnsi="Amiri" w:eastAsia="Amiri" w:cs="Amiri"/>
          <w:color w:val="111111"/>
          <w:sz w:val="28"/>
          <w:sz w:val="28"/>
          <w:szCs w:val="28"/>
          <w:rtl w:val="true"/>
          <w:lang w:bidi="ar-SA"/>
        </w:rPr>
        <w:t>بمعنى المنع، فمقتضى إطلاق الجواب حينئذٍ عدم المنع من جميع الجهات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له بالنصوص الواردة في المَدَر والخِرَق والكُرسف والعود </w:t>
      </w:r>
    </w:p>
    <w:p>
      <w:pPr>
        <w:pStyle w:val="BookText"/>
        <w:rPr/>
      </w:pPr>
      <w:r>
        <w:rPr>
          <w:rFonts w:ascii="IRNazanin" w:hAnsi="IRNazanin" w:eastAsia="IRNazanin"/>
          <w:color w:val="111111"/>
          <w:sz w:val="28"/>
          <w:sz w:val="28"/>
          <w:szCs w:val="28"/>
          <w:rtl w:val="true"/>
          <w:lang w:bidi="fa-IR"/>
        </w:rPr>
        <w:t>ونحوها</w:t>
      </w:r>
      <w:r>
        <w:rPr>
          <w:rStyle w:val="FootnoteAnchor"/>
          <w:rtl w:val="true"/>
        </w:rPr>
        <w:footnoteReference w:id="814"/>
      </w:r>
      <w:r>
        <w:rPr>
          <w:rFonts w:ascii="Amiri" w:hAnsi="Amiri" w:eastAsia="Amiri" w:cs="Amiri"/>
          <w:color w:val="111111"/>
          <w:sz w:val="28"/>
          <w:sz w:val="28"/>
          <w:szCs w:val="28"/>
          <w:rtl w:val="true"/>
          <w:lang w:bidi="ar-SA"/>
        </w:rPr>
        <w:t xml:space="preserve">، فإنّ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بملاحظة الشهرة والخبرين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هذه الأشياء في النصوص ليس لأجل اعتبارها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الإجتزاء بكلّ قالع ولو من الأصابع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45" w:name="pg11794_147096"/>
    </w:p>
    <w:p>
      <w:pPr>
        <w:pStyle w:val="Heading6"/>
        <w:numPr>
          <w:ilvl w:val="5"/>
          <w:numId w:val="1"/>
        </w:numPr>
        <w:rPr/>
      </w:pPr>
      <w:bookmarkStart w:id="346" w:name="__RefHeading___Toc10299144_73709187"/>
      <w:bookmarkStart w:id="347" w:name="_Toc128"/>
      <w:bookmarkEnd w:id="345"/>
      <w:bookmarkEnd w:id="346"/>
      <w:r>
        <w:rPr>
          <w:rtl w:val="true"/>
        </w:rPr>
        <w:t>التنبيه الثاني</w:t>
      </w:r>
      <w:r>
        <w:rPr>
          <w:rtl w:val="true"/>
        </w:rPr>
        <w:t xml:space="preserve">: </w:t>
      </w:r>
      <w:r>
        <w:rPr>
          <w:rtl w:val="true"/>
        </w:rPr>
        <w:t>في اعتبار التعدّد في الغَسل</w:t>
      </w:r>
      <w:bookmarkEnd w:id="3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الغَسل التعدّد، بل حدُّه النقاء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w:t>
      </w:r>
      <w:r>
        <w:rPr>
          <w:rStyle w:val="FootnoteAnchor"/>
          <w:rtl w:val="true"/>
        </w:rPr>
        <w:footnoteReference w:id="815"/>
      </w:r>
      <w:r>
        <w:rPr>
          <w:rFonts w:ascii="Amiri" w:hAnsi="Amiri" w:eastAsia="Amiri" w:cs="Amiri"/>
          <w:color w:val="111111"/>
          <w:sz w:val="28"/>
          <w:sz w:val="28"/>
          <w:szCs w:val="28"/>
          <w:rtl w:val="true"/>
          <w:lang w:bidi="ar-SA"/>
        </w:rPr>
        <w:t>وحسن ابن المغيرة</w:t>
      </w:r>
      <w:r>
        <w:rPr>
          <w:rStyle w:val="FootnoteAnchor"/>
          <w:rtl w:val="true"/>
        </w:rPr>
        <w:footnoteReference w:id="816"/>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الثلاث، وإنْ حصل النقاء بالأقلّ، وإنْ لم يحصل بالثلاث فإلى النقاء كما هو المنسوب إلى المشهور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لاعتبار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 ويُجْزِيكَ مِنَ الاسْتِنْجَاءِ ثَلاثَةُ أَحْجَارٍ، بِذَلِكَ جَرَتِ السُّنَّةُ مِنْ رَسُولِ اللّهِ صلى الله عليه و آله، وأَمَّا الْبَوْلُ فَإِنَّهُ لا بُدَّ مِنْ غَسْلِهِ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اقترانه بالسُّنة المحتمل كون المراد منها الاستحباب، يمنع من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السُّنة في الخبر من جهة اسنادها إلى رسول اللّه صلى الله عليه و آله، تكون ظاهرة في إرادة ما فرضه النبيّ صلى الله عليه و آله، أي ما لم يثبت وجوبه بالكتاب، مع أنّ صدر الصحيح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المختار، لظهوره في أنّ الثلاث أقلّ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القيد مورد الغالب، من جهة أنّ النقاء لايحصل غالباً إلّا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الاستدلال، إذ لا يكون ذلك قرينةً لرفع اليد عن ظهور القيد في الاحترازيّة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الَّتمَسُّحِ بِالأحْجَارِ؟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 يَمْسَحُ بِثَلاثَةِ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حكاية الإمام عليه السلام فعل جدّه عليه السلام في جواب السائل عن التمسح بالأحجار، ظاهرة في إرادة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ويؤيّدهما النبويّ الذي رواه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نَهَانَا رَسُولُ اللّهِ صلى الله عليه و آله أَنْ نَسْتَنْجِيَ بِأَقَلَّ مِنْ ثَلاثَةِ أَحْجَارٍ</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نبويّان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الخبر الحسن الذي رواه ابن المغيرة، وموثّق يونس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بريد بْنِ مُعَاوِيَةَ،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 ولا يُجْزِي مِنَ الْبَوْلِ إِلّا الْمَاءُ</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بالأحجار بعد امتناع حمله على العموم، يجبُ حمله على النجس، لأنّه أقرب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وبِإِسْنَادِهِ عَنْ أَحْمَدَ بْنِ مُحَمَّدٍ، عَنِ الْحُسَيْنِ بْنِ سَعِيدٍ، عَنْ حَمَّادِ بْنِ عِيسَى، عَنْ حَرِيزٍ،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يَسْتَنْجِي مِنَ الْبَوْلِ ثَلاثَ مَرَّاتٍ ومِنَ الْغَائِطِ بِالْمَدَرِ والْخِرَقِ</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كَانَ الْحُسَيْنُ بْنُ عَلِيٍّ عليه السلام يَتَمَسَّحُ مِنَ الْغَائِطِ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بِالْكُرْسُفِ ولا يَغْسِلُ</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 إلى ما ذكره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الريح الباقية هي المعلومة بتوسّط استشمامها باليد، ولا يكون ذلك إلّابالاستنجاء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اعتبار الثلاث أخصّ منه، فيقيّد إطلاقه به، فالجمع بينهما يقتضي اعتبار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إرادة إجزاء الأحجار بنحو الموجبة الجزئيّة، في مقابل البول الذي لا يجزي فيه إلّاالماء، كما يشير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ولايجزي من البول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صحيح زرارة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صحيحه الأوّل فلم يثبت كون الحكاية من الإمام عليه السلام كما لايخفى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 جماعة منهم ابنا حمزة</w:t>
      </w:r>
      <w:r>
        <w:rPr>
          <w:rStyle w:val="FootnoteAnchor"/>
          <w:rtl w:val="true"/>
        </w:rPr>
        <w:footnoteReference w:id="823"/>
      </w:r>
      <w:r>
        <w:rPr>
          <w:rFonts w:ascii="Amiri" w:hAnsi="Amiri" w:eastAsia="Amiri" w:cs="Amiri"/>
          <w:color w:val="111111"/>
          <w:sz w:val="28"/>
          <w:sz w:val="28"/>
          <w:szCs w:val="28"/>
          <w:rtl w:val="true"/>
          <w:lang w:bidi="ar-SA"/>
        </w:rPr>
        <w:t>وزهرة</w:t>
      </w:r>
      <w:r>
        <w:rPr>
          <w:rStyle w:val="FootnoteAnchor"/>
          <w:rtl w:val="true"/>
        </w:rPr>
        <w:footnoteReference w:id="824"/>
      </w:r>
      <w:r>
        <w:rPr>
          <w:rFonts w:ascii="Amiri" w:hAnsi="Amiri" w:eastAsia="Amiri" w:cs="Amiri"/>
          <w:color w:val="111111"/>
          <w:sz w:val="28"/>
          <w:sz w:val="28"/>
          <w:szCs w:val="28"/>
          <w:rtl w:val="true"/>
          <w:lang w:bidi="ar-SA"/>
        </w:rPr>
        <w:t>، والقاضي</w:t>
      </w:r>
      <w:r>
        <w:rPr>
          <w:rStyle w:val="FootnoteAnchor"/>
          <w:rtl w:val="true"/>
        </w:rPr>
        <w:footnoteReference w:id="825"/>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والمقدّس الأردبيلي</w:t>
      </w:r>
      <w:r>
        <w:rPr>
          <w:rStyle w:val="FootnoteAnchor"/>
          <w:rtl w:val="true"/>
        </w:rPr>
        <w:footnoteReference w:id="827"/>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من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اعتبار الثلاث مطلقاً،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اعتبار الثلاث إذا حصل النقاء بأقلّ من ذلك، بدعوى أنّ الغرض من المسح هو النقاء، فمع حصوله أي فائدة تترتّب عليه؟</w:t>
      </w:r>
    </w:p>
    <w:p>
      <w:pPr>
        <w:pStyle w:val="BookText"/>
        <w:rPr/>
      </w:pPr>
      <w:r>
        <w:rPr>
          <w:rFonts w:ascii="Amiri" w:hAnsi="Amiri" w:eastAsia="Amiri" w:cs="Amiri"/>
          <w:color w:val="111111"/>
          <w:sz w:val="28"/>
          <w:sz w:val="28"/>
          <w:szCs w:val="28"/>
          <w:rtl w:val="true"/>
          <w:lang w:bidi="ar-SA"/>
        </w:rPr>
        <w:t>إذ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بالغَسل بالماء، فإنّه يزول العين بالغَسلة الاُولى فما فائدة الثانيه؟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بعد دلالة الدليل على اعتبار الثلاث، لا ترفع اليد عنه بواسطة هذه 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اعتبار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يجزي ذو الجهات الثلاث من الحَجَر، وبثلاثة أجزاء من الخرقة الواحدة كما عن المصنّف</w:t>
      </w:r>
      <w:r>
        <w:rPr>
          <w:rStyle w:val="FootnoteAnchor"/>
          <w:rtl w:val="true"/>
        </w:rPr>
        <w:footnoteReference w:id="829"/>
      </w:r>
      <w:r>
        <w:rPr>
          <w:rFonts w:ascii="Amiri" w:hAnsi="Amiri" w:eastAsia="Amiri" w:cs="Amiri"/>
          <w:color w:val="111111"/>
          <w:sz w:val="28"/>
          <w:sz w:val="28"/>
          <w:szCs w:val="28"/>
          <w:rtl w:val="true"/>
          <w:lang w:bidi="ar-SA"/>
        </w:rPr>
        <w:t>وجملةٌ ممّن تأخّر عنه؟</w:t>
      </w:r>
    </w:p>
    <w:p>
      <w:pPr>
        <w:pStyle w:val="BookText"/>
        <w:rPr/>
      </w:pPr>
      <w:r>
        <w:rPr>
          <w:rFonts w:ascii="Amiri" w:hAnsi="Amiri" w:eastAsia="Amiri" w:cs="Amiri"/>
          <w:color w:val="111111"/>
          <w:sz w:val="28"/>
          <w:sz w:val="28"/>
          <w:szCs w:val="28"/>
          <w:rtl w:val="true"/>
          <w:lang w:bidi="ar-SA"/>
        </w:rPr>
        <w:t xml:space="preserve">أم لا،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8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 والمحقّق</w:t>
      </w:r>
      <w:r>
        <w:rPr>
          <w:rStyle w:val="FootnoteAnchor"/>
          <w:rtl w:val="true"/>
        </w:rPr>
        <w:footnoteReference w:id="835"/>
      </w:r>
      <w:r>
        <w:rPr>
          <w:rFonts w:ascii="Amiri" w:hAnsi="Amiri" w:eastAsia="Amiri" w:cs="Amiri"/>
          <w:color w:val="111111"/>
          <w:sz w:val="28"/>
          <w:sz w:val="28"/>
          <w:szCs w:val="28"/>
          <w:rtl w:val="true"/>
          <w:lang w:bidi="ar-SA"/>
        </w:rPr>
        <w:t>والشهيد الثاني</w:t>
      </w:r>
      <w:r>
        <w:rPr>
          <w:rStyle w:val="FootnoteAnchor"/>
          <w:rtl w:val="true"/>
        </w:rPr>
        <w:footnoteReference w:id="836"/>
      </w:r>
      <w:r>
        <w:rPr>
          <w:rFonts w:ascii="Amiri" w:hAnsi="Amiri" w:eastAsia="Amiri" w:cs="Amiri"/>
          <w:color w:val="111111"/>
          <w:sz w:val="28"/>
          <w:sz w:val="28"/>
          <w:szCs w:val="28"/>
          <w:rtl w:val="true"/>
          <w:lang w:bidi="ar-SA"/>
        </w:rPr>
        <w:t>وغيرهم؟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للأوّل بثلاث أدلّة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مدخليّة صفة الانفصال في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المسح بثلاثة أحجار إرادة ثلاث 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النقاء، وإذهاب الغائط في الحسن والموثّق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القطع في مثل هذا الحكم التعبّدي المحض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بثلاثة 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مع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الأحجار لاتعدّد المسحات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تعيّن تقييد إطلاقهما بما دلّ على اعتبار الثلاث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الثاني</w:t>
      </w:r>
      <w:r>
        <w:rPr>
          <w:rFonts w:eastAsia="Amiri" w:cs="Amiri" w:ascii="Amiri" w:hAnsi="Amiri"/>
          <w:color w:val="111111"/>
          <w:sz w:val="28"/>
          <w:szCs w:val="28"/>
          <w:rtl w:val="true"/>
          <w:lang w:bidi="ar-SA"/>
        </w:rPr>
        <w:t>.</w:t>
      </w:r>
      <w:bookmarkStart w:id="348" w:name="pg11794_147101"/>
    </w:p>
    <w:p>
      <w:pPr>
        <w:pStyle w:val="Heading6"/>
        <w:numPr>
          <w:ilvl w:val="5"/>
          <w:numId w:val="1"/>
        </w:numPr>
        <w:rPr/>
      </w:pPr>
      <w:bookmarkStart w:id="349" w:name="__RefHeading___Toc10299146_73709187"/>
      <w:bookmarkStart w:id="350" w:name="_Toc129"/>
      <w:bookmarkEnd w:id="348"/>
      <w:bookmarkEnd w:id="349"/>
      <w:r>
        <w:rPr>
          <w:rtl w:val="true"/>
        </w:rPr>
        <w:t>التنبيه الثالث</w:t>
      </w:r>
      <w:r>
        <w:rPr>
          <w:rtl w:val="true"/>
        </w:rPr>
        <w:t xml:space="preserve">: </w:t>
      </w:r>
      <w:r>
        <w:rPr>
          <w:rtl w:val="true"/>
        </w:rPr>
        <w:t>في اعتبار الطهارة في الأحجار</w:t>
      </w:r>
      <w:bookmarkEnd w:id="350"/>
    </w:p>
    <w:p>
      <w:pPr>
        <w:pStyle w:val="BookText"/>
        <w:rPr/>
      </w:pPr>
      <w:r>
        <w:rPr>
          <w:rFonts w:ascii="Amiri" w:hAnsi="Amiri" w:eastAsia="Amiri" w:cs="Amiri"/>
          <w:color w:val="111111"/>
          <w:sz w:val="28"/>
          <w:sz w:val="28"/>
          <w:szCs w:val="28"/>
          <w:rtl w:val="true"/>
          <w:lang w:bidi="ar-SA"/>
        </w:rPr>
        <w:t>لا خلاف ظاهراً في اعتبار الطهارة في الأحجار، ولعلّ الوجه في ذلك هو أنّه إذا كان الحجر نجساً يوجب تنجّس المحلّ بنجاسة اُخرى، لا يجزي في رفعها إلّاالماء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لايتنجّس ثانياً، قد عرفت ما فيها في أمثال المقام، ممّا يكون للنجاسة الثانية أثر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فتعتبر الطهارة إذا كان الحجر أو مخرج الغائط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يبوستهما فلا وجه له، إذا القاعدة الارتكازيّة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لا يعطي</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لاتجري في المقام، لكون هذا الحكم تعبّديّاً محضاً، ولا وجه لإعمال المرتكزات العرفيّة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تنظيراً له على المطهّرات العرفيّة،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فيه هو الإجماع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اعتبارها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بثلاثه أحجار أبكار تتبع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 السند، مع أنّ في دلالته على الوجوب تأمّلاً، لأنّ الإتّباع بالماء مستحبٌّ، وهو يكون قرينة لإرادة الاستحباب من السُنّة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جماعةٍ منهم المفيد</w:t>
      </w:r>
      <w:r>
        <w:rPr>
          <w:rStyle w:val="FootnoteAnchor"/>
          <w:rtl w:val="true"/>
        </w:rPr>
        <w:footnoteReference w:id="838"/>
      </w:r>
      <w:r>
        <w:rPr>
          <w:rFonts w:ascii="Amiri" w:hAnsi="Amiri" w:eastAsia="Amiri" w:cs="Amiri"/>
          <w:color w:val="111111"/>
          <w:sz w:val="28"/>
          <w:sz w:val="28"/>
          <w:szCs w:val="28"/>
          <w:rtl w:val="true"/>
          <w:lang w:bidi="ar-SA"/>
        </w:rPr>
        <w:t>وابن حمزة</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يُستعمل الحَجَر المستعمل سواءٌ انفعل أم لا، وسواءٌ طهر بعد الانفعال أم لا، ضعيف</w:t>
      </w:r>
      <w:r>
        <w:rPr>
          <w:rFonts w:eastAsia="Amiri" w:cs="Amiri" w:ascii="Amiri" w:hAnsi="Amiri"/>
          <w:color w:val="111111"/>
          <w:sz w:val="28"/>
          <w:szCs w:val="28"/>
          <w:rtl w:val="true"/>
          <w:lang w:bidi="ar-SA"/>
        </w:rPr>
        <w:t>.</w:t>
      </w:r>
      <w:bookmarkStart w:id="351" w:name="pg11794_147102"/>
    </w:p>
    <w:p>
      <w:pPr>
        <w:pStyle w:val="Heading6"/>
        <w:numPr>
          <w:ilvl w:val="5"/>
          <w:numId w:val="1"/>
        </w:numPr>
        <w:rPr/>
      </w:pPr>
      <w:bookmarkStart w:id="352" w:name="__RefHeading___Toc10299148_73709187"/>
      <w:bookmarkStart w:id="353" w:name="_Toc130"/>
      <w:bookmarkEnd w:id="351"/>
      <w:bookmarkEnd w:id="352"/>
      <w:r>
        <w:rPr>
          <w:rtl w:val="true"/>
        </w:rPr>
        <w:t>التنبيه الرابع</w:t>
      </w:r>
      <w:r>
        <w:rPr>
          <w:rtl w:val="true"/>
        </w:rPr>
        <w:t xml:space="preserve">: </w:t>
      </w:r>
      <w:r>
        <w:rPr>
          <w:rtl w:val="true"/>
        </w:rPr>
        <w:t>في عدم اعتبار زوال الأثر</w:t>
      </w:r>
      <w:bookmarkEnd w:id="353"/>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 الغَسل بالماء إزالة العين والأثر، وأنّه يكفي في المسح إزالة العين، ولا يضرّ بقاء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الفقهاء في بيان المراد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المحقّق الثاني</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بالأجزاء الصغار الّتي لا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اللّون الزائل بأدنى مبالغة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المقدّس الأردبيلي</w:t>
      </w:r>
      <w:r>
        <w:rPr>
          <w:rStyle w:val="FootnoteAnchor"/>
          <w:rtl w:val="true"/>
        </w:rPr>
        <w:footnoteReference w:id="844"/>
      </w:r>
      <w:r>
        <w:rPr>
          <w:rFonts w:ascii="Amiri" w:hAnsi="Amiri" w:eastAsia="Amiri" w:cs="Amiri"/>
          <w:color w:val="111111"/>
          <w:sz w:val="28"/>
          <w:sz w:val="28"/>
          <w:szCs w:val="28"/>
          <w:rtl w:val="true"/>
          <w:lang w:bidi="ar-SA"/>
        </w:rPr>
        <w:t>بالرائحة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الاختلاف الإشكالان المعروفان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غير مذكور في شيء من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عين النجاسة إنْ بقيت فلا يحكم بالطهارة، سواءٌ استنجى بالماء أو بالحجر، وإلّا فيحكم بها بلا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زوال الأثر في الاستنجاء بالماء دون المسح بالحَجَر بلا وجه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الأثر بمعنى اللّون والرائحة، لايمنع من الحكم بالطهارة، حتّى في الاستنجاء بالماء، لما تقدّم في مطهّريّة الماء من عدم اعتبار زوال الأثر بهذا المعنى في التطهير،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الأثر بمعنى الأجزاء الصغار الّتي لا تُرى، المعبّر عنها في بعض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بالأجزاء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 لاحظناها بواسطة مكبّرةٍ لعرفنا أنّها عذرة، فيعتبر إزالتها في الغَسل بالماء، لأنّ تلك الأجزاء مصداقٌ عرفي للعذرة، فتجب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المسح، فبما أنّه يستحيل إزالة تلك الأجزاء عادةً إلّامع المبالغة الكثيرة الخارجة عن المتعارف، فمقتضى إطلاق أدلّته عدم اعتبار إزالتها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الفرق بين الغَسل بالماء والمسح، كما أنّه ظهر أنّ الأولى تفسير الأثر في المقام بالأجزاء الصغار الّتي لا تزول عادةً بالمسح، وظهر أيضاً أنّ عدم ذكر الأثر في الأخبار لا ينافي ذلك كما لا يخفى</w:t>
      </w:r>
      <w:r>
        <w:rPr>
          <w:rFonts w:eastAsia="Amiri" w:cs="Amiri" w:ascii="Amiri" w:hAnsi="Amiri"/>
          <w:color w:val="111111"/>
          <w:sz w:val="28"/>
          <w:szCs w:val="28"/>
          <w:rtl w:val="true"/>
          <w:lang w:bidi="ar-SA"/>
        </w:rPr>
        <w:t>.</w:t>
      </w:r>
      <w:bookmarkStart w:id="354" w:name="pg11794_147104"/>
    </w:p>
    <w:p>
      <w:pPr>
        <w:pStyle w:val="Heading6"/>
        <w:numPr>
          <w:ilvl w:val="5"/>
          <w:numId w:val="1"/>
        </w:numPr>
        <w:rPr/>
      </w:pPr>
      <w:bookmarkStart w:id="355" w:name="__RefHeading___Toc10299150_73709187"/>
      <w:bookmarkStart w:id="356" w:name="_Toc131"/>
      <w:bookmarkEnd w:id="354"/>
      <w:bookmarkEnd w:id="355"/>
      <w:r>
        <w:rPr>
          <w:rtl w:val="true"/>
        </w:rPr>
        <w:t>التنبيه الخامس</w:t>
      </w:r>
      <w:r>
        <w:rPr>
          <w:rtl w:val="true"/>
        </w:rPr>
        <w:t xml:space="preserve">: </w:t>
      </w:r>
      <w:r>
        <w:rPr>
          <w:rtl w:val="true"/>
        </w:rPr>
        <w:t>في غَسل الظاهر من المخرج</w:t>
      </w:r>
      <w:bookmarkEnd w:id="356"/>
    </w:p>
    <w:p>
      <w:pPr>
        <w:pStyle w:val="BookText"/>
        <w:rPr/>
      </w:pPr>
      <w:r>
        <w:rPr>
          <w:rFonts w:ascii="Amiri" w:hAnsi="Amiri" w:eastAsia="Amiri" w:cs="Amiri"/>
          <w:color w:val="111111"/>
          <w:sz w:val="28"/>
          <w:sz w:val="28"/>
          <w:szCs w:val="28"/>
          <w:rtl w:val="true"/>
          <w:lang w:bidi="ar-SA"/>
        </w:rPr>
        <w:t>إنّما يجب غَسل ما ظهر من مخرج الغائط إذا تلوّث بالنجاسة، ولا يجب غَسل الباطن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اعتبار غَسل البواطن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يَغْسِلُ مَا ظَهَرَ مِنْهُ عَلَى الشَّرْجِ، ولا يُدْخِلُ فِيهِ الأنْمُلَةَ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يَسْتَنْجِيَ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 ولَيْسَ عَلَيْهِ أَنْ يَغْسِلَ بَاطِنَهُ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يجب غَسل الظاهر إذا كانت النجاسة غير مُسرية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واستدلّ له بإطلاق الأمر بالغسل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موثّق ابن عمّار وحَسَن ابن المُغيرة، من جعل النقاء وإذهاب الغائط حدّاً للاستنجاء، حيث أنّه يستفاد منهما أنّ لزوم الاستنجاء إنّما يكون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المطلقات بضميمة المناسبة بين الحكم وموضوعه أيضاً هو ذلك</w:t>
      </w:r>
      <w:r>
        <w:rPr>
          <w:rFonts w:eastAsia="Amiri" w:cs="Amiri" w:ascii="Amiri" w:hAnsi="Amiri"/>
          <w:color w:val="111111"/>
          <w:sz w:val="28"/>
          <w:szCs w:val="28"/>
          <w:rtl w:val="true"/>
          <w:lang w:bidi="ar-SA"/>
        </w:rPr>
        <w:t>.</w:t>
      </w:r>
      <w:bookmarkStart w:id="357" w:name="pg11794_147105"/>
    </w:p>
    <w:p>
      <w:pPr>
        <w:pStyle w:val="Heading6"/>
        <w:numPr>
          <w:ilvl w:val="5"/>
          <w:numId w:val="1"/>
        </w:numPr>
        <w:rPr/>
      </w:pPr>
      <w:bookmarkStart w:id="358" w:name="__RefHeading___Toc10299152_73709187"/>
      <w:bookmarkStart w:id="359" w:name="_Toc132"/>
      <w:bookmarkEnd w:id="357"/>
      <w:bookmarkEnd w:id="358"/>
      <w:r>
        <w:rPr>
          <w:rtl w:val="true"/>
        </w:rPr>
        <w:t>التنبيه السادس</w:t>
      </w:r>
      <w:r>
        <w:rPr>
          <w:rtl w:val="true"/>
        </w:rPr>
        <w:t xml:space="preserve">: </w:t>
      </w:r>
      <w:r>
        <w:rPr>
          <w:rtl w:val="true"/>
        </w:rPr>
        <w:t>في إمرار الحَجَر على موضعه النجاسة</w:t>
      </w:r>
      <w:bookmarkEnd w:id="359"/>
    </w:p>
    <w:p>
      <w:pPr>
        <w:pStyle w:val="BookText"/>
        <w:rPr/>
      </w:pPr>
      <w:r>
        <w:rPr>
          <w:rFonts w:ascii="Amiri" w:hAnsi="Amiri" w:eastAsia="Amiri" w:cs="Amiri"/>
          <w:color w:val="111111"/>
          <w:sz w:val="28"/>
          <w:sz w:val="28"/>
          <w:szCs w:val="28"/>
          <w:rtl w:val="true"/>
          <w:lang w:bidi="ar-SA"/>
        </w:rPr>
        <w:t>نوقش في أنّه هل يجب إمرار كلّ حجرٍ على موضع النجاسة كما عن جماعة</w:t>
      </w:r>
      <w:r>
        <w:rPr>
          <w:rStyle w:val="FootnoteAnchor"/>
          <w:rtl w:val="true"/>
        </w:rPr>
        <w:footnoteReference w:id="847"/>
      </w:r>
      <w:r>
        <w:rPr>
          <w:rFonts w:ascii="Amiri" w:hAnsi="Amiri" w:eastAsia="Amiri" w:cs="Amiri"/>
          <w:color w:val="111111"/>
          <w:sz w:val="28"/>
          <w:sz w:val="28"/>
          <w:szCs w:val="28"/>
          <w:rtl w:val="true"/>
          <w:lang w:bidi="ar-SA"/>
        </w:rPr>
        <w:t>، بل عن المفاتيح</w:t>
      </w:r>
      <w:r>
        <w:rPr>
          <w:rStyle w:val="FootnoteAnchor"/>
          <w:rtl w:val="true"/>
        </w:rPr>
        <w:footnoteReference w:id="848"/>
      </w:r>
      <w:r>
        <w:rPr>
          <w:rFonts w:ascii="IRNazanin" w:hAnsi="IRNazanin" w:eastAsia="IRNazanin"/>
          <w:color w:val="111111"/>
          <w:sz w:val="28"/>
          <w:sz w:val="28"/>
          <w:szCs w:val="28"/>
          <w:rtl w:val="true"/>
          <w:lang w:bidi="fa-IR"/>
        </w:rPr>
        <w:t>أنّه المشهور؟</w:t>
      </w:r>
    </w:p>
    <w:p>
      <w:pPr>
        <w:pStyle w:val="BookText"/>
        <w:rPr/>
      </w:pPr>
      <w:r>
        <w:rPr>
          <w:rFonts w:ascii="Amiri" w:hAnsi="Amiri" w:eastAsia="Amiri" w:cs="Amiri"/>
          <w:color w:val="111111"/>
          <w:sz w:val="28"/>
          <w:sz w:val="28"/>
          <w:szCs w:val="28"/>
          <w:rtl w:val="true"/>
          <w:lang w:bidi="ar-SA"/>
        </w:rPr>
        <w:t>أم يجوز توزيع الأحجار الثلاثة على أجزاء الموضع، كما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w:t>
      </w:r>
      <w:r>
        <w:rPr>
          <w:rStyle w:val="FootnoteAnchor"/>
          <w:rtl w:val="true"/>
        </w:rPr>
        <w:footnoteReference w:id="849"/>
      </w:r>
      <w:r>
        <w:rPr>
          <w:rFonts w:ascii="IRNazanin" w:hAnsi="IRNazanin" w:eastAsia="IRNazanin"/>
          <w:color w:val="111111"/>
          <w:sz w:val="28"/>
          <w:sz w:val="28"/>
          <w:szCs w:val="28"/>
          <w:rtl w:val="true"/>
          <w:lang w:bidi="fa-IR"/>
        </w:rPr>
        <w:t>والفاضلان</w:t>
      </w:r>
      <w:r>
        <w:rPr>
          <w:rStyle w:val="FootnoteAnchor"/>
          <w:rtl w:val="true"/>
        </w:rPr>
        <w:footnoteReference w:id="850"/>
      </w:r>
      <w:r>
        <w:rPr>
          <w:rFonts w:ascii="Amiri" w:hAnsi="Amiri" w:eastAsia="Amiri" w:cs="Amiri"/>
          <w:color w:val="111111"/>
          <w:sz w:val="28"/>
          <w:sz w:val="28"/>
          <w:szCs w:val="28"/>
          <w:rtl w:val="true"/>
          <w:lang w:bidi="ar-SA"/>
        </w:rPr>
        <w:t>والشهيدان</w:t>
      </w:r>
      <w:r>
        <w:rPr>
          <w:rStyle w:val="FootnoteAnchor"/>
          <w:rtl w:val="true"/>
        </w:rPr>
        <w:footnoteReference w:id="85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بالاعتبار، وقولٌ بعدم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للثاني</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الدالّة على كفاية ثلاثة أحجار، لعدم الدليل على اعتبار مباشرة كلّ واحدٍ منها للمحلّ بمجموعه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الأمر بالمسح بثلاثة أحجار، كالأمر بالغسل مرّتين، إنّما هو إرادة الاستيعاب، وتكرار المسح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 العِجان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بالعِجان الدُّبر، وهو ظاهرٌ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الأوّل</w:t>
      </w:r>
      <w:r>
        <w:rPr>
          <w:rFonts w:eastAsia="Amiri" w:cs="Amiri" w:ascii="Amiri" w:hAnsi="Amiri"/>
          <w:color w:val="111111"/>
          <w:sz w:val="28"/>
          <w:szCs w:val="28"/>
          <w:rtl w:val="true"/>
          <w:lang w:bidi="ar-SA"/>
        </w:rPr>
        <w:t>.</w:t>
      </w:r>
      <w:bookmarkStart w:id="360" w:name="pg11794_147106"/>
    </w:p>
    <w:p>
      <w:pPr>
        <w:pStyle w:val="Heading6"/>
        <w:numPr>
          <w:ilvl w:val="5"/>
          <w:numId w:val="1"/>
        </w:numPr>
        <w:rPr/>
      </w:pPr>
      <w:bookmarkStart w:id="361" w:name="__RefHeading___Toc10299154_73709187"/>
      <w:bookmarkStart w:id="362" w:name="_Toc133"/>
      <w:bookmarkEnd w:id="360"/>
      <w:bookmarkEnd w:id="361"/>
      <w:r>
        <w:rPr>
          <w:rtl w:val="true"/>
        </w:rPr>
        <w:t>التنبيه السابع</w:t>
      </w:r>
      <w:r>
        <w:rPr>
          <w:rtl w:val="true"/>
        </w:rPr>
        <w:t xml:space="preserve">: </w:t>
      </w:r>
      <w:r>
        <w:rPr>
          <w:rtl w:val="true"/>
        </w:rPr>
        <w:t>الاستنجاء بالعظم والروث</w:t>
      </w:r>
      <w:bookmarkEnd w:id="362"/>
    </w:p>
    <w:p>
      <w:pPr>
        <w:pStyle w:val="BookText"/>
        <w:rPr/>
      </w:pPr>
      <w:r>
        <w:rPr>
          <w:rFonts w:ascii="Amiri" w:hAnsi="Amiri" w:eastAsia="Amiri" w:cs="Amiri"/>
          <w:color w:val="111111"/>
          <w:sz w:val="28"/>
          <w:sz w:val="28"/>
          <w:szCs w:val="28"/>
          <w:rtl w:val="true"/>
          <w:lang w:bidi="ar-SA"/>
        </w:rPr>
        <w:t>لا يجوز الاستنجاء بالمحترمات، لمنافاته للواجب وهو احترامها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الاستنجاء به منافياً لاحترامه الواجب، وموجباً للاستخفاف بنِعَم اللّه، فيدخل في المحترمات، وإلّا فلا دليل على عدم جواز الاستنجاء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يُستدلّ له بالخبر الذي رواه القاضي النعمان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ونَهَوْا عليهم السلام عَنِ الاسْتِنْجَاءِ بِالْعِظَامِ، والْبَعْرِ، وكُلِّ طَعَامٍ، وأَنَّهُ لا بَأْسَ بِالاسْتِنْجَاءِ بِالْحِجَارَةِ والْخِرَقِ والْقُطْنِ وأَشْبَاهِ ذَلِكَ</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فحوى النهي عن العَظْم والرُّوث اللّذين هما طعام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الاستنجاء أيضاً بالعَظْم والرُّوث بلا خلافٍ، بل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خبر ليث الْمُرَادِيِّ،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اسْتِنْجَاءِ الرَّجُلِ بِالْعَظْمِ أَوِ الْبَعْرِ أَوِ الْعُودِ؟ قَالَ أَمَّا الْعَظْمُ والرَّوْثُ فَطَعَامُ الْجِنِّ، وذَلِكَ مِمَّا اشْتَرَطُوا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أَنْ يَسْتَنْجِيَ الرَّجُلُ </w:t>
      </w:r>
    </w:p>
    <w:p>
      <w:pPr>
        <w:pStyle w:val="BookText"/>
        <w:rPr/>
      </w:pPr>
      <w:r>
        <w:rPr>
          <w:rFonts w:ascii="Amiri" w:hAnsi="Amiri" w:eastAsia="Amiri" w:cs="Amiri"/>
          <w:color w:val="111111"/>
          <w:sz w:val="28"/>
          <w:sz w:val="28"/>
          <w:szCs w:val="28"/>
          <w:rtl w:val="true"/>
          <w:lang w:bidi="ar-SA"/>
        </w:rPr>
        <w:t>بِالرَّوْثِ والرِّمَّةِ</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وهي العظم البالي</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دعائم الإسلام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والتعليل في خبر ليث، لا ظهور له في الكراهة، كي يوجب صرف ظهور غيره إلى الكراهة، وكذا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 هذه النصوص منجبرٌ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احتمله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 وجَزَم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بما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استنجى المكلّف بما لا يجوز الاستنجاء به، هل يطهر المحلّ، كما عن جماعة كثيرة منهم المصنّف رحمه الله</w:t>
      </w:r>
      <w:r>
        <w:rPr>
          <w:rStyle w:val="FootnoteAnchor"/>
          <w:rtl w:val="true"/>
        </w:rPr>
        <w:footnoteReference w:id="859"/>
      </w:r>
      <w:r>
        <w:rPr>
          <w:rFonts w:ascii="Amiri" w:hAnsi="Amiri" w:eastAsia="Amiri" w:cs="Amiri"/>
          <w:color w:val="111111"/>
          <w:sz w:val="28"/>
          <w:sz w:val="28"/>
          <w:szCs w:val="28"/>
          <w:rtl w:val="true"/>
          <w:lang w:bidi="ar-SA"/>
        </w:rPr>
        <w:t>وجمع ممّن تأخّر عنه؟</w:t>
      </w:r>
    </w:p>
    <w:p>
      <w:pPr>
        <w:pStyle w:val="BookText"/>
        <w:rPr/>
      </w:pPr>
      <w:r>
        <w:rPr>
          <w:rFonts w:ascii="Amiri" w:hAnsi="Amiri" w:eastAsia="Amiri" w:cs="Amiri"/>
          <w:color w:val="111111"/>
          <w:sz w:val="28"/>
          <w:sz w:val="28"/>
          <w:szCs w:val="28"/>
          <w:rtl w:val="true"/>
          <w:lang w:bidi="ar-SA"/>
        </w:rPr>
        <w:t xml:space="preserve">أم لا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وابن إدريس</w:t>
      </w:r>
      <w:r>
        <w:rPr>
          <w:rStyle w:val="FootnoteAnchor"/>
          <w:rtl w:val="true"/>
        </w:rPr>
        <w:footnoteReference w:id="862"/>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أم يفصّل بين الموارد؟ وجوهٌ وأقوال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دليل التعدّي عن الاُمور المنصوصة إلى غيرها هو الإجماع، كان الأقوى هو القول الثاني، ولكن عرفت أنّ‌المستند هي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فقد يتوهّم أظهريّة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وعدم دلالة النهي في مثل المقام على الفساد، لكونه من قبيل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خبر ليث المتقدّم إنّه لا مانع من الاستنجاء بالعَظْم والروث، إلّا ما يوجب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النفسي عن المعاملات، وإنْ كان لا يدلّ على الفساد سواءٌ كان نهياً عن السبب أو المسبّب كما حقّقناه في محلّه، إلّاأنّ النهي عنها في نفسه يكون ظاهراً في الإرشاد إلى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عدم ترتّب الأثر والإرشاد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فالتفصيل بين ما نهي عن الاستنجاء به، وبين ما حَرّم ذلك لأجل انطباق عنوان محرّمٍ عليه، والالتزام بعدم المطهريّة في الأوّل، والمطهريّة في الثاني،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كون شيء ممّا لا يجوز الاستنجاء به، فالصحيح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لو شكّ في كونه ممّا يَحرُم الاستنجاء به تكليفاً فيجوز، لأصالة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شكّ في كونه ممّا لا يجوز الاستنجاء به وضعاً، فلا يجوز لاستصحاب بقاء النجاسة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جريان استصحاب العدم الأزلي يجوز، لاستصحاب عدم اتّصافه بذلك العنوان المشكوك فيه، فيدخل بذلك في العمومات والإطلاقات، فتدبّر</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دعوى جريان الاستصحاب النعتي أيضاً، إذ كون ذلك الشيء عَظْماً أو روثاً مثلاً أمرٌ حادث، إذ هذه المادّة قبل صيرورتها كذلك كانت متصوّرة بصورة نوعيّة اُخرى، فيستصحب عدم اتّصافها وتعنونها بهذا العنوان</w:t>
      </w:r>
      <w:r>
        <w:rPr>
          <w:rFonts w:eastAsia="Amiri" w:cs="Amiri" w:ascii="Amiri" w:hAnsi="Amiri"/>
          <w:color w:val="111111"/>
          <w:sz w:val="28"/>
          <w:szCs w:val="28"/>
          <w:rtl w:val="true"/>
          <w:lang w:bidi="ar-SA"/>
        </w:rPr>
        <w:t>.</w:t>
      </w:r>
      <w:bookmarkStart w:id="363" w:name="pg11794_147110"/>
    </w:p>
    <w:p>
      <w:pPr>
        <w:pStyle w:val="Heading6"/>
        <w:numPr>
          <w:ilvl w:val="5"/>
          <w:numId w:val="1"/>
        </w:numPr>
        <w:rPr/>
      </w:pPr>
      <w:bookmarkStart w:id="364" w:name="__RefHeading___Toc10299156_73709187"/>
      <w:bookmarkStart w:id="365" w:name="_Toc134"/>
      <w:bookmarkEnd w:id="363"/>
      <w:bookmarkEnd w:id="364"/>
      <w:r>
        <w:rPr>
          <w:rtl w:val="true"/>
        </w:rPr>
        <w:t>التنبيه الثامن</w:t>
      </w:r>
      <w:r>
        <w:rPr>
          <w:rtl w:val="true"/>
        </w:rPr>
        <w:t xml:space="preserve">: </w:t>
      </w:r>
      <w:r>
        <w:rPr>
          <w:rtl w:val="true"/>
        </w:rPr>
        <w:t>لو شكّ في الاستنجاء</w:t>
      </w:r>
      <w:bookmarkEnd w:id="365"/>
    </w:p>
    <w:p>
      <w:pPr>
        <w:pStyle w:val="BookText"/>
        <w:rPr/>
      </w:pPr>
      <w:r>
        <w:rPr>
          <w:rFonts w:ascii="Amiri" w:hAnsi="Amiri" w:eastAsia="Amiri" w:cs="Amiri"/>
          <w:color w:val="111111"/>
          <w:sz w:val="28"/>
          <w:sz w:val="28"/>
          <w:szCs w:val="28"/>
          <w:rtl w:val="true"/>
          <w:lang w:bidi="ar-SA"/>
        </w:rPr>
        <w:t>لو خرج من بيت الخلاء وشكّ في أنّه استنجى أم لا؟ أو صلّى وشكّ في ذلك؟ بنى على عدمه مطلقاً، لا لما قيل من إنّه لا عموم لأدلّة قاعدة الفراغ كي تشمل المقام، لما ستعرف من ضعفه، بل لما حقّقناه في محلّه، وسيأتي لاحقاً في كتابنا هذا من أنّه في موارد الشكّ في الوجود، يعتبر في جريان القاعدة التجاوز عن المحلّ الشرعي، ولايكفي التجاوز عن المحلّ العادي، شخصيّةً كانت العادة أم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في كلّ من الموردين لم يتجاوز المحلّ الشرعي، فلا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الثاني تجري القاعدة، لأنّ محلّ الاستنجاء شرعاً قبل الصلاة، فبالدخول فيها يصدق التجاوز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مشروطة بالطهارة، والاستنجاء المحصّل لها ليس من شرائطها، وإنّما هو محقّق لما هو الشرط، فقبل الصلاة محلّه العقلي 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0299158_73709187"/>
      <w:bookmarkStart w:id="367" w:name="_Toc135"/>
      <w:bookmarkEnd w:id="366"/>
      <w:r>
        <w:rPr>
          <w:rtl w:val="true"/>
        </w:rPr>
        <w:t>التنبيه التاسع</w:t>
      </w:r>
      <w:r>
        <w:rPr>
          <w:rtl w:val="true"/>
        </w:rPr>
        <w:t xml:space="preserve">: </w:t>
      </w:r>
      <w:r>
        <w:rPr>
          <w:rtl w:val="true"/>
        </w:rPr>
        <w:t>في وجوب الدلك باليد</w:t>
      </w:r>
      <w:bookmarkEnd w:id="367"/>
    </w:p>
    <w:p>
      <w:pPr>
        <w:pStyle w:val="BookText"/>
        <w:rPr/>
      </w:pPr>
      <w:r>
        <w:rPr>
          <w:rFonts w:ascii="Amiri" w:hAnsi="Amiri" w:eastAsia="Amiri" w:cs="Amiri"/>
          <w:color w:val="111111"/>
          <w:sz w:val="28"/>
          <w:sz w:val="28"/>
          <w:szCs w:val="28"/>
          <w:rtl w:val="true"/>
          <w:lang w:bidi="ar-SA"/>
        </w:rPr>
        <w:t>لا يجبُ الدَّلك باليد في مخرج البول، ما لم يشكّ في خروج المذي، لأنّ البول ماء كما هو المصرّح به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خروجه، فالأظهر لزوم الدّلك، إذ مع عدمه يشكّ في وصول الماء إلى البشرة، لاحتمال حيلولة المذي، فيجري استصحاب بقاء النجاسة وعدم الغَسل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استصحاب عدم وجود المذي فإنّه لا يجري، لأنّه لا يثبت وصول الماء </w:t>
      </w:r>
    </w:p>
    <w:p>
      <w:pPr>
        <w:pStyle w:val="BookText"/>
        <w:rPr/>
      </w:pPr>
      <w:r>
        <w:rPr>
          <w:rFonts w:ascii="Amiri" w:hAnsi="Amiri" w:eastAsia="Amiri" w:cs="Amiri"/>
          <w:color w:val="111111"/>
          <w:sz w:val="28"/>
          <w:sz w:val="28"/>
          <w:szCs w:val="28"/>
          <w:rtl w:val="true"/>
          <w:lang w:bidi="ar-SA"/>
        </w:rPr>
        <w:t>إلى البشرة إلّاعلى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عدم الدّلك وهي حجّة على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هذا الاحتمال نوعيّاً غالبيّاً كان لهذه الدعوى وجه، ولكن بما أنّه ليس كذلك فلا وجه لها</w:t>
      </w:r>
      <w:r>
        <w:rPr>
          <w:rFonts w:eastAsia="Amiri" w:cs="Amiri" w:ascii="Amiri" w:hAnsi="Amiri"/>
          <w:color w:val="111111"/>
          <w:sz w:val="28"/>
          <w:szCs w:val="28"/>
          <w:rtl w:val="true"/>
          <w:lang w:bidi="ar-SA"/>
        </w:rPr>
        <w:t>.</w:t>
      </w:r>
      <w:bookmarkStart w:id="368" w:name="pg11794_147112"/>
    </w:p>
    <w:p>
      <w:pPr>
        <w:pStyle w:val="Heading4"/>
        <w:numPr>
          <w:ilvl w:val="3"/>
          <w:numId w:val="1"/>
        </w:numPr>
        <w:rPr/>
      </w:pPr>
      <w:bookmarkStart w:id="369" w:name="__RefHeading___Toc10299160_73709187"/>
      <w:bookmarkStart w:id="370" w:name="_Toc136"/>
      <w:bookmarkEnd w:id="368"/>
      <w:bookmarkEnd w:id="369"/>
      <w:r>
        <w:rPr>
          <w:rtl w:val="true"/>
        </w:rPr>
        <w:t>الفصل الثالث</w:t>
      </w:r>
      <w:r>
        <w:rPr>
          <w:rtl w:val="true"/>
        </w:rPr>
        <w:t xml:space="preserve">: </w:t>
      </w:r>
      <w:r>
        <w:rPr>
          <w:rtl w:val="true"/>
        </w:rPr>
        <w:t>في كيفيّته</w:t>
      </w:r>
      <w:bookmarkEnd w:id="370"/>
    </w:p>
    <w:p>
      <w:pPr>
        <w:pStyle w:val="Heading5"/>
        <w:numPr>
          <w:ilvl w:val="4"/>
          <w:numId w:val="1"/>
        </w:numPr>
        <w:rPr/>
      </w:pPr>
      <w:bookmarkStart w:id="371" w:name="__RefHeading___Toc10299162_73709187"/>
      <w:bookmarkStart w:id="372" w:name="_Toc137"/>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w:t>
      </w:r>
    </w:p>
    <w:p>
      <w:pPr>
        <w:pStyle w:val="BookText"/>
        <w:rPr/>
      </w:pPr>
      <w:r>
        <w:rPr>
          <w:rFonts w:ascii="Amiri" w:hAnsi="Amiri" w:eastAsia="Amiri" w:cs="Amiri"/>
          <w:color w:val="111111"/>
          <w:sz w:val="28"/>
          <w:sz w:val="28"/>
          <w:szCs w:val="28"/>
          <w:rtl w:val="true"/>
          <w:lang w:bidi="ar-SA"/>
        </w:rPr>
        <w:t>ويجب فيه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كيفيّة الوضوء</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0299164_73709187"/>
      <w:bookmarkStart w:id="374" w:name="_Toc138"/>
      <w:bookmarkEnd w:id="373"/>
      <w:r>
        <w:rPr>
          <w:rtl w:val="true"/>
        </w:rPr>
        <w:t>واجبات الوضوء</w:t>
      </w:r>
      <w:bookmarkEnd w:id="374"/>
    </w:p>
    <w:p>
      <w:pPr>
        <w:pStyle w:val="Heading6"/>
        <w:numPr>
          <w:ilvl w:val="5"/>
          <w:numId w:val="1"/>
        </w:numPr>
        <w:rPr/>
      </w:pPr>
      <w:bookmarkStart w:id="375" w:name="__RefHeading___Toc10299166_73709187"/>
      <w:bookmarkStart w:id="376" w:name="_Toc139"/>
      <w:bookmarkEnd w:id="375"/>
      <w:r>
        <w:rPr>
          <w:rtl w:val="true"/>
        </w:rPr>
        <w:t>اشارة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 سبعة اشياء</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0299168_73709187"/>
      <w:bookmarkStart w:id="378" w:name="_Toc140"/>
      <w:bookmarkEnd w:id="377"/>
      <w:r>
        <w:rPr>
          <w:rtl w:val="true"/>
        </w:rPr>
        <w:t>النية</w:t>
      </w:r>
      <w:bookmarkEnd w:id="378"/>
    </w:p>
    <w:p>
      <w:pPr>
        <w:pStyle w:val="Heading6"/>
        <w:numPr>
          <w:ilvl w:val="5"/>
          <w:numId w:val="1"/>
        </w:numPr>
        <w:rPr/>
      </w:pPr>
      <w:bookmarkStart w:id="379" w:name="__RefHeading___Toc10299170_73709187"/>
      <w:bookmarkStart w:id="380" w:name="_Toc141"/>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منها المباشرة وغيرها من الشرائط، لأنّه ليس لها وجود منحازٌ في الخارج، ولا تكون معتبرة في الوضوء المركّب من عدَّة أفعال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يعدّ الترتيب والموالاة منها، لأجل أنّ ترك كلّ واحدٍ منهما يوجب انعدام صورة الوضوء، وعدم اتّصاف تلك الأفعال بالوضوئيّة،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فالأوّل من أفعال الوضوء النيّة بلا خلافٍ في وجوبها، وهو إجمالاً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تحقيق القول في المقام يقتضي التكلّم في مقامات</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299172_73709187"/>
      <w:bookmarkStart w:id="382" w:name="_Toc142"/>
      <w:bookmarkEnd w:id="381"/>
      <w:r>
        <w:rPr>
          <w:rtl w:val="true"/>
        </w:rPr>
        <w:t>الوضوء مستحبٌّ نفسي</w:t>
      </w:r>
      <w:bookmarkEnd w:id="382"/>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الوضوء مستحبٌّ نفسي أم لا؟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كونه كذلك، ممّا لا خلاف فيه، بل عليه الإجماع كما عن العلّامة الطباطبائي رحمه الله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يُحِبُّ اَلْمُتَطَهِّرِينَ</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أكثِر من الطهور، يَزد اللّه تعالى في عمرك، وإنْ استطعتَ أن تكون باللّيل والنهار على طهارة فافعل، فإنّك تكون إذا متَّ على طهارة شهيداً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ولم يتوضّأ فَقَد جفاني</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رَسول اللّه صلى الله عليه و آله إذا بالوا توضّأوا أو تيمّموا مخافة أن تدركهم السّاعة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في الجملة ممّا لا ينبغي التوقّف فيه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فسَّر غير واحدٍ</w:t>
      </w:r>
      <w:r>
        <w:rPr>
          <w:rStyle w:val="FootnoteAnchor"/>
          <w:rtl w:val="true"/>
        </w:rPr>
        <w:footnoteReference w:id="870"/>
      </w:r>
      <w:r>
        <w:rPr>
          <w:rFonts w:ascii="Amiri" w:hAnsi="Amiri" w:eastAsia="Amiri" w:cs="Amiri"/>
          <w:color w:val="111111"/>
          <w:sz w:val="28"/>
          <w:sz w:val="28"/>
          <w:szCs w:val="28"/>
          <w:rtl w:val="true"/>
          <w:lang w:bidi="ar-SA"/>
        </w:rPr>
        <w:t>الوضوء المستحبّ نفساً، بالوضوء للكون على الطهارة، الذي هو من المسبّبات التوليديّة، في مقابل ما يستحبّ لغيره من الأفعال الاختياريّة للمكلّف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جماعةٍ آخرين</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بما استحبّ لنفسه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الأمر بالوضوء، والوعد على فعله، والوعيد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مطلوبيّته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الجأ القوم إلى الالتزام باستحبابه للكون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الغايات التوليديّة على زعمهم، وعدم استحبابه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دلَّ على مطلوبيّة كون المكلّف في جميع الأوقات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بقرينة عدم الأمر بالغَسَلات والمَسَحات في كلّ حال، فلا محالة اُريد من الوضوء فيه 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 وغيره، ممّا دلَّ على أنّ المطلوب شيءٌ له دوام واستمرار ما لم يتحقّق الناقض</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وضروري أنّ الأفعال الخاصّة توجد وتنصرم، وليس لها بقاء ودوام، فيعلم من ذلك استحباب الكون على الطهارة، وهو يوجب انصرافُ ما ظاهره مطلوبيّة الوضوء في نفسه إلى استحبابه، لا استحباب الوضوء في مقابله، وهو توهّمٌ فاسد، إذ بعد ما لا ريب في أنّ الحَدَث والطهارة ليسا من الاُمور الواقعيّة، لأنّه لو كانا منها كانا من مقولة الكيف القائم بالنفس كما لا يخفى، والكيفيّات القائمة بالنفس إذا لم تكن من الصور العلميّة من الاعتقادات الصحيحة أو الفاسدة، ولم تكن من مبادي صدور الفعل الاختياري كما في المقام، يتعيّن أن تكون من الأخلاق الفاضلة أو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الحَدَث ممّا يحصل للمعصومين عليهم السلام، ولا يمكن الالتزام باتّصاف نفوسهم بالأخلاق الرذيلة، فلابدَّ من الالتزام بعدم كونهما من الاُمور الواقعيّة، بل هما من الاُمور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فكما أنّ للشارع اعتبار شيءٍ متولّد من تلك الأفعال له دوامٌ وبقاء في نفسه، كذلك له اعتبار تلك الأفعال وإنْ كانت منعدمة حقيقة، مادام لم يتحقّق الناقض لمصلحةٍ تدعو إلى اعتباره، نظير اعتبار الملكيّة لمصلحةٍ تدعو إلى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معنى كون الطهارة بهذا المعنى نوراً موكول إلى محلّه، كما أنّ الكلام في أنّ الطهارة والحدث أمران وجوديّان، أو أحدهما وجودي والآخر عدمي، خارجٌ عمّا هو محطّ النظر 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ظاهر جملةٍ من النصوص استحباب نفس الوضوء، وظاهرٌ جملةٍ اُخرى منها كون هذه الأفعال بأنفسها الطهارة التي اُمرنا بإيجادها والكون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تضمّن أنّ البول وغيره من الأحداث تنقضُ الوضوء، حيث أنّه اُسند النقض إلى نفس الوضوء، وما تضمّن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على وضوء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أنّه حَمَل النورانيّة على نفس هذه الأفعال وغيرهما من النصوص، ولا صارف لها عن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الالتزام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وكلمات الفقهاء قدس اللّه أسرارهم، بالطهارات الثلاث، وما في الكتاب من الأمر بالطهارة تارةً، وبها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المتتبّع في النصوص والآيات لا يكاد يرتاب في أنّ الوضوء بنفسه مستحبٌّ، وليس معنى الكون على الطهارة إلّاالكون على الوضوء، وأنّه ليست الطهارة إلّاهو</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على الطهارة ليس من غايات الوضوء، بل الطهارة من العناوين المنطبقة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مستحبّ نفساً</w:t>
      </w:r>
      <w:r>
        <w:rPr>
          <w:rFonts w:eastAsia="Amiri" w:cs="Amiri" w:ascii="Amiri" w:hAnsi="Amiri"/>
          <w:color w:val="111111"/>
          <w:sz w:val="28"/>
          <w:szCs w:val="28"/>
          <w:rtl w:val="true"/>
          <w:lang w:bidi="ar-SA"/>
        </w:rPr>
        <w:t>.</w:t>
      </w:r>
      <w:bookmarkStart w:id="383" w:name="pg11794_147116"/>
    </w:p>
    <w:p>
      <w:pPr>
        <w:pStyle w:val="Heading6"/>
        <w:numPr>
          <w:ilvl w:val="5"/>
          <w:numId w:val="1"/>
        </w:numPr>
        <w:rPr/>
      </w:pPr>
      <w:bookmarkStart w:id="384" w:name="__RefHeading___Toc10299174_73709187"/>
      <w:bookmarkStart w:id="385" w:name="_Toc143"/>
      <w:bookmarkEnd w:id="383"/>
      <w:bookmarkEnd w:id="384"/>
      <w:r>
        <w:rPr>
          <w:rtl w:val="true"/>
        </w:rPr>
        <w:t>غايات الوضوء</w:t>
      </w:r>
      <w:bookmarkEnd w:id="38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غايات الوضوء الواجب وغير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الغايات للوضوء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أداءً أو قضاءً إجماعاً، بل عن غير واحدٍ</w:t>
      </w:r>
      <w:r>
        <w:rPr>
          <w:rStyle w:val="FootnoteAnchor"/>
          <w:rtl w:val="true"/>
        </w:rPr>
        <w:footnoteReference w:id="872"/>
      </w:r>
      <w:r>
        <w:rPr>
          <w:rFonts w:ascii="Amiri" w:hAnsi="Amiri" w:eastAsia="Amiri" w:cs="Amiri"/>
          <w:color w:val="111111"/>
          <w:sz w:val="28"/>
          <w:sz w:val="28"/>
          <w:szCs w:val="28"/>
          <w:rtl w:val="true"/>
          <w:lang w:bidi="ar-SA"/>
        </w:rPr>
        <w:t>دعوى الضرورة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لنفي حقيقة الصلاة مع عدم الطهارة،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وما بمضمونه كصحيح علي بن مهزيار،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جُنُباً أو صَلّى عَلى غَير وضوءٍ، فَعَلَيه إعادة الصَّلوات المكتوبات اللّواتي فاتته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المتواترة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الصلاة ليست شيئاً آخر وراء أجزائها، بل هي عينها، فهذه النصوص تدلّ على لزوم الوضوء، واعتباره في كلّ جزءٍ من أجزائها، وعليه فيجب الوضوء لأجزائها المنسيّة، لأنّ الظاهر من أدلّتها أنّ ما يؤتى به بعد الصلاة من أجزائها تبدّل مكانه، ولذا لو لم يأت بعد الصلاة بطلت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اعتبار الطهارة فيهما، لأنّهما ليستا من </w:t>
      </w:r>
      <w:bookmarkStart w:id="386" w:name="pg11794_147117"/>
    </w:p>
    <w:p>
      <w:pPr>
        <w:pStyle w:val="BookText"/>
        <w:rPr/>
      </w:pPr>
      <w:bookmarkEnd w:id="386"/>
      <w:r>
        <w:rPr>
          <w:rFonts w:ascii="Amiri" w:hAnsi="Amiri" w:eastAsia="Amiri" w:cs="Amiri"/>
          <w:color w:val="111111"/>
          <w:sz w:val="28"/>
          <w:sz w:val="28"/>
          <w:szCs w:val="28"/>
          <w:rtl w:val="true"/>
          <w:lang w:bidi="ar-SA"/>
        </w:rPr>
        <w:t>أجزاء الصلاة، فالأقوى عدم لزوم الوضوء أو إبقائه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لزومه</w:t>
      </w:r>
      <w:r>
        <w:rPr>
          <w:rStyle w:val="FootnoteAnchor"/>
          <w:rtl w:val="true"/>
        </w:rPr>
        <w:footnoteReference w:id="876"/>
      </w:r>
      <w:r>
        <w:rPr>
          <w:rFonts w:ascii="Amiri" w:hAnsi="Amiri" w:eastAsia="Amiri" w:cs="Amiri"/>
          <w:color w:val="111111"/>
          <w:sz w:val="28"/>
          <w:sz w:val="28"/>
          <w:szCs w:val="28"/>
          <w:rtl w:val="true"/>
          <w:lang w:bidi="ar-SA"/>
        </w:rPr>
        <w:t>، واستدلّ له بانصراف دليلهما إلى ذلك، وبأنّها جابرة لما يعتبر فيه الطهارة، وبغيرهما من الوجوه التي ضعفها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بلا خلافٍ، بل إجماعاً حكاه جماعة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كصحيح علي بن جعفر عليه السلام،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وهو جُنُبٌ، فذكر وهو في الطواف؟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طوافه ولا يعتدّ بشيءٍ ممّا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رجلٍ طاف، ثمّ ذكر أنّه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به</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0299176_73709187"/>
      <w:bookmarkStart w:id="388" w:name="_Toc144"/>
      <w:bookmarkEnd w:id="387"/>
      <w:r>
        <w:rPr>
          <w:rtl w:val="true"/>
        </w:rPr>
        <w:t>مسّ كتابة القرآن</w:t>
      </w:r>
      <w:bookmarkEnd w:id="38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إنْ وَجَب، كما لو وقع في موضعٍ يجب إخراجه منه، وتوقّف الإخراج على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متنجّساً وتوقّف تطهيره على مسّ كتابته، إذ المسّ بدون الوضوء حرامٌ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عبد الحميد، عن أبي الحسن عليه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على غير طهر ولا جنباً ولا تمسّ خطّه ولا تعلّقه، إنّ اللّه </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اعتبار الطهارة في جواز بعض ما ذكر في الخبر، لا يصلح قرينةً لصرف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وحمله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يرد على الاستدلال به، اشتماله على التعليل بالآية الشريفة، بدعوى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الأئمّة عليهم السلام، ولا يشمل المُتَطهر، والضمير لا يرجع إلى ما بين الدفّتين، بل إلى الكتاب المكنون، فمفادها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لايدرك الكتاب المكنون إلّاقوم وردت في شأنهم آية التطهير،</w:t>
      </w:r>
      <w:r>
        <w:rPr>
          <w:rStyle w:val="FootnoteAnchor"/>
          <w:rtl w:val="true"/>
        </w:rPr>
        <w:footnoteReference w:id="880"/>
      </w:r>
      <w:r>
        <w:rPr>
          <w:rFonts w:ascii="Amiri" w:hAnsi="Amiri" w:eastAsia="Amiri" w:cs="Amiri"/>
          <w:color w:val="111111"/>
          <w:sz w:val="28"/>
          <w:sz w:val="28"/>
          <w:szCs w:val="28"/>
          <w:rtl w:val="true"/>
          <w:lang w:bidi="ar-SA"/>
        </w:rPr>
        <w:t>وتتصل نفوسهم باللّوح المحفوظ، ويدركون ما فيه، فلا يكون التعليل مربوطاً بالحكم المذكور في الصدر، ولذلك لابدَّ من طرحه، إذ يمكن أن يكون المراد الاستدلال على تعظيم اللّه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إسماعيل بن أبي عبد اللّه عليه السلام عنده،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الكتابة ومسّ الورق واقرأ</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قرأ في المصحف وهو على غير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يمسّ الكتاب</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ذكره المقدّس الأردبيلي</w:t>
      </w:r>
      <w:r>
        <w:rPr>
          <w:rStyle w:val="FootnoteAnchor"/>
          <w:rtl w:val="true"/>
        </w:rPr>
        <w:footnoteReference w:id="883"/>
      </w:r>
      <w:r>
        <w:rPr>
          <w:rFonts w:ascii="Amiri" w:hAnsi="Amiri" w:eastAsia="Amiri" w:cs="Amiri"/>
          <w:color w:val="111111"/>
          <w:sz w:val="28"/>
          <w:sz w:val="28"/>
          <w:szCs w:val="28"/>
          <w:rtl w:val="true"/>
          <w:lang w:bidi="ar-SA"/>
        </w:rPr>
        <w:t>من عدم نصٍّ صحيح صريح من الكتاب والسُنّة والإجماع فيه، ضعيفٌ، فلو وَجَب المسّ وجبَ الوضوء لا 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المعاصرين</w:t>
      </w:r>
      <w:r>
        <w:rPr>
          <w:rStyle w:val="FootnoteAnchor"/>
          <w:rtl w:val="true"/>
        </w:rPr>
        <w:footnoteReference w:id="88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المسّ غاية للوضوء لايخلو من إشكال، لأنّ المتوقّف على الوضوء جواز المس لا نفس المسّ، فلا يكون الأمر بالوضوء غيريّاً، بل يكون عقليّاً من باب لزوم الجمع بين غرضي الشارع، فإذا وَجَب المسّ بالنذر أو بغيره، لم يكن ذلك الوجوب كافياً في تشريع الوضوء، لعدم كونه مقدّمةً له، بل هو مقدّمة لجوازه، والجواز ليس من فعل المكلّف، والوجوب الغيري إنّما يتعلّق بما هو مقدّمةً لفعل المكلّف إذا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 إذ مطلق وجود المسّ وإنْ لم يتوقّف على الوضوء، إلّاأنّ وجود المسّ الذي لا مفسدة فيه ولا مبغوضيّة، يكون متوقّفاً عليه، فكما أنّ قراءة القرآن لا تتوقّف عليه، بل وجودها الكامل يتوقّف على الوضوء، فتكون إحدى غاياته كذلك في المقام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حرمة المسّ بالكفّ، بل تعمّ المسّ بسائر أجزاء البدن، حتّى الأجزاء التي لا تحلّها الحياة،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جماعةٍ</w:t>
      </w:r>
      <w:r>
        <w:rPr>
          <w:rStyle w:val="FootnoteAnchor"/>
          <w:rtl w:val="true"/>
        </w:rPr>
        <w:footnoteReference w:id="885"/>
      </w:r>
      <w:r>
        <w:rPr>
          <w:rFonts w:ascii="Amiri" w:hAnsi="Amiri" w:eastAsia="Amiri" w:cs="Amiri"/>
          <w:color w:val="111111"/>
          <w:sz w:val="28"/>
          <w:sz w:val="28"/>
          <w:szCs w:val="28"/>
          <w:rtl w:val="true"/>
          <w:lang w:bidi="ar-SA"/>
        </w:rPr>
        <w:t>من التخصيص بالكفّ، وعن الشيخ الأعظم</w:t>
      </w:r>
      <w:r>
        <w:rPr>
          <w:rStyle w:val="FootnoteAnchor"/>
          <w:rtl w:val="true"/>
        </w:rPr>
        <w:footnoteReference w:id="886"/>
      </w:r>
      <w:r>
        <w:rPr>
          <w:rFonts w:ascii="Amiri" w:hAnsi="Amiri" w:eastAsia="Amiri" w:cs="Amiri"/>
          <w:color w:val="111111"/>
          <w:sz w:val="28"/>
          <w:sz w:val="28"/>
          <w:szCs w:val="28"/>
          <w:rtl w:val="true"/>
          <w:lang w:bidi="ar-SA"/>
        </w:rPr>
        <w:t>التردّد في السِّن والظُّفر،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عدم صدق مسّ الإنسان إذا مسّه بالشعر الطويل،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المكتوب عليه هو الكاغذ، أو الجدار، أو بدن الإنسان، لإطلاق النصوص والفتاوى، وعليه فلو كتب على بدنه آية من القرآن لا يجوز إبطال الوضوء قبل المحو، فلو بَطَل يجب المبادرة إلى المحو، لأنّ بدنه مماس لها، ولافرق بمقتضى إطلاق النصّ بين المسّ ابتداءً أو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الماحي للخط حرامٌ، لتحققه بعد المسّ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كتابة المُحْدِث باصبعه على الأرض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الحرمة، إذ وجود القرآن وإنْ كان معلولاً للمسّ، ومتأخّراً عنه، لكنّه تأخّر طبعي لا زماني، ففي زمان وجود القرآن وتحقّقه يكون المسّ موجوداً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الكتابة على بدن المُحْدِث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المكتوب على بدنه مكلّفاً ملتفتاً، لا يجوز، لكون ذلك إعانة على الإثم، ولما سيأتي في الصورة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غافلاً، فحرمته تتوقّف على ما ذكرناه مراراً من حرمة التسبيب إلى وجود مبغوض الشارع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ماذكرناه في مبحث بيع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فيحرم الكتابة في المقام، لكونه تسبيباً إلى مسّ المُحدِث للقرآن المبغوض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غير مكلّفٍ، فيجوز، لأنّ مماسّة بدنه له لا تكون محرّمة ولا مبغوضة، فالتسبيب إليها جائز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المراد من النصوص، أعمّ من المسّ ببدن الغير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دلالة الآية الشريفة على ذلك، يكون المراد هو الأعمّ، ولكن عرفت أنّ مفادها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ومنافاته للتعظيم لا توجب حرمته، لعدم الدليل على لزوم التعظيم، ولم يثبت كون علّة هذا الحكم هو التعظيم، كي يتعدّى عن مورد النصّ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عدم لزوم منع غير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كالأطفال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 مضافاً إلى قيام السيرة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الممسوس جزءً منضمّاً إلى سائر أجزاء القرآن التامّ، وبين عدمه، كما لو وجدت آيةً من القرآن أو أقلّ منها في كاغذ، لأنّ القرآن اسمٌ للطبيعة الصادقة على القليل والكثير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يشترط أن يكون ذلك بمقدارٍ يكون مفهماً للمعنى، وإلّا فالأقوى جواز مسّه، حتّى فيما كان بناء كاتبه على أن ينضمّ إلى ذلك ما يمحّضه للقرآنيّة، لعدم صدق القرآن عليه، ولذا ترى أنّ الفقهاء يعتبرون فيما يقرأ من القرآن في الصلاة، أن يكون مُفهِماً للمعنى، مع أنّ الدليل دلَّ على جواز قراءة القرآن في الصلاة، وليس الوجه فيه إلّاعدم صدق القرآن على غير المُفهِم للمعنى، فمسّ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قصد الانضمام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جائزٌ، فضلاً عمّا إذا أعرض الكاتب عن قصده، أو الحقّ به ما يخرجه عن صلاحيّة الجزئيّة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قوّاه بعض الأعاظم</w:t>
      </w:r>
      <w:r>
        <w:rPr>
          <w:rStyle w:val="FootnoteAnchor"/>
          <w:rtl w:val="true"/>
        </w:rPr>
        <w:footnoteReference w:id="887"/>
      </w:r>
      <w:r>
        <w:rPr>
          <w:rFonts w:ascii="Amiri" w:hAnsi="Amiri" w:eastAsia="Amiri" w:cs="Amiri"/>
          <w:color w:val="111111"/>
          <w:sz w:val="28"/>
          <w:sz w:val="28"/>
          <w:szCs w:val="28"/>
          <w:rtl w:val="true"/>
          <w:lang w:bidi="ar-SA"/>
        </w:rPr>
        <w:t>من المحقّقين رحمهم الله من الحرمة في الصورة الاُولى كالتردّد في الصورة الثانية،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أن يكون الانفصال ابتدائيّاً، كما لو كتب ذلك في كاغذٍ، وبين أن يكون متّصلاً ثمّ انفصل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فيما يحرم مسّه وهو ما يصدق عليه أنّه قرآن، وبين مسّ جميعه أو كلمةٍ منه، بل والحرف وإنْ كان يكتب ولا يُقرأ كالألف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ما يفصح عمّا نَزَّل اللّه تعالى على نبيّه، ولو كان مُفصِحاً عن هيئته كالإعراب والمدّ ونحوهما، لصدق مسّ القرآن على جميع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9" w:name="pg11794_147123"/>
    </w:p>
    <w:p>
      <w:pPr>
        <w:pStyle w:val="Heading6"/>
        <w:numPr>
          <w:ilvl w:val="5"/>
          <w:numId w:val="1"/>
        </w:numPr>
        <w:rPr/>
      </w:pPr>
      <w:bookmarkStart w:id="390" w:name="__RefHeading___Toc10299178_73709187"/>
      <w:bookmarkStart w:id="391" w:name="_Toc145"/>
      <w:bookmarkEnd w:id="389"/>
      <w:bookmarkEnd w:id="390"/>
      <w:r>
        <w:rPr>
          <w:rtl w:val="true"/>
        </w:rPr>
        <w:t>وجوب الوضوء بالنذر</w:t>
      </w:r>
      <w:bookmarkEnd w:id="391"/>
    </w:p>
    <w:p>
      <w:pPr>
        <w:pStyle w:val="BookText"/>
        <w:rPr/>
      </w:pPr>
      <w:r>
        <w:rPr>
          <w:rFonts w:ascii="Amiri" w:hAnsi="Amiri" w:eastAsia="Amiri" w:cs="Amiri"/>
          <w:color w:val="111111"/>
          <w:sz w:val="28"/>
          <w:sz w:val="28"/>
          <w:szCs w:val="28"/>
          <w:rtl w:val="true"/>
          <w:lang w:bidi="ar-SA"/>
        </w:rPr>
        <w:t>ويجبُ الوضوء أيضاً بالنذر والعهد واليمين، ووجوبه بالنذر إنّما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الإتيان بما يعتبر فيه الطهارة كالصلاة، أو الإتيان بالكامل ممّا يشترط في كماله الطهارة كقراءة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كلّما أحدث، أو أن يتوضّأ في كلّ ساعةٍ مثلاً، ولو لم يكن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وجوبه في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نذر أن لا يقرأ القرآن مثلاً إلّامع الوضوء، لا ينعقد هذا النذر، لرجوعه إلى نذر عدم القراءة مع عدم الوضوء، فهو نذرٌ لترك الراجح، لأنّ القراءة بغير الوضوء أيضاً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بعض المحقّقين</w:t>
      </w:r>
      <w:r>
        <w:rPr>
          <w:rStyle w:val="FootnoteAnchor"/>
          <w:rtl w:val="true"/>
        </w:rPr>
        <w:footnoteReference w:id="888"/>
      </w:r>
      <w:r>
        <w:rPr>
          <w:rFonts w:ascii="Amiri" w:hAnsi="Amiri" w:eastAsia="Amiri" w:cs="Amiri"/>
          <w:color w:val="111111"/>
          <w:sz w:val="28"/>
          <w:sz w:val="28"/>
          <w:szCs w:val="28"/>
          <w:rtl w:val="true"/>
          <w:lang w:bidi="ar-SA"/>
        </w:rPr>
        <w:t>في الفرض من وجوبه إذا أراد أن يقرأ القرآن،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أن يتوضّأ لكلّ صلاةٍ وضوء رافعاً للحدث، فالأقوى صحّته في بعض الفروض، وعدمها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المكلّف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الصلاة مُحْدِثاً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متوضأً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نقض الوضوء راجحاً لكون حبس الحَدَث موجباً للضرر، واُخرى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الفرضين الأوّلين يصحّ النّذر، لأنّ المنذور فيهما راجح بذاته ووصفه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المنذور فيه وإنْ كان راجحاً بذاته، لكنّه غير راجحٍ بوصفه، إذ وصف كونه رافعاً للحدث، متوقّفٌ على نقض الطهارة المرجوح، والثابت في محلّه اعتبار رجحان المنذور بوصفه وذاته</w:t>
      </w:r>
      <w:r>
        <w:rPr>
          <w:rFonts w:eastAsia="Amiri" w:cs="Amiri" w:ascii="Amiri" w:hAnsi="Amiri"/>
          <w:color w:val="111111"/>
          <w:sz w:val="28"/>
          <w:szCs w:val="28"/>
          <w:rtl w:val="true"/>
          <w:lang w:bidi="ar-SA"/>
        </w:rPr>
        <w:t>.</w:t>
      </w:r>
      <w:bookmarkStart w:id="392" w:name="pg11794_147125"/>
    </w:p>
    <w:p>
      <w:pPr>
        <w:pStyle w:val="Heading6"/>
        <w:numPr>
          <w:ilvl w:val="5"/>
          <w:numId w:val="1"/>
        </w:numPr>
        <w:rPr/>
      </w:pPr>
      <w:bookmarkStart w:id="393" w:name="__RefHeading___Toc10299180_73709187"/>
      <w:bookmarkStart w:id="394" w:name="_Toc146"/>
      <w:bookmarkEnd w:id="392"/>
      <w:bookmarkEnd w:id="393"/>
      <w:r>
        <w:rPr>
          <w:rtl w:val="true"/>
        </w:rPr>
        <w:t>غايات الوضوء المستحبّة</w:t>
      </w:r>
      <w:bookmarkEnd w:id="394"/>
    </w:p>
    <w:p>
      <w:pPr>
        <w:pStyle w:val="BookText"/>
        <w:rPr/>
      </w:pPr>
      <w:r>
        <w:rPr>
          <w:rFonts w:ascii="Amiri" w:hAnsi="Amiri" w:eastAsia="Amiri" w:cs="Amiri"/>
          <w:color w:val="111111"/>
          <w:sz w:val="28"/>
          <w:sz w:val="28"/>
          <w:szCs w:val="28"/>
          <w:rtl w:val="true"/>
          <w:lang w:bidi="ar-SA"/>
        </w:rPr>
        <w:t>الوضوءات المستحبّة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في حال الحَدَث الأصغر، وغاياته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تتوقّف صحّته عليه، وهو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تقدّم من النصوص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كتابة القرآن في صورة عدم وجوبه واستحبابه، بناءً على ما عرفت من حرمة مسّ الكتاب من دون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التهيّؤ للصلاة في أوّل وقتها، كما عن جماعةٍ كثيرة</w:t>
      </w:r>
      <w:r>
        <w:rPr>
          <w:rStyle w:val="FootnoteAnchor"/>
          <w:rtl w:val="true"/>
        </w:rPr>
        <w:footnoteReference w:id="889"/>
      </w:r>
      <w:r>
        <w:rPr>
          <w:rFonts w:ascii="Amiri" w:hAnsi="Amiri" w:eastAsia="Amiri" w:cs="Amiri"/>
          <w:color w:val="111111"/>
          <w:sz w:val="28"/>
          <w:sz w:val="28"/>
          <w:szCs w:val="28"/>
          <w:rtl w:val="true"/>
          <w:lang w:bidi="ar-SA"/>
        </w:rPr>
        <w:t xml:space="preserve">،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والمصنّف</w:t>
      </w:r>
      <w:r>
        <w:rPr>
          <w:rStyle w:val="FootnoteAnchor"/>
          <w:rtl w:val="true"/>
        </w:rPr>
        <w:footnoteReference w:id="891"/>
      </w:r>
      <w:r>
        <w:rPr>
          <w:rFonts w:ascii="Amiri" w:hAnsi="Amiri" w:eastAsia="Amiri" w:cs="Amiri"/>
          <w:color w:val="111111"/>
          <w:sz w:val="28"/>
          <w:sz w:val="28"/>
          <w:szCs w:val="28"/>
          <w:rtl w:val="true"/>
          <w:lang w:bidi="ar-SA"/>
        </w:rPr>
        <w:t>والشهيد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الخبر ينجبرُ باعتماد الأساطين عليه، اللّهُمَّ إلّاأن يكون إفتائهم بالاستحباب مبنيّاً على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فالخبر وإنْ لم يكن معتبراً، إلّاأنّه يعدّ كافياً للحكم بالاستحباب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له بما دلَّ على محبوبيّة الإتيان </w:t>
      </w:r>
    </w:p>
    <w:p>
      <w:pPr>
        <w:pStyle w:val="BookText"/>
        <w:rPr/>
      </w:pPr>
      <w:r>
        <w:rPr>
          <w:rFonts w:ascii="Amiri" w:hAnsi="Amiri" w:eastAsia="Amiri" w:cs="Amiri"/>
          <w:color w:val="111111"/>
          <w:sz w:val="28"/>
          <w:sz w:val="28"/>
          <w:szCs w:val="28"/>
          <w:rtl w:val="true"/>
          <w:lang w:bidi="ar-SA"/>
        </w:rPr>
        <w:t>بالصلاة في أوّل وقتها، أو أوّل زمان إمكانها من النصوص، وما دلَّ على استحباب المسارعة إلى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دلَّ على استحباب إيقاع الصلاة في أوّل وقتها، لا نظر له إلى الوضوء، وكيفيّة حصول الطهارة، وبما أنّه يمكن للمكلّف الوضوء قبل الوقت لكونه مستحبّاً نفسيّاً، أو لإحدى غاياته الاُخر، والدخول معه في الصلاة، فتلك النصوص لا تدلّ على مشروعيّة الوضوء للتهيّؤ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في الاستدلال بنصوص المسارعة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الإقامة بناءً على عدم وجوبها كما سيأتي، وستعرف في محلّه شرطيّة الوضوء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فضله على الوضوء، وهو أيضاً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المندوب، واستدلّ له بإطلاق خبر ابن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الرجل بالبيت، وهو على غير وضوء، فلا يعتدّ بذلك الطواف، وهو كمَن لم يطف</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تقييده بما دلَّ على عدم اعتباره في المندوب، كصحيح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تطوّعاً وصلّى ركعتين، وهو على غير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الركعتين ولا يُعيد الطواف</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ابن زرارة، عن الإمام الصادق عليه السلام،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أطوف طواف النافلة، وأنا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وصلِّ وإنْ كنت متعمِّداً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العمدة في استحباب الوضوء له، 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جملة من النصوص، كموثّق ابن حكيم،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بإتيان المساجد، فإنّها بيوت اللّه تعالى في الأرض، مَنْ أتاها مُتطهّراً طهّره اللّه من ذنوبه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تقضي المناسك كلّها على غير وضوء إلّاالطواف بالبيت، فإنّ فيه صلاة، والوضوء أفضل</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عبد الحميد،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يخرج بها ولستُ على وضوء، فإن ذهبتُ أتوضّأ فاتتني الصلاة، أيجزيني أنْ اُصلّي وأنا على غير 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95" w:name="pg11794_147128"/>
    </w:p>
    <w:p>
      <w:pPr>
        <w:pStyle w:val="Heading6"/>
        <w:numPr>
          <w:ilvl w:val="5"/>
          <w:numId w:val="1"/>
        </w:numPr>
        <w:rPr/>
      </w:pPr>
      <w:bookmarkStart w:id="396" w:name="__RefHeading___Toc10299182_73709187"/>
      <w:bookmarkStart w:id="397" w:name="_Toc147"/>
      <w:bookmarkEnd w:id="395"/>
      <w:bookmarkEnd w:id="396"/>
      <w:r>
        <w:rPr>
          <w:rtl w:val="true"/>
        </w:rPr>
        <w:t>الوضوء لقراءة القرآن</w:t>
      </w:r>
      <w:bookmarkEnd w:id="397"/>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ابن 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قراءة المتطهّر خَمسٌ وعشرون حسنة، وغيره عشر حسنات</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الاربعمائة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العبد القرآن إذا كان على غَير طهورٍ حتّى يتطهّر</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محمّد بن الفضيل،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المصحف، ثمّ يأخذني البول فأقوم فأبول وأستنجي وأغسل يدي وأعود إلى المصحف، فاقرأ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يدلّان على كراهة القراءة على غير طهر، وعليه فيُشكل الإتيان بالوضوء بقصد القراءة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أنّه يتوضّأ للصلاة لا للقراءة، فهو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كراهة القراءة في الفرض، كراهةٌ في العبادة الّتي هي بمعنى أكمليّة الفرد الآخر، وأقليّة ثواب هذا الفرد منه، فالفرد الأكمل هو القراءة على وضوء، مع أنّه يمكن جعل القراءة التي لا تكون مكروهةً غايةً للوضوء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دلالة هذا الخبر على المطلوب، لا يوجب عدم صحّة التمسّك بالأوّلين،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كما سيأتي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أهل القبور من المؤمنين، كما عن جماعةٍ</w:t>
      </w:r>
      <w:r>
        <w:rPr>
          <w:rStyle w:val="FootnoteAnchor"/>
          <w:rtl w:val="true"/>
        </w:rPr>
        <w:footnoteReference w:id="905"/>
      </w:r>
      <w:r>
        <w:rPr>
          <w:rFonts w:ascii="Amiri" w:hAnsi="Amiri" w:eastAsia="Amiri" w:cs="Amiri"/>
          <w:color w:val="111111"/>
          <w:sz w:val="28"/>
          <w:sz w:val="28"/>
          <w:szCs w:val="28"/>
          <w:rtl w:val="true"/>
          <w:lang w:bidi="ar-SA"/>
        </w:rPr>
        <w:t>، وقد صرّح جماعة منهم بورود الخبر به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الأئمّة عليهم السلام، والنصوص الواردة في استحباب الوضوء لها كثيرة، وتظهر لمن راجع الكتب المؤلَّفة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وطلب الحاجة من اللّه تعالى، ويشهد له 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حاجةً وهو على غير وضوء فلم تُقضَ، فلا يلومنَّ إلّانفسه</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إرادة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سجدةَ الشُّكر لنعمةٍ، وهو متوضّئ كَتَب اللّه له بها عشر صلوات، ومحى عنه عشر خطايا عظام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المسافر على أهله، لما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من سفرٍ فدخل على أهله وهو على غير وضوء ورأى ما يكره فلا يلومنَّ إلّانفسه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كلٍّ من الزوج والزوجة على الآخر ليلة الزفاف، لصحيح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يقول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اسننتُ وقد تزوّجت امرأة بكراً صغيرة، ولم أدخل بها، وأنّي أخافُ إذا دَخَلتْ عليَّ فرأتني أنْ تكرهني لخضابي وكبري؟</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فمُرها قبل أن تصِل إليك أن تكون متوضّئة، ثمّ أنتَ لا تصِل إليها حتّى تتوضّأ وصلِّ ركعتين</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وفراشه كمسجده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حَمَلتْ امرأتك فلا تجامعها إلّاوأنتَ على وضوء</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98" w:name="pg11794_147131"/>
    </w:p>
    <w:p>
      <w:pPr>
        <w:pStyle w:val="Heading6"/>
        <w:numPr>
          <w:ilvl w:val="5"/>
          <w:numId w:val="1"/>
        </w:numPr>
        <w:rPr/>
      </w:pPr>
      <w:bookmarkStart w:id="399" w:name="__RefHeading___Toc10299184_73709187"/>
      <w:bookmarkStart w:id="400" w:name="_Toc148"/>
      <w:bookmarkEnd w:id="398"/>
      <w:bookmarkEnd w:id="399"/>
      <w:r>
        <w:rPr>
          <w:rtl w:val="true"/>
        </w:rPr>
        <w:t>استحباب الوضوء للتجديد</w:t>
      </w:r>
      <w:bookmarkEnd w:id="400"/>
    </w:p>
    <w:p>
      <w:pPr>
        <w:pStyle w:val="BookText"/>
        <w:rPr/>
      </w:pPr>
      <w:r>
        <w:rPr>
          <w:rFonts w:ascii="Amiri" w:hAnsi="Amiri" w:eastAsia="Amiri" w:cs="Amiri"/>
          <w:color w:val="111111"/>
          <w:sz w:val="28"/>
          <w:sz w:val="28"/>
          <w:szCs w:val="28"/>
          <w:rtl w:val="true"/>
          <w:lang w:bidi="ar-SA"/>
        </w:rPr>
        <w:t>القسم الثاني من أقسام الوضوءات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في حال الطهارة، وهو الوضوء للتجديد، واستحبابه لذلك ممّا لا خلاف فيه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البالغة حَدّ التواتر، كخبر المفضّل،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وضوءه لغير حدثٍ، جَدَّد اللّه توبته من غير استغفار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الطُهر عَشرُ حَسَنات</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الطهر على الطهر عَشرُ حَسَنات</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إطلاقها جواز التجديد ثالثاً ورابعاً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الفصل بين الوضوئين، فلو توضّأ فلمّا تمّ شرع فيه ثانياً فهكذا لايصحّ، إذ مضافاً إلى أنّ ذلك مخالفٌ لما عُلم من مذاق الشارع، لا تشمله النصوص، لعدم صدق التجديد في الفرض</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المنسوب إلى المشهور، عدم استحباب الغُسل بعد غُسل الجنابة، ولا الوضوء بعده، ولكن مقتضى إطلاق المرسل استحبابهما، كما أنّ مقتضى إطلاق خبر ابن مسلم استحباب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إفتاء الأصحاب يعدّ إعراضاً عن الخبرين، فيسقطان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الحكم بالاستحباب وجود الرواية الضعيفة، بناءً على قاعدة التسامح كما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الأظهر استحباب الغُسل بعد الغُسل، والوضوء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الحَدَث الأكبر، وهو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ابن مسلم والحلبي،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أينبغي له أن ينام وهو جنبٌ؟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لو سُلّم ظهوره في الحرمة، مع أنّ للمنع عنه مجالاً واسعاً، بقرينة خبر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هو نامَ ولم يتوضّأ ولم يَغتَسل، فليس عليه شيء</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الرحمن، عن الإمام الصادق 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الجُنُب قبل أن 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لنكسل، ولكن ليغسل يده، فالوضوء أفضل</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 الحلبي عنه،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ولم يشرب حتّى يتوضّأ</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لجُمَاعه، ففي خبر الوشّاء، عن أبي الحسن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جامع، وأراد أن يعاود توضّأ للصلاة، وإذا أراد أيضاً توضّأ للصلاة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401" w:name="pg11794_147134"/>
    </w:p>
    <w:p>
      <w:pPr>
        <w:pStyle w:val="Heading6"/>
        <w:numPr>
          <w:ilvl w:val="5"/>
          <w:numId w:val="1"/>
        </w:numPr>
        <w:rPr/>
      </w:pPr>
      <w:bookmarkStart w:id="402" w:name="__RefHeading___Toc10299186_73709187"/>
      <w:bookmarkStart w:id="403" w:name="_Toc149"/>
      <w:bookmarkEnd w:id="401"/>
      <w:bookmarkEnd w:id="402"/>
      <w:r>
        <w:rPr>
          <w:rtl w:val="true"/>
        </w:rPr>
        <w:t>يباح بكلّ وضوء جميع الغايات</w:t>
      </w:r>
      <w:bookmarkEnd w:id="403"/>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تباح بكلّ وضوءٍ جميع الغايات المشروطة به، أم يجب التفصيل بين الأقسام الثلاثة المتقدّمة؟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 يقتضي التكلّم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الواجب والمستحبّ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إباحة جميع الغايات بهما موضع وفاق، ويظهر وجهه ممّا سنذكره في المورد الثاني، وهو القسم الأوّل من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إباحة جميع الغايات 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الظاهرة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أنّ الطهارة من عناوين الوضوء، لا أنّها شيءٌ يحصل منه، فلا ينبغي التوقّف في الاكتفاء بما أتي به لغايةٍ في الغايات الاُخر، لأنّه بتحقّق الوضوء الصحيح الذي لا ينقض إلّابالحدث، يتحقّق ما هو شرطٌ في جميع الغايات، فلا موجب للتكرار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الطهارة تترتّب على الوضوء، فلو توضّأ لغايةٍ صرّح في دليلها بأنّ الشرط في صحتها أو كمالها هو الطهارة فكذلك، إذ به تحصل الطهارة، فالغايات الاُخر بين ما يكون مشروطاً بالطهارة، وما يكون </w:t>
      </w:r>
    </w:p>
    <w:p>
      <w:pPr>
        <w:pStyle w:val="BookText"/>
        <w:rPr/>
      </w:pPr>
      <w:r>
        <w:rPr>
          <w:rFonts w:ascii="Amiri" w:hAnsi="Amiri" w:eastAsia="Amiri" w:cs="Amiri"/>
          <w:color w:val="111111"/>
          <w:sz w:val="28"/>
          <w:sz w:val="28"/>
          <w:szCs w:val="28"/>
          <w:rtl w:val="true"/>
          <w:lang w:bidi="ar-SA"/>
        </w:rPr>
        <w:t>مشروطاً بالكون على وضوء أو بالوضوء، وفي جميع الموارد لا موجب للتكرار لتحقّق الشرط، سواءً كان هو الكون على وضوء، أو الوضوء أو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توضّأ لغايةٍ صرّح في دليلها بأنّ شرط الصحّة أو الكمال هو الكون على وضوءٍ أو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به للغايات المشروطة بالطهارة، لاحتمال عدم حصولها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مقتضى إطلاق نصوص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القوم من جهة تضمّنها أنّ الحدث ينقض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مطهّريّة كلّ وضوء ورفعه للحدث، وإلّا لم يكن وجهٌ لإطلاق ناقضيّة الحدث،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تضمين جملةٍ منها، كون الوضوء مطهّراً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الحسن كالصحيح الذي رواه الفضل بن شاذان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الوضوء ممّا خرج من الطرفين خاصّة، ومن النوم دون سائر الأشياء، لأنّ الطرفين هما طريق النجاسة، وليس للإنسان طريق تصيبه النجاسة من نفسه إلّامنهما، فاُمروا بالطهارة عندما تصيبهم تلك النجاسة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ظاهره وإنْ كان يشهد لما اخترناه، من أنّ الطهارة من عناوين الوضوء لا ممّا يتولّد منه، ولكن مع الإغماض عن ذلك، وتسليم كونها متولّدة منه، يشهد لحصولها من كلّ وضوءٍ بإطلاقه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المروي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بالوضوء وبدء به لأنْ يكون العبد طاهراً إذا قام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في هذين المقامين، إباحة جميع الغايات المشروطة بالوضوء أو بالطهارة بكلّ وضوء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04" w:name="pg11794_147137"/>
    </w:p>
    <w:p>
      <w:pPr>
        <w:pStyle w:val="Heading6"/>
        <w:numPr>
          <w:ilvl w:val="5"/>
          <w:numId w:val="1"/>
        </w:numPr>
        <w:rPr/>
      </w:pPr>
      <w:bookmarkStart w:id="405" w:name="__RefHeading___Toc10299188_73709187"/>
      <w:bookmarkStart w:id="406" w:name="_Toc150"/>
      <w:bookmarkEnd w:id="404"/>
      <w:bookmarkEnd w:id="405"/>
      <w:r>
        <w:rPr>
          <w:rtl w:val="true"/>
        </w:rPr>
        <w:t>القيد والدّاعي</w:t>
      </w:r>
      <w:bookmarkEnd w:id="406"/>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القسم الثاني من المستحبّ، إنْ وقع على نحو ما قُصِد، لم يؤثّر إلّافيما قصد له، وكذلك في القسم الثالث، فإنّه لا يؤثّر إباحة ما اشترط بعدم الحَدَث والطهارة، وإنْ كان الاكتفاء به لغاياتٍ متعدّدة، ما لم يتحقّق الناقض،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توضّأ الجُنُب للأكل، يكتفي به للجماع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أصالة عدم التداخل، لزوم تعدّد الوضوء لتعدّد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النصوص مشروعيّته للغايات في حال الحَدَث الأكبر، أمّا اعتبار كونه على وضوءٍ كما هو الأظهر، أو ارتفاع مرتبةٍ من الحَدَث به، فإنّ الاكتفاء به في كلا التقديرين في غاية الوضوح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انكشف الخطأ، بأن كان مُحْدِثاً بالأصغر، فلم يكن وضوؤه تجديديّاً ولا مجامعاً للأكبر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فقيه عصره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 القول بالصحّة وإباحة جميع الغايات به، إذا كان قاصداً لامتثال الأمر الواقعي المتوجّه إليه في ذلك الحال بالوضوء، وإنْ اعتقد أنّه الأمر بالتجديدي منه مثلاً، فيكون من باب الخطأ في التطبيق، وتكون تلك الغاية مقصودة له على نحو الدّاعي لا التقييد بحيث لو كان الأمر الواقعي على خلاف ما اعتقده لم يتوضّأ، أمّا لو كان على نحو التقييد كذلك ففي صحّته حينئذٍ إشكال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البطلان في هذه الصورة جمعٌ ممّن تأخّر عنه، منهم المحقّق النائيني رحمه الله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ومحصّل ما قيل في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قصده امتثال الأمر الفعلي المتوجّه إليه، فهو قاصدٌ لامتثال الأمر بالوضوء المطهر، ولا ينافيه اعتقاد كونه الأمر بالتجديدي، إذ الخطأ في اعتقاد الصفة، مع عدم أخذها قيداً في الموضوع، لا يمنع من قصد ذات الموصوف، وتحقّقه واتّصافه بوصفٍ يغاير ذلك الوصف، مثلاً لو علم بأنّ إكرام زيدٍ لازمٌ، وتخيّل أنّه لكونه جاراً واجب الإكرام، فأكرمه وقَصَد به الأمر الواقعي، فقد امتثل أمره، وإنْ كان لزومه من جهة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قَصْده امتثال الأمر بالوضوء التجديدي منه بنحو التقييد، فبما أنّه بانتفاء القيد ينتفي المقيّد، فلا يكون ممتثلاً للأمر الواقعي المتوجّه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لا واقع له، وما له واقع لم يُقصَد، وهذا بخلاف الصورة الاُولى فإنّه على الفرض قاصدٌ لامتثال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الصحّة في الصورتين، وذلك لأنّه لا ينبغي التوقّف في أنّ الميزان في صحّة العبادة الإتيان بذات المأمور به بجميع قيوده متقرّباً إلى اللّه تعالى، ولا يعتبر فيها شيء آخر، ولو نقصت عن ذلك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صلّى في أوّل الوقت بتخيّل أنّه آخر الوقت صحّت صلاته، إنْ كان ذلك بنحو التقييد، لأنّ قصده ذلك لا يكون أحد المبطلات، والمفروض إتيان الصلاة تامّةً متقرّباً بها إلى اللّه تعالى، ولو صلّى صلاة العصر بتخيّل أنّه صلّى الظهر لم تصحّ على القاعدة، وإنْ كان قصد الأمر بالعصر على نحو الدّاعي، لأنّ حقيقة صلاة الظهر تغاير حقيقة صلاة العصر، كما يكشف عن ذلك اختلاف أحكامهما، فإذا لم يقصد حقيقةً إحداهما، وقَصَد الاُخرى لا تقع عنها لعدم تحقّقها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الصحّة هو ما ذكرناه، من غير فرقٍ بين الدّاعي والقيد، وعلى ذلك فبما أنّ المستفاد من النصوص أنّ الوضوء حقيقة واحدة، وأنّ اختلاف </w:t>
      </w:r>
    </w:p>
    <w:p>
      <w:pPr>
        <w:pStyle w:val="BookText"/>
        <w:rPr/>
      </w:pPr>
      <w:r>
        <w:rPr>
          <w:rFonts w:ascii="Amiri" w:hAnsi="Amiri" w:eastAsia="Amiri" w:cs="Amiri"/>
          <w:color w:val="111111"/>
          <w:sz w:val="28"/>
          <w:sz w:val="28"/>
          <w:szCs w:val="28"/>
          <w:rtl w:val="true"/>
          <w:lang w:bidi="ar-SA"/>
        </w:rPr>
        <w:t xml:space="preserve">الآثار إنّما يكون من جهة اختلاف حالات المتوضّئ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مُحْدِثاً بالحَدَث الأصغر، واُخرى يكون متطهّراً، وعلى الأوّل يكون وضوؤه رافعاً للحدث، وعلى الثاني يكون تجديديّاً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الاختلاف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ظاهر الأخبار والأصحاب، من أنّ حكمة تشريع الوضوء التجديدي، تدارك ما في الطهارة الاُولى من الخلل، وحينئذٍ فمَن قَصَد التجديدي وكان في الواقع مُحدثاً، فقد أتى بالوضوء مع جميع قيوده متقرّباً إلى اللّه تعالى، وحيث أنّه يكون مُحْدِثاً، فيترتّب على وضوئه رفع الحدث، وإنْ كان قَصْده الأمر بالتجديدي على وجه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قيد وضوءه بالتجديدي، وقصد الإتيان به كذلك، فإذا لم يكن تجديديّاً؛ فوضوؤه ذلك لا يكون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يكن هذا العنوان دخيلاً في المأمور به كما عرفت، بل كان من العناوين المنطبقة عليه من جهة وقوعه بعد وضوءٍ آخر، فمَن قَصَد هذا العنوان، وتعلّقت إرادته بإيجاده، فقد انبعثت عنها إرادة اُخرى إلى معنونه، فذات الوضوء مقصودٌ بتبع إرادة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الوجه لا يختصُّ بصورة التقييد، بل يعمّ ما إذا كان ذلك على نحو الدّاعي، إذ مع اعتقاد أنّ وضوءه تجديدي، لا محالة يقصد ذلك الوضوء، فغيره غير مقصودٍ وإنْ كان لو اعتقد عدم كونه كذلك لقصد غيره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 الشيخ</w:t>
      </w:r>
      <w:r>
        <w:rPr>
          <w:rStyle w:val="FootnoteAnchor"/>
          <w:rtl w:val="true"/>
        </w:rPr>
        <w:footnoteReference w:id="927"/>
      </w:r>
      <w:r>
        <w:rPr>
          <w:rFonts w:ascii="Amiri" w:hAnsi="Amiri" w:eastAsia="Amiri" w:cs="Amiri"/>
          <w:color w:val="111111"/>
          <w:sz w:val="28"/>
          <w:sz w:val="28"/>
          <w:szCs w:val="28"/>
          <w:rtl w:val="true"/>
          <w:lang w:bidi="ar-SA"/>
        </w:rPr>
        <w:t>والمحقّق</w:t>
      </w:r>
      <w:r>
        <w:rPr>
          <w:rStyle w:val="FootnoteAnchor"/>
          <w:rtl w:val="true"/>
        </w:rPr>
        <w:footnoteReference w:id="928"/>
      </w:r>
      <w:r>
        <w:rPr>
          <w:rFonts w:ascii="Amiri" w:hAnsi="Amiri" w:eastAsia="Amiri" w:cs="Amiri"/>
          <w:color w:val="111111"/>
          <w:sz w:val="28"/>
          <w:sz w:val="28"/>
          <w:szCs w:val="28"/>
          <w:rtl w:val="true"/>
          <w:lang w:bidi="ar-SA"/>
        </w:rPr>
        <w:t>وجماعة</w:t>
      </w:r>
      <w:r>
        <w:rPr>
          <w:rStyle w:val="FootnoteAnchor"/>
          <w:rtl w:val="true"/>
        </w:rPr>
        <w:footnoteReference w:id="929"/>
      </w:r>
      <w:r>
        <w:rPr>
          <w:rFonts w:ascii="IRNazanin" w:hAnsi="IRNazanin" w:eastAsia="IRNazanin"/>
          <w:color w:val="111111"/>
          <w:sz w:val="28"/>
          <w:sz w:val="28"/>
          <w:szCs w:val="28"/>
          <w:rtl w:val="true"/>
          <w:lang w:bidi="fa-IR"/>
        </w:rPr>
        <w:t xml:space="preserve">، بل عن بعضٍعن </w:t>
      </w:r>
    </w:p>
    <w:p>
      <w:pPr>
        <w:pStyle w:val="BookText"/>
        <w:rPr/>
      </w:pPr>
      <w:r>
        <w:rPr>
          <w:rFonts w:ascii="Amiri" w:hAnsi="Amiri" w:eastAsia="Amiri" w:cs="Amiri"/>
          <w:color w:val="111111"/>
          <w:sz w:val="28"/>
          <w:sz w:val="28"/>
          <w:szCs w:val="28"/>
          <w:rtl w:val="true"/>
          <w:lang w:bidi="ar-SA"/>
        </w:rPr>
        <w:t>دعوى الإجماع عليه</w:t>
      </w:r>
      <w:r>
        <w:rPr>
          <w:rStyle w:val="FootnoteAnchor"/>
          <w:rtl w:val="true"/>
        </w:rPr>
        <w:footnoteReference w:id="930"/>
      </w:r>
      <w:r>
        <w:rPr>
          <w:rFonts w:ascii="Amiri" w:hAnsi="Amiri" w:eastAsia="Amiri" w:cs="Amiri"/>
          <w:color w:val="111111"/>
          <w:sz w:val="28"/>
          <w:sz w:val="28"/>
          <w:szCs w:val="28"/>
          <w:rtl w:val="true"/>
          <w:lang w:bidi="ar-SA"/>
        </w:rPr>
        <w:t>من الحكم بالصحّة في الصورتين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الوضوء قصد الموجب، بأن يقصد الوضوء لأجل النوم،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 عدم الدليل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المسألة الاُولى يظهر أنّه لو قصد أحد الموجبات، وانكشف أنّ الواقع غيره، صحَّ الوضوء، وإنْ كان على وجه التقييد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07" w:name="pg11794_147141"/>
    </w:p>
    <w:p>
      <w:pPr>
        <w:pStyle w:val="Heading6"/>
        <w:numPr>
          <w:ilvl w:val="5"/>
          <w:numId w:val="1"/>
        </w:numPr>
        <w:rPr/>
      </w:pPr>
      <w:bookmarkStart w:id="408" w:name="__RefHeading___Toc10299190_73709187"/>
      <w:bookmarkStart w:id="409" w:name="_Toc151"/>
      <w:bookmarkEnd w:id="407"/>
      <w:bookmarkEnd w:id="408"/>
      <w:r>
        <w:rPr>
          <w:rtl w:val="true"/>
        </w:rPr>
        <w:t>كفاية الوضوء الواحد للأحداث المتعدّدة</w:t>
      </w:r>
      <w:bookmarkEnd w:id="40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الوضوء الواحد، إذا اجتمعت في المكلّف أسباب متعدّدة للحَدَث الأصغر، متّحدة بالنوع أو مختلفة، دفعةً أو مترتّبة، إجماعاً بل ضرورة عند العلماء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w:t>
      </w:r>
      <w:r>
        <w:rPr>
          <w:rStyle w:val="FootnoteAnchor"/>
          <w:rtl w:val="true"/>
        </w:rPr>
        <w:footnoteReference w:id="933"/>
      </w:r>
      <w:r>
        <w:rPr>
          <w:rFonts w:ascii="Amiri" w:hAnsi="Amiri" w:eastAsia="Amiri" w:cs="Amiri"/>
          <w:color w:val="111111"/>
          <w:sz w:val="28"/>
          <w:sz w:val="28"/>
          <w:szCs w:val="28"/>
          <w:rtl w:val="true"/>
          <w:lang w:bidi="ar-SA"/>
        </w:rPr>
        <w:t>الواردة في الأحداث جُلّها تتضمّن ناقضيّة جملة من الاُمور للوضوء، وبديهي أنّ الشيء إذا انتقض وانعدم، لا معنى لناقضيّة شيء آخر له، ولازم ذلك هو الإتيان بالوضوء لكلّ ما اشترط به، أو بالطهارة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بعضها يكون لسانه موجبيّة الحدث الخاص للوضوء، كقول الإمام أمير المؤمنين عليه السلام في خبر عبد الرحمن بن الحجّاج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كونه وارداً في مقام بيان ناقضيّة النوم في حال القعود الّتي هي محلّ الكلام والخلاف، لا موجبيّة كلّ فردٍ من أفراد النوم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مجموع النصوص، أنّ الوضوء إنّما يجب فيما إذا حصل للمكلّف صفة مخصوصة، وهي المعبَّر عنها بالحدث، ولتلك الصفة أسباب متعدّدة إنْ اقترنت ترتّب الحَدَث على مجموعها، وإنْ ترتّبت استند إلى المتقدّم دون المتأخّر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صحّة الوضوء والاكتفاء به، إذا اجتمعت الأسباب المتعدّدة، وإنْ قصدرفع أحدها، بل ولو قصد رفع أثر المتأخّر، لأنّ قصد هذه الاُمور أجنبيٌّ عن ما هو موضوع الحكم، نعم لو لزم من ذلك خلل في القُربة أم لزم التشريع المحرّم بطل</w:t>
      </w:r>
      <w:r>
        <w:rPr>
          <w:rFonts w:eastAsia="Amiri" w:cs="Amiri" w:ascii="Amiri" w:hAnsi="Amiri"/>
          <w:color w:val="111111"/>
          <w:sz w:val="28"/>
          <w:szCs w:val="28"/>
          <w:rtl w:val="true"/>
          <w:lang w:bidi="ar-SA"/>
        </w:rPr>
        <w:t>.</w:t>
      </w:r>
      <w:bookmarkStart w:id="410" w:name="pg11794_147142"/>
    </w:p>
    <w:p>
      <w:pPr>
        <w:pStyle w:val="Heading6"/>
        <w:numPr>
          <w:ilvl w:val="5"/>
          <w:numId w:val="1"/>
        </w:numPr>
        <w:rPr/>
      </w:pPr>
      <w:bookmarkStart w:id="411" w:name="__RefHeading___Toc10299192_73709187"/>
      <w:bookmarkStart w:id="412" w:name="_Toc152"/>
      <w:bookmarkEnd w:id="410"/>
      <w:bookmarkEnd w:id="411"/>
      <w:r>
        <w:rPr>
          <w:rtl w:val="true"/>
        </w:rPr>
        <w:t>إذا اجتمعت الغايات الواجبة والمستحبّة</w:t>
      </w:r>
      <w:bookmarkEnd w:id="4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صحّة الوضوء، إذا أتى به قبل دخول وقت الصلاة، أو غيرها من الواجبات المشروطة به، بداعي الأمر النفسي، كما أنّه لا إشكال في صحّته لو أتى به بعده بداعي الأمر الغيري الوجوبي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صحّة الإتيان به بعد دخول الوقت، بداعي الأمر الاستحبابي النفسي المتعلّق به، أو بداعي الأمر الغيري الاستحبابي المتعلّق به، فيما إذا اجتمعت الغايات الواجبة والمستحبّة، كأن يتوضّأ بعد دخول وقت الصلاة لصلاة النافلة لا الفريضة؟</w:t>
      </w:r>
    </w:p>
    <w:p>
      <w:pPr>
        <w:pStyle w:val="BookText"/>
        <w:rPr/>
      </w:pPr>
      <w:r>
        <w:rPr>
          <w:rFonts w:ascii="Amiri" w:hAnsi="Amiri" w:eastAsia="Amiri" w:cs="Amiri"/>
          <w:color w:val="111111"/>
          <w:sz w:val="28"/>
          <w:sz w:val="28"/>
          <w:szCs w:val="28"/>
          <w:rtl w:val="true"/>
          <w:lang w:bidi="ar-SA"/>
        </w:rPr>
        <w:t>فعن ظاهر كثيرٍ</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الوضوء بنيّة النَّدب، لمن عليه وضوءٌ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دخول الوقت يكون واجباً، وحيث أنّ اجتماع الوجوب والندب في متعلّقٍ واحد، ولو من جهتين طوليّتين أو عرضيّتين ممتنعٌ، لكونه من قبيل اجتماع الضدّين، فلا محالة يندك الأمر الاستحبابي، ومع عدمه يكون قصده غير موجبٍ للعباديّة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أجابوا عن ذلك بأجوبة غير تامّة، والصحيح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بناءً على ما اخترناه تبعاً لمشايخنا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الفارق بين الندب والوجوب ليس اختلاف الطلب فيهما، بل يكون الاختلاف في الملاك، المستلزم لورود الترخيص في الترك وعدمه، من دون أن يختلف الطلب، ويكون في أحدهما أضعف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لإندكاك الأمر الاستحبابي وتبدّله بالأمر الوجوبي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عرض الوجوب، يتبدّل الترخيص في الترك الناشيء عن </w:t>
      </w:r>
    </w:p>
    <w:p>
      <w:pPr>
        <w:pStyle w:val="BookText"/>
        <w:rPr/>
      </w:pPr>
      <w:r>
        <w:rPr>
          <w:rFonts w:ascii="Amiri" w:hAnsi="Amiri" w:eastAsia="Amiri" w:cs="Amiri"/>
          <w:color w:val="111111"/>
          <w:sz w:val="28"/>
          <w:sz w:val="28"/>
          <w:szCs w:val="28"/>
          <w:rtl w:val="true"/>
          <w:lang w:bidi="ar-SA"/>
        </w:rPr>
        <w:t>اللّااقتضائيّة، بعدم الترخيص من جهة حدوث الملاك الملزم، وعلى ذلك فلا تنافي بين استحبابه بنفسه أو لغاية مندوبة، وبين وجوبه لغايةٍ واجبة لا بمعنى كونه محكوماً بحكمين، بل بمعنى كونه محكوماً بحكم واحد، ويكون الوضوء حينئذٍ ذا 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المقرّب حال كونه ملحوظاً بنفسه، أو حال كونه مقدّمةً لغاية مندوبة لا غير، هو ذات الطلب لا بقيد أنّه ممّا رُخِّص في مخالفته، فيصحّ الإتيان به حال كونه مقدّمةً لغايةٍ مندوبةٍ وواجبة، إذا قصد التقرّب بالأمر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تنزّلنا عن ذلك، وسلّمنا أنّ الفارق بين الوجوب والندب، إنّما يكون اختلاف الطلب فيهما بالشدّة والضعف، فالأمر الاستحبابي وإنْ كان مندكّاً في ضمن الأمر الوجوبي، إلّاأنّ المعدوم حينئذٍ ليس هو ذات الطلب بل حدّه ومرتبته، وعليه فبما أنّ المقرّب هو ذات الطلب لا حيثيّة ضعفه، فيصحّ الإتيان به بداعي ذات الطلب الموجود في تلك المرتبة الاستحبابيّة، وإنْ كانت تلك المرتبة متبدّلة إلى مرتبة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على فرض تسليم عدم بقاء الأمر الاستحبابي، لا بذاته ولا بقيده ومرتبته، فبما أنّ ملاكه موجود، صحَّ الإتيان به بداعي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بقاء الاستحباب النفسي بحدِّه ومرتبته بالفعل قويّة جدّاً، إذ الأمر الوجوبي الغيري لم يتعلّق بذات ما تعلّق به الأمر الاستحبابي حتّى يندك أحدهما في الآخر، بل تعلّق به بداعي الأمر الاستحبابي، فالموضوع متعدّدٌ، فلا مانع من الالتزام بأنّهما موجودان بالفعل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صحّة الإتيان بالوضوء بعد دخول الوقت بداعي الاستحباب</w:t>
      </w:r>
      <w:r>
        <w:rPr>
          <w:rFonts w:eastAsia="Amiri" w:cs="Amiri" w:ascii="Amiri" w:hAnsi="Amiri"/>
          <w:color w:val="111111"/>
          <w:sz w:val="28"/>
          <w:szCs w:val="28"/>
          <w:rtl w:val="true"/>
          <w:lang w:bidi="ar-SA"/>
        </w:rPr>
        <w:t>.</w:t>
      </w:r>
      <w:bookmarkStart w:id="413" w:name="pg11794_147144"/>
    </w:p>
    <w:p>
      <w:pPr>
        <w:pStyle w:val="Heading6"/>
        <w:numPr>
          <w:ilvl w:val="5"/>
          <w:numId w:val="1"/>
        </w:numPr>
        <w:rPr/>
      </w:pPr>
      <w:bookmarkStart w:id="414" w:name="__RefHeading___Toc10299194_73709187"/>
      <w:bookmarkStart w:id="415" w:name="_Toc153"/>
      <w:bookmarkEnd w:id="413"/>
      <w:bookmarkEnd w:id="414"/>
      <w:r>
        <w:rPr>
          <w:rtl w:val="true"/>
        </w:rPr>
        <w:t>النيّة</w:t>
      </w:r>
      <w:bookmarkEnd w:id="415"/>
    </w:p>
    <w:p>
      <w:pPr>
        <w:pStyle w:val="Heading6"/>
        <w:numPr>
          <w:ilvl w:val="5"/>
          <w:numId w:val="1"/>
        </w:numPr>
        <w:rPr/>
      </w:pPr>
      <w:bookmarkStart w:id="416" w:name="__RefHeading___Toc10299196_73709187"/>
      <w:bookmarkStart w:id="417" w:name="_Toc15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النيّة وكيفيّة إيقاعها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النيّة، وهي الإرادة المحرّكة للعضلات نحو الفعل، أعمّ من أن تكون إرادة إجماليّة أو تفصيليّة في الوضوء، كما لا خلاف فيه، لأنّ الفعل غير الصادر عن الاختيار لا يُتّصف بالحُسن والقُبح، ولايتعلّق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يعتبر بلا خلاف نيّة القربة، بل اعتبارها منسوبٌ إلى علمائنا في كلمات جماعةٍ</w:t>
      </w:r>
      <w:r>
        <w:rPr>
          <w:rStyle w:val="FootnoteAnchor"/>
          <w:rtl w:val="true"/>
        </w:rPr>
        <w:footnoteReference w:id="936"/>
      </w:r>
      <w:r>
        <w:rPr>
          <w:rFonts w:ascii="Amiri" w:hAnsi="Amiri" w:eastAsia="Amiri" w:cs="Amiri"/>
          <w:color w:val="111111"/>
          <w:sz w:val="28"/>
          <w:sz w:val="28"/>
          <w:szCs w:val="28"/>
          <w:rtl w:val="true"/>
          <w:lang w:bidi="ar-SA"/>
        </w:rPr>
        <w:t>من الفحول، للإجماع على كونه من العبادات، واعتبارها فيها لعلّه من الضروريّات، وتُشير إليه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العبادة التي إذا فَعَلها فاعلها كان مؤدّياً؟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 إشكال معروف، وهو أنّ منشأ عباديّته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هو الأمر الغيري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تعلّق الأمر النفسي بنفسه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مستلزمٌ للدور، إذ بما أنّ حاله ليس كحال بقيّة المقدّمات، ليكون مطلق وجوده مقدّمةً، بل المقدّمة هو ما أتى به عبادة، فالأمر الغيري يتوقّف على </w:t>
      </w:r>
    </w:p>
    <w:p>
      <w:pPr>
        <w:pStyle w:val="BookText"/>
        <w:rPr/>
      </w:pPr>
      <w:r>
        <w:rPr>
          <w:rFonts w:ascii="Amiri" w:hAnsi="Amiri" w:eastAsia="Amiri" w:cs="Amiri"/>
          <w:color w:val="111111"/>
          <w:sz w:val="28"/>
          <w:sz w:val="28"/>
          <w:szCs w:val="28"/>
          <w:rtl w:val="true"/>
          <w:lang w:bidi="ar-SA"/>
        </w:rPr>
        <w:t>عباديّته، فلو توقّفت عباديّته عليه لزم الدور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فاسدٌ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انعدامه عند عروض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الإتيان به بداعي أمره الغيري، من دون الالتفات إلى الأمر النفسي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المحقّق الخراساني رحمه الله</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الأمر الغيري بما أنّه الوضوء المأمور به بالأمر الاستحبابي، فقصد الأمر الغيري يكون قصداً لذلك الأمر النفسي، إذ الأمر لا يدعو إلّاإلى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الأمر ليس له واقعٌ خارجي يلائم مع عدم الالتفات واعتقاد العدم، بل قوامه يكون بالالتفات، فمع عدمه لا قصد، فكيف يصحّ قصد الأمر الغيري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المحقّق النائيني رحمه الله</w:t>
      </w:r>
      <w:r>
        <w:rPr>
          <w:rStyle w:val="FootnoteAnchor"/>
          <w:rtl w:val="true"/>
        </w:rPr>
        <w:footnoteReference w:id="939"/>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لعباديّته ليس هو الأمر النفسي المتعلّق بنفسه، ولا الأمر الغيري المتعلّق به، بل هناك أمرٌ ثالث وهو الموجب لكونه عبادة، لأنّ الأمر النفسي المتعلّق بالصلاة مثلاً كما أنّ له تعلّقاً بالأجزاء، وهو موجب لكونها عبادة، فكذلك له تعلّق بالشرائط، فلها أيضاً حصّة من الأمر، وهي الموجبة لعباديّتها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ليست ممّا ينبسط عليه الأمر النفسي، بل الأمر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بالمقيّد يكون له تعلّق بالتقيّد لا بالقيد، وهذا هو الفارق بين الأجزاء والشرائط كما حقّقناه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الأعظم رحمه الله</w:t>
      </w:r>
      <w:r>
        <w:rPr>
          <w:rStyle w:val="FootnoteAnchor"/>
          <w:rtl w:val="true"/>
        </w:rPr>
        <w:footnoteReference w:id="94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الوضوء في نفسه ليس رافعاً للحدث، بل ينطبق عليه عنوان واقعي راجحٌ في ذاته رافع للحدث، وتحقّق ذلك العنوان متوقّفٌ على القصد، ولمّا كان ذلك العنوان مجهولاً، وجب القصد إليه إجمالاً بإتيانه بقصد أمره من جهة أنّه لا يدعو إلّا إلى ما تعلّق به، فإتيانه بقصد الأمر والعبادة ليس لأجل كونه معتبراً فيه بذاته، بل من جهة أنّه طريقٌ إلى قصد عنوان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ذلك العنوان كما يمكن بذلك، يمكن بقصد الأمر بنحو التوصيف، وبقصد عنوان المقدّميّة، لأنّه من العناوين الطارئة على ذلك العنوان، فلازم ما ذكره قدس سره عدم اعتبار قصد الأمر فيه،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شبهة في أنّ كلّ مقدّمةٍ من مقدّمات الواجب النفسي إذا أتى بها بقصد التوصّل بها إلى ذيها تصير عبادة، إذ لايعتبر في الاتّصاف بالعباديّة، سوى الإتيان بما هو قابلٌ للإضافة إلى المولى مضافاً إليه، وبديهي أنّ المقدّمة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الغيري المتعلّق بالوضوء، وإنْ كان يتوقّف على كونه عبادة، إلّاأنّ كونه عبادةً لا يتوقّف على تعلّق الأمر الغيري به، فلزوم الإتيان به عبادة ليس من جهة الأمر الغيري، بل من جهة كون المقدّمة عبادة مع قطع النظر عنه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إلى ذلك يرجع ما ذكره من الوجه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نقلاً عن الشيخف</w:t>
      </w:r>
      <w:r>
        <w:rPr>
          <w:rFonts w:eastAsia="Amiri" w:cs="Amiri" w:ascii="Amiri" w:hAnsi="Amiri"/>
          <w:color w:val="111111"/>
          <w:sz w:val="28"/>
          <w:szCs w:val="28"/>
          <w:rtl w:val="true"/>
          <w:lang w:bidi="ar-SA"/>
        </w:rPr>
        <w:t xml:space="preserve">. </w:t>
      </w:r>
      <w:bookmarkStart w:id="418" w:name="pg11794_147147"/>
    </w:p>
    <w:p>
      <w:pPr>
        <w:pStyle w:val="BookText"/>
        <w:rPr/>
      </w:pPr>
      <w:bookmarkEnd w:id="418"/>
      <w:r>
        <w:rPr>
          <w:rFonts w:ascii="IRNazanin" w:hAnsi="IRNazanin" w:eastAsia="IRNazanin"/>
          <w:color w:val="111111"/>
          <w:sz w:val="28"/>
          <w:sz w:val="28"/>
          <w:szCs w:val="28"/>
          <w:rtl w:val="true"/>
          <w:lang w:bidi="fa-IR"/>
        </w:rPr>
        <w:t>الأعظم رحمه الله</w:t>
      </w:r>
      <w:r>
        <w:rPr>
          <w:rStyle w:val="FootnoteAnchor"/>
          <w:rtl w:val="true"/>
        </w:rPr>
        <w:footnoteReference w:id="94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فروعاً،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قصد الوجوب أو الندب لا وصفاً ولا غايةً، ولزوم التعيين، وانحصار الدّاعي القربي في الأمر والمحبوبيّة، واعتبار الخلوص في النيّة، وحكم الضميمة في النيّة بأقسامها الثلاثة، وأقسام الرياء، قد تعرّضنا لها في مبحث النيّة</w:t>
      </w:r>
      <w:r>
        <w:rPr>
          <w:rStyle w:val="FootnoteAnchor"/>
          <w:rtl w:val="true"/>
        </w:rPr>
        <w:footnoteReference w:id="943"/>
      </w:r>
      <w:r>
        <w:rPr>
          <w:rFonts w:ascii="Amiri" w:hAnsi="Amiri" w:eastAsia="Amiri" w:cs="Amiri"/>
          <w:color w:val="111111"/>
          <w:sz w:val="28"/>
          <w:sz w:val="28"/>
          <w:szCs w:val="28"/>
          <w:rtl w:val="true"/>
          <w:lang w:bidi="ar-SA"/>
        </w:rPr>
        <w:t>من هذا الكتاب، فلا حاجة إلى التكرار، ومَن أراد الوقوف عليها فليراجعه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فروع لابدَّ من التعرّض لها</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299198_73709187"/>
      <w:bookmarkStart w:id="420" w:name="_Toc155"/>
      <w:bookmarkEnd w:id="419"/>
      <w:r>
        <w:rPr>
          <w:rtl w:val="true"/>
        </w:rPr>
        <w:t>في اعتبار نيّة الرفع والاستباحة وعدمه</w:t>
      </w:r>
      <w:bookmarkEnd w:id="42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الوضوء قصد رفع الحَدَث أو الاستباحة، كما نُسب إلى جماعةٍ من أعاظم المتأخّرين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كتب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نيّة رفع الحَدَث</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نيّة الاستباحة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947"/>
      </w:r>
      <w:r>
        <w:rPr>
          <w:rFonts w:ascii="Amiri" w:hAnsi="Amiri" w:eastAsia="Amiri" w:cs="Amiri"/>
          <w:color w:val="111111"/>
          <w:sz w:val="28"/>
          <w:sz w:val="28"/>
          <w:szCs w:val="28"/>
          <w:rtl w:val="true"/>
          <w:lang w:bidi="ar-SA"/>
        </w:rPr>
        <w:t>والقاضي</w:t>
      </w:r>
      <w:r>
        <w:rPr>
          <w:rStyle w:val="FootnoteAnchor"/>
          <w:rtl w:val="true"/>
        </w:rPr>
        <w:footnoteReference w:id="948"/>
      </w:r>
      <w:r>
        <w:rPr>
          <w:rFonts w:ascii="Amiri" w:hAnsi="Amiri" w:eastAsia="Amiri" w:cs="Amiri"/>
          <w:color w:val="111111"/>
          <w:sz w:val="28"/>
          <w:sz w:val="28"/>
          <w:szCs w:val="28"/>
          <w:rtl w:val="true"/>
          <w:lang w:bidi="ar-SA"/>
        </w:rPr>
        <w:t>والراوندي</w:t>
      </w:r>
      <w:r>
        <w:rPr>
          <w:rStyle w:val="FootnoteAnchor"/>
          <w:rtl w:val="true"/>
        </w:rPr>
        <w:footnoteReference w:id="949"/>
      </w:r>
      <w:r>
        <w:rPr>
          <w:rFonts w:ascii="Amiri" w:hAnsi="Amiri" w:eastAsia="Amiri" w:cs="Amiri"/>
          <w:color w:val="111111"/>
          <w:sz w:val="28"/>
          <w:sz w:val="28"/>
          <w:szCs w:val="28"/>
          <w:rtl w:val="true"/>
          <w:lang w:bidi="ar-SA"/>
        </w:rPr>
        <w:t>، وابني حمزة</w:t>
      </w:r>
      <w:r>
        <w:rPr>
          <w:rStyle w:val="FootnoteAnchor"/>
          <w:rtl w:val="true"/>
        </w:rPr>
        <w:footnoteReference w:id="950"/>
      </w:r>
      <w:r>
        <w:rPr>
          <w:rFonts w:ascii="Amiri" w:hAnsi="Amiri" w:eastAsia="Amiri" w:cs="Amiri"/>
          <w:color w:val="111111"/>
          <w:sz w:val="28"/>
          <w:sz w:val="28"/>
          <w:szCs w:val="28"/>
          <w:rtl w:val="true"/>
          <w:lang w:bidi="ar-SA"/>
        </w:rPr>
        <w:t>وزُهرة</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اعتبارهمامعاً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وأكثر كتب المصنّف رحمه الله</w:t>
      </w:r>
      <w:r>
        <w:rPr>
          <w:rStyle w:val="FootnoteAnchor"/>
          <w:rtl w:val="true"/>
        </w:rPr>
        <w:footnoteReference w:id="955"/>
      </w:r>
      <w:r>
        <w:rPr>
          <w:rFonts w:ascii="Amiri" w:hAnsi="Amiri" w:eastAsia="Amiri" w:cs="Amiri"/>
          <w:color w:val="111111"/>
          <w:sz w:val="28"/>
          <w:sz w:val="28"/>
          <w:szCs w:val="28"/>
          <w:rtl w:val="true"/>
          <w:lang w:bidi="ar-SA"/>
        </w:rPr>
        <w:t>والشهيد</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وإطلاق النصوص بعد عدم الدليل على الاعتبار، إذ لا شبهة في عدم مقدّميّة نيّة ذلك لذات الوضوء، كما تشهد له النصوص المتضمّنة لبيان الوضوء، كما لاينبغي التشكيك في عدم دخلها في العباديّة، لأنّها تتحقّق مع إضافة الفعل إلى المولى، بلا توقّفٍ على شيء آخر، وظهور الأدلّة في أنّ الوضوء الصحيح يكون مبيحاً ورافعاً للحدث غير قابلٍ للإنكار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لاعتبار قصدهما أو أحدهما باُمورٍ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وَجَب الطهور والصلاة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أنّ المأمور به هو عنوان الطهور، فيجبُ قصده، وقصد رفع الحَدَث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إذ الظاهر منه أنّ المأمور به هو الوضوء للصلاة، فلابدَّ من إيقاعه لأجل الصلاة أي إباحتها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فإذا لم ينوِ رفع الحَدَث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إنّما شُرّع لذلك، فإن لم يقصد رفع الحَدَث لم يقصد الوضوء على الوجه المأمور به الذي شُرّع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الوضوء مشتركٌ بين الرافع وغيره، فوجب تمييزه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صيرورته عباديّاً تتوقّف على ذلك، وإلّا فمجرّد قصد الأمر الغيري غير 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الطهور عنوانٌ منطبق على الوضوء بذاته، مع أنّ المأمور به لو كان هو ما يحصل من الأفعال الخاصّة، لا محالة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لغَسل الوجه أو لغَسل اليدين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توصّليّاً لا يعتبر في سقوطه سوى حصول متعلّقه على أيّ وجه، وما يكون تعبّديّاً هو الأمر بالأفعال المحصّلة لذلك العنوان، فتدبّر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توقّف الصلاة على هذه الأفعال، لا على توقّف مقدّميّتها على قصد التوصّل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العناوين المنطبقة على الأفعال، لابدَّ في تحقّقها من القصد والنيّة، وأمّا الآثار والفوائد المترتّبة عليها، فلا يتوقّف ترتّبها على النيّة، ألا ترى أنّه لو توضّأ للصلاة، يُباح له غيرها ممّا يشترط فيه الطهارة وإنْ لم ينوه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مشروعيّة الوضوء لذلك، لا تقتضي توقّف تأثير الوضوء في حصول الطهارة على قصده، بل تأثير السبب لشيء فيه، لا يتوقّف على العلم بالسببيّة فضلاً عن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الوضوء بالنسبة إلى شخصٍ واحدٍ في حال واحدٍ لا يكون مشتركاً بين الرافع وغيره كي يلزم تمييزه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الوضوء مستحبٌّ في نفسه، فيمكن التعبّد به بلا نظر إلى غاياته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على اعتبار قصد رفع الحَدَث أو الاستباحة</w:t>
      </w:r>
      <w:r>
        <w:rPr>
          <w:rFonts w:eastAsia="Amiri" w:cs="Amiri" w:ascii="Amiri" w:hAnsi="Amiri"/>
          <w:color w:val="111111"/>
          <w:sz w:val="28"/>
          <w:szCs w:val="28"/>
          <w:rtl w:val="true"/>
          <w:lang w:bidi="ar-SA"/>
        </w:rPr>
        <w:t>.</w:t>
      </w:r>
      <w:bookmarkStart w:id="421" w:name="pg11794_147151"/>
    </w:p>
    <w:p>
      <w:pPr>
        <w:pStyle w:val="BookText"/>
        <w:rPr/>
      </w:pPr>
      <w:bookmarkEnd w:id="421"/>
      <w:r>
        <w:rPr>
          <w:rFonts w:ascii="Amiri" w:hAnsi="Amiri" w:eastAsia="Amiri" w:cs="Amiri"/>
          <w:color w:val="111111"/>
          <w:sz w:val="28"/>
          <w:sz w:val="28"/>
          <w:szCs w:val="28"/>
          <w:rtl w:val="true"/>
          <w:lang w:bidi="ar-SA"/>
        </w:rPr>
        <w:t>مقارنةً لغَسل الوَجه، أو لغَسل اليدين المستحبّ، واستدامتها حكماً حتّى يفرغ</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0299200_73709187"/>
      <w:bookmarkStart w:id="423" w:name="_Toc156"/>
      <w:bookmarkEnd w:id="422"/>
      <w:r>
        <w:rPr>
          <w:rtl w:val="true"/>
        </w:rPr>
        <w:t>وقت النيّة</w:t>
      </w:r>
      <w:bookmarkEnd w:id="42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لغَسل الوَجه أو لغسل اليدين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كون غَسل اليدين من الأجزاء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المسألة خالية عن النصّ، فيتعيّن الرجوع إلى ما تقتضيه القواعد، وهي تقتضي عدم اعتبار المقارنة، إذ النيّة المعتبرة فيه كسائر العبادات، هي الموجبة لصيررة العمل اختياريّاً ومضافاً إلى المولى، لا خصوص الإرادة التفصيليّة، فكما أنّه لو نوى مقارناً لأوّل جزءٍ من أجزاء الوضوء، يقع الوضوء عبادةً وامتثالاً للأمر، كذلك لو نوى حال الأخذ بمقدّمات العمل، وكانت النيّة باقية في النفس إلى حين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بعدما فسّروا النيّة بالإرادة 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المخطرة، حكموا بلزوم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استدامتها حكماً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بناءً على تفسيره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الداعية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استدامتها حقيقةً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اعتبار الاستدامة واضح، لأنّ الوضوء ليس إلّامجموع الأجزاء، فما دلَّ على اعتبار النيّة فيه، يدلّ على اعتبارها في كلّ جزءٍ من أجزائه</w:t>
      </w:r>
      <w:r>
        <w:rPr>
          <w:rFonts w:eastAsia="Amiri" w:cs="Amiri" w:ascii="Amiri" w:hAnsi="Amiri"/>
          <w:color w:val="111111"/>
          <w:sz w:val="28"/>
          <w:szCs w:val="28"/>
          <w:rtl w:val="true"/>
          <w:lang w:bidi="ar-SA"/>
        </w:rPr>
        <w:t>.</w:t>
      </w:r>
      <w:bookmarkStart w:id="424" w:name="pg11794_147152"/>
    </w:p>
    <w:p>
      <w:pPr>
        <w:pStyle w:val="BookText"/>
        <w:rPr/>
      </w:pPr>
      <w:bookmarkEnd w:id="424"/>
      <w:r>
        <w:rPr>
          <w:rFonts w:ascii="Amiri" w:hAnsi="Amiri" w:eastAsia="Amiri" w:cs="Amiri"/>
          <w:color w:val="111111"/>
          <w:sz w:val="28"/>
          <w:sz w:val="28"/>
          <w:szCs w:val="28"/>
          <w:rtl w:val="true"/>
          <w:lang w:bidi="ar-SA"/>
        </w:rPr>
        <w:t>وغسل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قِصاص شعر الرأس إلى محادر الذقن طولاً، وما اشتملت عليه الإبهام والوسطى</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0299202_73709187"/>
      <w:bookmarkStart w:id="426" w:name="_Toc157"/>
      <w:bookmarkEnd w:id="425"/>
      <w:r>
        <w:rPr>
          <w:rtl w:val="true"/>
        </w:rPr>
        <w:t>غَسل الوجه</w:t>
      </w:r>
      <w:bookmarkEnd w:id="426"/>
    </w:p>
    <w:p>
      <w:pPr>
        <w:pStyle w:val="Heading6"/>
        <w:numPr>
          <w:ilvl w:val="5"/>
          <w:numId w:val="1"/>
        </w:numPr>
        <w:rPr/>
      </w:pPr>
      <w:bookmarkStart w:id="427" w:name="__RefHeading___Toc10299204_73709187"/>
      <w:bookmarkStart w:id="428" w:name="_Toc158"/>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فروض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 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شعر الرأس إلى محادر الذّقن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إلى مذهب أهل البيت عليهم السلام، كما في طهارة شيخنا الأعظم رحمه الله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اشتملت عليه الإبهام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بلا خلاف كما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حيث قال 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 الوجه الذي يَنبغي أنْ يوضّأ، الذي قال اللّه عزّ وجلّ؟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أمر اللّه عزّ وجلّ بغَسله، الذي لا ينبغي لأحدٍ أنْ يزيد عليه ولا ينقص منه، إنْ زاد عليه لم يُؤجَر، وإنْ نقص منه أثم، ما دارت عليه الوسطى </w:t>
      </w:r>
    </w:p>
    <w:p>
      <w:pPr>
        <w:pStyle w:val="BookText"/>
        <w:rPr/>
      </w:pPr>
      <w:r>
        <w:rPr>
          <w:rFonts w:ascii="Amiri" w:hAnsi="Amiri" w:eastAsia="Amiri" w:cs="Amiri"/>
          <w:color w:val="111111"/>
          <w:sz w:val="28"/>
          <w:sz w:val="28"/>
          <w:szCs w:val="28"/>
          <w:rtl w:val="true"/>
          <w:lang w:bidi="ar-SA"/>
        </w:rPr>
        <w:t>والإبهام مِنْ قَصاص شعر الرأس إلى الذّقن، وما جَرَت عليه الإصبعان مستديراً فهو من الوجه، وما سوى ذلك ليس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الكليني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السَّبابة مع الوسطى والإبهام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ومستلزمٌ للتنافي بين التحديدين، فالخبران متّحدان مفاداً، فذكرها حينئذٍ إنّما يكون لورود الخبر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عليه السلام حَدّ الوجه عَرضاً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وطولاً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جَرَت عليه الإصبعان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تاكيدٌ لبيان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بإيرادات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شيخنا البهائي</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بناءً على ذلك تدخل النَزعتان، وهما البياضان المكتنفان بالنّاصية والصُّدغان، والمعروف بين الأصحاب في تفسير 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الشعر الذي بعد انتهاء العِذار، المحاذي لرأس الاُذن، وينزل عن رأسها قليلاً، لأنّ الأوليين تحت القصاص، والأخيرين داخلان فيما حوته الإصبعان، مع أنّ خروج الأوليين إجماعي، والأخيران خارجان بنصّ الرواية، ولذلك حُمل الرواية على معنى آخر، وهو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الإصبعين من القصاص إلى الذّقن، لتشكيل شبه الدائرةف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الحقيقيّة، التي يكون قطرها ما بين الإصبعين،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جَرَت عليه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إيضاحي، حيث أنّه كالصريح في أنّ كلّاً من طول الوجه وعرضه شيءٌ واحد، وهو ما اشتمل عليه الإصبعان عند دورانهما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بقرينة أنّ النزعتين محاذيتان للناصية، التي هي من الرأس، وخارجتان عن التسطيح الذي ينفصل به الوجه عن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قصاص الناصية ومنتهاها، وما يحاذيه من جانبيه، وعلى ذلك فتكون النزعتان خارجتين على كلا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فُسِّر بما ذكرناه،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فهو خارج على كلا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فُسِّر بما بين العين والاُذن كما عن بعض</w:t>
      </w:r>
      <w:r>
        <w:rPr>
          <w:rStyle w:val="FootnoteAnchor"/>
          <w:rtl w:val="true"/>
        </w:rPr>
        <w:footnoteReference w:id="968"/>
      </w:r>
      <w:r>
        <w:rPr>
          <w:rFonts w:ascii="Amiri" w:hAnsi="Amiri" w:eastAsia="Amiri" w:cs="Amiri"/>
          <w:color w:val="111111"/>
          <w:sz w:val="28"/>
          <w:sz w:val="28"/>
          <w:szCs w:val="28"/>
          <w:rtl w:val="true"/>
          <w:lang w:bidi="ar-SA"/>
        </w:rPr>
        <w:t>، أو بالشعر المتدلّي على هذا الموضع كما عن جماعةٍ</w:t>
      </w:r>
      <w:r>
        <w:rPr>
          <w:rStyle w:val="FootnoteAnchor"/>
          <w:rtl w:val="true"/>
        </w:rPr>
        <w:footnoteReference w:id="969"/>
      </w:r>
      <w:r>
        <w:rPr>
          <w:rFonts w:ascii="Amiri" w:hAnsi="Amiri" w:eastAsia="Amiri" w:cs="Amiri"/>
          <w:color w:val="111111"/>
          <w:sz w:val="28"/>
          <w:sz w:val="28"/>
          <w:szCs w:val="28"/>
          <w:rtl w:val="true"/>
          <w:lang w:bidi="ar-SA"/>
        </w:rPr>
        <w:t>، فيدخل بعضه في الوجه على كلا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فالتصريح بخروج الصُّدغ عن الوجه لا يكون معيّناً لإرادة ما ذكره رحمه الله، ولا يبعد دعوى أنّه يؤيّد كون المراد منه ما ذكرناه تبعاً للمصنّف رحمه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مقتضى ما ذكره رحمه الله خروج مقدارٍ من أسفل الوجه أو أعلاه الذي هو داخلٌ فيه بالنصّ والإجماع، لأنّ ما بين الإصبعين أقلّ من ما بين القصاص والذّقن كما هو واضح، بل يخرج بعض طرفي الجبهة، وأغلب الجبينين أيضاً، مع أنّها من الوجه إجماعاً ونصّاً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الأوّل للطول، لا يناسب التعبير بالدوران، إذ ليس هو من الدوران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التعبير به بملاحظة أنّ الوجه مدوّر بتدوير الرأس، فوضع الإبهام والوسطى عليه، يوهم تحقّق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الجريان، والتعبير عنه بالدوران لأنّه يحصل منه شبه 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في التحديد العرضي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ذكروه، إذ لا استدارة فيه، مع أنّه كان ينبغي أن يقول مستديرين لكونه حالاً من الإصبعين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ذكره المشهور في تفسير الصحيح</w:t>
      </w:r>
      <w:r>
        <w:rPr>
          <w:rFonts w:eastAsia="Amiri" w:cs="Amiri" w:ascii="Amiri" w:hAnsi="Amiri"/>
          <w:color w:val="111111"/>
          <w:sz w:val="28"/>
          <w:szCs w:val="28"/>
          <w:rtl w:val="true"/>
          <w:lang w:bidi="ar-SA"/>
        </w:rPr>
        <w:t>.</w:t>
      </w:r>
      <w:bookmarkStart w:id="429" w:name="pg11794_147156"/>
    </w:p>
    <w:p>
      <w:pPr>
        <w:pStyle w:val="Heading6"/>
        <w:numPr>
          <w:ilvl w:val="5"/>
          <w:numId w:val="1"/>
        </w:numPr>
        <w:rPr/>
      </w:pPr>
      <w:bookmarkStart w:id="430" w:name="__RefHeading___Toc10299206_73709187"/>
      <w:bookmarkStart w:id="431" w:name="_Toc159"/>
      <w:bookmarkEnd w:id="429"/>
      <w:bookmarkEnd w:id="430"/>
      <w:r>
        <w:rPr>
          <w:rtl w:val="true"/>
        </w:rPr>
        <w:t>حكم الخارج عن المتعارف</w:t>
      </w:r>
      <w:bookmarkEnd w:id="431"/>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وجهه أو يده عن المتعارف، ومن انحسر شعره عن الحدّ المتعارف، ومن نَبَت الشَّعر على جبهته، يرجع كل منهم إلى المتعارف، إذ لا ريب في أنّ التحديد الواقع في الأخبار إنّما اُريد به بيان ما هو الطريق لمعرفة حَدّ الوجه الذي أمر اللّه بغَسله، والوجه له مفهومٌ واحد ذو أفراد مختلفة، من حيث الصِّغر والكِبر، لا أنّ له مفاهيماً عديدة على حسب اختلاف خلقة المكلّفين، وعلى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انحسر شعره عن المتعارف، وساوى بعض مقدّم رأسه جبهته، لا يجب عليه غَسل ذلك المقدار، لخروجه عن الوجه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من نَبت الشعر على جبهته، بما أنّ القصاص الذي على الجبهة داخلٌ في الوجه عرفاً، 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خرجت يده عن المتعارف، وكان وجهه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أصابعه طويلة، فحيث لا يحتمل دخول اُذنيه في الوجه، فلابدَّ له من الرجوع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كانت أصابعه قصيرة لا يحتمل خروج خدّيه عن الوجه، يتعيّن عليه الرجوع إلى المتعارف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خرج وجهه عن المتعارف، فرجوعه إلى المتعارف لا يُراد به أنّه يغسل من الوجه العريض بمقدار أصابع المستوى، بل المراد منه أنّه يُفرض له أصابع مناسبة على نحو أصابع المستوى لوجهه، وبمعناه أنّه يقدّر المستوى، ويحدّ بحدودٍ يؤخذ على نسبة تلك الحدود من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وغيرها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432" w:name="pg11794_147157"/>
    </w:p>
    <w:p>
      <w:pPr>
        <w:pStyle w:val="Heading6"/>
        <w:numPr>
          <w:ilvl w:val="5"/>
          <w:numId w:val="1"/>
        </w:numPr>
        <w:rPr/>
      </w:pPr>
      <w:bookmarkStart w:id="433" w:name="__RefHeading___Toc10299208_73709187"/>
      <w:bookmarkStart w:id="434" w:name="_Toc160"/>
      <w:bookmarkEnd w:id="432"/>
      <w:bookmarkEnd w:id="433"/>
      <w:r>
        <w:rPr>
          <w:rtl w:val="true"/>
        </w:rPr>
        <w:t>لزوم إجراء الماء</w:t>
      </w:r>
      <w:bookmarkEnd w:id="43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وجوب إجراء الماء</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المجلسي رحمه الله</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الأمر بالغَسل لأخذ الجريان في مفهومه،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كاشف اللّثام</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به العرف واللّغة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وبعض تحقيقات الشيهد الثاني رحمه الله</w:t>
      </w:r>
      <w:r>
        <w:rPr>
          <w:rStyle w:val="FootnoteAnchor"/>
          <w:rtl w:val="true"/>
        </w:rPr>
        <w:footnoteReference w:id="981"/>
      </w:r>
      <w:r>
        <w:rPr>
          <w:rFonts w:ascii="Amiri" w:hAnsi="Amiri" w:eastAsia="Amiri" w:cs="Amiri"/>
          <w:color w:val="111111"/>
          <w:sz w:val="28"/>
          <w:sz w:val="28"/>
          <w:szCs w:val="28"/>
          <w:rtl w:val="true"/>
          <w:lang w:bidi="ar-SA"/>
        </w:rPr>
        <w:t>من الاستشكال في أخذه في مفهومه،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يكون على وضوء، فيصيبه المطر حتّى يبلّ رأسه ولحيته وجسده ويداه ورجلاه، هل يجزيه ذلك من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فإنّ ذلك يجزيه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جوابه عليه السلام يدلّ على اعتبار شيء آخر في الغسل غير وصول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ورد في الغَسل كصحيح محمّد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الفصل بينه وبين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تقييد مطلقات الغَسل، بناءً على عدم أخذ الجريان في مفهومه بها، لعدم كونها في مقام البيان من هذه الجهة، فيمكن أن يكون التعبير بالجريان جرياً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القيد على الغالب خلاف الظاهر، بل الظاهر من كلّ قيدٍ هو الاحترازيّة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فظاهر هذه النصوص اعتبار الجريان، وعدم كونه في مقام البيان يمنع من التمسّك بالإطلاق لا عن هذا الظهور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يتوهّم التنافي بين ذلك ونصوص التشبيه بالدّهن، كمصحّح زرارة ومحمّد بن مسلم،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الوضوء حَدٌّ من حدود اللّه تعالى، ليعلم اللّه مَن يطيعه ومَن يعصيه، وأنّ المؤمن لا ينجّسه شيء إنّما يكفيه مثل الدهن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لا تنافي جريان الماء وحركته من محلّ إلى محلٍّ آخر، فالجمع بينهما وبين ما دلَّ على اعتبار الجريان،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سيقت لبيان عدم اعتبار الماء الكثير، وأنّه يكفي ما يوجب جريان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سيقت لبيان أقلّ أفراد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من الجنابة والوضوء يجزي من الماء ما أجرى من الدهن الذي يبلّ‌الجسد</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5" w:name="pg11794_147160"/>
    </w:p>
    <w:p>
      <w:pPr>
        <w:pStyle w:val="Heading6"/>
        <w:numPr>
          <w:ilvl w:val="5"/>
          <w:numId w:val="1"/>
        </w:numPr>
        <w:rPr/>
      </w:pPr>
      <w:bookmarkStart w:id="436" w:name="__RefHeading___Toc10299210_73709187"/>
      <w:bookmarkStart w:id="437" w:name="_Toc161"/>
      <w:bookmarkEnd w:id="435"/>
      <w:bookmarkEnd w:id="436"/>
      <w:r>
        <w:rPr>
          <w:rtl w:val="true"/>
        </w:rPr>
        <w:t>وجوب الابتداء بالأعلى</w:t>
      </w:r>
      <w:bookmarkEnd w:id="43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986"/>
      </w:r>
      <w:r>
        <w:rPr>
          <w:rFonts w:ascii="IRNazanin" w:hAnsi="IRNazanin" w:eastAsia="IRNazanin"/>
          <w:color w:val="111111"/>
          <w:sz w:val="28"/>
          <w:sz w:val="28"/>
          <w:szCs w:val="28"/>
          <w:rtl w:val="true"/>
          <w:lang w:bidi="fa-IR"/>
        </w:rPr>
        <w:t>بلزوم الابتداء بالأعلى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الفرع يقتضي التكلّم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الابتداء بالأعلى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الأوّل، لحكاية الإمام الباقر عليه السلام وضوء النبيّ صلى الله عليه و آله في جملة من النصوص، ففي 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أبو جعفر عليه السلام وضوء رسول اللّه صلى الله عليه و آله، فدعا بقدحٍ من ماء فأدخل يده اليمنى فأخذ كفّاً من ماءٍ فأسدلها على وجهه من أعلى الوجه، ثمّ مَسَحَ بيده الجانبين جميعاً</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الفعل، لاحتمال أن يكون أحد أفراد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ورد في مقام البيان، فإنّ حكاية الباقر عليه السلام له إنّما تكون لذلك، ولذا ترى أنّ الظاهر منه أنّ زرارة فهم منه الخصوصيّة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غير ظاهر في كون المحكيّ هو خصوص الواجب، لأنّه من الجائز إرادة حكاية ما يشتمل على بعض المندوبات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تسليم ظهور النقل في الرجحان، بما أنّه لم يرد في تركه الترخيص، يتعيّن حمله على إرادة الوجوب، كما هو الشأن في جميع الموارد، إذ الوجوب إنّما ينتزع من طلب الشيء مع عدم ورود الترخيص في الترك، كما أشرنا إليه في هذا الشرح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واشتمال الخبر على بعض الخصوصيّات المستحبّة، لا يوجب ظهوره في إرادة الاستحباب، فإنّ رفع اليد عن ظاهر الطلب بالنسبة إلى بعض القيود بدليل آخر لا يصلح قرينةً لصرفه عن ظاهره بالنسبة إلى ما لم يرد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المحكي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أنّهما قالا بعد أحد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قال بعدما 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وضوءٌ لا يقبل اللّه الصَّلاة إلّابه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في أنّ المراد باسم الإشارة، الوضوء المذكور مع تمام الخصوصيّات، واستحباب بعضها بدليلٍ خارجي لا يكون قرينةً للحمل على إرادة صَرف ماهيّة الوضوء، ولا يقدح إرساله لانجباره بما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للمختار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جُرير،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تعمق في الوضوء، ولا تلطم وجهك بالماء لطماً، ولكن اغسله من أعلى وجهك إلى أسفله بالماء مسحاً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واستحباب المسح لدليلٍ خارجي، لا يصلح قرينة لصرف ظهور الأمر بالبِدْأة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بالأعلى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الغَسل على إرادة المسح،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 مفعولاً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نُسلّم ظهوره في كونه مفعولاً، بل يصلح أن يكون حالاً، فيكون مفاده اغسله ماسحاً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ظهر ضعف ما عن السيّد</w:t>
      </w:r>
      <w:r>
        <w:rPr>
          <w:rStyle w:val="FootnoteAnchor"/>
          <w:rtl w:val="true"/>
        </w:rPr>
        <w:footnoteReference w:id="994"/>
      </w:r>
      <w:r>
        <w:rPr>
          <w:rFonts w:ascii="Amiri" w:hAnsi="Amiri" w:eastAsia="Amiri" w:cs="Amiri"/>
          <w:color w:val="111111"/>
          <w:sz w:val="28"/>
          <w:sz w:val="28"/>
          <w:szCs w:val="28"/>
          <w:rtl w:val="true"/>
          <w:lang w:bidi="ar-SA"/>
        </w:rPr>
        <w:t>والشهيد</w:t>
      </w:r>
      <w:r>
        <w:rPr>
          <w:rStyle w:val="FootnoteAnchor"/>
          <w:rtl w:val="true"/>
        </w:rPr>
        <w:footnoteReference w:id="995"/>
      </w:r>
      <w:r>
        <w:rPr>
          <w:rFonts w:ascii="Amiri" w:hAnsi="Amiri" w:eastAsia="Amiri" w:cs="Amiri"/>
          <w:color w:val="111111"/>
          <w:sz w:val="28"/>
          <w:sz w:val="28"/>
          <w:szCs w:val="28"/>
          <w:rtl w:val="true"/>
          <w:lang w:bidi="ar-SA"/>
        </w:rPr>
        <w:t>وابني إدريس</w:t>
      </w:r>
      <w:r>
        <w:rPr>
          <w:rStyle w:val="FootnoteAnchor"/>
          <w:rtl w:val="true"/>
        </w:rPr>
        <w:footnoteReference w:id="996"/>
      </w:r>
      <w:r>
        <w:rPr>
          <w:rFonts w:ascii="Amiri" w:hAnsi="Amiri" w:eastAsia="Amiri" w:cs="Amiri"/>
          <w:color w:val="111111"/>
          <w:sz w:val="28"/>
          <w:sz w:val="28"/>
          <w:szCs w:val="28"/>
          <w:rtl w:val="true"/>
          <w:lang w:bidi="ar-SA"/>
        </w:rPr>
        <w:t>وسعيد</w:t>
      </w:r>
      <w:r>
        <w:rPr>
          <w:rStyle w:val="FootnoteAnchor"/>
          <w:rtl w:val="true"/>
        </w:rPr>
        <w:footnoteReference w:id="997"/>
      </w:r>
      <w:r>
        <w:rPr>
          <w:rFonts w:ascii="IRNazanin" w:hAnsi="IRNazanin" w:eastAsia="IRNazanin"/>
          <w:color w:val="111111"/>
          <w:sz w:val="28"/>
          <w:sz w:val="28"/>
          <w:szCs w:val="28"/>
          <w:rtl w:val="true"/>
          <w:lang w:bidi="fa-IR"/>
        </w:rPr>
        <w:t>وصاحب المعالم</w:t>
      </w:r>
      <w:r>
        <w:rPr>
          <w:rStyle w:val="FootnoteAnchor"/>
          <w:rtl w:val="true"/>
        </w:rPr>
        <w:footnoteReference w:id="998"/>
      </w:r>
      <w:r>
        <w:rPr>
          <w:rFonts w:ascii="Amiri" w:hAnsi="Amiri" w:eastAsia="Amiri" w:cs="Amiri"/>
          <w:color w:val="111111"/>
          <w:sz w:val="28"/>
          <w:sz w:val="28"/>
          <w:szCs w:val="28"/>
          <w:rtl w:val="true"/>
          <w:lang w:bidi="ar-SA"/>
        </w:rPr>
        <w:t>والشيخ البهائي</w:t>
      </w:r>
      <w:r>
        <w:rPr>
          <w:rStyle w:val="FootnoteAnchor"/>
          <w:rtl w:val="true"/>
        </w:rPr>
        <w:footnoteReference w:id="999"/>
      </w:r>
      <w:r>
        <w:rPr>
          <w:rFonts w:ascii="Amiri" w:hAnsi="Amiri" w:eastAsia="Amiri" w:cs="Amiri"/>
          <w:color w:val="111111"/>
          <w:sz w:val="28"/>
          <w:sz w:val="28"/>
          <w:szCs w:val="28"/>
          <w:rtl w:val="true"/>
          <w:lang w:bidi="ar-SA"/>
        </w:rPr>
        <w:t>من جواز النكس تمسّكاً بإطلاق الغسل الوارد في الكتاب والسُنّة، لتعيّن تقييده بما تقدّم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بوجوب الابتداء بالأعلى من الوجه، هل يجوز النَّكس في الغَسل نفسه إن أمكن مع الابتداءبالأعلى، بأن يستقبل الشعر فيه مثلاً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للوضوءات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الابتداء بالأعلى، هل يجب غَسل الأعلى فالأعلى، أم يجوز غسل الأسفل قبل غَسل ما فوقه؟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إلى توهّم وجوب غَسل الأعلى فالأعلى بحسب الخطوط العرضيّة الذي استند القول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إلى بعض القاصرين، لمنافاته مع النصوص المتضمّنة للوضوءات البيانيّة، لاحظ مصحّح زرارة، عن أبي جعفر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غرف فملأها ماءً فوضعها على جبينه،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وسَدَله على أطراف لحيته، ثم أمرَّ يده على وجهه وظاهر جبينه مرّةً واحدة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ولسيرة المتشرّعة، واستلزامه الحَرَج المنفيّ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بالبدأة بالأعلى ولو يسيراً، وعدم الترتيب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لصريح خبر أبي جرير المتقدّم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غسل الأعلى فالأعلى مسامتاً حقيقةً، فتدفعه الوضوءات البيانيّة، واستلزامه العُسر والحرج، فإذاً يتعيّن القول بالاكتفاء بالغَسل من الأعلى فالأعلى مسامتاً عرفاً، الذي يكون الدليلان المتقدّمان ظاهرين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دلَّ على وجوب الابتداء بالأعلى، عدم جواز المقارنة بين الأجزاء في الغَسل، ولكن الأصحاب إنّما يفرعون عليه عدم 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أزيد من صدق البدأة بالأعلى عرفاً، فتدبّر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38" w:name="pg11794_147164"/>
    </w:p>
    <w:p>
      <w:pPr>
        <w:pStyle w:val="Heading6"/>
        <w:numPr>
          <w:ilvl w:val="5"/>
          <w:numId w:val="1"/>
        </w:numPr>
        <w:rPr/>
      </w:pPr>
      <w:bookmarkStart w:id="439" w:name="__RefHeading___Toc10299212_73709187"/>
      <w:bookmarkStart w:id="440" w:name="_Toc162"/>
      <w:bookmarkEnd w:id="438"/>
      <w:bookmarkEnd w:id="439"/>
      <w:r>
        <w:rPr>
          <w:rtl w:val="true"/>
        </w:rPr>
        <w:t>عدم وجوب التخليل</w:t>
      </w:r>
      <w:bookmarkEnd w:id="44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عدم وجوب غَسل ما تحت الشعر المحاط بالوجه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أرايت ما أحاط به الشعر؟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على العباد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يتوضّأ، أيبطن لحيته؟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المتضمّنة للوضوءات البيانيّة، فإنّ إمرار اليد على الوجه مرّةً واحدة، يستلزم غَسل ظاهر الشعر المحيط دون البشرة المحاطة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إنّما وقع بين الأعلام في تشخيص بعض مصاديقه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ما تصدق به الإحاطة، هو ما لا يغسل بإمرار اليد مرّةً واحدة، بل يحتاج إلى بحث وطلب، والشاهد على ذلك النصوص البيانيّة، وذيل صحيح زرارة المتقدّم، فمنابت الشعر التي تُغسل بإمرار اليد مرّة </w:t>
      </w:r>
    </w:p>
    <w:p>
      <w:pPr>
        <w:pStyle w:val="BookText"/>
        <w:rPr/>
      </w:pPr>
      <w:r>
        <w:rPr>
          <w:rFonts w:ascii="Amiri" w:hAnsi="Amiri" w:eastAsia="Amiri" w:cs="Amiri"/>
          <w:color w:val="111111"/>
          <w:sz w:val="28"/>
          <w:sz w:val="28"/>
          <w:szCs w:val="28"/>
          <w:rtl w:val="true"/>
          <w:lang w:bidi="ar-SA"/>
        </w:rPr>
        <w:t>واحدة لا تكون داخلة في النصوص المتقدّمة، فلابدَّ فيها من الرجوع إلى إطلاق أدلّة وجوب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اسمٌ لما يواجه به فلا يصدق على البشرة المستورة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الوجه الموضوع للعضو المخصوص ولو كان محاطاً بالشعر الكثيف، فكلّ ما لم يدلّ دليل على خروجه يجب غَسله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الموارد التي يجب غَسل البشرة، هل يجب غَسل الشعر النابت فيها،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عديدة،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وجوب غَسل الوجه تدلّ على لزوم غَسله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وبدخوله في مسمّى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الاشتغال، إذ المعتبر في الغايات هو أثر الوضوء وهو الطهارة، فالشكّ في وجوب غسل الشعر شكّ في المحصّل، والمرجع فيه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التبعيّة في دلالة الأدلّة ممنوعة جدّاً، وفي غيرها لا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الوجه اسمٌ لخصوص العضو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حقّقناه في محلّه من أنّه إذا كان بيان المحصّل من وظائف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هو البراءة، إذ مقتضى العبوديّة هو الإتيان بجميع ما بيَّنه المولى وأمر به ولو لغيره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 المأتي به المطابق للمأمور به محصّلاً للمطلوب النفسي والغرض، فهو من وظائف المولى، فمع الإخلال به يكون التفويت مستنداً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قد عرفت أنّ المعتبر في الغايات هو الوضوء نفسه، وأنّ الطهارة من العناوين المنطبقة عليه لا أنّها أثره، وعليه فالشكّ في المقام كسائر موارد الشكّ في الأقلّ والأكثر موردٌ للرجوع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عدم وجوب غَسله، إلّاأن يثبت الإجماع على وجوبه، وقد ادّعاه المحقّق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فعدم وجوب غَسل مسترسل اللّحية واضح، لعدم دخوله في الوجه، بل لو ثبت الإجماع على وجوب غَسل الشعر النابت الداخل في حدّ الوجه، لا يجب غسله أيضاً، إذ المشهور بين الأصحاب عدم الوجوب، بل عن غير واحدٍ دعوى الإجماع عليه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441" w:name="pg11794_147167"/>
    </w:p>
    <w:p>
      <w:pPr>
        <w:pStyle w:val="Heading6"/>
        <w:numPr>
          <w:ilvl w:val="5"/>
          <w:numId w:val="1"/>
        </w:numPr>
        <w:rPr/>
      </w:pPr>
      <w:bookmarkStart w:id="442" w:name="__RefHeading___Toc10299214_73709187"/>
      <w:bookmarkStart w:id="443" w:name="_Toc163"/>
      <w:bookmarkEnd w:id="441"/>
      <w:bookmarkEnd w:id="442"/>
      <w:r>
        <w:rPr>
          <w:rtl w:val="true"/>
        </w:rPr>
        <w:t>عدم لزوم غَسل البواطن</w:t>
      </w:r>
      <w:bookmarkEnd w:id="443"/>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 العين والأنف والفم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البيانيّة، فإنّ البواطن لا تُغسل بمجرّد صبّ الماء على الوجه مرّةً واحدة، وإمرار اليد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المضمضة والاستنشاق فريضة ولا سُنّة، إنّما عليك أنْ تغسل ما ظَهَر</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غَسل شيء منها من باب المقدّمة العلميّة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 المحاطة بالشّعر لا يُجزي غَسلها عن غَسل الشعر المأمور بغسله، لأنّ في الأدلّة أمرٌ بغَسل الشّعر، فالاجتزاء بغيره عنه يحتاج إلى دليل، وهو مفقود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يثبت كون هذا الحكم رخصة، لو لم ندّع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للعباد أن يطلبوه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بنحو العزيمة، وأنّ الواجب غَسل الشّعر دون البشرة، لا بدليّة الشعر عن البشرة</w:t>
      </w:r>
      <w:r>
        <w:rPr>
          <w:rFonts w:eastAsia="Amiri" w:cs="Amiri" w:ascii="Amiri" w:hAnsi="Amiri"/>
          <w:color w:val="111111"/>
          <w:sz w:val="28"/>
          <w:szCs w:val="28"/>
          <w:rtl w:val="true"/>
          <w:lang w:bidi="ar-SA"/>
        </w:rPr>
        <w:t>.</w:t>
      </w:r>
      <w:bookmarkStart w:id="444" w:name="pg11794_147168"/>
    </w:p>
    <w:p>
      <w:pPr>
        <w:pStyle w:val="Heading6"/>
        <w:numPr>
          <w:ilvl w:val="5"/>
          <w:numId w:val="1"/>
        </w:numPr>
        <w:rPr/>
      </w:pPr>
      <w:bookmarkStart w:id="445" w:name="__RefHeading___Toc10299216_73709187"/>
      <w:bookmarkStart w:id="446" w:name="_Toc164"/>
      <w:bookmarkEnd w:id="444"/>
      <w:bookmarkEnd w:id="445"/>
      <w:r>
        <w:rPr>
          <w:rtl w:val="true"/>
        </w:rPr>
        <w:t>في حكم الشكّ في مانعيّة المانع</w:t>
      </w:r>
      <w:bookmarkEnd w:id="446"/>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وجود ما يشكّ في مانعيّته، يجبُ تحصيل اليقين بوصول الماء إلى البشرة، لأنّ الشكّ إنّما هو في الامتثال، وهو موردٌ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الحاجب لا تُجدي في إثبات الوصول، إلّاعلى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عليها السِّوار والدُّملج في بعض ذراعها، لا تدري يجري الماء تحته أم لا، كيف تصنع إذا توضّأت أو اغتسلت؟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فيعارضه ما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الخاتم الضيِّق لا يدري هل يجري الماء تحته إذا توضّأ أم لا،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يمكن حمل أحدهما على الآخر بتخصيصه بغير مورد الشكّ، لأنّ كلّاً منهما إنّما سيق لبيان حكم صورة الشكّ، فإخراجها مستلزمٌ لإخراج المورد، فلا محالة يتعارضان ويتساقطان، فيرجع إلى ما تقتضيه القاعدة</w:t>
      </w:r>
      <w:r>
        <w:rPr>
          <w:rFonts w:eastAsia="Amiri" w:cs="Amiri" w:ascii="Amiri" w:hAnsi="Amiri"/>
          <w:color w:val="111111"/>
          <w:sz w:val="28"/>
          <w:szCs w:val="28"/>
          <w:rtl w:val="true"/>
          <w:lang w:bidi="ar-SA"/>
        </w:rPr>
        <w:t>.</w:t>
      </w:r>
      <w:bookmarkStart w:id="447" w:name="pg11794_147169"/>
    </w:p>
    <w:p>
      <w:pPr>
        <w:pStyle w:val="Heading6"/>
        <w:numPr>
          <w:ilvl w:val="5"/>
          <w:numId w:val="1"/>
        </w:numPr>
        <w:rPr/>
      </w:pPr>
      <w:bookmarkStart w:id="448" w:name="__RefHeading___Toc10299218_73709187"/>
      <w:bookmarkStart w:id="449" w:name="_Toc165"/>
      <w:bookmarkEnd w:id="447"/>
      <w:bookmarkEnd w:id="448"/>
      <w:r>
        <w:rPr>
          <w:rtl w:val="true"/>
        </w:rPr>
        <w:t>الشكّ في وجود الحاجب</w:t>
      </w:r>
      <w:bookmarkEnd w:id="449"/>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أصل وجود الحاجب، يجب الفحص، أو المبالغة حتّى يحصل الاطمئنان بوصول الماء إلى البشرة،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وعدم الاعتناء بشكّه، بل يبني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السيرة التي يقطع فيها برأي المعصوم على عدم الفحص عن الحواجب عند الوضوء والغَسل، مع قيام الاحتمال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مراراً في هذا الشرح من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فجريانه يتوقّف على القول بالأصل المثبت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فموهونة، لعدم تعرّض جُلّ الأصحاب 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في الموارد التي لا يطمئنون بعدم وجود الحاجب، إذ في غالب الموارد التي لا يعتنون باحتمال وجوده يطمئنون بالعدم، ولذا ترى أنّهم يعتنون بالشكّ في وجود قلنسوة على الرأس، مع أنّ عدم اعتنائهم بالشكّ لو ثبت يمكن أن يكون من جهة إفتاء المقلّدين بعدم وجوب الفحص</w:t>
      </w:r>
      <w:r>
        <w:rPr>
          <w:rFonts w:eastAsia="Amiri" w:cs="Amiri" w:ascii="Amiri" w:hAnsi="Amiri"/>
          <w:color w:val="111111"/>
          <w:sz w:val="28"/>
          <w:szCs w:val="28"/>
          <w:rtl w:val="true"/>
          <w:lang w:bidi="ar-SA"/>
        </w:rPr>
        <w:t>.</w:t>
      </w:r>
      <w:bookmarkStart w:id="450" w:name="pg11794_147170"/>
    </w:p>
    <w:p>
      <w:pPr>
        <w:pStyle w:val="BookText"/>
        <w:rPr/>
      </w:pPr>
      <w:bookmarkEnd w:id="450"/>
      <w:r>
        <w:rPr>
          <w:rFonts w:ascii="Amiri" w:hAnsi="Amiri" w:eastAsia="Amiri" w:cs="Amiri"/>
          <w:color w:val="111111"/>
          <w:sz w:val="28"/>
          <w:sz w:val="28"/>
          <w:szCs w:val="28"/>
          <w:rtl w:val="true"/>
          <w:lang w:bidi="ar-SA"/>
        </w:rPr>
        <w:t>وغَسل اليدين من المرفقين إلى أطراف الأصابع، ولو عَكَس لم يجزء</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0299220_73709187"/>
      <w:bookmarkStart w:id="452" w:name="_Toc166"/>
      <w:bookmarkEnd w:id="451"/>
      <w:r>
        <w:rPr>
          <w:rtl w:val="true"/>
        </w:rPr>
        <w:t>غسل اليدين</w:t>
      </w:r>
      <w:bookmarkEnd w:id="452"/>
    </w:p>
    <w:p>
      <w:pPr>
        <w:pStyle w:val="Heading6"/>
        <w:numPr>
          <w:ilvl w:val="5"/>
          <w:numId w:val="1"/>
        </w:numPr>
        <w:rPr/>
      </w:pPr>
      <w:bookmarkStart w:id="453" w:name="__RefHeading___Toc10299222_73709187"/>
      <w:bookmarkStart w:id="454" w:name="_Toc167"/>
      <w:bookmarkEnd w:id="453"/>
      <w:r>
        <w:rPr>
          <w:rtl w:val="true"/>
        </w:rPr>
        <w:t>اشارة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واجبات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013"/>
      </w:r>
      <w:r>
        <w:rPr>
          <w:rFonts w:ascii="Amiri" w:hAnsi="Amiri" w:eastAsia="Amiri" w:cs="Amiri"/>
          <w:color w:val="111111"/>
          <w:sz w:val="28"/>
          <w:sz w:val="28"/>
          <w:szCs w:val="28"/>
          <w:rtl w:val="true"/>
          <w:lang w:bidi="ar-SA"/>
        </w:rPr>
        <w:t>، بل يعدّ ذلك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وهذا ممّا لا كلام فيه، إنّما الكلام وقع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تعيّن أن يكون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المرفقين إلى أطراف الأصابع، ولو عَكَس لم يُجزء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1014"/>
      </w:r>
      <w:r>
        <w:rPr>
          <w:rFonts w:ascii="Amiri" w:hAnsi="Amiri" w:eastAsia="Amiri" w:cs="Amiri"/>
          <w:color w:val="111111"/>
          <w:sz w:val="28"/>
          <w:sz w:val="28"/>
          <w:szCs w:val="28"/>
          <w:rtl w:val="true"/>
          <w:lang w:bidi="ar-SA"/>
        </w:rPr>
        <w:t>، وابن إدريس</w:t>
      </w:r>
      <w:r>
        <w:rPr>
          <w:rStyle w:val="FootnoteAnchor"/>
          <w:rtl w:val="true"/>
        </w:rPr>
        <w:footnoteReference w:id="1015"/>
      </w:r>
      <w:r>
        <w:rPr>
          <w:rFonts w:ascii="Amiri" w:hAnsi="Amiri" w:eastAsia="Amiri" w:cs="Amiri"/>
          <w:color w:val="111111"/>
          <w:sz w:val="28"/>
          <w:sz w:val="28"/>
          <w:szCs w:val="28"/>
          <w:rtl w:val="true"/>
          <w:lang w:bidi="ar-SA"/>
        </w:rPr>
        <w:t>، والسيّد</w:t>
      </w:r>
      <w:r>
        <w:rPr>
          <w:rStyle w:val="FootnoteAnchor"/>
          <w:rtl w:val="true"/>
        </w:rPr>
        <w:footnoteReference w:id="1016"/>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النكس، ووافقهم أو مالَ إليه جماعةٌ من المتأخّرين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وتشهد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1017"/>
      </w:r>
      <w:r>
        <w:rPr>
          <w:rFonts w:ascii="Amiri" w:hAnsi="Amiri" w:eastAsia="Amiri" w:cs="Amiri"/>
          <w:color w:val="111111"/>
          <w:sz w:val="28"/>
          <w:sz w:val="28"/>
          <w:szCs w:val="28"/>
          <w:rtl w:val="true"/>
          <w:lang w:bidi="ar-SA"/>
        </w:rPr>
        <w:t xml:space="preserve">المتضمّنة للوضوءات البيانيّة، بالتقريب المتقدّم </w:t>
      </w:r>
    </w:p>
    <w:p>
      <w:pPr>
        <w:pStyle w:val="BookText"/>
        <w:rPr/>
      </w:pPr>
      <w:r>
        <w:rPr>
          <w:rFonts w:ascii="Amiri" w:hAnsi="Amiri" w:eastAsia="Amiri" w:cs="Amiri"/>
          <w:color w:val="111111"/>
          <w:sz w:val="28"/>
          <w:sz w:val="28"/>
          <w:szCs w:val="28"/>
          <w:rtl w:val="true"/>
          <w:lang w:bidi="ar-SA"/>
        </w:rPr>
        <w:t xml:space="preserve">في غَسل الوجه، لاسيّما وفي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الماء على ذراعه مِنَ المرفق إلى الكفّ لا يردّها إلى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عن أبي الحسن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 يأخذ الماء بيده اليمنى فيصبّه في اليسرى، ثمّ يفيضه على المرفق، ثمّ يمسح إلى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وإلّا فلا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باحتماله رفع الوجوب الثابت حال التقيَّة من الغير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المناقشة تجري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تجري في صدر الحديث الظاهر في تعيّن الغَسل من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الهيثم بن عروة التميمي،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ومَسَحتُ من ظهر كفّي إلى المرفق؟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من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يده من مرفقه إلى أصابعه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بسنده عن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كتب إليه بعد صلاح حاله عند السلطان، وارتفاع التّهمة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ابن يقطين توضّأ كما أمرك اللّه تعالى، اِغسِلْ وَجهَك مرّةً فريضةً، واُخرى إسباغاً، واغسِل يديك من المرفقين كذلك</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فيتعيّن الإعراض عنها لمخالفتها مع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لكون اليد موضوعة للعضو المخصوص بتمامه، وعند الإطلاق تنصرف إليه، فلو اُريد منها مقدارٌ من ذلك العضو، لابدَّ من تحديده وتقييده،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تحديداً للمغسول لا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مطلقة أو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مبيِّنة لاجمالها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55" w:name="pg11794_147173"/>
    </w:p>
    <w:p>
      <w:pPr>
        <w:pStyle w:val="Heading6"/>
        <w:numPr>
          <w:ilvl w:val="5"/>
          <w:numId w:val="1"/>
        </w:numPr>
        <w:rPr/>
      </w:pPr>
      <w:bookmarkStart w:id="456" w:name="__RefHeading___Toc10299224_73709187"/>
      <w:bookmarkStart w:id="457" w:name="_Toc168"/>
      <w:bookmarkEnd w:id="455"/>
      <w:bookmarkEnd w:id="456"/>
      <w:r>
        <w:rPr>
          <w:rtl w:val="true"/>
        </w:rPr>
        <w:t>وجوب غسل المرفق</w:t>
      </w:r>
      <w:bookmarkEnd w:id="457"/>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لزوم غَسل المرفق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جميع الفقهاء إلّازُفَر</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ثبت عن الأئمّة عليهم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أفاد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دعوى القطع بالثبوت كدعوى التواتر أو الإجماع، فلا يقصر هذا المرسل عن الصحيح</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استعمالها فيها مجازاً، بل بمعنى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فيما وضعت له وهو الانتهاء، ولكن بما أنّ مدخولها إذا كان شيئاً ذا أجزاء لا يُعقل أن يكون بتمامه غاية حقيقة، والّتي هي الحَدّ المشترك بين المغيّى وما هو خارجٌ منه، كالنقطة الموهومة التي ينقسم بها الخط، فلابدَّ من تقدير كلمةٍ يقتضيها المقام، كلفظ الأوّل أو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فمعنى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المقدّر هو الآخر مثلاً، فتكون الغاية على هذا داخلة في المغيّى لا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 غسله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الحاكي لوضوء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الماء على مرفقه فأمرَّ كفَّه على ساعده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المعروف بين الأصحاب أنّ لزوم غَسل المرفق يعدّ وجوباً نفسيّاً لا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وجوبه مقدّميّاً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أقوى، لظهور الخبرين في ذلك،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ظاهر الأمر بالشيء في نفسه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المقام من جهة أنّ وجوبه لو كان مقدّميّاً لما كان وجهٌ لتخصيصه بالذِّكر، لا محيص عن الالتزام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أنّ ما عن جماعةٍ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 الموهوم المفروض على محلّ التواصل والتداخل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إذ ليس هو شيئاً موجوداً خارجيّاً كي يجب غَسله، وقد عرفت أنّ المرفق شيءٌ يجب غسله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يرجع إلى هذا المعنى 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طرفُ الساعد خاصّة، بأن يكون مراده بذلك طرفه الحقيقي، 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رأس عظم الذراع</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يساعد هذا التفسير وضعه المادّي، أنّه مخالفٌ لكلمات جُلّ العلماء وكلّ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رأسُ عَظم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ما هو المشهور، وهو مجمع العظمين المتداخلين، وعلى ذلك فشيءٌ منه داخلٌ في الذراع، وشيءٌ منه في العضد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أنّه لا يترتّب على النزاع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مهمّة،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عدم قطع اليد يجبُ غَسل تمام البشرة المستديرة على موضع التداخل، على جميع التفاسير، كما هو مقتضى أدلّة وجوب غَسل المرفق، ولعلّه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قطع اليد من المرفق، بمعنى اخراج عظم الذراع من العضد يجبُ غَسل ما بقي من العضد بأيّ معنى أُخذ المرفق، للخبر الصحيح الذي رواه عليّبن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قطعت يده من المرفق، كيف 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لإطالة الكلام في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58" w:name="pg11794_147176"/>
    </w:p>
    <w:p>
      <w:pPr>
        <w:pStyle w:val="Heading6"/>
        <w:numPr>
          <w:ilvl w:val="5"/>
          <w:numId w:val="1"/>
        </w:numPr>
        <w:rPr/>
      </w:pPr>
      <w:bookmarkStart w:id="459" w:name="__RefHeading___Toc10299226_73709187"/>
      <w:bookmarkStart w:id="460" w:name="_Toc169"/>
      <w:bookmarkEnd w:id="458"/>
      <w:bookmarkEnd w:id="459"/>
      <w:r>
        <w:rPr>
          <w:rtl w:val="true"/>
        </w:rPr>
        <w:t>في غَسل باقي اليد المقطوع بعضها</w:t>
      </w:r>
      <w:bookmarkEnd w:id="460"/>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 يده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قطعت ممّا دون المرفق، وجب عليه غَسل ما بقي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دعوى الإجماع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نسبته إلى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الذي رواه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الأقطع اليد والرجل؟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هذا الشرح غير مرّةٍ، من ضعف النصوص الدالّة عليها، وعدم دلالة تلك النصوص على عدم سقوط الميسور من الأجزاء بالمعسور منها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 يده من فوق المرفق، فإنّه لا يجب عليه غَسل العضد كما هو المشهور</w:t>
      </w:r>
      <w:r>
        <w:rPr>
          <w:rStyle w:val="FootnoteAnchor"/>
          <w:rtl w:val="true"/>
        </w:rPr>
        <w:footnoteReference w:id="104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43"/>
      </w:r>
      <w:r>
        <w:rPr>
          <w:rFonts w:ascii="Amiri" w:hAnsi="Amiri" w:eastAsia="Amiri" w:cs="Amiri"/>
          <w:color w:val="111111"/>
          <w:sz w:val="28"/>
          <w:sz w:val="28"/>
          <w:szCs w:val="28"/>
          <w:rtl w:val="true"/>
          <w:lang w:bidi="ar-SA"/>
        </w:rPr>
        <w:t>دعوى الإجماع عليه لعدم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 المتقدّمة، فالظاهر منها بحكم الغلبة هو الأقطع ممّا دون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المعنى الاسمي، ويشهد لذلك الإجماع على عدم وجوب غَسل العضد، فتدبّر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قُطعت يده من المرفق، فقد عرفت أنّ مقتضى صحيح عليّبن جعفر لزوم غَسل ما كان من العضد جزءً من المرفق</w:t>
      </w:r>
      <w:r>
        <w:rPr>
          <w:rFonts w:eastAsia="Amiri" w:cs="Amiri" w:ascii="Amiri" w:hAnsi="Amiri"/>
          <w:color w:val="111111"/>
          <w:sz w:val="28"/>
          <w:szCs w:val="28"/>
          <w:rtl w:val="true"/>
          <w:lang w:bidi="ar-SA"/>
        </w:rPr>
        <w:t>.</w:t>
      </w:r>
      <w:bookmarkStart w:id="461" w:name="pg11794_147178"/>
    </w:p>
    <w:p>
      <w:pPr>
        <w:pStyle w:val="Heading6"/>
        <w:numPr>
          <w:ilvl w:val="5"/>
          <w:numId w:val="1"/>
        </w:numPr>
        <w:rPr/>
      </w:pPr>
      <w:bookmarkStart w:id="462" w:name="__RefHeading___Toc10299228_73709187"/>
      <w:bookmarkStart w:id="463" w:name="_Toc170"/>
      <w:bookmarkEnd w:id="461"/>
      <w:bookmarkEnd w:id="462"/>
      <w:r>
        <w:rPr>
          <w:rtl w:val="true"/>
        </w:rPr>
        <w:t>حكم الشَّعر النابت دون المرفق</w:t>
      </w:r>
      <w:bookmarkEnd w:id="463"/>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غَسل الشَّعر النابت فيما دون المرفق، بل عن غير واحدٍ، منهم الشيخ الأعظم</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توابع اليد، فيفهم من الأمر بغَسل اليد لزوم 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التبعيّة في الخارج لا توجب التبعيّة في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المعتمد هو الإجماع إن 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غَسل البشرة، أم يكتفي بغَسل الشَّعر إذا كان كثيفا عن غسلها؟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الاتّفاق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الأمر بغَسل اليدين، وبالإجماع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الإطلاق، فيجب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بالنصوص البيانيّة، فإنّ مقتضى تلك النصوص عدم وجوب غَسل ما لا يُغسَل بصبّ الماء مرّةً، وإمرار اليد عليه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أن يطلبوه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يجري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مانعٌ عن إرادة </w:t>
      </w:r>
    </w:p>
    <w:p>
      <w:pPr>
        <w:pStyle w:val="BookText"/>
        <w:rPr/>
      </w:pPr>
      <w:r>
        <w:rPr>
          <w:rFonts w:ascii="Amiri" w:hAnsi="Amiri" w:eastAsia="Amiri" w:cs="Amiri"/>
          <w:color w:val="111111"/>
          <w:sz w:val="28"/>
          <w:sz w:val="28"/>
          <w:szCs w:val="28"/>
          <w:rtl w:val="true"/>
          <w:lang w:bidi="ar-SA"/>
        </w:rPr>
        <w:t>العموم من الموصول، لعدم جريان هذا الحكم في الرأس والرِّجلين، فيدور الأمر بين إرادة خصوص ما أحاط بالوجه، وبين ما هو أعمٌّ منه ومن ما أحاط باليدين، ولا أولويّة للثاني بعد احتياجه إلى سبق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 العام لا يوجب عدم حجّيته في الباقي، كما هو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العموم، ولكن لابدَّ من تخصيصه بما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يجري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 يوجب عدم حجّيته فيما عدا مورد التخصيص، أو إرادة العهد من الموصول كي يجري فيه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معلوم 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سؤالاً ابتدائيّاً، بل هو سؤال عمّا أحاط بالوجه من الشَّعر، كما يظهر لمن لاحظ الرواية صدراً وذيلاً، فلا مجال للأخذ بعموم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لا يكون مخصِّصاً، كما هو ثابت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ثبوته، بما أنّه يحتمل أن يكون مدرك المجمعين ما ذُكر،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اختاره كاشف الغطاء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تكاثف عليها الشّعر أجزأ غَسله عن غَسل البشرة، والأحوط غَسلها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64" w:name="pg11794_147180"/>
    </w:p>
    <w:p>
      <w:pPr>
        <w:pStyle w:val="Heading6"/>
        <w:numPr>
          <w:ilvl w:val="5"/>
          <w:numId w:val="1"/>
        </w:numPr>
        <w:rPr/>
      </w:pPr>
      <w:bookmarkStart w:id="465" w:name="__RefHeading___Toc10299230_73709187"/>
      <w:bookmarkStart w:id="466" w:name="_Toc171"/>
      <w:bookmarkEnd w:id="464"/>
      <w:bookmarkEnd w:id="465"/>
      <w:r>
        <w:rPr>
          <w:rtl w:val="true"/>
        </w:rPr>
        <w:t>لزوم غَسل اليد الزائدة</w:t>
      </w:r>
      <w:bookmarkEnd w:id="466"/>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يدٌ زائدة دون المرفق، وجب عليه غَسلها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يجب غَسل ما دون المرفق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ما في الحَدّ من اللَّحم الزائد، والإصبع الزائدة، بل الحكم فيهما أظهر لأنّهما من أجزاء اليد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له لحمٌ زائد فوق المرفق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يصدق عليه اليد، بل كان لحماً زائداً، لا إشكال في عدم وجوب غَسله، لكونه فوق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 عليه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ذات مرفق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ذات مرفق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يعلم الزائدة عن الأصليّة، واُخرى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 أصليّتين، يعني متساويتين في الخِلقة من جميع الجهات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لزوم الغَسل في جميع الصور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في الصورة الاُولى، لانصراف الإطلاقات إلى المتعارف في خلقة الإنسان، ولتثنية اليد في جملةٍ من النصوص، وهما وإنْ اقتضيا عدم وجوب غَسل الزائدة في الصورة الثانية، إلّاأنّه يجب فيها ذلك مقدّمةً لا أصالة، ويتخيّر في غَسل أيّتهما، ولا في الصورة الثالثة، لعدم وجوب غَسل أزيد من اليدين، كما تقتضيه جملةٍ من النصوص، وحيثُ لا امتياز لإحداهما على الاُخرى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فاليد الزائدة لا تكون مشمولة للنصوص الآمرة بالغَسل من المرفق، لعدم ثبوته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التعارف لا يوجب انصراف الإطلاق بنحوٍ يعتمد عليه، كما أشرنا إليه مراراً، بل هو انصرافٌ بدوي زائلٌ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المشتملة على تثنية اليد لا مفهوم لها كي تدلّ على عدم وجوب غَسل الزائدة، وتوجب تقييد إطلاق الأدلّة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اليد الزائدة التي لا مرفق لها، فحكمها حكم اليد الأصليّة التي ليس لها مرفق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لزوم غَسل اليد الزائدة مطلقاً أصالةً لا مقدّمةً، وعليه فيجوز مسح الرأس والرجل بها، لإطلاق ما دلَّ على أنّ المسح بما بقي من البلّة في اليد</w:t>
      </w:r>
      <w:r>
        <w:rPr>
          <w:rFonts w:eastAsia="Amiri" w:cs="Amiri" w:ascii="Amiri" w:hAnsi="Amiri"/>
          <w:color w:val="111111"/>
          <w:sz w:val="28"/>
          <w:szCs w:val="28"/>
          <w:rtl w:val="true"/>
          <w:lang w:bidi="ar-SA"/>
        </w:rPr>
        <w:t>.</w:t>
      </w:r>
      <w:bookmarkStart w:id="467" w:name="pg11794_147182"/>
    </w:p>
    <w:p>
      <w:pPr>
        <w:pStyle w:val="Heading6"/>
        <w:numPr>
          <w:ilvl w:val="5"/>
          <w:numId w:val="1"/>
        </w:numPr>
        <w:rPr/>
      </w:pPr>
      <w:bookmarkStart w:id="468" w:name="__RefHeading___Toc10299232_73709187"/>
      <w:bookmarkStart w:id="469" w:name="_Toc172"/>
      <w:bookmarkEnd w:id="467"/>
      <w:bookmarkEnd w:id="468"/>
      <w:r>
        <w:rPr>
          <w:rtl w:val="true"/>
        </w:rPr>
        <w:t>الوضوء الإرتماسي</w:t>
      </w:r>
      <w:bookmarkEnd w:id="469"/>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الوضوء بالارتماس اتّفاقاً،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 إطلاق أدلّة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اعتبار الجريان في مفهوم الغَسل، لابدَّ من عدم الاكتفاء بالارتماس، فهذا الاتّفاق كاشفٌ عن عدم أخذه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معقد هذا الاتّفاق عدم وجوب الصبّ والإكتفاء بالرمس، ولا يدلّ على عدم اعتبار شيءٌ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يعتبر في الارتماس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الوضوء بالغَسل حال الإخراج، بنحو يكون جريان الماء على الكفّ بعد الإخراج أيضاً جزءً من الوضوء، وبقاءً لغسله، لئلّا يلزم المسح بالماء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الأعلى فالأعلى في الغَسل، لما تقدّم من اعتبارها في الوضوء، وعليه فلابدَّ من تحريك اليد في الماء تدريجاً، كي يتحقّق الأعلى فالأعلى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صحّة الوضوء بماء المطر، بأن يقوم تحت السماء حال نزول المطر، فيقصد بنزوله الغَسل مع مراعاة الأعلى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صحيح ابن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يكون على وضوءٍ فيصيبه المطر حتّى يبتلّ رأسه ولحيته وجسده ويداه ورجلاه، هل يُجزيه ذلك من الوضوء؟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فإنّ ذلك يُجزيه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أنّه من الظاهر حتّى يجب غَسله، أو من الباطن فلا يجب؟</w:t>
      </w:r>
    </w:p>
    <w:p>
      <w:pPr>
        <w:pStyle w:val="BookText"/>
        <w:rPr/>
      </w:pPr>
      <w:r>
        <w:rPr>
          <w:rFonts w:ascii="Amiri" w:hAnsi="Amiri" w:eastAsia="Amiri" w:cs="Amiri"/>
          <w:color w:val="111111"/>
          <w:sz w:val="28"/>
          <w:sz w:val="28"/>
          <w:szCs w:val="28"/>
          <w:rtl w:val="true"/>
          <w:lang w:bidi="ar-SA"/>
        </w:rPr>
        <w:t>فإنْ كان سابقاً من الباطن، وشكّ في أنّه صار ظاهراً أم لا، كجوف الشقوق التي تحدث على ظهر الكفّ، فإنّه لا يجب غَسله، لاستصحاب كونه من الباطن، سواءٌ أكانت الشبهة مصداقيّة أم مفهوميّة بناءً على جريان الاستصحاب في الشبهات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به حصول الطهارة إلّابناءً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الطهارة من عناوين الوضوء لا شيء يحصل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بيان المحصّل إذا كان من وظائف المولى، تجري الاُصول فيه،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آخر لعدم وجوب الغَسل وهو أصالة البراءة، وأنّه لا يجب الغَسل مع الجهل بالحالة السابقة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سابقاً من الظاهر، ثمّ شكّ في أنّه صار من الباطن أم لا؟ وجب غسله للاستصحاب</w:t>
      </w:r>
      <w:r>
        <w:rPr>
          <w:rFonts w:eastAsia="Amiri" w:cs="Amiri" w:ascii="Amiri" w:hAnsi="Amiri"/>
          <w:color w:val="111111"/>
          <w:sz w:val="28"/>
          <w:szCs w:val="28"/>
          <w:rtl w:val="true"/>
          <w:lang w:bidi="ar-SA"/>
        </w:rPr>
        <w:t>.</w:t>
      </w:r>
      <w:bookmarkStart w:id="470" w:name="pg11794_147184"/>
    </w:p>
    <w:p>
      <w:pPr>
        <w:pStyle w:val="BookText"/>
        <w:rPr/>
      </w:pPr>
      <w:bookmarkEnd w:id="470"/>
      <w:r>
        <w:rPr>
          <w:rFonts w:ascii="Amiri" w:hAnsi="Amiri" w:eastAsia="Amiri" w:cs="Amiri"/>
          <w:color w:val="111111"/>
          <w:sz w:val="28"/>
          <w:sz w:val="28"/>
          <w:szCs w:val="28"/>
          <w:rtl w:val="true"/>
          <w:lang w:bidi="ar-SA"/>
        </w:rPr>
        <w:t>مَسْحُ بَشَرة مقدّم الرأس أو شعره بالبَلَل، من غير استئناف ماءٍ جديد، بأقلّ ما يقع عليه اِسمُ المَسح</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0299234_73709187"/>
      <w:bookmarkStart w:id="472" w:name="_Toc173"/>
      <w:bookmarkEnd w:id="471"/>
      <w:r>
        <w:rPr>
          <w:rtl w:val="true"/>
        </w:rPr>
        <w:t>مَسحُ الرأس</w:t>
      </w:r>
      <w:bookmarkEnd w:id="472"/>
    </w:p>
    <w:p>
      <w:pPr>
        <w:pStyle w:val="Heading6"/>
        <w:numPr>
          <w:ilvl w:val="5"/>
          <w:numId w:val="1"/>
        </w:numPr>
        <w:rPr/>
      </w:pPr>
      <w:bookmarkStart w:id="473" w:name="__RefHeading___Toc10299236_73709187"/>
      <w:bookmarkStart w:id="474" w:name="_Toc174"/>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الرابع من فروض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كتاباً وسُنّةً وإجماعاً بين المسلمين،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بَشَرة مقدم الرأس، أو شعره بالبَلَل من غير استئناف ماءٍ جديد بأقلّ ما يقع عليه اسم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مسح بعض الرأس لا تمامه إجماعاً، ويشهد له صحيح زرارة، عن الإمام الباقر عليه السلام المتضمّن لاستدلاله عليه السلام لهذا الحكم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فصَّل بين الكلامين،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زرارة وبكير،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إطلاقهما كفاية المسمّى عرضاً وطولاً، كما نسب إلى المشهور، بل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الإجماع عليه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المشهور بين الأصحاب أنّ المُجزي مسح مقدار عرض إصبع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 أنّ مرادهم هو الاكتفاء بالمسمّى، كما يشهد له الاستدلال لهم بنصوص كفاية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الدورس</w:t>
      </w:r>
      <w:r>
        <w:rPr>
          <w:rFonts w:eastAsia="IRNazanin" w:cs="IRNazanin"/>
          <w:color w:val="111111"/>
          <w:sz w:val="28"/>
          <w:szCs w:val="28"/>
          <w:rtl w:val="true"/>
          <w:lang w:bidi="fa-IR"/>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بأقلّ من إصبع واحدة، واستدلّ له بمرسل حمّاد،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وعليه العمامة؟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 الآخر عن الحسين، عن أبي عبد اللّه عليه السلام،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توضّأ وهو معتمٌّ فثقُل عليه نزع العمامة لمكان البرد؟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ولايبعد اتّحاد الخبرين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الإصبع و الرأس غير مسطحين، فمسح الرأس بإصبع واحدة لا يوجب مَسح مقدار عرض إصبع واحدة، بل ما يمسح بها يكون أقلّ من ذلك، فهو أيضاً يدلّ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وروده في مقام بيان عدم وجوب رفع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1063"/>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يوم وليلة</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بثلاث أصابع مضمومة، واستدلالهم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بخبر معمّر بن عمر،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وكذلك الرجل</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يجزيها من مسح الرأس أن تمسح مقدمه قدر ثلاث أصابع، ولا تُلقي عنها خمارها</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الفصل بين الرجل والمرأة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محمّد بن عيسى، عن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يُجزي مسحه من الرأس مقدار ثلاث أصابع، وأشار إلى السبابة والوسطى والثالثة</w:t>
      </w:r>
      <w:r>
        <w:rPr>
          <w:rFonts w:eastAsia="Amiri" w:cs="Amiri" w:ascii="Amiri" w:hAnsi="Amiri"/>
          <w:color w:val="111111"/>
          <w:sz w:val="28"/>
          <w:szCs w:val="28"/>
          <w:rtl w:val="true"/>
          <w:lang w:bidi="ar-SA"/>
        </w:rPr>
        <w:t>»</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مثل حريز لا يفتي في الشرعيّات إلّابما سمعه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ممنوعة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كون ذلك أقلّ المجزي محلّ تأمّل، لتوقّفها على حجيّة مفهوم العدد، ولا نقول بها، خبر معمّر ضعيف السند، وخبر زرارة أسند الإجزاء فيه إلى مجموع مسح ذلك المقدار وعدم إلقاء الخمار، ويحتمل أن يكون إطلاقه بلحاظ القيد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ضعف ما عن الإسكافي</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الرجل والمرأة، وأنّ الرجل يكتفي بإصبع واحدة، والمرأة لا يجزيها إلّاالثلاث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محمّد بن عيسى فإنّه يحتمل فيه تطرّق الاجتهاد فيما أفتى به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الناصية الآتي الظاهر في تعيّن مسح تمام الناصية، فهو لا يدلّ على هذا القول، إذ ضلعها الفوقاني أعرض من ثلاث أصابع، والتحتاني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ضعف 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حيث فصّل بين الضرورة فتكفي الإصبع، وبين الاختيار فلابدَّ من الثلاث، بدعوى أنّ خبر معمّر ومصحّح زرارة يدلّان على اعتبار الثلاث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يقيّد إطلاقهما بمرسل حمّاد المتقدّم، المحمول على الضرورة، لما عرفت من عدم دلالتهما على اعتبار الثلاث، مع أنّ المتمكّن من إدخال إصبع واحدة، متمكّن من إدخال الثلاث غالباً، فلا وجه لدعوى حمل المرسل على الضرورة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أنّه على فرض ظهور ما تقدّم في وجوب أنْ يكون الممسوح مقدار ثلاث أصابع، يتعيّن حمله على الاستحباب بقرينة مرسل حمّاد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المسمّى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الصحيحين المتقدّمين، الاكتفاء بالمسمّى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 بدعوى أنّ من قال بوجوب الثلاث إنّما قال في عرض الرأس لا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المستفاد من نصوص الثلاث هو التقدير العَرْضي، إذ خبر معمّر بقرينة عطف الرجل كالصريح في ذلك، وهو يكون قرينة لإرادة ذلك من مصحّح زرارة، وأمّا صحيح الناصية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نصوص الثلاث، كون التحديد بثلاث أصابع تحديداً للعَرْض بعرضها وللطول بطولها، فتدلّ على اعتبار طول الإصبع في طرف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معمّر بقرينة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المسمّى طولاً أيضاً، وإنْ كان الأحوط أن يكون المسح بمقدار عرض ثلاث أصابع بطول إصبع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75" w:name="pg11794_147189"/>
    </w:p>
    <w:p>
      <w:pPr>
        <w:pStyle w:val="Heading6"/>
        <w:numPr>
          <w:ilvl w:val="5"/>
          <w:numId w:val="1"/>
        </w:numPr>
        <w:rPr/>
      </w:pPr>
      <w:bookmarkStart w:id="476" w:name="__RefHeading___Toc10299238_73709187"/>
      <w:bookmarkStart w:id="477" w:name="_Toc175"/>
      <w:bookmarkEnd w:id="475"/>
      <w:bookmarkEnd w:id="476"/>
      <w:r>
        <w:rPr>
          <w:rtl w:val="true"/>
        </w:rPr>
        <w:t>اختصاص المسح بمقدم الرأس</w:t>
      </w:r>
      <w:bookmarkEnd w:id="47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والذي لا نقاش ولا كلام فيه أنّ موضع المسح، هو الرُّبع المقدّم من الرأس، فلا يجزي مسح المؤخّر، أو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انفردت الإماميّة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مقدم رأسك</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يتعيّن طرح الخبر الذي رواه الحسين بن أبي العلاء،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الرأس على مقدمه ومؤخّره</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الجمع بين هذه النصوص، وبين نصوص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مصحّح زرارة،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ابن زيد، عن الإمام الصادق عليه السلام الوارد في مسح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الظهر والمغرب والعشاء تمسح بناصيتها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هل يكون بحمل الناصية على المقدّم؟</w:t>
      </w:r>
    </w:p>
    <w:p>
      <w:pPr>
        <w:pStyle w:val="BookText"/>
        <w:rPr/>
      </w:pPr>
      <w:r>
        <w:rPr>
          <w:rFonts w:ascii="Amiri" w:hAnsi="Amiri" w:eastAsia="Amiri" w:cs="Amiri"/>
          <w:color w:val="111111"/>
          <w:sz w:val="28"/>
          <w:sz w:val="28"/>
          <w:szCs w:val="28"/>
          <w:rtl w:val="true"/>
          <w:lang w:bidi="ar-SA"/>
        </w:rPr>
        <w:t>أو بحمل المقدّم على الناصية؟</w:t>
      </w:r>
    </w:p>
    <w:p>
      <w:pPr>
        <w:pStyle w:val="BookText"/>
        <w:rPr/>
      </w:pPr>
      <w:r>
        <w:rPr>
          <w:rFonts w:ascii="Amiri" w:hAnsi="Amiri" w:eastAsia="Amiri" w:cs="Amiri"/>
          <w:color w:val="111111"/>
          <w:sz w:val="28"/>
          <w:sz w:val="28"/>
          <w:szCs w:val="28"/>
          <w:rtl w:val="true"/>
          <w:lang w:bidi="ar-SA"/>
        </w:rPr>
        <w:t>أو بتقييد نصوص المقدّم بنصوص الناصية؟</w:t>
      </w:r>
    </w:p>
    <w:p>
      <w:pPr>
        <w:pStyle w:val="BookText"/>
        <w:rPr/>
      </w:pPr>
      <w:r>
        <w:rPr>
          <w:rFonts w:ascii="Amiri" w:hAnsi="Amiri" w:eastAsia="Amiri" w:cs="Amiri"/>
          <w:color w:val="111111"/>
          <w:sz w:val="28"/>
          <w:sz w:val="28"/>
          <w:szCs w:val="28"/>
          <w:rtl w:val="true"/>
          <w:lang w:bidi="ar-SA"/>
        </w:rPr>
        <w:t>أو بحمل النصوص الأخيرة على الاستحباب؟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من هذه الوجوه هو الأوّل، إذ المقدّم لا إجمال في مفهومه عرفاً، وهو ما يقابل المؤخّر والجانبين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النّاصية فهي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المحكيّ عن جماعة من اللّغويّين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ما بين البياضين من الجانبين فوق الجبهة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084"/>
      </w:r>
      <w:r>
        <w:rPr>
          <w:rFonts w:ascii="Amiri" w:hAnsi="Amiri" w:eastAsia="Amiri" w:cs="Amiri"/>
          <w:color w:val="111111"/>
          <w:sz w:val="28"/>
          <w:sz w:val="28"/>
          <w:szCs w:val="28"/>
          <w:rtl w:val="true"/>
          <w:lang w:bidi="ar-SA"/>
        </w:rPr>
        <w:t>والبيضاوي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بها مقدّم الرأس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بشعر مقدم الرأس</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يتبيّن أنّها ليست من المفاهيم المبيّنة عند العرف، وعلى ذلك فيتعيّن حمل الناصية على المقدّم حملاً للمجمل على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 أيضاً مجملٌ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أنّ من معاني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الجبهة والناصية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كون الناصية من معاني المقدم، لا يكون سبباً لكونه مجملاً بعد كونه في نفسه ظاهراً في الرُّبع المقدّم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الناصية التي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مجملة، ولعلّه أراد بها الرّبع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الناصية أحدُ معاني المقدّمة، لا أحد معاني 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حمل الناصية على المقدّم، فلا تنافي بين النصوص</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8" w:name="pg11794_147192"/>
    </w:p>
    <w:p>
      <w:pPr>
        <w:pStyle w:val="Heading6"/>
        <w:numPr>
          <w:ilvl w:val="5"/>
          <w:numId w:val="1"/>
        </w:numPr>
        <w:rPr/>
      </w:pPr>
      <w:bookmarkStart w:id="479" w:name="__RefHeading___Toc10299240_73709187"/>
      <w:bookmarkStart w:id="480" w:name="_Toc176"/>
      <w:bookmarkEnd w:id="478"/>
      <w:bookmarkEnd w:id="479"/>
      <w:r>
        <w:rPr>
          <w:rtl w:val="true"/>
        </w:rPr>
        <w:t>لزوم كون المسح بنداوة الوضوء</w:t>
      </w:r>
      <w:bookmarkEnd w:id="48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المسح بنداوة الوضوء، ولا يجوز استئناف ماءٍ جديدٍ، بلا خلاف بيننا</w:t>
      </w:r>
      <w:r>
        <w:rPr>
          <w:rStyle w:val="FootnoteAnchor"/>
          <w:rtl w:val="true"/>
        </w:rPr>
        <w:footnoteReference w:id="1087"/>
      </w:r>
      <w:r>
        <w:rPr>
          <w:rFonts w:ascii="Amiri" w:hAnsi="Amiri" w:eastAsia="Amiri" w:cs="Amiri"/>
          <w:color w:val="111111"/>
          <w:sz w:val="28"/>
          <w:sz w:val="28"/>
          <w:szCs w:val="28"/>
          <w:rtl w:val="true"/>
          <w:lang w:bidi="ar-SA"/>
        </w:rPr>
        <w:t>، بل عن الشيخ</w:t>
      </w:r>
      <w:r>
        <w:rPr>
          <w:rStyle w:val="FootnoteAnchor"/>
          <w:rtl w:val="true"/>
        </w:rPr>
        <w:footnoteReference w:id="1088"/>
      </w:r>
      <w:r>
        <w:rPr>
          <w:rFonts w:ascii="Amiri" w:hAnsi="Amiri" w:eastAsia="Amiri" w:cs="Amiri"/>
          <w:color w:val="111111"/>
          <w:sz w:val="28"/>
          <w:sz w:val="28"/>
          <w:szCs w:val="28"/>
          <w:rtl w:val="true"/>
          <w:lang w:bidi="ar-SA"/>
        </w:rPr>
        <w:t>والسيّدين</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أبي الحسن عليه السلام لعليّ بن يقطين بعد أمره بالوضوء على وجه التقيَّة، وفَعَل ابن يقطين، وصلاح حاله عند الخليفة، كتب إليه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كما أمر اللّه تعالى، اِغسل وجهك مرّة واحدة فريضةً، واُخرى إسباغاً، واغسل يديك من المرفقين، وامسح مقدّم رأسك وظاهر قدميك من فضل نداوة وضوئك، فقد زال ما كنّا نخاف عليك</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المتضمّن لأمر النبيّ صلى الله عليه و آله بالوضوء ليلة المعراج،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امسح رأسك بفضل ما بقي في يدك من الماء ورجليك إلى كعبيك</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إجماله لأنّه من قضايا الأحوال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مشتملٌ لأمره صلى الله عليه و آله به، وهو ظاهرٌ في الوجوب، مضافاً إلى أنّ حكاية الإمام عليه السلام له تكون ظاهرة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عدم ورودها في مقام البيان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يُجزيك من الوضوء ثَلاث غَرَفات، واحدة للوجه، واثنتان للذراعين، وتمسح ببلّة يمناك ناصيتك</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ثلاث غَرَفات، فلا يدلّ إلّاعلى الأجزاء وهو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لأجل احتياج العطف إلى التقدير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لايعتنى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النصوص البيانيّة المتضمّنة لعدم استئناف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بمرسل خَلَف بن حمّاد،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ينسى مسح رأسه وهو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فليمسح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لحية؟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 أو من أشفار عينيه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بايرادين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ظاهر في صحّة الصلاة مع نقص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متضمّن لحكم الصلاة سؤالاً وجواباً، وإنّما هو في مقام بيان حكم الوضوء، وأنّ الدخول في الصلاة لا يكون من موانع صحّة الوضوء، إذا كان في اللّحية أو الحاجبين أو أشفار العينين بلل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غير ظاهر في الوجوب، لاحتمال كون ما ذكر فيه من جهة كونه أقرب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المحافظة على بقاء الهيئة الصلواتيّة وعدم حصول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الاحتمالات لا يُعتنى بها في مقابل ظهور الجملة الخبريّة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أعين،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نَسي مسح رأسه ثمّ ذكر أنّه لم يمسح رأسه، فإنْ كان في لحيته بلل فليأخذ منه، وليمسح رأسه، وإنْ لم يكن في لحيته بللٌ فلينصرف وليعد الوضوء</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الظاهرة في تعيّن المسح بماءٍ جديد، كموثّق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مسح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بما على يديّ من النداوة؟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خبرا ابن عمارة</w:t>
      </w:r>
      <w:r>
        <w:rPr>
          <w:rStyle w:val="FootnoteAnchor"/>
          <w:rtl w:val="true"/>
        </w:rPr>
        <w:footnoteReference w:id="1097"/>
      </w:r>
      <w:r>
        <w:rPr>
          <w:rFonts w:ascii="Amiri" w:hAnsi="Amiri" w:eastAsia="Amiri" w:cs="Amiri"/>
          <w:color w:val="111111"/>
          <w:sz w:val="28"/>
          <w:sz w:val="28"/>
          <w:szCs w:val="28"/>
          <w:rtl w:val="true"/>
          <w:lang w:bidi="ar-SA"/>
        </w:rPr>
        <w:t>ومعمّر</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فيتعيّن حملها على التقيَّة لموافقتها لمذهب كثيرٍ من العامّة، ومخالفتها لمذهب الخاصّة، والنصوص المتقدّمة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يدلّ على جواز ذلك، كخبر أبي بصير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استيقن ذلك انصرف ومَسحَ على رأسه ورجليه، واستقبل الصلاة، وإنْ شَكّ فَلم يدر مَسَح أو لم يمسح فليتناول من لحيته إنْ كانت مبتلّة وليمسح على رأسه، وإنْ كان أمامه ماءٌ فليتناول منه، فليمسح به رأسه</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 وبين النصوص المتقدّمة، وإنْ كان يقتضي حملها على الاستحباب إلّاأنّه لإعراض الأصحاب عنه لا يُعتنى به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81" w:name="pg11794_147196"/>
    </w:p>
    <w:p>
      <w:pPr>
        <w:pStyle w:val="Heading6"/>
        <w:numPr>
          <w:ilvl w:val="5"/>
          <w:numId w:val="1"/>
        </w:numPr>
        <w:rPr/>
      </w:pPr>
      <w:bookmarkStart w:id="482" w:name="__RefHeading___Toc10299242_73709187"/>
      <w:bookmarkStart w:id="483" w:name="_Toc177"/>
      <w:bookmarkEnd w:id="481"/>
      <w:bookmarkEnd w:id="482"/>
      <w:r>
        <w:rPr>
          <w:rtl w:val="true"/>
        </w:rPr>
        <w:t>لزوم كون المَسح بنداوة اليد</w:t>
      </w:r>
      <w:bookmarkEnd w:id="483"/>
    </w:p>
    <w:p>
      <w:pPr>
        <w:pStyle w:val="BookText"/>
        <w:rPr/>
      </w:pPr>
      <w:r>
        <w:rPr>
          <w:rFonts w:ascii="Amiri" w:hAnsi="Amiri" w:eastAsia="Amiri" w:cs="Amiri"/>
          <w:color w:val="111111"/>
          <w:sz w:val="28"/>
          <w:sz w:val="28"/>
          <w:szCs w:val="28"/>
          <w:rtl w:val="true"/>
          <w:lang w:bidi="ar-SA"/>
        </w:rPr>
        <w:t xml:space="preserve">ثمّ إنّ مقتضى إطلاق الآية الشريفة، والنصوص الآمرة بالمسح، ومكاتبة ابن يقطين، وإنْ كان جواز المسح برطوبة الوضوء، وإنْ كانت من سائر الأعضاء غير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كلام كثير،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والعلّامة الطباطبائي</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يتعيّن تقييده بمصحّحي زرارة وبكير المتقدّمين، والنصوص البيانيّة الظاهرة في تعيّن أن يكون بنداوة اليد، وبمرسل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الترتيب الشرعي بين المسح بما في اليد من النداوة، وبين الأخذ من اللّحية وغيرها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 المقيّدات مجرى العادة يمنعُ من الظهور في الاشتراط، فهذه النصوص واردة في مقام بيان الأسهل فالأسهل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النصوص الواردة عن المعصومين عليهم السلام على بيان غير الحكم الشرعي خلاف الظاهر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03"/>
      </w:r>
      <w:r>
        <w:rPr>
          <w:rFonts w:ascii="Amiri" w:hAnsi="Amiri" w:eastAsia="Amiri" w:cs="Amiri"/>
          <w:color w:val="111111"/>
          <w:sz w:val="28"/>
          <w:sz w:val="28"/>
          <w:szCs w:val="28"/>
          <w:rtl w:val="true"/>
          <w:lang w:bidi="ar-SA"/>
        </w:rPr>
        <w:t>وكثير من كتب المصنّف رحمه الله</w:t>
      </w:r>
      <w:r>
        <w:rPr>
          <w:rStyle w:val="FootnoteAnchor"/>
          <w:rtl w:val="true"/>
        </w:rPr>
        <w:footnoteReference w:id="1104"/>
      </w:r>
      <w:r>
        <w:rPr>
          <w:rFonts w:ascii="Amiri" w:hAnsi="Amiri" w:eastAsia="Amiri" w:cs="Amiri"/>
          <w:color w:val="111111"/>
          <w:sz w:val="28"/>
          <w:sz w:val="28"/>
          <w:szCs w:val="28"/>
          <w:rtl w:val="true"/>
          <w:lang w:bidi="ar-SA"/>
        </w:rPr>
        <w:t>والشهيد</w:t>
      </w:r>
      <w:r>
        <w:rPr>
          <w:rStyle w:val="FootnoteAnchor"/>
          <w:rtl w:val="true"/>
        </w:rPr>
        <w:footnoteReference w:id="1105"/>
      </w:r>
      <w:r>
        <w:rPr>
          <w:rFonts w:ascii="Amiri" w:hAnsi="Amiri" w:eastAsia="Amiri" w:cs="Amiri"/>
          <w:color w:val="111111"/>
          <w:sz w:val="28"/>
          <w:sz w:val="28"/>
          <w:szCs w:val="28"/>
          <w:rtl w:val="true"/>
          <w:lang w:bidi="ar-SA"/>
        </w:rPr>
        <w:t>من عدم جواز أخذ البلل من غير اليد مع وجوده فيها</w:t>
      </w:r>
      <w:r>
        <w:rPr>
          <w:rFonts w:eastAsia="Amiri" w:cs="Amiri" w:ascii="Amiri" w:hAnsi="Amiri"/>
          <w:color w:val="111111"/>
          <w:sz w:val="28"/>
          <w:szCs w:val="28"/>
          <w:rtl w:val="true"/>
          <w:lang w:bidi="ar-SA"/>
        </w:rPr>
        <w:t xml:space="preserve">. </w:t>
      </w:r>
      <w:bookmarkStart w:id="484" w:name="pg11794_147197"/>
    </w:p>
    <w:p>
      <w:pPr>
        <w:pStyle w:val="BookText"/>
        <w:rPr/>
      </w:pPr>
      <w:bookmarkEnd w:id="484"/>
      <w:r>
        <w:rPr>
          <w:rFonts w:ascii="Amiri" w:hAnsi="Amiri" w:eastAsia="Amiri" w:cs="Amiri"/>
          <w:color w:val="111111"/>
          <w:sz w:val="28"/>
          <w:sz w:val="28"/>
          <w:szCs w:val="28"/>
          <w:rtl w:val="true"/>
          <w:lang w:bidi="ar-SA"/>
        </w:rPr>
        <w:t>ثمّ إنّه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الاقتصار على ما في الكفّ من البلل، على القول بلزوم أن يكون المسح بها؟</w:t>
      </w:r>
    </w:p>
    <w:p>
      <w:pPr>
        <w:pStyle w:val="BookText"/>
        <w:rPr/>
      </w:pPr>
      <w:r>
        <w:rPr>
          <w:rFonts w:ascii="Amiri" w:hAnsi="Amiri" w:eastAsia="Amiri" w:cs="Amiri"/>
          <w:color w:val="111111"/>
          <w:sz w:val="28"/>
          <w:sz w:val="28"/>
          <w:szCs w:val="28"/>
          <w:rtl w:val="true"/>
          <w:lang w:bidi="ar-SA"/>
        </w:rPr>
        <w:t>أم يجوز الأخذ من سائر أجزاء اليد؟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اليد في النصوص، ومن قوّة احتمال الانصراف إلى بلل ما يجبُ المسح به، كما في طهارة شيخنا الأعظم رحمه الله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جواز الأخذ من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الأخبار البيانيّة، كصحيح زرارة وبكير، المتضمّن لحكاية أبي جعفر عليه السلام وضوء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وقدميه إلى الكعبين بفضل كفّيه لم يجدّد ماء</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المتبادر 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والفتوى الكفّ، فيكون حدّها الزند، كما أشار إلى ذلك الطباطبائي في منظومته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10299244_73709187"/>
      <w:bookmarkStart w:id="486" w:name="_Toc178"/>
      <w:bookmarkEnd w:id="485"/>
      <w:r>
        <w:rPr>
          <w:rtl w:val="true"/>
        </w:rPr>
        <w:t>حكم فقدان البلّة</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جفَّ ما على يده من الرطوبة، أخذ من سائر الأعضاء كما هو المشهور، ويشهد له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ذلك باللّحية والحاجبين وأشفار العينين، كما عن جماعةٍ من </w:t>
      </w:r>
    </w:p>
    <w:p>
      <w:pPr>
        <w:pStyle w:val="BookText"/>
        <w:rPr/>
      </w:pPr>
      <w:r>
        <w:rPr>
          <w:rFonts w:ascii="Amiri" w:hAnsi="Amiri" w:eastAsia="Amiri" w:cs="Amiri"/>
          <w:color w:val="111111"/>
          <w:sz w:val="28"/>
          <w:sz w:val="28"/>
          <w:szCs w:val="28"/>
          <w:rtl w:val="true"/>
          <w:lang w:bidi="ar-SA"/>
        </w:rPr>
        <w:t xml:space="preserve">الأساطين التصريح به، ويشهد له ذيل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المرسلين وإنْ كان هو الترتيب بين بلل اللّحية وبلل غيرها، إلّاأنّه لأجل ما ادّعى من الإجماع على انتفائه، ترفع اليد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هل يجوز الأخذ ممّا خرج من اللّحية عن حَدّ الوجه كالمسترسل منها،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غَسله جزء من الوضوء، فيصدق على ما فيه من الرطوبة أنّها نداوة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وبصدق الماء المستعمل في الوضوء، ما لم ينفصل من المحلّ العرفي للغسل على ما في المسترسل من الندواة وإنْ لم يكن غسله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يدلّ دليل على استحباب غَسله كذلك، مع أنّه لم يدلّ دليل على جواز الأخذ من بلّة الوضوء مطلقاً، حتّى من الأجزاء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فإنّ مقتضى إطلاق ذيل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جواز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يجوز الأخذ منه، ليس هو الماء المستعمل في الوضوء، ليدور الحكم مدار هذا العنوان، بل هو بلّة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صدق هذا العنوان، على الرطوبة الموجودة في المواضع التي لا يجب غسلها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فالأقوى عدم جواز الأخذ منه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تبق نداوة في شيء من محالّ الوضوء، استأنف كما هو المشهور 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عظيمة، لتوقّف امتثال الأمر بالوضوء عليه، ولجملةٍ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مالك بن أعين،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ثمّ ذكر أنّه لم يمسح رأسه، فإنْ كان في لحيته بلل فليأخذ منه ويمسح رأسه، وإنْ لم يكن في لحيته بلل، فلينصرف وليعد الوضوء</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أمكنه المسح بنداوة الوضوء بالاستئناف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تعذّر ذلك، فهل يجب عليه المسح بلا رطوبة، أو بماء خارجي، أم يسقط عنه المسح أو الوضوء وينتقل فرضه إلى التيمّم؟</w:t>
      </w:r>
    </w:p>
    <w:p>
      <w:pPr>
        <w:pStyle w:val="BookText"/>
        <w:rPr/>
      </w:pPr>
      <w:r>
        <w:rPr>
          <w:rFonts w:ascii="IRNazanin" w:hAnsi="IRNazanin" w:eastAsia="IRNazanin"/>
          <w:color w:val="111111"/>
          <w:sz w:val="28"/>
          <w:sz w:val="28"/>
          <w:szCs w:val="28"/>
          <w:rtl w:val="true"/>
          <w:lang w:bidi="fa-IR"/>
        </w:rPr>
        <w:t>وجوه، وبعضها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w:t>
      </w:r>
      <w:r>
        <w:rPr>
          <w:rStyle w:val="FootnoteAnchor"/>
          <w:rtl w:val="true"/>
        </w:rPr>
        <w:footnoteReference w:id="1111"/>
      </w:r>
      <w:r>
        <w:rPr>
          <w:rFonts w:ascii="IRNazanin" w:hAnsi="IRNazanin" w:eastAsia="IRNazanin"/>
          <w:color w:val="111111"/>
          <w:sz w:val="28"/>
          <w:sz w:val="28"/>
          <w:szCs w:val="28"/>
          <w:rtl w:val="true"/>
          <w:lang w:bidi="fa-IR"/>
        </w:rPr>
        <w:t>لعدم سقوط الوضوء والمسح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الدالّة على صحّة الوضوء الناقص، المقدّمة على أدلّة بدليّة التيمّم، لأنّها تدلّ على البدليّة في صورة العجز عن الوضوء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أمسح عليه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وجوب المسح، فإنّه يدلّ على لزوم الوضوء الناقص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المسح، فإنّ ما دلّ على اعتبار كون المسح بنداوة الوضوء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الموجب لتقييده، مختصٌّ بصورة الإمكان، فمع العجز يرجع إلى الإطلاق لعدم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ذكر الأصحاب من جملة مسوغات التيمّم، عدم التمكّن من المسح ببلل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مقتضى هذه الوجوه لزوم المسح، فهل يتعيّن المسح بنداوة خارجيّة، أم يجزيه المسح باليد الجافّة؟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فإنّ الواجب إيصال نداوة الوضوء بواسطة المسح، فإذا تعذّر القيد، وهو كون الندوة من الوضوء، مقتضى قاعدة الميسور المسح بما يكون ميسور ذلك، وهو إيصال البلّة، ولعلّه لذلك 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وغيرها لزوم المسح بماء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تماميّة شيء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ذكرناه في هذا الشرح غير مرّة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دليل القاعدة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سقوط الميسور من الأجزاء والشرائط، وإنّما يدلّ على عدم سقوط الميسور من الأفراد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عنه بعض الأعاظم</w:t>
      </w:r>
      <w:r>
        <w:rPr>
          <w:rStyle w:val="FootnoteAnchor"/>
          <w:rtl w:val="true"/>
        </w:rPr>
        <w:footnoteReference w:id="1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إنّما يدلّ على عدم وجوب رفع المرارة والمسح على البشرة، لأجل التمسّك بآية نفي الحرج</w:t>
      </w:r>
      <w:r>
        <w:rPr>
          <w:rStyle w:val="FootnoteAnchor"/>
          <w:rtl w:val="true"/>
        </w:rPr>
        <w:footnoteReference w:id="1118"/>
      </w:r>
      <w:r>
        <w:rPr>
          <w:rFonts w:ascii="Amiri" w:hAnsi="Amiri" w:eastAsia="Amiri" w:cs="Amiri"/>
          <w:color w:val="111111"/>
          <w:sz w:val="28"/>
          <w:sz w:val="28"/>
          <w:szCs w:val="28"/>
          <w:rtl w:val="true"/>
          <w:lang w:bidi="ar-SA"/>
        </w:rPr>
        <w:t>التي هي نافيه لا مثبتة، ولا يدلّ على وجوب الوضوء الناقص عند تعذّر التامّ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دلالته على مشروعيّة الوضوء الناقص عند تعذّر التامّ، يكفي للقول بوجوبه، وعدم جواز التيمّم، لعدم القول بالفصل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سقوط اعتبار مباشرة الماسح للممسوح، ويدلّ على وجوب الوضوء حينئذٍ مع المسح على المرارة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التعدّي عن مورده، وإلّا فلو أُخذ بما هو ظاهره لم يبق موردٌ للتيمّم، إذ ما من أحدٍ إلّاوهو يقدر على الإتيان ببعض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استفادة الحكم المذكور من الآية الشريفة في غاية الإشكال، لأنّها تدلّ على عدم لزوم مباشرة الماسح للممسوح، ولازم ذلك سقوط الأمر بالوضوء، وليس شأن الآية إثبات الأمر، كي يستفاد منها مشروعيّة الوضوء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المتيقّن سابقاً وجوب المسح ببلل الوضوء، فمع تعذّره، والشكّ في وجوبه بماء خارجي أو جافّاً، لا يجري الاستصحاب، لعدم اتّحاد القضيّة المتيقنة مع القضيّة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دليل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تقييده بما دلَّ على لزوم كونه بنداوة الوضوء، لازم عدم إمكانه سقوط المسح والوضوء، لا المسح بالماء الجديد أو باليد اليابسة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سقوط الوضوء في الفرض، وانتقال الفرض إلى التيمّم، وإنْ لم نعرف القائل به بين علمائنا، ولذلك ينبغي الاحتياط بالمسح باليد اليابسة، ثمّ بالماء الجديد، ثمّ التيمّم لا ينبغي تركه</w:t>
      </w:r>
      <w:r>
        <w:rPr>
          <w:rFonts w:eastAsia="Amiri" w:cs="Amiri" w:ascii="Amiri" w:hAnsi="Amiri"/>
          <w:color w:val="111111"/>
          <w:sz w:val="28"/>
          <w:szCs w:val="28"/>
          <w:rtl w:val="true"/>
          <w:lang w:bidi="ar-SA"/>
        </w:rPr>
        <w:t>.</w:t>
      </w:r>
      <w:bookmarkStart w:id="487" w:name="pg11794_147202"/>
    </w:p>
    <w:p>
      <w:pPr>
        <w:pStyle w:val="Heading6"/>
        <w:numPr>
          <w:ilvl w:val="5"/>
          <w:numId w:val="1"/>
        </w:numPr>
        <w:rPr/>
      </w:pPr>
      <w:bookmarkStart w:id="488" w:name="__RefHeading___Toc10299246_73709187"/>
      <w:bookmarkStart w:id="489" w:name="_Toc179"/>
      <w:bookmarkEnd w:id="487"/>
      <w:bookmarkEnd w:id="488"/>
      <w:r>
        <w:rPr>
          <w:rtl w:val="true"/>
        </w:rPr>
        <w:t>جواز المسح على الشَّعر</w:t>
      </w:r>
      <w:bookmarkEnd w:id="48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الشَّعر النابت في المقدَّم، ولا يجب أن يكون على البشرة إجماعاً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نصوصُ الناصية المتقدّمة، بناءً على أنّها هي الشَّعر النابت على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الاستشهاد له بأدلّة مسح الرأس، بدعوى أنّ المراد بالرأس ما يعمّ الشَّعر، فإنّ الغالب وجود الشَّعر المانع من مسح البشرة، وهو قرينة على إرادة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مرفوع محمّد بن يحيى،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يخضب رأسه بالحنّاء ثمّ يبدو 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 رأسه بالماء</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ما يعمّ الشَّعر، بقرينة ما ذكر، لاسيّما وأنّ الظاهر أنّ مورده صورة وجود الشَّعر، فتأمّل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إطلاق الناصية، جواز المسح على الشعر الخارج عن المقدّم، المتدلّي على الوجه مثلاً، إلّاأنّه يقيّد إطلاقها بما دلّ على لزوم كون المسح على </w:t>
      </w:r>
    </w:p>
    <w:p>
      <w:pPr>
        <w:pStyle w:val="BookText"/>
        <w:rPr/>
      </w:pPr>
      <w:r>
        <w:rPr>
          <w:rFonts w:ascii="Amiri" w:hAnsi="Amiri" w:eastAsia="Amiri" w:cs="Amiri"/>
          <w:color w:val="111111"/>
          <w:sz w:val="28"/>
          <w:sz w:val="28"/>
          <w:szCs w:val="28"/>
          <w:rtl w:val="true"/>
          <w:lang w:bidi="ar-SA"/>
        </w:rPr>
        <w:t>المقدّم، فلا يجوز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كالعمامة وغيرها، فإنّه كذلك لا يجوز المسح عليه وإنْ كان شيئاً رقيقاً إجماعاً</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الأمرة بمسح الرأس،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الخفّين والعمامة؟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عليهما</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ابن يحيى</w:t>
      </w:r>
      <w:r>
        <w:rPr>
          <w:rStyle w:val="FootnoteAnchor"/>
          <w:rtl w:val="true"/>
        </w:rPr>
        <w:footnoteReference w:id="1123"/>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يخضب رأسه بالحنّاء، ثمّ يبدو له في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w:t>
      </w:r>
      <w:r>
        <w:rPr>
          <w:rStyle w:val="FootnoteAnchor"/>
          <w:rtl w:val="true"/>
        </w:rPr>
        <w:footnoteReference w:id="1125"/>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فإعراض الأصحاب عنهما لا يعتمد عليهما، كي يجمع بينهما وبين ما تقدّم بحمله على المرجوحيّة، لصراحتهما في الجواز</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0" w:name="pg11794_147204"/>
    </w:p>
    <w:p>
      <w:pPr>
        <w:pStyle w:val="Heading6"/>
        <w:numPr>
          <w:ilvl w:val="5"/>
          <w:numId w:val="1"/>
        </w:numPr>
        <w:rPr/>
      </w:pPr>
      <w:bookmarkStart w:id="491" w:name="__RefHeading___Toc10299248_73709187"/>
      <w:bookmarkStart w:id="492" w:name="_Toc180"/>
      <w:bookmarkEnd w:id="490"/>
      <w:bookmarkEnd w:id="491"/>
      <w:r>
        <w:rPr>
          <w:rtl w:val="true"/>
        </w:rPr>
        <w:t>في حقيقة ما يُمسح به</w:t>
      </w:r>
      <w:bookmarkEnd w:id="492"/>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لزوم كون المسح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دعوى الاتّفاق عليه من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البيانيّة المتضمّنة لذكر اليد، والأقوى تعيّن كونه بالكفّ، كما هو المشهور، لما في جملةٍ من تلك النصوص التصريح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ادّعي في المقام؛ أنّه بقرينة مناسبة الحكم والموضوع، يستفاد ذلك من نصوص اليد، إذ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اُسند إليها ما يُناسب الكفّ كالأكل والمسح وغيرهما ممّا جرت العادة بحصوله من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إرادتها دون السّاعد والعَضد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بباطن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المسح بباطنها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الاستشهاد لوجوبه بما ذكرناه تبعاً لجملةٍ من المحقّقين</w:t>
      </w:r>
      <w:r>
        <w:rPr>
          <w:rStyle w:val="FootnoteAnchor"/>
          <w:rtl w:val="true"/>
        </w:rPr>
        <w:footnoteReference w:id="1129"/>
      </w:r>
      <w:r>
        <w:rPr>
          <w:rFonts w:ascii="Amiri" w:hAnsi="Amiri" w:eastAsia="Amiri" w:cs="Amiri"/>
          <w:color w:val="111111"/>
          <w:sz w:val="28"/>
          <w:sz w:val="28"/>
          <w:szCs w:val="28"/>
          <w:rtl w:val="true"/>
          <w:lang w:bidi="ar-SA"/>
        </w:rPr>
        <w:t>من المناسبة المذكورة آنفاً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يجب أن يكون المسح باليمنى، كما عن الإسكافي</w:t>
      </w:r>
      <w:r>
        <w:rPr>
          <w:rStyle w:val="FootnoteAnchor"/>
          <w:rtl w:val="true"/>
        </w:rPr>
        <w:footnoteReference w:id="1130"/>
      </w:r>
      <w:r>
        <w:rPr>
          <w:rFonts w:ascii="Amiri" w:hAnsi="Amiri" w:eastAsia="Amiri" w:cs="Amiri"/>
          <w:color w:val="111111"/>
          <w:sz w:val="28"/>
          <w:sz w:val="28"/>
          <w:szCs w:val="28"/>
          <w:rtl w:val="true"/>
          <w:lang w:bidi="ar-SA"/>
        </w:rPr>
        <w:t>وجملةٍ من متأخّري المتأخّرين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 لا كما هو المشهور</w:t>
      </w:r>
      <w:r>
        <w:rPr>
          <w:rStyle w:val="FootnoteAnchor"/>
          <w:rtl w:val="true"/>
        </w:rPr>
        <w:footnoteReference w:id="113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133"/>
      </w:r>
      <w:r>
        <w:rPr>
          <w:rFonts w:ascii="Amiri" w:hAnsi="Amiri" w:eastAsia="Amiri" w:cs="Amiri"/>
          <w:color w:val="111111"/>
          <w:sz w:val="28"/>
          <w:sz w:val="28"/>
          <w:szCs w:val="28"/>
          <w:rtl w:val="true"/>
          <w:lang w:bidi="ar-SA"/>
        </w:rPr>
        <w:t>دعوى الاتّفاق عليه؟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ظهوره في الوجوب، لاحتمال أن يكون عطفاً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إلّاعلى الاجزاء، وهو أعمّ من الوجوب، وقد تقدّم الجواب عن ذلك في مبحث لزوم المسح بما بقي من البلّة في اليد،</w:t>
      </w:r>
      <w:r>
        <w:rPr>
          <w:rStyle w:val="FootnoteAnchor"/>
          <w:rtl w:val="true"/>
        </w:rPr>
        <w:footnoteReference w:id="1135"/>
      </w:r>
      <w:r>
        <w:rPr>
          <w:rFonts w:ascii="Amiri" w:hAnsi="Amiri" w:eastAsia="Amiri" w:cs="Amiri"/>
          <w:color w:val="111111"/>
          <w:sz w:val="28"/>
          <w:sz w:val="28"/>
          <w:szCs w:val="28"/>
          <w:rtl w:val="true"/>
          <w:lang w:bidi="ar-SA"/>
        </w:rPr>
        <w:t>وبعدم صلاحيّته لتقييد المطلقات الكثيرة الواردة في مقام البيان للحكم الذي يعمّ به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الصلاحيّة إنْ كان لأجل كون المطلقات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يُخصّص الكتاب فضلاً عن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كون الحكم ممّا يعمّ به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روايةٍ واحدةٍ معتبرة في المسائل التي يعمّ بها البلوى،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ضعف القول بالاستحباب مستنداً إلى إطلاق الأدلّة، وأنّ الأقوى لزومه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93" w:name="pg11794_147206"/>
    </w:p>
    <w:p>
      <w:pPr>
        <w:pStyle w:val="Heading6"/>
        <w:numPr>
          <w:ilvl w:val="5"/>
          <w:numId w:val="1"/>
        </w:numPr>
        <w:rPr/>
      </w:pPr>
      <w:bookmarkStart w:id="494" w:name="__RefHeading___Toc10299250_73709187"/>
      <w:bookmarkStart w:id="495" w:name="_Toc181"/>
      <w:bookmarkEnd w:id="493"/>
      <w:bookmarkEnd w:id="494"/>
      <w:r>
        <w:rPr>
          <w:rtl w:val="true"/>
        </w:rPr>
        <w:t>عدم لزوم كون مسح الرأس مقبلاً</w:t>
      </w:r>
      <w:bookmarkEnd w:id="495"/>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المسح مقبلاً وجواز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والمرتضى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والشيخين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النكس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مسح الرأس مستقبلاً رافعٌ للحدث إجماعاً، بخلاف مسح الرأس مستدبراً فيجب فعل المتيقّن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وبأنّه الفرد الشائع الذي ينصرف الإطلاق إليه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النبيّ صلى الله عليه و آله كان يمسح مُقبلاً بلا شبهة، لأنّ أرجحيّته لا خلاف فيها، فيجب التأسّي،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وضوء لا يقبل اللّه الصلاة إلّابه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وجود المطلقات، لا وجه للتمسّك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المورد من موارد جريان البراءة، لكونه شكّاً في اعتبار قيدٍ في المأمور به، وهذا على المختار من كون الطهارة من العناوين المنطبقة على الوضوء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بأنّها تحصل منه؛ فلما حقّقناه في محلّه من أنّ الشكّ في دخل شيء في المحصّل، إذا كان بيانه وظيفة الشارع، فهو موردٌ لجريان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التأسي حتّى في المستحبّات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المحكي من الوضوءات، وهي تشتمل على أنّه مسح برأسه، وليس فيها أنّه صلى الله عليه و آله مَسَح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لزوم كونه مقبلاً، لا يدلّ عليه، فيتعيّن الرجوع إلى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جواز النكس، ويشهد له مضافاً إلى ذلك، صحيح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ومدبراً</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روي في موردٍ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إلّاأنّه روي في موضعٍ‌آخر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بمسح القدمين مقبلاً و مدبراً</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وبما أنّ الراوي واحد و كذلك المروي عنه، فاحتمال تعدّد الخبر بعيد، ولذا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مضافاً إلى عدم الدليل للخروج عن أصالة التعدّد وأصالة عدم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الأوّل مرويٌّ عن سعد بطريق ابن قولويه، والثاني عنه بطريق العطّار، مع أنّ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الثاني عن ابن عيسى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96" w:name="pg11794_147208"/>
    </w:p>
    <w:p>
      <w:pPr>
        <w:pStyle w:val="Heading6"/>
        <w:numPr>
          <w:ilvl w:val="5"/>
          <w:numId w:val="1"/>
        </w:numPr>
        <w:rPr/>
      </w:pPr>
      <w:bookmarkStart w:id="497" w:name="__RefHeading___Toc10299252_73709187"/>
      <w:bookmarkStart w:id="498" w:name="_Toc182"/>
      <w:bookmarkEnd w:id="496"/>
      <w:bookmarkEnd w:id="497"/>
      <w:r>
        <w:rPr>
          <w:rtl w:val="true"/>
        </w:rPr>
        <w:t>مسح الرِّجلين</w:t>
      </w:r>
      <w:bookmarkEnd w:id="498"/>
    </w:p>
    <w:p>
      <w:pPr>
        <w:pStyle w:val="Heading6"/>
        <w:numPr>
          <w:ilvl w:val="5"/>
          <w:numId w:val="1"/>
        </w:numPr>
        <w:rPr/>
      </w:pPr>
      <w:bookmarkStart w:id="499" w:name="__RefHeading___Toc10299254_73709187"/>
      <w:bookmarkStart w:id="500" w:name="_Toc183"/>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الخامس من فروض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إجماعاً محصّلاً ومنقولاً، بل هو من ضروريّات المذهب، والنصوص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أكثر من عدد الرّمل والحصى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الكتاب</w:t>
      </w:r>
      <w:r>
        <w:rPr>
          <w:rStyle w:val="FootnoteAnchor"/>
          <w:rtl w:val="true"/>
        </w:rPr>
        <w:footnoteReference w:id="1147"/>
      </w:r>
      <w:r>
        <w:rPr>
          <w:rFonts w:ascii="Amiri" w:hAnsi="Amiri" w:eastAsia="Amiri" w:cs="Amiri"/>
          <w:color w:val="111111"/>
          <w:sz w:val="28"/>
          <w:sz w:val="28"/>
          <w:szCs w:val="28"/>
          <w:rtl w:val="true"/>
          <w:lang w:bidi="ar-SA"/>
        </w:rPr>
        <w:t xml:space="preserve">يدلّ عليه، سواءٌ قرء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كثير وأبي عُمر وحمزة وعاصم، ويظهر من خبر ابن هذيل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الخفض هي أم على النصب؟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قراءة أهل البيت عليهم السلام إنّما هي إمّا على الخفض وإمّا بالنصب، أمّا على الأوّل فواضح، وأمّا على الثاني فلكونه 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الوضوء كلّه إلّا رجليه ثمّ يخوض بهما الماء خوضاً؟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المسح على القدمين؟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بالمسح، ولا يجب فيه إلّاذلك، ومن غسل فلا بأس</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ظاهران في صورة التقيَّة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الوضوء كلّه إلّارجليه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في أنّ وضوءه قبل </w:t>
      </w:r>
    </w:p>
    <w:p>
      <w:pPr>
        <w:pStyle w:val="BookText"/>
        <w:rPr/>
      </w:pPr>
      <w:r>
        <w:rPr>
          <w:rFonts w:ascii="Amiri" w:hAnsi="Amiri" w:eastAsia="Amiri" w:cs="Amiri"/>
          <w:color w:val="111111"/>
          <w:sz w:val="28"/>
          <w:sz w:val="28"/>
          <w:szCs w:val="28"/>
          <w:rtl w:val="true"/>
          <w:lang w:bidi="ar-SA"/>
        </w:rPr>
        <w:t>وَمَسحُ بَشَرة الرِّجلين، من رؤس الأصابع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يأتي بوظيفة الرِّجلين كان على وفق المذهب، ثمّ خالفه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بالمسح، ولا يجب فيه إلّاذلك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قرينةٌ على إرادة صورة التقيَّة من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لإعراض الأصحاب عنهما، وموافقتهما لمذهب بعض العامّة القائل بالتخيير، يحملان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بَشَرة الرِّجلين من رؤس الأصابع إلى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كلام في عدم وجوب الاستيعاب في مسح الرِّجلين ظاهراً وباطناً، فتواً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بعض النصوص من مسح ظاهرهما وباطنهما، كمرفوع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مسح الرأس والقدمين ومسح القدمين ظاهرهما وباطنهما</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سماعة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يُعتنى به، لضعف سند الخبرين، ومعارضتهما للنصوص المستفيضة، وموافقتهما لمذهب بعض مخالفينا، فالواجب إنّما هو مسح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يقع في موردين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طولاً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يجب المسح من رؤوس الأصابع إلى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وجوب الاستيعاب، وكفاية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المحدِّث الكاشاني</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وتشهد له 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بُكير وزرارة، عن الإمام الباقر عليه السلام في حكاية وضوئه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وقدميه إلى الكعبين بفضل كفّيه، لم يجدّد ماء</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ونحو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دلالتها على الوجوب، قد عرفت دفعه في مبحث مسح الرأس</w:t>
      </w:r>
      <w:r>
        <w:rPr>
          <w:rStyle w:val="FootnoteAnchor"/>
          <w:rtl w:val="true"/>
        </w:rPr>
        <w:footnoteReference w:id="116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امسح رأسك بفضل ما بقي في يدك من الماء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ورجليك إلى كعبيك</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دلالته على الوجوب في ذلك المبحث، واندفاع 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الظاهر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للشيء لا للقدمين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بما أنّ المقدّر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تفيد التبعيض، فهو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بما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ولا معنى لبعض الشيء في مقابله، فلا محالة ليست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كفّه على الأصابع فمسحها إلى الكعبين</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لزوم الاستيعاب طولاً وعرضاً، ولكن قام الدليل على العدم في الثاني، فترفع اليد عن ظاهره بالنسبة إليه، وأمّا بالنسبة إلى الطول فلا صارف له عن ظهوره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اندفاع ما أورده بعض الأعاظم عليه</w:t>
      </w:r>
      <w:r>
        <w:rPr>
          <w:rStyle w:val="FootnoteAnchor"/>
          <w:rtl w:val="true"/>
        </w:rPr>
        <w:footnoteReference w:id="1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التفكيك بين العرض والطول، وحمل الأوّل على الاستحباب والثاني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 المرتكز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منها كون الكعب غاية للمسح، وحيث ثبت جواز النكس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حملها على الاستحباب، أو على أنّ الغاية للممسوح، فلا يستفاد منها حَدّ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عطفاً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فتدلّ على عدم وجوب الاستيعاب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للتبعيض، كما يدلّ عليه الصحيح الوارد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 الغاية في كونها غاية للمسح، لأنّ الظاهر كون الظرف من متعلّقات الفعل،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من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المبدأ رؤوس الأصابع والمنتهى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الدليل على عدم وجوب الثاني وجواز النكس، لا يوجب رفع اليد عن ظهورها في وجوب الأوّل، ولا التصرّف في الغاية بجعلها من متعلّقات الرجل، مع أنّ جعلها غايةً للممسوح، لا ينافي ما هو الظاهر من وجوب الاستيعاب، بل على هذا التقدير أيضاً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فلا ينافي ذلك، إذ يصير مفاد الآية على هذا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بعض أرجلكم من رؤوس الأصابع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ذلك في لزوم الاستيعاب لا ينكر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المتقدّم الوارد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وبالنصوص</w:t>
      </w:r>
      <w:r>
        <w:rPr>
          <w:rStyle w:val="FootnoteAnchor"/>
          <w:rtl w:val="true"/>
        </w:rPr>
        <w:footnoteReference w:id="1167"/>
      </w:r>
      <w:r>
        <w:rPr>
          <w:rFonts w:ascii="Amiri" w:hAnsi="Amiri" w:eastAsia="Amiri" w:cs="Amiri"/>
          <w:color w:val="111111"/>
          <w:sz w:val="28"/>
          <w:sz w:val="28"/>
          <w:szCs w:val="28"/>
          <w:rtl w:val="true"/>
          <w:lang w:bidi="ar-SA"/>
        </w:rPr>
        <w:t>المستفيضة الدالّة على جواز المسح على النعل، من دون استبطان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دلَّ على الاكتفاء في مسح الرِّجل بإدخال اليد في الخُفّ المخرَّق</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جواز المسح من دون استبطان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استبطانه أعمّ من ذلك، إذ الظاهر خروج ما يستره الشراك عن الموضع الواجب مسحه، لاسيّما بناءً على خروج الكعبين 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غاية ما يدلُّ عليه الشراك عن البشرة، هو إجزاء مَسحه عن 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إدخال اليد في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لي وجه الاستدلال به، مع عدم ظهوره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الاستيعاب بحسب الطول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01" w:name="pg11794_147214"/>
    </w:p>
    <w:p>
      <w:pPr>
        <w:pStyle w:val="Heading6"/>
        <w:numPr>
          <w:ilvl w:val="5"/>
          <w:numId w:val="1"/>
        </w:numPr>
        <w:rPr/>
      </w:pPr>
      <w:bookmarkStart w:id="502" w:name="__RefHeading___Toc10299256_73709187"/>
      <w:bookmarkStart w:id="503" w:name="_Toc184"/>
      <w:bookmarkEnd w:id="501"/>
      <w:bookmarkEnd w:id="502"/>
      <w:r>
        <w:rPr>
          <w:rtl w:val="true"/>
        </w:rPr>
        <w:t>المراد من الكَعْبِين</w:t>
      </w:r>
      <w:bookmarkEnd w:id="503"/>
    </w:p>
    <w:p>
      <w:pPr>
        <w:pStyle w:val="BookText"/>
        <w:rPr/>
      </w:pPr>
      <w:r>
        <w:rPr>
          <w:rFonts w:ascii="Amiri" w:hAnsi="Amiri" w:eastAsia="Amiri" w:cs="Amiri"/>
          <w:color w:val="111111"/>
          <w:sz w:val="28"/>
          <w:sz w:val="28"/>
          <w:szCs w:val="28"/>
          <w:rtl w:val="true"/>
          <w:lang w:bidi="ar-SA"/>
        </w:rPr>
        <w:t>لا خلاف بين علماء الإماميّة ولُغويّة الخاصّة في أنّ الكعبين هما العظمان الناتئان في وسط القدم، وليسا العظمين الذين في جانبي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الخلاف في مقام آخر، وهو أنّ المصنّف رحمه الله فهم من عبارات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بصحّة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العظم الناتئ الواقع في مجمع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الكعبين هما قبّتا القدم أمام الساقين، ما بين المفصل والمشط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في كلّ قدمٍ واحد، وهو ما على منه في وسط القدم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هذا المعنى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لهذا القول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المدّعى في جملةٍ من كتب الأصحاب، على أنّ الكعبين هما قبّتا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 أهل اللّغة، فإنّ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أنّ لغويّة الخاصّة متّفقون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الناشر في ظهر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عدم استبطان الشراك</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القدمين كيف هو؟ فوضع كفّه على الأصابع فمسحها إلى الكعبين إلى ظاهر القدم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الغاية الثانية تفسيرٌ للاُولى، فيكون الكعب متّحداً مع ظاهر القدم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الحسن والصحيح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الكعب في ظهر القدم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ميسر، عن أبي جعفر عليه السلام، في حكاية وضوء رسول اللّه صلى الله عليه و آله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 يده على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أسفل العرقوب،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الظنبوب</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أنّ العلّامة رحمه الله لم يخالف القوم، وإنّما يدَّعي ارادتهم من هذه العبارة ما ذكره رحمه الله، فلا وجه لأن يرد عليه بكلمات هؤلاء، ولم يذكر أحدٌ من القدماء ما يخالف تفسير العلّامة، مدَّعياً عليه الإجماع، سوى المفيد والشيخ رحمه الله وإنْ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ما فسّره المفيد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قُبّتا القدم</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ولكن في كتبه الاُخر</w:t>
      </w:r>
      <w:r>
        <w:rPr>
          <w:rStyle w:val="FootnoteAnchor"/>
          <w:rtl w:val="true"/>
        </w:rPr>
        <w:footnoteReference w:id="1181"/>
      </w:r>
      <w:r>
        <w:rPr>
          <w:rFonts w:ascii="Amiri" w:hAnsi="Amiri" w:eastAsia="Amiri" w:cs="Amiri"/>
          <w:color w:val="111111"/>
          <w:sz w:val="28"/>
          <w:sz w:val="28"/>
          <w:szCs w:val="28"/>
          <w:rtl w:val="true"/>
          <w:lang w:bidi="ar-SA"/>
        </w:rPr>
        <w:t>عبّر بما ذكره المصنّف رحمه الله، وهذا يدلّ على اتّحادهما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أهل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لا يخالف مختاره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جماعة منهم صرّحوا بأنّ المراد ما فسّره العلّامة رحمه الله، لاحظ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 كلّ مفصلٍ للعضلات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 جملةٍ من العامّة كالرازي والنيشابوري من التصريح بأنّ الإماميّة وكل من أوجب المسح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الكعب عبارة عن عظمٍ مستدير موضوع تحت عظم الساق، حيث يكون منفصل الساق والقدم، كما في أرجل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محمّد بن حسن الشيباني، وأنّ الأصمعي</w:t>
      </w:r>
      <w:r>
        <w:rPr>
          <w:rStyle w:val="FootnoteAnchor"/>
          <w:rtl w:val="true"/>
        </w:rPr>
        <w:footnoteReference w:id="1183"/>
      </w:r>
      <w:r>
        <w:rPr>
          <w:rFonts w:ascii="Amiri" w:hAnsi="Amiri" w:eastAsia="Amiri" w:cs="Amiri"/>
          <w:color w:val="111111"/>
          <w:sz w:val="28"/>
          <w:sz w:val="28"/>
          <w:szCs w:val="28"/>
          <w:rtl w:val="true"/>
          <w:lang w:bidi="ar-SA"/>
        </w:rPr>
        <w:t>كان يختار هذا القول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أوجب المسح، قال هوك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المفصل بين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بعضهم متقدّمٌ على العلّامة، فلا يحتمل أن يكون منشأ النسبة انتشار ذلك من العلّامة، فزعموه مذهباً لكلّ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عدم استبطان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رحمه الله أفتى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بعدم وجوب إدخال اليد تحت الشراكين في المسح على النعل العربيّة، وعلّله في الأوّل بأنّه لا يمنع مسح موضع الفرض، فهو ملتزم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القدم مقابلٌ الباطن بما أنّه ذو أجزاء، لا يُعقل جعله غايةً، فلابدَّ من تقدير كلمة مناسبة، وهي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يدلّ على اتّحاد الكعب مع آخر ظاهر القدم، فيدلّ على ما اختاره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إنّما يدلّان على أنّ الكعب في ظهر القدم، ردّاً على العامّة القائلين بأنّ الكعبين في جانبي القدم، ولا يدلّان على كونه في وسط ظهر القدم كي يكونان شاهدين للقول المشهور، ولنعم ما قال شيخنا البهائي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قول ميسر في الحديث الثالث إنّ الباقر عليه السلام وصَفَ الكعب في ظهر القدم، يعطي أنّ الإمام عليه السلام ذكر للكعب أوصافاً ليعرّفه الراوي بها، ولو كان الكعب هذا الارتفاع المحسوس المشاهد، لم يحتج إلى الوصف، بل كان ينبغي أن يقول هو ذا، وقس عليه قوله عليه السلام في الحديث الأوّل هاهنا بالإشارة إلى مكانه دون الإشارة إليه</w:t>
      </w:r>
      <w:r>
        <w:rPr>
          <w:rFonts w:eastAsia="Amiri" w:cs="Amiri" w:ascii="Amiri" w:hAnsi="Amiri"/>
          <w:color w:val="111111"/>
          <w:sz w:val="28"/>
          <w:szCs w:val="28"/>
          <w:rtl w:val="true"/>
          <w:lang w:bidi="ar-SA"/>
        </w:rPr>
        <w:t>)</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القول المشهور لا يدلّ عليه، بل صحيح البزنطي يشهد لما اختاره العلّامة، وحسنا ميسر يُشعران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وبكير، وقد جاء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المفصل دون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المفصل فيه، يحتمل أن يكون المفصل الذي في قُبّة القدم، الذي تسالموا على وجوده، بأن يكون دون عَظْم الساق من كلام الراوي قيداً للمفصل، فيكون مراد الراوي أنّه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المفصل الذي يكون دون عظم الساق، وليس هو مفصل الساق، ويشير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أنّه عليه السلام أشار إلى الفصل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حسّي يكون حجّة، وحمل المفصل على الكائن في وسط القدم، الذي لا يعرفه أكثر الناس، بل لا يتبيّن للكثير من الخواص، بعيدٌ غايته لا يصار إليه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 أسفل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أنّ الكعب واقعٌ تحت الساق، إذ المشار إليه بذلك بقرينة 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شيءٌ يكون من عظم الساق، فلا يحتمل أن يكون المراد من المفصل هو ما في وسط القدم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زرارة</w:t>
      </w:r>
      <w:r>
        <w:rPr>
          <w:rStyle w:val="FootnoteAnchor"/>
          <w:rtl w:val="true"/>
        </w:rPr>
        <w:footnoteReference w:id="1190"/>
      </w:r>
      <w:r>
        <w:rPr>
          <w:rFonts w:ascii="IRNazanin" w:hAnsi="IRNazanin" w:eastAsia="IRNazanin"/>
          <w:color w:val="111111"/>
          <w:sz w:val="28"/>
          <w:sz w:val="28"/>
          <w:szCs w:val="28"/>
          <w:rtl w:val="true"/>
          <w:lang w:bidi="fa-IR"/>
        </w:rPr>
        <w:t>، وخبر ابن هلال</w:t>
      </w:r>
      <w:r>
        <w:rPr>
          <w:rStyle w:val="FootnoteAnchor"/>
          <w:rtl w:val="true"/>
        </w:rPr>
        <w:footnoteReference w:id="1191"/>
      </w:r>
      <w:r>
        <w:rPr>
          <w:rFonts w:ascii="Amiri" w:hAnsi="Amiri" w:eastAsia="Amiri" w:cs="Amiri"/>
          <w:color w:val="111111"/>
          <w:sz w:val="28"/>
          <w:sz w:val="28"/>
          <w:szCs w:val="28"/>
          <w:rtl w:val="true"/>
          <w:lang w:bidi="ar-SA"/>
        </w:rPr>
        <w:t>الواردان في حَدّ السارق، الدالّان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يقطع رجله اليسرى من الكعب، بضميمة ما دلَّ من الفتوى والنصوص على أنّه يقطع من المفصل كخبر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يُقطع من السارق أربع أصابع، ويترك الإبهام، وتُقطع الرِّجل من المفصل، ويُترك العقب يطأ عليه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ما اختاره المصنّف رحمه الله، وتبعه جملةٌ من المتأخّرين عنه كالشهيد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وشيخنا البهائي، والمحدِّث الكاشاني، والمحدِّث الحرّ العاملي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المفصل بين الساق والقدم، أو العَظْم المائل إلى الاستدارة، الواقع في ملتقى الساق والقدم، وله زائدتان في أعلاه يدخلان في حُفرتي قَصَبة الساق، وزائدتان في أسفله يدخلان في حفرتي العقب، وهو ناتٍ في وسط ظهر القدم، ولكن نتوّه غَيرُ ظاهرٍ بحسّ البصر الذي يُعبّر عنه بالمفصل لمجاورته له، أو من قبيل تسمية الحال باسم المحلّ، كما صرّح بذلك البهائي رحمه الله</w:t>
      </w:r>
      <w:r>
        <w:rPr>
          <w:rStyle w:val="FootnoteAnchor"/>
          <w:rtl w:val="true"/>
        </w:rPr>
        <w:footnoteReference w:id="1193"/>
      </w:r>
      <w:r>
        <w:rPr>
          <w:rFonts w:ascii="Amiri" w:hAnsi="Amiri" w:eastAsia="Amiri" w:cs="Amiri"/>
          <w:color w:val="111111"/>
          <w:sz w:val="28"/>
          <w:sz w:val="28"/>
          <w:szCs w:val="28"/>
          <w:rtl w:val="true"/>
          <w:lang w:bidi="ar-SA"/>
        </w:rPr>
        <w:t>، ولا تخالفه كلمات قدماء أصحابنا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04" w:name="pg11794_147220"/>
    </w:p>
    <w:p>
      <w:pPr>
        <w:pStyle w:val="Heading6"/>
        <w:numPr>
          <w:ilvl w:val="5"/>
          <w:numId w:val="1"/>
        </w:numPr>
        <w:rPr/>
      </w:pPr>
      <w:bookmarkStart w:id="505" w:name="__RefHeading___Toc10299258_73709187"/>
      <w:bookmarkStart w:id="506" w:name="_Toc185"/>
      <w:bookmarkEnd w:id="504"/>
      <w:bookmarkEnd w:id="505"/>
      <w:r>
        <w:rPr>
          <w:rtl w:val="true"/>
        </w:rPr>
        <w:t>في وجوب مسح الكعبين وعدمه</w:t>
      </w:r>
      <w:bookmarkEnd w:id="506"/>
    </w:p>
    <w:p>
      <w:pPr>
        <w:pStyle w:val="BookText"/>
        <w:rPr/>
      </w:pPr>
      <w:r>
        <w:rPr>
          <w:rFonts w:ascii="Amiri" w:hAnsi="Amiri" w:eastAsia="Amiri" w:cs="Amiri"/>
          <w:color w:val="111111"/>
          <w:sz w:val="28"/>
          <w:sz w:val="28"/>
          <w:szCs w:val="28"/>
          <w:rtl w:val="true"/>
          <w:lang w:bidi="ar-SA"/>
        </w:rPr>
        <w:t>ثمّ إنّ في وجوب مسح الكعبين وعدمه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أوّلهما المصنّف رحمه الله</w:t>
      </w:r>
      <w:r>
        <w:rPr>
          <w:rStyle w:val="FootnoteAnchor"/>
          <w:rtl w:val="true"/>
        </w:rPr>
        <w:footnoteReference w:id="1194"/>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المفصل، لا يترتّب على هذا النزاع أثرٌ، إذ المفصل لا مسافة له حتّى ينازع في دخوله في الحَدّ أو 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المشهور، والقول بأنّه العظم المائل إلى الاستدارة، الواقع في ملتقى الساق، فقد استدلّ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وبأنّ الغاية داخلة في المغيّى،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نهايةً للمسح، وقع بدايةً له في خبر يونس الآتي، فيدخل الكعب في المسافة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لا يُصار إليه إلّامع القرينة، وكون الغاية داخلة في المغيي محلّ تأمّل، ووقوعه بداية للمسح لا يدلّ على دخوله في المسافة، إذ هذا النزاع كما يجري في الغاية، كذلك يجري فيما يجعل بدايةً ويكون له أجزاء، وعلى ذلك فيتعيّن الرجوع إلى أصالة البراءة عن وجوب مسحه </w:t>
      </w:r>
    </w:p>
    <w:p>
      <w:pPr>
        <w:pStyle w:val="BookText"/>
        <w:rPr/>
      </w:pPr>
      <w:r>
        <w:rPr>
          <w:rFonts w:ascii="Amiri" w:hAnsi="Amiri" w:eastAsia="Amiri" w:cs="Amiri"/>
          <w:color w:val="111111"/>
          <w:sz w:val="28"/>
          <w:sz w:val="28"/>
          <w:szCs w:val="28"/>
          <w:rtl w:val="true"/>
          <w:lang w:bidi="ar-SA"/>
        </w:rPr>
        <w:t>بناءً على جريانها في الشكّ في المحصّل إذا كان بيانه وظيفة الشارع، أو كون الطهارة من عناوين الوضوء لا أنّها أثره كما هو الحقّ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الثاني</w:t>
      </w:r>
      <w:r>
        <w:rPr>
          <w:rFonts w:eastAsia="Amiri" w:cs="Amiri" w:ascii="Amiri" w:hAnsi="Amiri"/>
          <w:color w:val="111111"/>
          <w:sz w:val="28"/>
          <w:szCs w:val="28"/>
          <w:rtl w:val="true"/>
          <w:lang w:bidi="ar-SA"/>
        </w:rPr>
        <w:t>.</w:t>
      </w:r>
      <w:bookmarkStart w:id="507" w:name="pg11794_147222"/>
    </w:p>
    <w:p>
      <w:pPr>
        <w:pStyle w:val="Heading6"/>
        <w:numPr>
          <w:ilvl w:val="5"/>
          <w:numId w:val="1"/>
        </w:numPr>
        <w:rPr/>
      </w:pPr>
      <w:bookmarkStart w:id="508" w:name="__RefHeading___Toc10299260_73709187"/>
      <w:bookmarkStart w:id="509" w:name="_Toc186"/>
      <w:bookmarkEnd w:id="507"/>
      <w:bookmarkEnd w:id="508"/>
      <w:r>
        <w:rPr>
          <w:rtl w:val="true"/>
        </w:rPr>
        <w:t>كفاية المُسمّى في مسح الرِّجلين عَرْضاً</w:t>
      </w:r>
      <w:bookmarkEnd w:id="50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حدِّه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المُسمّى عَرْضاً، ولو بعرض إصبع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فقهاء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باعتبار الإصبع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اعتبار أن يكون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1202"/>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الإصبعين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بمقدار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1205"/>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واستشهد للأوّل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وبكير المتقدّم، حيث وردَ فيه بعد الاستشهاد لوجوب الاستيعاب في الغَسل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للشيء، وعليه فلا يصحّ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لكون مدخولها الشيء، ولا معنى لبعض الشيء في مقابله، فلايدلّ على الإجتزاء بمسح بعض ظاهر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الوارد في كيفيّة استفادة مسح بعض الرأس والرجل من الكتاب، حيث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وصل الرِّجلين بالرأس كما وصل اليدين بالوجه،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 على بعضهما</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البعضيّة بلحاظ مجموع الظاهر والباطن، وعليه فهو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دلَّ بإطلاقه على كفاية مسح بعض الظاهر، ولكنّه قابل للتقييد بما يدلّ على لزوم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الصدوق، وخبر جعفر بن سليمان</w:t>
      </w:r>
      <w:r>
        <w:rPr>
          <w:rStyle w:val="FootnoteAnchor"/>
          <w:rtl w:val="true"/>
        </w:rPr>
        <w:footnoteReference w:id="1210"/>
      </w:r>
      <w:r>
        <w:rPr>
          <w:rFonts w:ascii="Amiri" w:hAnsi="Amiri" w:eastAsia="Amiri" w:cs="Amiri"/>
          <w:color w:val="111111"/>
          <w:sz w:val="28"/>
          <w:sz w:val="28"/>
          <w:szCs w:val="28"/>
          <w:rtl w:val="true"/>
          <w:lang w:bidi="ar-SA"/>
        </w:rPr>
        <w:t>الواردين في إدخال اليد في الخفّ المخرّق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سندهما، أنّهما لا يدلّان إلّاعلى عدم وجوب نزع الخُفّ، وجواز المسح بإدخال اليد، وليسا في مقام بيان حدِّ المسح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Style w:val="FootnoteAnchor"/>
          <w:rtl w:val="true"/>
        </w:rPr>
        <w:footnoteReference w:id="1211"/>
      </w:r>
      <w:r>
        <w:rPr>
          <w:rFonts w:ascii="Amiri" w:hAnsi="Amiri" w:eastAsia="Amiri" w:cs="Amiri"/>
          <w:color w:val="111111"/>
          <w:sz w:val="28"/>
          <w:sz w:val="28"/>
          <w:szCs w:val="28"/>
          <w:rtl w:val="true"/>
          <w:lang w:bidi="ar-SA"/>
        </w:rPr>
        <w:t>الدالّة على أخذ البلل لمسح الرأس والرِّجلين من اللّحية والحاجبين وأشفار العينين، إذ البلّة المأخوذة من أشفار العينين والحاجبين، بل وكذا اللّحية، لا تكفي لمسح الرأس والرِّجلين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كفاية البلّة المذكورة لمسح الرِّجلين بالكفّ لو سُلّم، لا يلازم الاكتفاء بالمسمّى، فلو دلَّ الدليل على لزوم مسح موضع ثلاث أصابع، فلا يعارضه هذه النصوص، إلّاأنْ يُدّعى عدم كفايتها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لاعتبار أن يكون بثلاث أصابع، بخبر معمّر،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وكذلك الرجل</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إجزاء الثلاث أعمّ من تعيّنها، ودلالته على أنّ ذلك أقلّ المجزي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تتوقّف على القول بمفهوم العدد الذي لا نقول به، مع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الأقلّ إصبعان، والقول باعتبار الإصبع، فلا دليل على شيء منهما، ولعلّ القول بهما مستندٌ إلى‌عدم صدق المسمّى بأقلّ من الإصبع أو الإصبعين،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كونه بمقدار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المسح على القدمين كيف هو؟ فوضع كفّه على الأصابع فمسحها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بإصبعين من أصابعه؟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إلّابكفّه كلّها</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إمسح عليه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لولا وجوب الاستيعاب، لم يكن للإستشهاد بالآية الشريفة والحكم بلزوم المسح عليه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إرادة ردعه عن توهّمه أنّه على تقدير وجوب المسح على تمام الأصابع، لابدَّ من رفع المرارة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السلام في مقام بيان الوظيفة الفعليّة، لا في مقام بيان حكم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فرضي 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استيعاب المرارة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فجعلتُ على إصبعي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خلاف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والمطلقات الآمرة بمسح ظاهر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حَمل الأوّلين على الاستحباب، وإرادة جريان قاعدة نفي الحرج في المستحبّات من الاستشهاد بالآية في الثاني، لنصوص أخذ البلل من اللّحية والحاجبين وأشفار العينين، وتقييد الأخيرة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بعيدة، لأنّها وإنْ اختصّت بصورة النسيان، إلّاأنّه يتمّ في غيرها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خبر معمّر هذا، مضافاً إلى ما عرفت من دعوى جماعةٍ الإجماع على كفاية المسمّى وعدم وجوب الاستيعاب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المسمّى، والأحوط أن يكون بمقدار عرض ثلاث أصابع، وأحوط من ذلك مسح تمام ظهر القدم</w:t>
      </w:r>
      <w:r>
        <w:rPr>
          <w:rFonts w:eastAsia="Amiri" w:cs="Amiri" w:ascii="Amiri" w:hAnsi="Amiri"/>
          <w:color w:val="111111"/>
          <w:sz w:val="28"/>
          <w:szCs w:val="28"/>
          <w:rtl w:val="true"/>
          <w:lang w:bidi="ar-SA"/>
        </w:rPr>
        <w:t>.</w:t>
      </w:r>
      <w:bookmarkStart w:id="510" w:name="pg11794_147227"/>
    </w:p>
    <w:p>
      <w:pPr>
        <w:pStyle w:val="Heading6"/>
        <w:numPr>
          <w:ilvl w:val="5"/>
          <w:numId w:val="1"/>
        </w:numPr>
        <w:rPr/>
      </w:pPr>
      <w:bookmarkStart w:id="511" w:name="__RefHeading___Toc10299262_73709187"/>
      <w:bookmarkStart w:id="512" w:name="_Toc187"/>
      <w:bookmarkEnd w:id="510"/>
      <w:bookmarkEnd w:id="511"/>
      <w:r>
        <w:rPr>
          <w:rtl w:val="true"/>
        </w:rPr>
        <w:t>كفاية مسح القدمين منكوساً</w:t>
      </w:r>
      <w:bookmarkEnd w:id="51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الابتداء بالكعبين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الآية الشريفة،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الانتهاء، وبصحيح البزنطي المتقدّم في معنى الكعب، وفي لزوم الاستيعاب، وبالنصوص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ظهورها في عدم جواز النكس، ولزوم الابتداء بالأصابع وإنْ كان لا يُنكر، إلّاأنّه يتعيّن حملها على الاستحباب، بقرينة ما يدلّ على جواز النكس، وهو صحيحا حمّاد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ومدبراً</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ومدبراً</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ويجوز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مسح الرأس أنّهما خَبَران لا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رأى أبا الحسن عليه السلام بمنى يمسح ظهر قدميه من أعلى القدم إلى الكعب، ومن الكعب إلى أعلى القدم،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مسح الرِّجلين موسَّعٌ؛ مَنْ شاء مَسحَ مُقبلاً، ومَنْ شاء مَسَحَ مُدبِراً، فإنّه من الأمر الموسّع إنْ شاء تعالى</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 أنّ ما أفاده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13" w:name="pg11794_147229"/>
    </w:p>
    <w:p>
      <w:pPr>
        <w:pStyle w:val="Heading6"/>
        <w:numPr>
          <w:ilvl w:val="5"/>
          <w:numId w:val="1"/>
        </w:numPr>
        <w:rPr/>
      </w:pPr>
      <w:bookmarkStart w:id="514" w:name="__RefHeading___Toc10299264_73709187"/>
      <w:bookmarkStart w:id="515" w:name="_Toc188"/>
      <w:bookmarkEnd w:id="513"/>
      <w:bookmarkEnd w:id="514"/>
      <w:r>
        <w:rPr>
          <w:rtl w:val="true"/>
        </w:rPr>
        <w:t>لزوم تقديم اليمنى‌</w:t>
      </w:r>
      <w:bookmarkEnd w:id="51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مَسح اليُسرى قبل اليُمنى، ومسحهما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مخالفاً 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2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تقديم اليمنى، وهو المحكيّ عن ابن الجنيد</w:t>
      </w:r>
      <w:r>
        <w:rPr>
          <w:rStyle w:val="FootnoteAnchor"/>
          <w:rtl w:val="true"/>
        </w:rPr>
        <w:footnoteReference w:id="1233"/>
      </w:r>
      <w:r>
        <w:rPr>
          <w:rFonts w:ascii="Amiri" w:hAnsi="Amiri" w:eastAsia="Amiri" w:cs="Amiri"/>
          <w:color w:val="111111"/>
          <w:sz w:val="28"/>
          <w:sz w:val="28"/>
          <w:szCs w:val="28"/>
          <w:rtl w:val="true"/>
          <w:lang w:bidi="ar-SA"/>
        </w:rPr>
        <w:t>، وابن أبي عقيل</w:t>
      </w:r>
      <w:r>
        <w:rPr>
          <w:rStyle w:val="FootnoteAnchor"/>
          <w:rtl w:val="true"/>
        </w:rPr>
        <w:footnoteReference w:id="1234"/>
      </w:r>
      <w:r>
        <w:rPr>
          <w:rFonts w:ascii="Amiri" w:hAnsi="Amiri" w:eastAsia="Amiri" w:cs="Amiri"/>
          <w:color w:val="111111"/>
          <w:sz w:val="28"/>
          <w:sz w:val="28"/>
          <w:szCs w:val="28"/>
          <w:rtl w:val="true"/>
          <w:lang w:bidi="ar-SA"/>
        </w:rPr>
        <w:t>، وابن بابويه</w:t>
      </w:r>
      <w:r>
        <w:rPr>
          <w:rStyle w:val="FootnoteAnchor"/>
          <w:rtl w:val="true"/>
        </w:rPr>
        <w:footnoteReference w:id="1235"/>
      </w:r>
      <w:r>
        <w:rPr>
          <w:rFonts w:ascii="Amiri" w:hAnsi="Amiri" w:eastAsia="Amiri" w:cs="Amiri"/>
          <w:color w:val="111111"/>
          <w:sz w:val="28"/>
          <w:sz w:val="28"/>
          <w:szCs w:val="28"/>
          <w:rtl w:val="true"/>
          <w:lang w:bidi="ar-SA"/>
        </w:rPr>
        <w:t>، وكاشف اللّثام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قولاً لم نعرف قائله، وهو وجوب تقديم اليمنى أو مسحهما معاً، ولا يجوز تقديم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مالَ إليه أو اختاره جملةٌ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الكتاب والسُنّة، والوضوءات البيانيّة، ونصوص الترتيب، إذ ليس في شيءٍ منها إشعارٌ ببيانه، مع تعرّضها للترتيب و سائر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تقييد الإطلاق بمصحّح ابن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 على القدمين، وابدأ بالشَّق الأيمن</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وعدم التعرّض لمضمونه في 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الترتيب لا تكون كالنصّ في عدم الوجوب، كي توجب حمل الأمر بالبدئة بالأيمن على الاستحباب،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 المصحّح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إفتاء جملةٍ من الأصحاب بمضمونه، وباحتمال أن يكون عدم عملهم بظاهره من جهة الجمع بينه وبين النصوص البيانيّة، لا للإعراض عنه، وبما عن النجاشي، عن أبي رافع،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فليبدأ باليمين قبل الشمال من جسده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لأخصّية التوقيع الشريف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الحميري، عن صاحب الزمان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يسأله عن المسح على الرِّجلين بأيّهما يبدأ باليمين أو يمسح عليهما جميعاً معاً؟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عليهما جميعاً معاً، فإنْ بدأ بإحداهما قبل الاُخرى فلا يبدأ إلّاباليُمنى</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الرحمن ابن كثير الهاشمي،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أمير المؤمنين جالسٌ مع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قد اشتمل على الدّعاء عند غسل كلّ عضو،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 يوم تزلُّ فيه الأقدام</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الصريحين في جواز مسحهما معا عن المصحّح، وخبر أبي رافع يقيّد إطلاقهما بهما، ويُحملان على صورة عدم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بجواز مسحهما معاً، وعدم جواز تقديم اليسرى، والأحوط تقديم اليمنى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16" w:name="pg11794_147232"/>
    </w:p>
    <w:p>
      <w:pPr>
        <w:pStyle w:val="Heading6"/>
        <w:numPr>
          <w:ilvl w:val="5"/>
          <w:numId w:val="1"/>
        </w:numPr>
        <w:rPr/>
      </w:pPr>
      <w:bookmarkStart w:id="517" w:name="__RefHeading___Toc10299266_73709187"/>
      <w:bookmarkStart w:id="518" w:name="_Toc189"/>
      <w:bookmarkEnd w:id="516"/>
      <w:bookmarkEnd w:id="517"/>
      <w:r>
        <w:rPr>
          <w:rtl w:val="true"/>
        </w:rPr>
        <w:t>في كيفيّة مسح الرِّجلين</w:t>
      </w:r>
      <w:bookmarkEnd w:id="51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المسح باليدين أم يكفي يد واحدة؟</w:t>
      </w:r>
    </w:p>
    <w:p>
      <w:pPr>
        <w:pStyle w:val="BookText"/>
        <w:rPr/>
      </w:pPr>
      <w:r>
        <w:rPr>
          <w:rFonts w:ascii="Amiri" w:hAnsi="Amiri" w:eastAsia="Amiri" w:cs="Amiri"/>
          <w:color w:val="111111"/>
          <w:sz w:val="28"/>
          <w:sz w:val="28"/>
          <w:szCs w:val="28"/>
          <w:rtl w:val="true"/>
          <w:lang w:bidi="ar-SA"/>
        </w:rPr>
        <w:t>وعلى الأوّل هل يجب أن يكون مسح اليمنى باليمنى واليسرى باليسرى، أم يجزي الاختلاف؟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هو القول بجواز المسح بيد واحدة، وجواز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أعثر على مَن نصَّ على وجوب اليمنى لليمنى واليسرى لليسرى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الإجماع، كان القول بذلك متعيّناً، إذ يشهد لعدم الاكتفاء بيد واحدة ما في جملةٍ من النصوص البيانيّة، من أنّه صلى الله عليه و آله مَسَح بهما معاً، ويدلّ على لزوم كون مسح اليمنى باليمنى واليسرى باليسرى، حسن زرارة، بإبراهيم بن هاشم،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يقيّد إطلاق الأدلّة</w:t>
      </w:r>
      <w:r>
        <w:rPr>
          <w:rFonts w:eastAsia="Amiri" w:cs="Amiri" w:ascii="Amiri" w:hAnsi="Amiri"/>
          <w:color w:val="111111"/>
          <w:sz w:val="28"/>
          <w:szCs w:val="28"/>
          <w:rtl w:val="true"/>
          <w:lang w:bidi="ar-SA"/>
        </w:rPr>
        <w:t>.</w:t>
      </w:r>
      <w:bookmarkStart w:id="519" w:name="pg11794_147233"/>
    </w:p>
    <w:p>
      <w:pPr>
        <w:pStyle w:val="Heading6"/>
        <w:numPr>
          <w:ilvl w:val="5"/>
          <w:numId w:val="1"/>
        </w:numPr>
        <w:rPr/>
      </w:pPr>
      <w:bookmarkStart w:id="520" w:name="__RefHeading___Toc10299268_73709187"/>
      <w:bookmarkStart w:id="521" w:name="_Toc190"/>
      <w:bookmarkEnd w:id="519"/>
      <w:bookmarkEnd w:id="520"/>
      <w:r>
        <w:rPr>
          <w:rtl w:val="true"/>
        </w:rPr>
        <w:t>عدم جواز المسح على الحائل</w:t>
      </w:r>
      <w:bookmarkEnd w:id="52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المسح على بَشَرة القدمين، ولا يجوز على حائلٍ خارجي من خُفٍّ أو غيره اختياراً بلا خلاف، بل إجماعاً منّا فتواً ورواية،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عدّه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والنصوص البيانيّة، والنصوص المستفيضة الواردة في المسح على الخُفّين، الظاهرة في التعميم لكلّ حائلٍ لوقوع الاستدلال في بعضها بالآية الكتابيّة، وأنّه سبق الكتاب المسح على الخُفّين، بل بعضها ظاهرٌ فيه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الكلبي النسَّابة،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 فتبسّم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وردَّ اللّهُ كلّ شيء إلى شيئه وردَّ الجلد إلى الغنم، فترى أصحاب المسح أين يذهب وضوؤهم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ممّا لاينبغي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يقع في موضعٍ آخر، وهو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الحائل؛ الشَّعر في الرجل على المعروف من مذهب الأصحاب</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بمسح الشَّعر النّابت على ظهر </w:t>
      </w:r>
    </w:p>
    <w:p>
      <w:pPr>
        <w:pStyle w:val="BookText"/>
        <w:rPr/>
      </w:pPr>
      <w:r>
        <w:rPr>
          <w:rFonts w:ascii="Amiri" w:hAnsi="Amiri" w:eastAsia="Amiri" w:cs="Amiri"/>
          <w:color w:val="111111"/>
          <w:sz w:val="28"/>
          <w:sz w:val="28"/>
          <w:szCs w:val="28"/>
          <w:rtl w:val="true"/>
          <w:lang w:bidi="ar-SA"/>
        </w:rPr>
        <w:t>القدم عن مسح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عرفاً من توابع ما نبت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وبانسباق الذّهن إلى مسحه من الأمر بمسح الرِّجل، ومراد الأصحاب من المسح على البشرة ما يقابل الحائل، كما يُشير إليه قولهم في مقام التفريع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المسح على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وبلزوم الحرج من وجوب إزالته بالحَلْق ونحوه، وصعوبة التخليل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وبالسيرة المستمرّة على عدم الحلق والتخليل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وبخلوّ الأخبار عن التعرّض لمانعيّة الشَّعر، مع غَلَبة وجوده، وعموم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التبعيّة الخارجيّة أعمّ من التبعيّة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الشارع إنّما أمر بمسح الرِّجل، وخروج الشَّعر عن مسمّى الرِّجل واضح، فلا ينسبق إلى الذهن مسحه من الأمر بمسح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الشَّعر النابت لا يكون مستوعباً للخط العَرْضي غالباً، فمع وجود الشَّعر يحصل المسح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لزوم الحرج بالنسبة إلى كلّ فردٍ ممنوعٌ، وبذلك يظهر ما في الرابع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مسح الرأس عدم شموله للممسوح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عدم مانعيّته من مسّ المقدار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والسُنّة، لعدم دخول الشَّعر في مسمّى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وجوب مسح الشَّعر النابت، هو الكلام في الشعر النابت على اليدين، وقد عرفت أنّ الأقوى عدم الوجوب فراجع</w:t>
      </w:r>
      <w:r>
        <w:rPr>
          <w:rFonts w:eastAsia="Amiri" w:cs="Amiri" w:ascii="Amiri" w:hAnsi="Amiri"/>
          <w:color w:val="111111"/>
          <w:sz w:val="28"/>
          <w:szCs w:val="28"/>
          <w:rtl w:val="true"/>
          <w:lang w:bidi="ar-SA"/>
        </w:rPr>
        <w:t>.</w:t>
      </w:r>
      <w:r>
        <w:rPr>
          <w:rStyle w:val="FootnoteAnchor"/>
          <w:rtl w:val="true"/>
        </w:rPr>
        <w:footnoteReference w:id="124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22" w:name="pg11794_147236"/>
    </w:p>
    <w:p>
      <w:pPr>
        <w:pStyle w:val="Heading6"/>
        <w:numPr>
          <w:ilvl w:val="5"/>
          <w:numId w:val="1"/>
        </w:numPr>
        <w:rPr/>
      </w:pPr>
      <w:bookmarkStart w:id="523" w:name="__RefHeading___Toc10299270_73709187"/>
      <w:bookmarkStart w:id="524" w:name="_Toc191"/>
      <w:bookmarkEnd w:id="522"/>
      <w:bookmarkEnd w:id="523"/>
      <w:r>
        <w:rPr>
          <w:rtl w:val="true"/>
        </w:rPr>
        <w:t>المسح على الحائل عند الضَّرورة</w:t>
      </w:r>
      <w:bookmarkEnd w:id="5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عدم جواز المسح على الحائل، إنّما هو في غير حال الضرورة والتقيّة، وأمّا فيهما فلا خلاف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الحائل في حال الضرورة، من بردٍ يُخاف على رجله، أو لا يمكن معه نزع الخُفّ،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جوازه</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الورد،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ظبيان حدّثني أنّه رأى عليّاً عليه السلام أراق الماء ثمّ مسح على الخفّين؟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ظبيان، أما بَلَغَكُم قولُ عليٍّ عليه السلام فيكم سَبَق الكتاب الخفّين؟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فيهما رخصة؟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عدوٍّ تتّقيه، أو ثلجٍ تخاف على رجليك</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مورده وإنْ كان هو الخُفّ والثَّلج، إلّاأنّه يتعدّى إلى مطلق الحائل والضرورة، لعدم القول بالفصل، ولعلّ التعبير بالخوف يكون مُشعِراً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 لأنّ أبا الورد لم يذكر في كتب الرِّجال بمدحٍ ولا قدح</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العلّامة المجلسي في محكي وجيزته</w:t>
      </w:r>
      <w:r>
        <w:rPr>
          <w:rStyle w:val="FootnoteAnchor"/>
          <w:rtl w:val="true"/>
        </w:rPr>
        <w:footnoteReference w:id="1251"/>
      </w:r>
      <w:r>
        <w:rPr>
          <w:rFonts w:ascii="Amiri" w:hAnsi="Amiri" w:eastAsia="Amiri" w:cs="Amiri"/>
          <w:color w:val="111111"/>
          <w:sz w:val="28"/>
          <w:sz w:val="28"/>
          <w:szCs w:val="28"/>
          <w:rtl w:val="true"/>
          <w:lang w:bidi="ar-SA"/>
        </w:rPr>
        <w:t xml:space="preserve">عدَّه في الممدوحين، مع أنّ </w:t>
      </w:r>
    </w:p>
    <w:p>
      <w:pPr>
        <w:pStyle w:val="BookText"/>
        <w:rPr/>
      </w:pPr>
      <w:r>
        <w:rPr>
          <w:rFonts w:ascii="Amiri" w:hAnsi="Amiri" w:eastAsia="Amiri" w:cs="Amiri"/>
          <w:color w:val="111111"/>
          <w:sz w:val="28"/>
          <w:sz w:val="28"/>
          <w:szCs w:val="28"/>
          <w:rtl w:val="true"/>
          <w:lang w:bidi="ar-SA"/>
        </w:rPr>
        <w:t xml:space="preserve">الراوي عنه في الخبر حمّاد بن عثمان، وهو من أصحاب الإجماع، مضافاً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 بمدحه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فالخبر قوي، مضافاً إلى عمل الأصحاب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الأعلى المتقدّم، الدالّ على المسح على المرارة، فإنّ مورده وإنْ كان هو المرارة إلّاأنّه يتعدّى إلى مطلق الحائل لما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وفحوى أخبار الجبائر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المسألة محلّ تردّد، واحتمال الانتقال إلى التيمّم،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عليه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جوازه، بل لعلّه ممّا لا خلاف فيه، بل عن غير واحدٍ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الورد المتقدّم، وعمومات أخبار التقيَّة</w:t>
      </w:r>
      <w:r>
        <w:rPr>
          <w:rStyle w:val="FootnoteAnchor"/>
          <w:rtl w:val="true"/>
        </w:rPr>
        <w:footnoteReference w:id="1254"/>
      </w:r>
      <w:r>
        <w:rPr>
          <w:rFonts w:ascii="Amiri" w:hAnsi="Amiri" w:eastAsia="Amiri" w:cs="Amiri"/>
          <w:color w:val="111111"/>
          <w:sz w:val="28"/>
          <w:sz w:val="28"/>
          <w:szCs w:val="28"/>
          <w:rtl w:val="true"/>
          <w:lang w:bidi="ar-SA"/>
        </w:rPr>
        <w:t>التي هي من ضروريّات المذهب، بناءً على دلالتها على الصحّة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أدلّة نفي الضَرَر والحَرَج</w:t>
      </w:r>
      <w:r>
        <w:rPr>
          <w:rStyle w:val="FootnoteAnchor"/>
          <w:rtl w:val="true"/>
        </w:rPr>
        <w:footnoteReference w:id="1255"/>
      </w:r>
      <w:r>
        <w:rPr>
          <w:rFonts w:ascii="Amiri" w:hAnsi="Amiri" w:eastAsia="Amiri" w:cs="Amiri"/>
          <w:color w:val="111111"/>
          <w:sz w:val="28"/>
          <w:sz w:val="28"/>
          <w:szCs w:val="28"/>
          <w:rtl w:val="true"/>
          <w:lang w:bidi="ar-SA"/>
        </w:rPr>
        <w:t>، فهي لا تدلّ على ذلك، لأنّها إنّما تدلّ على نفيب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ففي المقام تدلّ على نفي لزوم المسح على البشرة، ورفعه بما أنّه حكمٌ ضمني، إنّما يكون برفع الحكم المتعلّق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الأجزاء الباقية فهي لا تدلّ عليه، ويحتاج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ولايعارضها ما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المسح على الخفّين تقيّة؟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مصحّح هشام عن ابن أبي عمر الأعجمي،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والتقيّة في كلّ شيء إلّاشرب النبيذ، والمسح على الخفّين</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زرارة المتقدّم عن غير واحدٍ عن الإمام الباقر عليه السلام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مقتضى الجمع بينها وبين خبر أبي الورد، حملها على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توجيه هذه النصوص وجوهاً مَن أراد الوقوف عليها فليراجع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من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الآمرة بغسل الرِّجلين في حال التقيَّة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25" w:name="pg11794_147239"/>
    </w:p>
    <w:p>
      <w:pPr>
        <w:pStyle w:val="Heading6"/>
        <w:numPr>
          <w:ilvl w:val="5"/>
          <w:numId w:val="1"/>
        </w:numPr>
        <w:rPr/>
      </w:pPr>
      <w:bookmarkStart w:id="526" w:name="__RefHeading___Toc10299272_73709187"/>
      <w:bookmarkStart w:id="527" w:name="_Toc192"/>
      <w:bookmarkEnd w:id="525"/>
      <w:bookmarkEnd w:id="526"/>
      <w:r>
        <w:rPr>
          <w:rtl w:val="true"/>
        </w:rPr>
        <w:t>جواز التقيَّة مع المندوحة</w:t>
      </w:r>
      <w:bookmarkEnd w:id="527"/>
    </w:p>
    <w:p>
      <w:pPr>
        <w:pStyle w:val="BookText"/>
        <w:rPr/>
      </w:pPr>
      <w:r>
        <w:rPr>
          <w:rFonts w:ascii="Amiri" w:hAnsi="Amiri" w:eastAsia="Amiri" w:cs="Amiri"/>
          <w:color w:val="111111"/>
          <w:sz w:val="28"/>
          <w:sz w:val="28"/>
          <w:szCs w:val="28"/>
          <w:rtl w:val="true"/>
          <w:lang w:bidi="ar-SA"/>
        </w:rPr>
        <w:t>ثمّ إنّه في الضرورات ما عدا التقيَّة؛ إنّما يجوز المسح على الحائل، إذا لم يمكن رفعها، ولم يكن بدٌّ من المسح على الحائل، ولو بالتأخير إلى آخر الوقت، لأنّ الظاهر ورود خبر أبي الورد لبيان جواز المسح على الحائل في حال الضرورة في الجملة، في مقابل الانتقال إلى التيمّم، فلا إطلاق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عبد الأعلى من جهة التمسّك فيه بآية نفي الحرج</w:t>
      </w:r>
      <w:r>
        <w:rPr>
          <w:rStyle w:val="FootnoteAnchor"/>
          <w:rtl w:val="true"/>
        </w:rPr>
        <w:footnoteReference w:id="1258"/>
      </w:r>
      <w:r>
        <w:rPr>
          <w:rFonts w:ascii="Amiri" w:hAnsi="Amiri" w:eastAsia="Amiri" w:cs="Amiri"/>
          <w:color w:val="111111"/>
          <w:sz w:val="28"/>
          <w:sz w:val="28"/>
          <w:szCs w:val="28"/>
          <w:rtl w:val="true"/>
          <w:lang w:bidi="ar-SA"/>
        </w:rPr>
        <w:t>ظاهرٌ في ذلك، إذ مع وجود المندوحة لايكون الحرج طارئاً على متعلّق التكليف، فلا تشمله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المنسوب إلى المشهور جوازه مع وجود المندوحة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والمحقّق</w:t>
      </w:r>
      <w:r>
        <w:rPr>
          <w:rStyle w:val="FootnoteAnchor"/>
          <w:rtl w:val="true"/>
        </w:rPr>
        <w:footnoteReference w:id="1260"/>
      </w:r>
      <w:r>
        <w:rPr>
          <w:rFonts w:ascii="Amiri" w:hAnsi="Amiri" w:eastAsia="Amiri" w:cs="Amiri"/>
          <w:color w:val="111111"/>
          <w:sz w:val="28"/>
          <w:sz w:val="28"/>
          <w:szCs w:val="28"/>
          <w:rtl w:val="true"/>
          <w:lang w:bidi="ar-SA"/>
        </w:rPr>
        <w:t>والمصنّف</w:t>
      </w:r>
      <w:r>
        <w:rPr>
          <w:rStyle w:val="FootnoteAnchor"/>
          <w:rtl w:val="true"/>
        </w:rPr>
        <w:footnoteReference w:id="1261"/>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وبعض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الورد، إذ الغالب في العدو عدم ملازمته لتمام الوقت، وإمكان التفصي عنه بخلاف الثّلج المانع، فعطف الثلج عليه لا يُشعر باتّحادهما في الحكم، والاختصاص بصورة عدم المندوحة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العيّاشي بسنده، عن صفوان، عن أبي الحسن عليه السلام الوارد في غسل اليدين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عنده آخر فعل وإلّا فلا</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القائلون باعتبار 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أنّهم استندوا في مشروعيّة التقيَّة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إلى نفي الضَرَر والحَرَج كما عن الفاضلين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إلى العمومات</w:t>
      </w:r>
      <w:r>
        <w:rPr>
          <w:rStyle w:val="FootnoteAnchor"/>
          <w:rtl w:val="true"/>
        </w:rPr>
        <w:footnoteReference w:id="1265"/>
      </w:r>
      <w:r>
        <w:rPr>
          <w:rFonts w:ascii="Amiri" w:hAnsi="Amiri" w:eastAsia="Amiri" w:cs="Amiri"/>
          <w:color w:val="111111"/>
          <w:sz w:val="28"/>
          <w:sz w:val="28"/>
          <w:szCs w:val="28"/>
          <w:rtl w:val="true"/>
          <w:lang w:bidi="ar-SA"/>
        </w:rPr>
        <w:t>الدالّة على مشروعيّة التقيَّة،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لا تقيّة له لا دينَ له ولا إيمان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جعلها ديناً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يتعيّن تخصيصها بما ورد في مقام بيان ضابطها، كخبر معمّر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خاف المؤمن على نفسه فيه ضرورةً فله فيه التقيَّة</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البزنطي، عن إبراهيم بن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إبي جعفر الثاني عليه السلام أسأله عن الصلاة خلف مَن يتولّى أمير المؤمنين عليه السلام وهو يمسح على الخُفّين؟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يَمسح على الخُفّين، فإن جامعك وإيّاهم موضعٌ لا تجدُ بُدّاً من الصلاة معهم فأذِّن لنفسك وأقم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عرفت أنّ مدرك مشروعيّة التقيَّة في المقام خبر أبي الورد، الظاهر 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اعتبار المندوحة، مع أنّه على فرض تسليم كونه هو ما دلَّ على مشروعيّة التقيَّة أيضاً، لا وجه لهذا القيد، لما دلَّ من النصوص على أنّ الأمر في التقيَّة واسعٌ كخبر مسعدة بن صدقة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وتفسير ما يُتَّقى، مثل أن يكون قومُ سوءٍ، ظاهرُ حُكمهم وفِعلهم على غير حكم الحقِ وفعله،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 أبي عمر،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 والتقيَّة في كلّ شيءٍ إلّافي شُرب النبيذ، 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يُصلّي فخرج الإمام وقد صَلّى الرجل ركعةً من صلاة 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اُخرى، وينصرف، ويجعلها تطوّعاً، وليدخل مع الإمام في صلاته كما هو، وإنْ لم يكن إمام عدلٍ فليبن على صلاته كما هو، ويصلّي ركعة اُخرى، ويجلس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وأشهدُ أنّ محمّد عبده ورسوله، ثمّ ليتمّ صلاته معه على ما استطاع، فإنّ التقيَّة واسعة، وليس شيءٌ من التقيَّة إلّاوصاحبها مأجورٌ عليها إن شاء تعالى</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هشام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عشائرهم، وعودوا مرضاهم،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واشهدوا جنائزهم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لمن انقطعتم إليه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ممّا ورد في الحَثّ على الصلاة مع المخالفين وغيره، فإنّها ظاهرة في مشروعيّتها مع وجود المندوحة، بل بعضها متضمّنٌ للأمر بها مع عدم الخوف، بل لمجرّد مراعاة العلاقات العامّة وآداب الحياة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حمل ما ظاهره اعتبار عدم المندوحة العَرضيّة أو مطلقاً على خلاف ظاهره،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الأوّل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528" w:name="pg11794_147243"/>
    </w:p>
    <w:p>
      <w:pPr>
        <w:pStyle w:val="Heading2"/>
        <w:numPr>
          <w:ilvl w:val="1"/>
          <w:numId w:val="1"/>
        </w:numPr>
        <w:rPr/>
      </w:pPr>
      <w:bookmarkStart w:id="529" w:name="__RefHeading___Toc10299274_73709187"/>
      <w:bookmarkStart w:id="530" w:name="_Toc193"/>
      <w:bookmarkEnd w:id="528"/>
      <w:bookmarkEnd w:id="529"/>
      <w:r>
        <w:rPr>
          <w:rtl w:val="true"/>
        </w:rPr>
        <w:t>فهرس الموضوعات</w:t>
      </w:r>
      <w:bookmarkEnd w:id="530"/>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المطلق والمضاف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الشكّ في وجود المادّة وعدمه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الماء المُتغيّر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ما يعتبر في النجاسة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زوال التغيّر بنفسه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ماء المطر المجتمع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ماء الحمّام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تقوّي السّافل بالعالي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مساحة الكُرّ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مشكوك الكريَّة مع سبق القلّة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حدوث الكريَّة والملاقاة في آنٍ واحد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المتمّم كراً بطاهر أو نجس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اعتبار الامتزاج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اعتبار الدفعة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عدم تنجّس ماء البئر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مقدار النزح </w:t>
      </w:r>
      <w:r>
        <w:rPr>
          <w:rFonts w:eastAsia="IRNazanin" w:cs="IRNazanin"/>
          <w:color w:val="111111"/>
          <w:sz w:val="28"/>
          <w:szCs w:val="28"/>
          <w:lang w:bidi="fa-IR"/>
        </w:rPr>
        <w:t>108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الأسئار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سؤر حرام اللَّحم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بحث عن حجيّة البيِّنة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إخبار ذي اليد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البحث عن حكم الظنون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تعارض البيّنتين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اعتبار علم الوسواسي وعدمه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ذكر السبب في الشهادة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الموجب في الشهادة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القسم الأوّل من اختلاف شهادة الشاهدين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القسم الثاني من اختلاف شهادة الشاهدين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القسم الثالث من اختلاف شهادة الشاهدين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الماء المشكوك فيه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الشكّ في إطلاق الماء وإضافته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حكم العلم إجمالاً بنجاسة الماء أو إضافته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الملاقي لطرف الشبهة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انحصار الماء في المشتبهين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حكم الإناء المشكوك مالكه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حكم استعمال المشتبه بالغصب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الماء المضاف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عدم مطهّريّة المضاف من الخبث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إذا شكّ في مائع أنّه مضافٌ أو مطلق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حكم إلقاء الماء المضاف على الكُرّ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حكم الوضوء بهذا الماء المشكوك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الماء المستعمل في رفع الحدث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الماءُ المستعمل في الاستنجاء </w:t>
      </w:r>
      <w:r>
        <w:rPr>
          <w:rFonts w:eastAsia="Amiri" w:cs="Amiri" w:ascii="Amiri" w:hAnsi="Amiri"/>
          <w:color w:val="111111"/>
          <w:sz w:val="28"/>
          <w:szCs w:val="28"/>
          <w:lang w:bidi="ar-SA"/>
        </w:rPr>
        <w:t>188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المستعمل في رفع الخبث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شرائط طهارة ماء الاستنجاء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حكم خروج الدود مع الغائط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حكم خروج الغائط من المخرج غير الطبيعي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الشكّ في حقيقة ماء الغُسالة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حكم الغُسل في ماء الكُرّ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غُسالة الحمّام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عدم جواز استعمال الماء النجس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حكم سقي الأطفال الماء النجس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بيع الماء النجس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ناقضيّة الريح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ناقضيّة النوم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الإغماء والسُّكر والجنون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الإستحاضة القليلة الدّم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عدم انتقاض الوضوء بالمذي والودي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ما يستحبّ الوضوء منه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وجوب ستر العورة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حرمة النظر إلى عورة الآخرين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حكم النظر إلى عورة الكافر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حكم النظر إلى عورة الغير بالواسطة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ما شُكّ في حرمة النظر إليه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النظر إلى عورة الخنثى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مصاديق عورة الرجل والمرأة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الاستقبال والاستدبار في حال التخلّي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التخلّي في الصحاري والبنيان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مسنونات الخلوة </w:t>
      </w:r>
      <w:r>
        <w:rPr>
          <w:rFonts w:eastAsia="Amiri" w:cs="Amiri" w:ascii="Amiri" w:hAnsi="Amiri"/>
          <w:color w:val="111111"/>
          <w:sz w:val="28"/>
          <w:szCs w:val="28"/>
          <w:lang w:bidi="ar-SA"/>
        </w:rPr>
        <w:t>268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الاستبراء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الاستبراء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استحباب الدّعاء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حُكم الاستنجاء بالحَجر والماء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مكروهات التخلّي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المقدار الُمجزي من ماء الاستنجاء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الاستنجاء من الغائط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إجزاء الأحجار ونحوها مع عدم التعدّي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تنبيهات الاستنجاء من الغائط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كيفيّة الوضوء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الوضوء مستحبٌّ نفسي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غايات الوضوء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مسّ كتابة القرآن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وجوب الوضوء بالنذر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غايات الوضوء المستحبّة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الوضوء لقراءة القرآن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استحباب الوضوء للتجديد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يباح بكلّ وضوء جميع الغايات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القيد والدّاعي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كفاية الوضوء الواحد للأحداث المتعدّدة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إذا اجتمعت الغايات الواجبة والمستحبّة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اعتبار نيّة الرفع والاستباحة وعدمه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وقت النيّة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حكم الخارج عن المتعارف </w:t>
      </w:r>
      <w:r>
        <w:rPr>
          <w:rFonts w:eastAsia="Amiri" w:cs="Amiri" w:ascii="Amiri" w:hAnsi="Amiri"/>
          <w:color w:val="111111"/>
          <w:sz w:val="28"/>
          <w:szCs w:val="28"/>
          <w:lang w:bidi="ar-SA"/>
        </w:rPr>
        <w:t>364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إجراء الماء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الابتداء بالأعلى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عدم وجوب التخليل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عدم لزوم غَسل البواطن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في حكم الشكّ في مانعيّة المانع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الشكّ في وجود الحاجب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وجوب غسل المرفق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في غَسل باقي اليد المقطوع بعضها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حكم الشَّعر النابت دون المرفق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لزوم غَسل اليد الزائدة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الوضوء الإرتماسي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مَسحُ الرأس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اختصاص المسح بمقدم الرأس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لزوم كون المسح بنداوة الوضوء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لزوم كون المَسح بنداوة اليد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حكم فقدان البلّة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جواز المسح على الشَّعر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حقيقة ما يُمسح به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عدم لزوم كون مسح الرأس مقبلاً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المراد من الكَعْبِين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في وجوب مسح الكعبين وعدمه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كفاية المُسمّى في مسح الرِّجلين عَرْضاً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كفاية مسح القدمين منكوساً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لزوم تقديم اليمنى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كيفيّة مسح الرِّجلين </w:t>
      </w:r>
      <w:r>
        <w:rPr>
          <w:rFonts w:eastAsia="Amiri" w:cs="Amiri" w:ascii="Amiri" w:hAnsi="Amiri"/>
          <w:color w:val="111111"/>
          <w:sz w:val="28"/>
          <w:szCs w:val="28"/>
          <w:lang w:bidi="ar-SA"/>
        </w:rPr>
        <w:t>440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المسح على الحائل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المسح على الحائل عند الضَّرورة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جواز التقيَّة مع المندوحة </w:t>
      </w:r>
      <w:r>
        <w:rPr>
          <w:rFonts w:eastAsia="Amiri" w:cs="Amiri" w:ascii="Amiri" w:hAnsi="Amiri"/>
          <w:color w:val="111111"/>
          <w:sz w:val="28"/>
          <w:szCs w:val="28"/>
          <w:lang w:bidi="ar-SA"/>
        </w:rPr>
        <w:t>447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الفقهاء في مقابل المعنى اللّغوي للكلمة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يقال في التعريف اللّغوي للكلمة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 لغةً 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النظافة والنزاهة عن الأدناس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فهد الحلّي، وقال ابن نجيم المصري الحنفي في 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لغةً وشرعاً هي 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الإشارة إلى أنّ كلام السيّد دام ظلّه ناظرٌ إلى الأوّل دون الثاني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وسعيد بن المُسيّب بن حزن، هو أبو محمّد المخزومي من الصدر الأوّل، ربّاه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وقال في 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طاهر ومطهّر إجماعاً من الخبث والحدث، إلّاما روي عن ابن عمر، وعبد اللّه بن عمرو بن العاص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إلّاأنّ الحديث الذي رواه السكوني مرويّ عن أبي عبد اللّه عليه السلام عن رسول اللّه صلى الله عليه و آله، وما روي عن أبي عبد اللّه عليه السلام عن أمير المؤمنين عليه السلام فهو عن مسعدة بن اليسع كما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توقّف جماعة في ماء البحر، لأنّه ليس بمنزل من السماء، حتّى رووا عن عبد اللّه بن عمرو وابن عُمر معاً أنّه لا يتوضّأ به لأنّه نار ولأنّه طبق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سئل عن ماء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الطهور ماؤه، الحِلّ ميتته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مفتاح الكرامة،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النّابع الرّاكد عند الفقهاء في حكم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أيضاً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الماء موضع تفجّره، وجاء بمعنى النّابع، قال صاحب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وهو الماء الثجاج، وهو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السائل، وقيل الجاري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الدعوى من السيّد الحكيم، راجع 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الماء طهوراً لا ينجّسه شيء إلّاما غيّر لونه أو طعمه أو ريحه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وقال إنّه متّفقٌ على روايته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العروة الوثقى المسألة </w:t>
      </w:r>
      <w:r>
        <w:rPr>
          <w:rFonts w:eastAsia="IRNazanin" w:cs="IRNazanin"/>
          <w:b w:val="false"/>
          <w:bCs w:val="false"/>
          <w:i w:val="false"/>
          <w:iCs w:val="false"/>
          <w:color w:val="333333"/>
          <w:sz w:val="20"/>
          <w:szCs w:val="20"/>
        </w:rPr>
        <w:t>92/76</w:t>
      </w:r>
      <w:r>
        <w:rPr>
          <w:rFonts w:ascii="IRNazanin" w:hAnsi="IRNazanin" w:eastAsia="IRNazanin"/>
          <w:b w:val="false"/>
          <w:b w:val="false"/>
          <w:bCs w:val="false"/>
          <w:i w:val="false"/>
          <w:i w:val="false"/>
          <w:iCs w:val="false"/>
          <w:color w:val="333333"/>
          <w:sz w:val="20"/>
          <w:sz w:val="20"/>
          <w:szCs w:val="20"/>
          <w:rtl w:val="true"/>
        </w:rPr>
        <w:t>، والسيّد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والسيّد الخوئي في 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الحسن ابن أبي عقيل العُمّاني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حجريّة، وعبارته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مذهب العلماء كافّة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الكلام أيضاً للمحقّق في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لونه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 التعليقة عدّة آراء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التغيّر هنا على تقدير حصوله حقيقي، غاية ما في الباب أنّه مستور على الحس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تخريجه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في المستمسك أقوال العلماء في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وسيأتي مزيداً من التفصيل وبيان الأقوال في مبحث كيفيّة تطهير الماء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العروة الوثقى وتتمّتها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المجموع من الداخل والخارج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العروة الوثفى، 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ويُقال له جامع الشرائع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عوالئ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الماء كُرّاً لم يحمل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على ذلك السيّد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وبعضهم حكى المشهور على ذلك كالمحقّق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وكذلك الخونساري 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علي بن حمزة الطوسي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يكون في حكم الجاري وهو ماء الحمّام مادامت له مادّة من المجرى، فإذا انقطعت المادّة ارتفع عنه هذا الحكم، وحكم الماء الجاري من المثعب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المطر كذلك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والمياه الجارية من الميازيب من المطر كالمياه الجارية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يستفاد من الأخبار الصحيحة السابقة وأنّه على تقدير جريان المطر لا شكّ في تطهيره النجس مطلقاً، وكذا مع أكثريّته من النجاسة، فينبغي حمل مذهب الشيخ في تطهير النجس بالغيث باشتراط جريه من الميزاب على الجريان، أو الكثرة، وكون الجريان حقيقةً، أو حكماً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المحقّق في المعتبر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رفع الحدث به أو بغيره ممّا يزال به النجاسة فلا،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النراقي في مستند الشيعة 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في المعتبر والمنتهى الإجماع على أنّ ما يزال به الخبث لا يرفع الحدث، وهو الحقّ أيضاً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المطر له حكم الجاري حال تقاطره قبل ملاقاته جسماً من الأجسام، وبعده أيضاً، لكن بشرط عدم إنقطاع التقاطر من السماء، وعدم صيرورته في مكان يصدق عليه اسم الانقطاع عن المطر عرفاً، كما لو وضع في خابية وترك في بيت مثلاً، بل كان متعرّضاً ومتهيّئاً لوقوع التقاطر عليه، فإنّ الظاهر جريان حكم الجاري عليه بنفسه، كما كان حال تقاطره قبل استقراره، لا لاتّصاله بالجاري، أي القطرات الواقعة، وإلّا فهو في حكم المنقطع كما صرّح به الطباطبائي في مصابيحه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المختار عندنا أخيراً أنّه في تعارض العامين من وجه المرجع هي المرجّحات، وفي المقام المرجّح الأوّل وهو الشهرة مع المرسل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بكسر الحاء، وهو وعاء من الخزف ذو شكل حلزوني يستعمل لتبريد الماء في الصيف في البلاد الحارّة، وكثيراً ما يُستعمل في العراق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وعاء خزفي لحفظ الماء وتسمّى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اُشير إلى ذلك سابقاً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أحد الراويين مسنداً والآخر مرسلاً، نظر في حال المرسل فإنْ كان ممّن يعلم أنّه لا يرسل إلّاعن ثقة موثوق، فلا ترجيح لخبر غيره على خبره، ولأجل ذلك سوّت الطائفة بين ما يرويه محمّد ابن أبي عمير وصفوان بن يحيى وأحمد بن محمّد بن أبي نصر وغيرهم من الثقات الذين عرفوا بأنّهم لا يروون ولا يرسلون إلّاعمّن يوثق به، وبين ما أسنده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انفردوا بمراسيلهم إذا انفردوا عن رواية غيرهم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الحمّام بمنزلة الجاري بشرط اتّصاله بالخزانة، فالحياض الصغار فيه إذا اتّصلت بالخزانة لا تنجّس بالملاقاة إذا كان ما في الخزانة وحده أو مع ما في الحياض بقدر الكرّ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 من 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اعتبارالكريَّة، ولو نقصت هي مع ما في الحوض عن الكرّ، وهو ظاهر المحقّق، والمؤيّد بظواهر الأخبار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مَاءِ الْحَمَّامِ يَغْتَسِلُ مِنْهُ الْجُنُبُ والصَّبِيُّ والْيَهُودِيُّ والنَّصْرَانِيُّ والْمَجُوسِيُّ؟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مَاءَ الْحَمَّامِ كَمَاءِ النَّهَرِ يُطَهِّرُ بَعْضُهُ بَعْضاً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حبيب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الْحَمَّامِ لا بَأْسَ بِهِ إِذَا كَانَتْ لَهُ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عند تعارض العامين من وجه يرجع إلى أخبار الترجيح، وهي تقتضي تقديم ما دلّ على إنفعال الماء القليل لأنّه أشهر 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السيّد العاملي صاحب مفتاح الكرامة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اُستاذه صاحب مصابيح الأحكام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وماء الحمّام كالجاري إنْ كان له مادّة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الحمّام في حياضه الصغار كالجاري إذا كان له مادّة تجري إليها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وصل بين الغديرين بساقية اتّحدا إن اعتدل الماء، وإلّا في حقّ‌السّافل، فلو نقص الأعلى عن كرّ انفعل بالملاقاة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الاحتمال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عنه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رضا الهمداني في كتابه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فى النصوص المشهورة التى استشهد بها كثيرٌ من الفقهاء، و قد تصرّف فيه بعضهم و جعله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الماء كرّاً لا ينجّسه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 الخبر مروي عن معاوية بن عمّار عن أبي عبد اللّه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رواه إسماعيل بن جابر بلفظ آخر،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الماء الذي لا ينجّسه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أشبار في ثلاثة أشبار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عبارة التهذيب 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الكُرّ؟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لكلام المحقّق الحلّي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اتّفاق الأصحاب على العمل بمضمونها، فيكون الإجماع جابراً لإرسالها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بعد أن ذكر قول ابن الجنيد بأنّ تكسيره بالذراع نحو مائة شبر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غريب لأنّ اعتبار الأرطال يقارب قول القميّين، ويكون مجموع أشباره تكسيراً عندهم سبعة وعشرين شبراً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الاكتفاء بسبعة وعشرين قولٌ قويّ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من سبعة وعشرين شبراً في حَدّ الكُرّ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أنّ المحقق رحمه الله لم يصرّح بهذا القول، لكنه اعتبر أنّ الاعتماد على رواية إسماعيل بن جابر أمرٌ حسن،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لا ينجّسه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ذراعان عمقه في ذراع، وشبر 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أشار إلى كلام المحقّق في المعتبر،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من المصنّف رحمه الله في المعتبر الميل إلى العمل بهذه الرواية وهو متّجه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المحقّق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ما بلغ تكسيره ستّة وثلاثين شبراً وهو ظاهر المحقّق في المعتبر، وإليه مالَ السيّد في المدارك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وجمعها ركي وركايا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والركية بئر تحضر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ظاهراً في الدوري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رواية الحسن بن صالح، وموثّقة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هذا السند فقد أطبق علمائنا من زمن العلّامة طاب ثراه إلى زماننا هذا على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 ونقل ذلك السيّد الخوئي في الاجتهاد والتقليد، وذكر أنّنسبة هذا القول للعلّامة المجلسي هي من السيّد إسماعيل الطبرسي، شارح نجاة العباد، راجع المصدر الآتي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قدس سره في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عن ذلك في الأمر الرابع من هذا الجزء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الخوئي قدس سره في معرض بيانه للمسألة عن أستاذه النائيني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عنه 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هو المنشأ لحكم سيّدنا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 والسيّد الحكيم، والسيّد البروجردي، والسيّد الخوئي وغيرهم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متسلسل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رحمه الله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نسبة هذا القول إلى المشهور في العديد من الكتب الفقهيّة، ومنها ما ذكره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المسائل الرسية الاُولى، المجلّد الثاني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الخوئي نسب إلى السيّد القول باشتراط الطهارة كما هو قول ابن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يحيى 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والقاضي 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وعبارته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الصحيح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السيّد المرتضى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الحديث في الكتب الأربعة أو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الظاهر، نعم نسبه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 الأئمّة عليهم السلام، إلّاأنّ السيّد المرتضى في الانتصار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كتب العامّة وأنّهم رووه عن النبيّ صلى الله عليه و آله، وفي الناصريّات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أصحاب الحديث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غير واحد من الأعلام في كتبهم الفقهيّة أرسلوه إرسال المسلّمات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الانتصار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وذكرنا ما هو موجود في كتبهم وأحاديثهم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الناصريّات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روى أصحاب الحديث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زيدي منقطع المذهب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ذكره ابن حمزة في 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الأصح أنّ الامتزاج غير شرط 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اليزدي قال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الحكيم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بلزوم الامتزاج، ولكنّه قد يظهر ذلك من كلامه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في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ويطهر بإلقاء كُرٍّ عليه فكرّ، حتّى يزول التغيّر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يطهر بزواله من نفسه، ولا بتصفيق الرِّياح، ولا بوقوع أجسام طاهرة فيه تُزيل عنه التغيّر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بلزوم الامتزاج، ولكنّه قد يظهر ذلك من كلامه في غير موضع، راجع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بالكثير مع الامتزاج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المكث فيتحقّق الامتزاج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الماء الجاري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وسيأتي أيضاً مفصّلاً ماء البئر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ويطهر بزواله إنْ كان جارياً أو لاقى كُرّاً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رياض المسائل في ج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ظاهر المتأخّرين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بين مشهور المتأخّرين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يفهم قوله بالامتزاج من مسألة ذكرها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نقص الغدير عن كُرٍّ فنجس، فوصل بغديرٍ فيه كُرّ، ففي طهارته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الكلام في مصباح الفقيه للهمداني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ظهر لك ضعف ما قد يتوهّم من أنّ شهادة المحقّق بورود النصّ في قوّة إرساله، فينجبر ضعفه بفتوى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المشهور بين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عقيل العُمّاني من كبار علماء الطائفة، ولكن كتبه لم تصل إلينا، وما وصل من أقواله هو في طيّات الكتب المختلفة، وقد نقل هذا عنه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وفي هامش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العماني من عدم نجاسة القليل بدون التغيّر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 حَرِيزِ بْنِ عَبْدِ اللّهِ، عَنْ أَبِي عَبْدِ اللّهِ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غَلَبَ الْمَاءُ عَلَى رِيحِ الْجِيفَةِ فَتَوَضَّأْ مِنَ الْمَاءِ واشْرَبْ فَإِذَا تَغَيَّرَ الْمَاءُ وتَغَيَّرَ الطَّعْمُ فَلا تَوَضَّأْ مِنْهُ ولا تَشْرَبْ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عَمَّارٍ السَّابَاطِيِّ،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هَلْ يَتَوَضَّأُ مِنْ كُوزِ أَوْ إِنَاءِ غَيْرِهِ إِذَا شَرِبَ مِنْهُ عَلَى أَنَّهُ يَهُودِيٌّ؟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الْمَاءِ الَّذِي شَرِبَ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الرواية في عدّة مصادر، مع اختلافات يسيرة في بعض الكلمات، فقد ورد في مسائل علي بن جعفر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وسألته عن جنب أصابت يده جنابة من جنابته فمسحه بخرقة ثمّ أدخل يده في غُسله قبل أن يغسلها، هل يُجزيه أن يغتسل من ذلك الماء؟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 ماء غيره فلا تجزيه أن يغسل به، وإنْ لم يجد غيره أجزأه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رواية قُرب الاسناد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جنب أصابت يده من جنابته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 ماء غيره فلا يجزؤه أن يغتسل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ورد في بحار الأنوار فهو يوافق ما ورد في مسائل علي بن جعفر في صيغة السؤال، ويوافق في الجواب ما ورد في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الماء هو وعاء ذو شكل مخروطي يوضع فيه الماء للتبريد، وهو أكبر من الجرّة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ذكره في الاستبصار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الماءالقليل يحصل فيه شيء من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الشيخ تعقيباً على صحيحة علي بن جعفر الآتي ذكرها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الوجه في هذا الخبر أن نحمله على أنّه إذا كان الدم مثل رأس الابرة التي لا تحس ولا تدرك، فإن ذلك معفوّ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النسبة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المراد للشهيد الأوّل حيث نسب هذا القول إلى كثير من الناس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معرض تعقيبه على المسألة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بين ورود الماء على النجاسة، وبين ورود النجاسة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المسألة لا أعرف فيها نصّاً لأصحابنا، ولا قولاً صريحاً، والشافعي يفرّق بين ورود الماء على النجاسة وورودها عليه، فيعتبر القلتين في ورود النجاسة على الماء، ولا يعتبر في ورود الماء على النجاسة، وخالفه سائر الفقهاء في المسألة، ويقوى في نفسي عاجلاً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يقع التأمّل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ما ذهب إليه الشافعي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تصريح بذلك، ولكنّه ذكر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تطهير الماء 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يزاد زيادة تبلغه الكُرّ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بلوغ الماء عند أصحابنا هذا المبلغ مزيل لحكم النجاسة التي تكون فيه وهو مستهلك بكثرته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بين وقوعها فيه بعد تكامل كونه كُرّاً، وبين حصولها في بعضه قبل التكامل، وليس في هذا ما يدلّ على نسبة هذا القول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منه تعقيب على كلام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قوي في نفس السيّد صحيحٌ مستمرّ على أصل المذهب وفتاوى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بإبدال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في مختلف الشيعة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والبصروي وهو أبوالحسن محمّد بن محمّد البصروي، تلميذ السيّد المرتضى، ونقل ذلك عنه الشهيد الأوّل في الذكرى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التفصيل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ذلك صاحب المدارك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ذلك الشهيد الثاني في روض الجنان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مفيد الدين محمّد بن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الحلّي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جمع المتأخّرين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وعبارة الشيخ الطوسي في 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وله كلام في الاستبصار وغيره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أبو الحسن محمّد بن محمّد بن أحمد البصروي، تلميذ السيّد المرتضى وزميل الشيخ الطوسي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 جمع ركية وهي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الركيَّة بئر تُحفر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بئر عمق ماؤها ثلاثة أشبار ونصف في مثلها، فسبيلها سبيل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عبارة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بئر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يتغيّر لونها أو طعمها أو رائحتها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وطعمها ورائحتها، فإن تغيّرت نزحت حتّى تطيب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كلامه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وبقي أن ندلّ على وجوب تطهير مياه الآبار، فإنّ من استعملها قبل تطهيره يجب عليه إعادة ما استعمله فيه إن وضوءاً فوضوء، وإن غُسلاً فغُسل، وإنْ كان غَسل الثياب فكذلك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أنّ هذا إذا كان قد غير ما وقع فيه من النجاسة أحد أوصاف الماء، إمّا ريحه أو طعمه أو لونه، فأمّا إذا لم يغيّر شيئاً من ذلك فلا يجب إعادة شيء من ذلك، وإنْ كان لا يجوز استعماله إلّابعد تطهيره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عندنا عدم تنجّس البئر بالملاقاة، فالنزح الوارد عن الأئمّة عليهم السلام إنّما كان تعبّداً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سرجين، وهو الزّبل 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مجمع البحرين السرجين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 كلمة أعجمية، أصلها سركين بالكاف فعربت إلى الجيم والقاف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والفأرة أو الكلب أو الهرة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رواية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تغرف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الماء وربّ الصعيد واحد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روايات حول تقارب البئر والبالوعة بصيغ مختلفة، وقد علّق الحرالعاملي على بعضها الدالّ على النجاسة بالتقارب من أنّه على تقدير ثبوتها لابدّ من تأويلها لأنّ العلّامة قال في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القائلين بانفعال البئر بالملاقاة متّفقون على عدم حصول التنجّس بمجرّد التقارب، فلا بد من تأويله عندهم لمخالفته لإجماعهم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صاحب المنتقى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محمولٌ على التغيّر، أو على الاستقذار وأنّ التنجيس والنهي محمولان على غير الحقيقة لضرورة الجمع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الفقاع هي خميرة استصغرها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السرائر بوجوب نزح الجميع من المني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لابن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التهذيب كاملاً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ولم ترد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إلّافي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والسّنور عشرون أو ثلاثون أو أربعون دلواً والكلب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الكثيرون في شبهة نقلها مجتزأة بدون ذكر عشرون أو ثلاثون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المقنعة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ينجس به الثوب والجسد بملاقاته، إلّاذرق الدجاج خاصّة، فإنّه إن وقع في الماء القليل نزح منه خمس 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أوجب الشيخ الطوسي نزح خمس دلاء كما في النهاية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في ذرق الدجاج روايتان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التنجيس وهو مذهب الشيخين في المقنعة و الخلاف والنهاية، وبه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ما لم يكن جلّالاً، وهو مذهب الشيخ في التهذيب وهو الحقّ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 في البئر شيء صغير فمات فيها فانزح منها دلاء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كلّ شيء سؤره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بقيّة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البقيّة والفضلة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السؤر هو مايبقى بعد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في تعريفه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ما باشره جسم 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ذكر كلّ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 مأكول اللّحم فما أمكن التحرّز منه سؤره نجس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ولم يذكر فيها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موثّقة عمّار السابقة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الوشّاء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 سماعة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العلّامة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سؤر 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الجنيد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31867</w:t>
      </w:r>
      <w:r>
        <w:rPr>
          <w:rFonts w:ascii="IRNazanin" w:hAnsi="IRNazanin" w:eastAsia="IRNazanin"/>
          <w:b w:val="false"/>
          <w:b w:val="false"/>
          <w:bCs w:val="false"/>
          <w:i w:val="false"/>
          <w:i w:val="false"/>
          <w:iCs w:val="false"/>
          <w:color w:val="333333"/>
          <w:sz w:val="20"/>
          <w:sz w:val="20"/>
          <w:szCs w:val="20"/>
          <w:rtl w:val="true"/>
        </w:rPr>
        <w:t>،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سُؤْرِ الْمُؤْمِنِ شِفَاءٌ مِنْ سَبْعِينَ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يشير إلى ذلك في رواية من كتب العامّة في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 بسؤره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وابنه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الألفيّة والنفليّة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والمحقّق الثاني في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ونسبه إلى الظاهر من عبارة السرائر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ويكره سؤر الحائض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 في النهاية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متّهمة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سؤر الحائض وأطلق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قال علم الهدى رضى الله عنه في المصباح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عن عِيصِ بْنِ الْقَاسِمِ،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سُؤْرِ 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مِنْهُوتَوَضَّأْ مِنْ سُؤْرِ الْجُنُبِ إِذَا كَانَتْ مَأْمُونَةً وتَغْسِلُ يَدَهَا قَبْلَ أَنْ تُدْخِلَهَا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سُؤْرِ 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الوحيد البهبهاني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الاقتصار على الوضوء لم يقُل به فقيه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وينبغي القطع بقبول البيِّنة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قريباً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يشهدان أنّ فيه ميتة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وجد ماء فأعلمه غيره بأنّه نجس، لم يلزمه القبول منه، وجاز استعماله، لأنّ الماءعلى أصل الطهارة ما لم يعلم ملاقاة شيء من النجاسات 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عدد من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الخوئي في تعليقته على العروة الوثقى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ثبوتها به، بل لا يبعد ثبوتها بمطلق قول الثقة وإنْ لم يكن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وذكر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ثبوت النجاسة بقول العدل الواحد بل بمطلق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كاشف الغطاء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الاكتفاء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والفيروزآبادي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الثبوت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والخوانساري،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عدم الإشكال فيه مع حصول الوثوق والاطمئنان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كفاية العدل الواحد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إشكالٌ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عدم الثبوت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والميرزا الشيرازي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الأقوى عدم ثبوت النجاسة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ثبوت النجاسة بخبر العدل الواحد، بل وحتّى الثقة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24368</w:t>
      </w:r>
      <w:r>
        <w:rPr>
          <w:rFonts w:ascii="IRNazanin" w:hAnsi="IRNazanin" w:eastAsia="IRNazanin"/>
          <w:b w:val="false"/>
          <w:b w:val="false"/>
          <w:bCs w:val="false"/>
          <w:i w:val="false"/>
          <w:i w:val="false"/>
          <w:iCs w:val="false"/>
          <w:color w:val="333333"/>
          <w:sz w:val="20"/>
          <w:sz w:val="20"/>
          <w:szCs w:val="20"/>
          <w:rtl w:val="true"/>
        </w:rPr>
        <w:t>، ونصّ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وَكَّلَ آخَرَ عَلَى وَكَالَةٍ فِي أَمْرٍ مِنَ الاُمُورِ، وأَشْهَدَ لَهُ بِذَلِكَ شَاهِدَيْنِ، فَقَامَ الْوَكِيلُ فَخَرَجَ لامْضَاءِ الامْر، ِ فَقَالَ اشْهَدُوا أَنِّي قَدْ عَزَلْتُ فُلاناً عَنِ الْوَكَالَةِ،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الْوَكِيلُ أَمْضَى الامْرَ الَّذِي وُكِّلَ فِيهِ قَبْلَ الْعَزْلِ، فَإِنَّ الامْرَ وَاقِعٌ مَاضٍ عَلَى مَا أَمْضَاهُ الْوَكِيلُ، كَرِهَ الْمُوَكِّلُ أَمْ رَضِيَ،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الْوَكِيلَ أَمْضَى الامْرَ قَبْلَ أَنْ يَعْلَمَ الْعَزْلَ أَوْ يَبْلُغَهُ أَنَّهُ قَدْ عُزِلَ عَنِ الْوَكَالَةِ، فَالامْرُ عَلَى مَا أَمْضَاهُ؟ قَالَ نَعَمْ،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بَلَغَهُ الْعَزْلُ قَبْلَ أَنْ يُمْضِيَ الامْرَ ثُمَّ ذَهَبَ حَتَّى أَمْضَاهُ لَمْ يَكُنْ ذَلِكَ بِشَيْ‌ءٍ؟ قَالَ نَعَمْ، إِنَّ الْوَكِيلَ إِذَا وُكِّلَ ثُمَّ قَامَ عَنِ الْمَجْلِسِ فَأَمْرُهُ مَاضٍ أَبَداً، والْوَكَالَةُ ثَابِتَةٌ حَتَّى يَبْلُغَهُ الْعَزْلُ عَنِ الْوَكَالَةِ بِثَِقةٍ يُبَلِّغُهُ أَوْ يُشَافَهُ بِالْعَزْلِ عَنِ الْوَكَالَةِ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حديث حَفْصِ بْنِ الْبَخْتَرِيِّ،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الرَّجُلِ يَشْتَرِي الأمَةَ مِنْ رَجُلٍ،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أَطَأْهَا؟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وَثِقَ بِهِ فَلا بَأْسَ بِأَنْ يَأْتِيَهَا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الأصحاب الاتّفاق على قبول قول المالك في طهارة ثوبه وإناءه ونحوهما ونجاستهما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العصيرالمطبوخ، وأصله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 پُخته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عصير مطبوخ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بَكْرِ بْنِ حَبِيبٍ،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الْجُبُنِّ وأَنَّهُ تُوضَعُ فِيهِ الانْفَحَةُ مِنَ الْمَيْتَةِ؟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لاتَصْلُحُ ثُمَّ أَرْسَلَ بِدِرهَمٍ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مِنْ رَجُلٍ مُسْلِمٍ ولا تَسْأَلْهُ عَنْ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يعلمه ذلك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الرواية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عَنْ مُيَسِّرٍ،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 الْجَارِيَةَ فَتَغْسِلُ ثَوْبِي مِنَ الْمَنِيِّ، فَلا تُبَالِغُ فِي غَسْلِهِ، فَأُصَلِّي فِيهِ، فَإِذَا هُوَ يَابِسٌ؟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صَلاتَكَ، أَمَا إِنَّكَ لَوْ كُنْتَ غَسَلْتَ أَنْتَ لَمْ يَكُنْ عَلَيْكَ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اُشير إلى ذلك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الحكيم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كون المستفاد من هذه النصوص حجيّة قول ذي اليد إذا لم يكن ما يوجب اتّهامه، ولكن موردها خصوص الإخبار بالتطهير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المحقّق الكركي عن ابن البرّاج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تثبت النجاسة بالظنّ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لم نقف على هذا النصّ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تقيّ بن نجم، وقد نقل عنه في جامع المقاصد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 النجاسة بكلّ ظنٍّ لأنّ الظنّ مناط الشرعيّات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أَبِي أَبَا عَبْدِ اللّهِ عليه السلام وأَنَا حَاضِرٌ، إِنِّي أُعِيرُالذِّمِّيَّ ثَوْبِي وأَنَا أَعْلَمُ أَنَّهُ يَشْرَبُ الْخَمْرَ ويَأْكُلُ لَحْمَ الْخِنْزِيرِ، فَيَرُدُّهُ عَلَيَّ فَأَغْسِلُهُ قَبْلَ أَنْ أُصَلِّيَ فِيهِ؟ فَقَالَ أَبُو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فِيهِ ولا تَغْسِلْهُ مِنْ أَجْلِ ذَلِكَ، فَإِنَّكَ أَعَرْتَهُ إِيَّاهُ وهُوَ طَاهِرٌ، ولَمْ تَسْتَيْقِنْ أَنَّهُ نَجَّسَهُ، فَلا بَأْسَ أَنْ تُصَلِّيَ فِيهِ حَتَّى تَسْتَيْقِنَ أَنَّهُ نَجَّسَهُ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اباعبدالله عَنْ رَجُلٍ يَجِدُ فِي إِنَائِهِ فَأْرَةً وقَدْ تَوَضَّأَ مِنْ ذَلِكَ الانَاءِ مِرَاراً أَوِ اغْتَسَلَ مِنْهُ أَوْ غَسَلَ ثِيَابَهُ، وقَدْ كَانَتِ الْفَأْرَةُ مُتَسَلِّخَةً؟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رَآهَا فِي الانَاءِ قَبْلَ أَنْ يَغْتَسِلَ أَوْ يَتَوَضَّأَ أَوْ يَغْسِلَ ثِيَابَهُ ثُمَّ فَعَلَ ذَلِكَ بَعْدَ مَا رَآهَا فِي الانَاءِ فَعَلَيْهِ أَنْ يَغْسِلَ ثِيَابَهُ ويَغْسِلَ كُلَّ مَا أَصَابَهُ ذَلِكَ الْمَاءُ ويُعِيدَ الْوُضُوءَ والصَّلاةَ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تعارض البيّنتين وما ترجّح به إحداهما وما يحكم به عندفقد الترجيح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شهدا بنجاسته لن يقبل إلّابالسبب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أبي العبّاس أحمد بن فهد الحلّي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مفلح بن الحسن الصيمري تلميذ أبي العبّاس،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كشف الالتباس عن موجز أبي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العشر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القول بحجيّة خبر الواحد تكون شهادة كلّ منهما تامّة فيحكم بالنجاسة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البروجردي والحائري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النائيني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العراقي والجواهري والشيرازي كما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بحجيّة خبر العدل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فيما إذا كانت الشهادتان حاكيتين عن واقعتين إحداهما مقدّمة على الاُخرى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كانت الواقعتان مقارنتين، أو أنّ إحدى الواقعتين مقدّمة وهي المعيَّنة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كون الواقعة المشهود بها بالتعيين مؤخّرة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الأمارات والاُصول مقام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تساقط الطرفين مطلقاً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تساقط الاثنين بالاثنين وبقاء الاثنين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كوفي كما عن الشيخ في رجاله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ولم يذكر فيه مدحٌ ولا قدح، نعم عدّه غير واحد من الرّجاليّين من أصحاب الرضا عليه السلام، واحتمل السيّد الخوئي قدس سره اتّحاده مع محمّد بن زيد الرزامي كما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ترجمته للرزامي الذي عبّر عنه بخادم الرضا عليه السلام، إلّاأنّه يبقى مجهول الحال لعدم ورود التوثيق به صريحاً سواء اتّحد أو تعدّد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كان ملكاً للغير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الكلام،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 أَنَّهُ لا تُعَادُ الصَّلاةُ إِلّا 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والْوَقْتِ والْقِبْلَةِ والرُّكُوعِ والسُّجُودِ، 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سُنَّةٌ والتَّشَهُّدُ سُنَّةٌ والتَّكْبِيرُ سُنَّةٌ ولا يَنْقُضُ السُّنَّةُ الْفَرِيضَةَ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أشار عدَّة من الأعلام إلى الإجماع، كصاحب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يزيل المضاف الخبث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والمحقّق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والشيخ الأنصاري في حاشيته على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وأشار إلى عدم رفع الطاهر منه للحدث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بيننا أنّ المضاف ينجس بالملاقاة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الذكرى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ينجس المضاف بالملاقات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بنجاسته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طاهر ولا يزيل حدثاً إجماعاً، وكذلك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المستفادة من روايات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عَنْ أَبِيهِ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عليه السلام سُئِلَ عَنْ قِدْرٍ طُبِخَتْ وإِذَا فِي الْقِدْرِ فَأْرَةٌ؟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يُهَرَاقُ مَرَقُهَا ويُغْسَلُ اللَّحْمُ ويُؤْكَلُ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بالوضوء والغسل من الجنابة والاستياك بماء الورد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العلّامة الحلّي في مختلف الشيعة نقلاً عن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خبرٌ شاذ شديد الشذوذ، وإن تكرّر في الكتب والاُصول، فإنّما أصله يونس عن أبي الحسن عليه السلام ولم يروه غيره، وقد أجمعت العصابة على ترك العمل بظاهره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الاحتمال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الحكاية عن ابن أبي عقيل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 النَّسَّابَةِ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سَأَلَ أَبَا عَبْدِ اللّهِ عليه السلام عَنِ النَّبِيذِ؟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إِنَّا نَنْبِذُهُ فَنَطْرَحُ فِيهِ‌الْعَكَرَ ومَا سِوَى ذَلِكَ، فَقَالَ شَهْ شَهْ جكلمة استقذار واستقباح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تِلْكَ الْخَمْرَةُ الْمُنْتِنَةُ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فَأَيَّ نَبِيذٍ تَعْنِي؟ فَقَالَ إِنَّ أَهْلَ الْمَدِينَةِ شَكَوْا إِلَى رَسُولِ اللّهِ صلى الله عليه و آله تَغَيُّرَ الْمَاءِ وفَسَادَ طَبَائِعِهِمْ، فَأَمَرَهُمْ أَنْ يَنْبِذُوا فَكَانَ الرَّجُلُ يَأْمُرُ خَادِمَهُ أَنْ يَنْبِذَ لَهُ فَيَعْمِدُ إِلَى كَفٍّ مِنْ تَمْرٍ فَيَقْذِفُ بِهِ فِي الشَّنِّ ج القربة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فَمِنْهُ شُرْبُهُ ومِنْهُ طَهُورُهُ،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كَانَ عَدَدُ التَّمْرِ الَّذِي فِي الْكَفِّ؟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 الْكَفُّ،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أَوِ اثْنَتَيْنِ فَقَالَ رُبَّمَا كَانَتْ وَاحِدَةً ورُبَّمَا كَانَتِ اثْنَتَيْنِ،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كَانَ يَسَعُ الشَّنُّ 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الأرْبَعِينَ إِلَى الثَّمَانِينَ إِلَى مَا فَوْقَ ذَلِكَ،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الارْطَالِ قَالَ أَرْطَالِ مِكْيَالِ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بِالْوُضُوءِ بِالنَّبِيذِ لأنَّ النَّبِيَّ صلى الله عليه و آله قَدْ تَوَضَّأَ بِهِ، وكَانَ ذَلِكَ مَاءً قَدْ نُبِذَتْ فِيهِ تُمَيْرَاتٌ وكَانَ صَافِياً فَوْقَهَا فَتَوَضَّأَ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أبي حنيفة أربع آراء في المسألة، ذكرها محي الدِّين النووي،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أبي حنيفة أربع روايات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السبزواري كفاية الأحكام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أن لا يرفع الحدث ولا يزيل الخبث</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الشيخ المفيد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يجوز إزالة النجاسة بالمائع الطاهر وإنْ لم يكن ماء، وبه قال أبو حنيفة وأبو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المفاتيح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ج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 بالعام في الشبهة المصداقيّة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كاشف الغطاء والنائيني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عدّة 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الشهيد الأوّل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المستعمل في رفع الحدث طاهر إجماعاً سواء في ذلك الحدث الأصغر والأكبر، ومطهّر إنْ كان الحدث أصغر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الشيخان وجماعة إلى كونه غير مطهر استناداً إلى أخبار، لو لم تكن ضعيفة أمكن حملها على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الأحداث الموجبة للطهارة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يضرّ بطهارته منه إلّاأنّه يكون بذلك تاركاً فضلاً، ومهملاً سُنّة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صريح 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الطهارة أيضاً بالمياه المستعملة في الغَسل من النجاسات كالحيض والاستحاضة والنفاس والجنابة وتغسيل الأموات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المستعمل في إزالة النجاسة لا يجوز استعماله فيه ثانياً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استعمل في غسل الجنابة والحيض فلا يجوز استعماله في رفع الأحداث وإنْ كان طاهراً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الشهيد الثاني في روض الجنان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على أن غسالة الخبث وإن قيل بطهارتها لا يرتفع بها الحدث، وظاهر كلام الشهيد في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بجواز رفع الحدث 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والماء القليل المستعمل في رفع الحدث الأصغر طاهر مطهر بلا خلاف والمستعمل في رفع الحدث الأكبر طاهر إجماعاً وفي جواز رفع الحدث به ثانياً خلافٌ فذهب الصدوقان والشيخان وجماعة إلى العدم، وأكثر المتأخّرين على الجواز ونقلوا الإجماع على جواز إزالة الخبث 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أذهب إليه أنّه طاهر 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 مطهّر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في جمل العلم والعمل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الحلبي في غنية النزوع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الشيخ المفيد بين الماء المستعمل في رفع الحدث الأكبر وبين المستعمل في الأصغر، فمنع في الأوّل، وأجاز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حكمه هذا من سياق مسألة وردت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إذا اشتبه ماءان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استعمل في رفع الحدث الأكبر، والآخر لم يستعمل، فالأحوط أن يستعمل الاثنين معاً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فيه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رجع عن التشيّع إلى النصب كما عن سعد بن عبد اللّه الأشعري، والملعون المذموم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والغالي المتّهم في دينه كما عن الفهرست، والذي لا يعمل بما يختصّ بروايته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غير مقبولة كما عن الخلاصة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والرياض حيث نقله عن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ما يقع على الأرض الطاهرة من الماء الذي يستنجى به ثمّ يرجع عليه، لا يضرّه، ولا ينجس شيئاً من ثيابه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واتّفق الجميع على أنّ أثر النجاسة بعد الاستنجاء وزوال العين معفوٌّ عنه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المصباح كما نسبه إليه في المعتبر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علم الهدى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بماينضح من ماء الاستنجاء على الثوب 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معفوٌّ عنه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النسبة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مخطوط للشيخ المفيد، واُشير إليه في بعض المصادر باسم كاشف الالتباس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آقا رضا الهمداني في صحّة هذه النسبة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شيوخ المذهب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ما عن كشف الالتباس من نسبته إلى شيوخ المذهب كالسيّد والشيخ وابني إدريس وحمزة وابن أبي عقيل، فهو بظاهره تلبيس حيث أنّ ابن أبى عقيل لا يقول بنجاسة الماء القليل بملاقاة النجس، والمعروف عن السيّد وابن إدريس عدم إنفعال الماء الوارد مطلقاً غسالةً كان أم غيرها، كما هو ظاهر عبارتهما، فعدّ مثل هؤلاء الجماعة من أرباب هذا القول ليس على ما ينبغي، وكون دليل السيّد مقتضياً للقول بطهارة خصوص الغسالة كما عرفته فيما سبق، لا يقتضي عدّه من أرباب هذه القول، وأمّا الشيخ فعن خلافه وأوّل مبسوطة التفصيل بين إناء الولوغ وغيره مثل الثوب والبدن، فقال بالطهارة مطلقاً في الأوّل، وفي خصوص الغسلة المطهرة فيما عداه وربما يستظهر من بعض عباراته المحكيّة عن المبسوط القول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يتوضّأ بالماء المستعمل،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يغسل به الثوب، أو الذي يغتسل به الرجل من الجنابة، لا يجوز أن يتوضّأ منه وأشباهه، الحديث</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الاُمّ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ذلك ثلاثة عشر رواية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كالمحلّ بعد تلك الغسلة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تنتقص كلّما ينقص</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نصّ على ذلك جماعة، وعن ظاهر المنتهى جريان الخلاف فيها، ولكنّه غير واضح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لأنّه يرجع إلى أخبار الترجيح، والمرجّح الأوّل وهو الشهرة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الاغتسال بالصبّ على المحلّ ولو كان كثيراً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كان الاغتسال بالارتماس ولو كان قليلاً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استعمالها لعدم انفكاكها من النجاسة إلّاأن يعلم خلوّها منها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واليك نصّ كلامه رحمه الله حيث إنّه بعد أن تعرّض للمسألة و حكمها، احتاط أخيراً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يقتضيه النظر، أنّه مع الشكّ في النجاسة يكون على حكمها الثابت لها قبل الاستعمال، وإنْ كان اجتنابها أحوط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بن بابوية في كتابه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وغُسالة الحمّام لايجوز استعمالها على أيّ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التطهير بغسالة الحمّام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وغسالة الحمّام لا يجوز استعماله على حال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والأقوى عندي أنّه على أصل الطهارة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بنجاستها استناداً إلى هذا النهي، وضعفه ظاهر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عَّدة 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رُفِعَ عَنْ أُمَّتِي تِسْعَةُ أَشْيَاءَ الْخَطَأُ والنِّسْيَانُ ومَا أُكْرِهُوا عَلَيْهِ ومَا لا يَعْلَمُونَ ومَا لا يُطِيقُونَ ومَا اضْطُرُّوا إِلَيْهِ والْحَسَدُ والطِّيَرَةُ والتَّفَكُّرُ فِي الْوَسْوَسَةِ فِي الخلق مَا لَمْ يَنْطِقُوا بِشَفَةٍ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يُحَرِّمُ عَلَيْهِمُ اَلْخَبائِثَ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عَنِ الإمام الصَّادِقِ عليه السلام فِي حَدِيثٍ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والْبَيْعُ لِلْمَيْتَةِ أَوِ الدَّمِ أَوْ لَحْمِ الْخِنْزِيرِ أَوِالْخَمْرِ أَوْ شَيْ‌ءٍ مِنْ وُجُوهِ النَّجِسِ فَهَذَا كُلُّهُ حَرَامٌ ومُحَرَّمٌ لأنَّ ذَلِكَ كُلَّهُ مَنْهِيٌّ عَنْ أَكْلِهِ وشُرْبِهِ ولُبْسِهِ ومِلْكِهِ وإِمْسَاكِهِ والتَّقَلُّبِ فِيهِ فَجَمِيعُ تَقَلُّبِهِ فِي ذَلِكَ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الحرّ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أربع روايات فيها الإهراق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عَنْهُمْ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أَدْخَلْتَ يَدَكَ فِي الإنَاءِ قَبْلَ أَنْ تَغْسِلَهَا فَلا بَأْسَ إِلّا أَنْ يَكُونَ أَصَابَهَا قَذَرٌ بَوْلٌ أَوْ جَنَابَةٌ فَإِنْ أَدْخَلْتَ يَدَكَ فِي الْمَاءِ وفِيهَا شَيْ‌ءٌ مِنْ ذَلِكَ فَأَهْرِقْ ذَلِكَ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غِيَاثٍ، عَنْ أَبِي عَبْدِاللّهِ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كَرِهَ أَنْ تُسْقَى الدَّوَابُّ الْخَمْرَ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عدد من الروايات في ذلك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عَجْلانَ أَبِي صَالِحٍ،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يُولَدُ فَنَسْقِيهِ الْخَمْر؟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سَقَى مَوْلُوداً مُسْكِراً سَقَاهُ اللّهُ مِنَ الْحَمِيمِ وإِنْ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 عن ابن عبّاس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كتب العامّة فقد ورد في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 مصادر أُخرى كمسند أحمد وغيره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إذا حَرّم على قومٍ أكل شيء حرَّمَ عليهم ثمنه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الحكيم ذلك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عن المعتبر والمنتهى والدلائل و المدارك والذخيرة وغيرها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اتّفاق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المسلمون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الغبر الذي لا ينقطع، وهو عرق في باطنه فساد فكلّما بدا أعلاه رجع غبراً فاسداً،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غبر في عرقه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العرق العسير الذي لا ينقطع من المآقي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العلّامة الحلّي وابن داود الحلّي، وقد نسب السيّد الحكيم ذلك إليهما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روض الجنان حكايته عن الفاضلين، وكأنّ الوجه في استفادة ذلك منهم سكوتهم عن التعرّض لاعتبار الاعتياد وعدمه فيه، وتعرّضهم لذلك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 روض الجنان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الوضوء خاصّة من خروج البول والغائط والريح من الموضع المعتاد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يقتضيه النظر عدم النقض في غيرصورة الإجماع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والقول بالعدم مطلقاً قويّ، للأصل وفقد المانع، والاحتياط واضح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خرج من الموضع المعتاد أو خرج من غير ذلك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العبارات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77/215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العبارات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77/234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حكاه عن كشف اللّثام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يخرج من قُبُل المرأة ففيه تردّد والأقرب النقض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ونقله في هامش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نقلاً عن بعضٍ دون أن يُسمّيه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الخفقة كضربة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الرأس بسبب النعاس، يُقال خَفَقَ برأسه خفقةً أو خفقتين إذا أخذته سِنَةٌ من النعاس، فمالَ برأسه دون سائر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طَعْمَ النَّوْمِ قَائِماً أَوْ قَاعِداً فَقَدْ وَجَبَ عَلَيْهِ الْوُضُوءُ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عليه السلام كَانَ يَقُولُ مَنْ وَجَدَ طَعْمَ النَّوْمِ فَإِنَّمَا أُوجِبَ عَلَيْهِ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والنَّوْمُ حَتَّى يُذْهِبَ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يَنْقُضُ النَّوْمُ الْوُضُوء؟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يَغْلِبُ عَلَى السَّمْعِ ولا يُسْمَعُ الصَّوْتُ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بين الأصحاب أنّ النقض بالنوم يعمّ الحالات، سواء كان النائم قاعداً أو قائماً أو راكعاً، منفرجاً أو منضمّاً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النوم حدث ناقضٌ للطهارة على اختلاف حالات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وإجماع الإماميّة أيضاً حجّة في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 إجماع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النسبة إلى الشيخ الصدوق مردّها ما ذكره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عن الإمام الكاظم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مُوسَى بْنُ جَعْفَر عليهما السلام عَنِ الرَّجُلِ يَرْقُدُ وهُوَ قَاعِدٌ هَلْ عَلَيْهِ 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وُضُوءَ عَلَيْهِ مَا دَامَ قَاعِداً إِنْ لَمْ يَنْفَرِجْ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ورد في هامش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الصدوق قد عمل بهذه الرواية على ما نُقل عنه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أَبِي بَكْرٍ الْحَضْرَمِيِّ،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هَلْ يَنَامُ الرَّجُلُ وهُوَ جَالِسٌ؟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يَقُولُ إِذَا نَامَ الرَّجُلُ وهُوَ جَالِسٌ مُجْتَمِعٌ فَلَيْسَ عَلَيْهِ وُضُوءٌ وإِذَا نَامَ مُضْطَجِعاً فَعَلَيْهِ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النوم طريقاً إلى تحقّق الناقض</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أكثر الأصحاب نقلوا الإجماع أنّها ناقلة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الإجماع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وذكره الشيخ الأنصاري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وفي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حيث عدَّ من مُبطلات الوضوء الإغماء واستدلّ بإجماع المسلمين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السبزواري ذلك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الجنيد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النقل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 هو القطن، ويقال له الكرسوف،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9/297</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عوالئ اللالي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القول بالاستحباب في الكثير من عبارات الفقهاء،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من المستحبّات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باختلاف في سَنَدي التهذيب والاستبصار، وبقوله 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 في هذا المعنى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6/503</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وفي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وأشار إليه 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إلى 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عمله عليه، ويأتي الحديث</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في وسائل الشيعة، وسيأتي نصّ الحديث</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101/42</w:t>
      </w:r>
      <w:r>
        <w:rPr>
          <w:rFonts w:ascii="IRNazanin" w:hAnsi="IRNazanin" w:eastAsia="IRNazanin"/>
          <w:b w:val="false"/>
          <w:b w:val="false"/>
          <w:bCs w:val="false"/>
          <w:i w:val="false"/>
          <w:i w:val="false"/>
          <w:iCs w:val="false"/>
          <w:color w:val="333333"/>
          <w:sz w:val="20"/>
          <w:sz w:val="20"/>
          <w:szCs w:val="20"/>
          <w:rtl w:val="true"/>
        </w:rPr>
        <w:t xml:space="preserve">، نسب الحديث إلى مكارم الأخلاق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السيّد الحكيم في مستمسك العروة الوثقى 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أغلب كلمات الفقهاء، وقال العلّامة الحلّي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لابن الجنيدفيهما وللمفيد وسلّار في الأخير أي المراسم في الفقه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بعد استعراضه للروايات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الأخبار كلّها مشتركة في ضعف السند، فحملها على الكراهة متعين، لقصورها عن إثبات التحريم، وربما كان في الروايتين الأخيرتين إشعارٌ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بدليل الإجماع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إذا أراد التغوّط في الصحراء أن يتجنّب استقبال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فتاوي ابن الجنيد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رخّص ذلك في الدور وتجنّبه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المراسم العلويّة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 غير المحصورة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الجهتين اللّتين في مقابل تلك الجهتين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تنجّز العلم الإجمالي في التدريجيّات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الشهرة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النُّعْمَانِ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تَغْطِيَةَ الرَّأْسِ إِنْ كَانَ مَكْشُوفاً عِنْدَ التَّخَلِّي سُنَّةٌ مِنْ سُنَنِ النَّبِيِّ صلى الله عليه و آله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حيث قال تعقيباً على رواية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فيه أن نحمله على ضرب من الاستحباب دون الوجوب، أو نحمله على ضرب من التقيَّة لأنّه موافق لمذهب العامّة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وفي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نوادر الراوندي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 الأعظم الذي يَشْرَعُ فيه الناس عامّة وهو على هذا المعنى ذُو شَرْعٍ من الخَلْق يَشْرَعُون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المشرعة بفتح الميم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الماء للواردة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لا يجوز أن يكون مستقبل الهلال أو مستدبره، ولم يذكر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كتب العامّة باختلاف في عبارته بين الحجر والجحر وجحر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جوآله ج وَسَلَّمَ نَهَى أَنْ يُبَالَ فِي الْجُحْرِ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وفي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صَلَّى اللّهُ عَلَيْهِ جوآله ج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يَبُولَنَّ أَحَدُكُمْ فِي الْجُحْرِ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مسند أحمد ح </w:t>
      </w:r>
      <w:r>
        <w:rPr>
          <w:rFonts w:eastAsia="IRNazanin" w:cs="IRNazanin"/>
          <w:b w:val="false"/>
          <w:bCs w:val="false"/>
          <w:i w:val="false"/>
          <w:iCs w:val="false"/>
          <w:color w:val="333333"/>
          <w:sz w:val="20"/>
          <w:szCs w:val="20"/>
        </w:rPr>
        <w:t>19847</w:t>
      </w:r>
      <w:r>
        <w:rPr>
          <w:rFonts w:ascii="IRNazanin" w:hAnsi="IRNazanin" w:eastAsia="IRNazanin"/>
          <w:b w:val="false"/>
          <w:b w:val="false"/>
          <w:bCs w:val="false"/>
          <w:i w:val="false"/>
          <w:i w:val="false"/>
          <w:iCs w:val="false"/>
          <w:color w:val="333333"/>
          <w:sz w:val="20"/>
          <w:sz w:val="20"/>
          <w:szCs w:val="20"/>
          <w:rtl w:val="true"/>
        </w:rPr>
        <w:t xml:space="preserve">، وفي طبعة أُخرى وردت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وفي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وردت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يَبُولَنَّ أَحَدُكُمْ فِي جُحْرٍ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الماء الواقف، هذا وينبغي الإشارة إلى أنّ المصنّف لم يتعرّض لكراهة استقبال الريح فقد أرسلها كسائرالفقهاء إرسال المسلّمات، فضلاً عن وجود بعض الروايات في ذلك؛ منها ما رواه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تستقبل الريح ولا تستدبرها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للإمام الصادق عليه السلام كما 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الْكَلامُ عَلَى الْخَلاءِ لِنَهْيِ النَّبِيِّ صلى الله عليه و آله عَنْ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77/190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أبي البختري وهب بن وهب،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أبو الحسن علي بن قتيبة ابن محمّد بن قتيبة القتيبي، عن علي بن سلمة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البختري اسمه وهب بن وهب بن كثير بن زمعة ابن الأسود صاحب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الفضل بن شاذان كان أبو البختري من أكذب البريّة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عَنْ سَهْلِ بْنِ زِيَادٍ، عَنْ مُحَمَّدِ بْنِ عِيسَى، عَنِ الْحُسَيْنِ بْنِ خَالِدٍ، عَنْ أَبِي الْحَسَنِ الثَّانِي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لَهُ‌إِنَّا رُوِّينَا فِي الْحَدِيثِ أَنَّ رَسُولَ اللّهِ صلى الله عليه و آله كَانَ يَسْتَنْجِي وخَاتَمُهُ فِي إِصْبَعِهِ، وكَذَلِكَ كَانَ يَفْعَلُ أَمِيرُ الْمُؤْمِنِينَ عليه السلام، وكَانَ نَقْشُ خَاتَمِ رَسُولِ اللّهِ مُحَمَّدٌ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لَنَا أَنْ نَفْعَلَ؟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أُولَئِكَ كَانُوا يَتَخَتَّمُونَ فِي الْيَدِ الْيُمْنَى وإِنَّكُمْ أَنْتُمْ تَتَخَتَّمُونَ فِي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في يد الإنسان اليسرى خاتم على فصّه اسمٌ من أسماء اللّه تعالى، أو خاص أسماء أنبيائه أوالأئمّة عليهم السلام فلينزعه عند الاستنجاء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باليسار وفيها خاتم عليه اسم من أسماء اللّه أو أسماء أنبيائه والأئمّة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يستنجي وفي يده خاتم قد نقش على فصّه اسمٌ من أسماء اللّه تعالى، أو أحد أنبيائه أو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 في يده خاتم على فصّه اسمٌ من أسماء اللّه تعالى، أو من أسماء رسله عليهم السلام، أو الأئمّة الطاهرين، وكان في اليسرى فلا يتركه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المراسم العلويّة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والاستنجاء باليمين واليسار وفيها خاتم عليه اسم اللّه تعالى أو أنبيائه أو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باليسار إذا كان فيها خاتم عليه اسمٌ من أسماء اللّه تعالى أو أسماء أنبيائه أو أحد من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ويكره باليسار وفيها خاتم عليه اسمه تعالى أو اسم أحد أنبيائه أو أئمّته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وباليسار وفيها خاتم عليه اسم اللّه أو نبيّ أو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وباليسار وفيها خاتم عليه اسم اللّه أو نبيّ أو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اسم اللّه تعالى أو أحد المعصومين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اسم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كأسماء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وفي آخره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مرسلاً 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لايترك الميسور بالمعسور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وفي الذكرى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كتابه الجمل والعقود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خلافاً لما ذكر في حاشية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المنقول عن القاضي ابن البرّاج لا يوافق ما في كتابه المهذّب، وذلك لأنّ عبارته في المهذّب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مخرج البول فليس يجزي فيه إلّاالماء مع التمكّن منه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يغسله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لم يرد في المجاميع الروائيّة بهذا اللّفظ، نعم أورده صاحب الجواهر كذلك في 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أمّا ما دلّ على هذا المعنى فلفظه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يجزي من الغائط المسح بالأحجار، ولا يجزي من البول إلّاالماء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العامّة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وقد ورد في مصادر العامّة ما يُشير إلى اعتبار الأحجار الثلاثة في روايات مختلفة عن النبيّ صلى الله عليه و آله، كما هو الحال في العديد من الروايات في مصادرنا أيضاً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حددته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والفصل بين الشيئين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ستّ روايات ابتداءً من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النزوغ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السُّنة أن تكون ثلاثة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القاضي ابن البرّاج في المهذّب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يلزم استعمال الأحجار الثلاثة، فإن لم يتمكّن اكتفى بحجر واحد من ثلاث جهات وإن حصل النقاء من حجر واحد فيستعمل الباقي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فاقد الشيء لا يُعطيه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الشيخ الأنصاري إلى النهاية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المفاتيح وشَرَحها 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ولكن ذكر في هامش التحقيق أنّه لم يعثر على ذلك القول في كتاب المفاتيح، بل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والعلّامة الحلّي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وأمّا الشهيد الثاني فلم يعثر على كلام له حول ذلك</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اعتبار إمرار كلّ الأحجار على موضع النجاسة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 العظام البالية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8/260</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واعتبر أنّ ما دلّ على استحباب الكون على الطهارة هو نفسه دليلٌ على الاستحباب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المحقّق الخوانساري أنّ مستنده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ونفى عنه الخلاف ظاهراً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اعتبر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المشهور كونه غيريّاً،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ادّعى الإجماع عليه جمعٌ منهم، لكنّه التزم باستحباب الوضوء للتجديد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الطهارة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الخوانساري 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وحكى هذا التفسير عن غير واحد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المعروف في منهاج الصالحين للسيّد الخوئى رحمه الله أنّه المستحبّ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النجاسات القول عن عدّة من الأعلام كالسرائر و النهاية و الألفيّة أقوائيّة اعتبار الطهارة البدنيّة في سجدتي السهو، حيث احتاط في ذلك السيّد الطباطبائي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مستدلاًّ لهم بما حكاه السيّد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ولكنّه اعتبر أنّ ضعف هذا القول لا يخفى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حيث حكاه عن النهاية والذخيرة، وحكاية عن الدلائل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في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الاختصاص بباطن الكفّ هو المعروف، وفي الشرح الكبير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وأباح الحكم حمّاد مسّه بظاهر الكفّ، لأنّ آلة اللّمس باطن اليد فينصرف إليه االنهي دون غيره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التفصيل للمحقّق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وكون المنهي عنه في المواردالخاصّة جزء القرآن المكتوب لا يوجب تخصيص الحكم به، نعم صدق القرآن أو جزئه على الإطلاق على الكلمة التي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المحقّق الخوانساري 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الطوسي في الوسيلة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والسيّد محمّد جواد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العلّامة في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وللتأهّب لصلاة الفرض قبل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18002</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استحبابه للطواف المندوب فمحلّ وفاق، وأمّا كونه على جهة الندب، فلا أجد فيه مخالفاً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الوضوءات المستحبّة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ممّا عن الذكرى والمدارك أنّ به رواية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الوضوءات المستحبّة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الرجل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الخبر عن أمير المؤمنين عليه السلام في تحف العقول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وورد عن أبي عبد اللّه عليه السلام في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جزء الحديث</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الظاهر من مذهب الأصحاب جواز الدخول في العبادة الواجبة المشروطة بالطهارة بالوضوء المندوب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العلل التي ذكر الفضل بن شاذان في آخرها أنّه سمعها عن الرضا عليه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ومثله السيّد الحكيم في تعليقته، وأيضاً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اجتمعت في المكلّف أسباب للحدث الأصغر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وضوء واحدإجماعاً بل ضرورة عند العلماء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اجتمعت أسباب مختلفة توجب الوضوء كفى وضوء واحد بنيّة التقرّب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مقتضى إطلاق ما عن الشيخ والمحقّق وجماعة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حكاه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يظهر من الشيخ المفيد في كتابه المسح على الرِّجلين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الحديث عن المسح والغسل حيث اعتبر إجماع الأُمّة على أنّ الوضوء ماهيّة واحدة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والدليل على صحّة هذا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 إجماع الاُمّة على صحّة وضوء مَن أحدث إذا أتى به من لم يحدث، كالمتوضّئ تجديداً، وعلى أنّ مَن لم يحدث فليس له وضوء خاص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الصفحة السابقة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أبواب نواقض الوضوء سيّما الباب الثالث من أبوابها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 كثير كلٌّ من 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 شرطٌ في الوضوء بإجماع علمائنا، وإنّما اختلفوا في 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المبحث الرابع في أفعال الوضوء وكيفيّته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علماؤنا النيّة شرطٌ في الطهارة بنوعيها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 واجبة في الطهارات الثلاث، ذهب إليه علماؤنا أجمع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 إمكان دخل القربة في العبادة ودفعه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يكاد يدعو الأمر إلّاإلى ما تعلّق به، لا إلى غيره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في عباديّة الطهارات الثلاث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عباديّة الطهارات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من مطارح الأنظار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الهداية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وجوب مقدّمة الواجب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السيّدالعاملي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واستحسن أيضاً قول السيّدالسعيد جمال الدِّين بن طاوس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أعرف نقلاً متواتراً ولا آحاداً يقتضي القصد إلى رفع الحَدَث واستباحة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بناءً على المختار من عدم وجوب قصد رفع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الشيخ الأعظم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وحكاه أيضاً عن جماعة من متأخّري المتأخّرين 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فتحصّل ممّاذكرنا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الفعل المأمور به على جهة التعبّد لم يُؤخذ فيه رفع 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ظهر ضعف ما استدلّ به في المعتبر والمنتهى وغيرهما على اعتبار الاستباحة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الشيخ الأعظم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كتاب الطهارة لعدم توفّر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إنّ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الراوندي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وإجماعنا منعقد على أنّه لا تستباح الصلاة إلّابنيّة رفع الحَدَث أو نيّة استباحة الصلاة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اختار رأي المبسوط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ينوي رفع الحدث أو الاستباحة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 المشتملة على الوجوب والقُربة والاستباحة أو الرفع في موضع إمكانه على الأقوى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الوقت وجب الطهور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تفسير أهل اللّغة، وقد نسبه إليهم غير واحد من الفقهاء،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صدغ</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الوجه، وعلى أيّ حال فإنّ الرجوع إلى مستوى الخلقة قول أكثر أهل العلم كما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كلام العلّامة عن حاشية المجلسي على التهذيب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ظاهر الأصحاب اتّفاقهم على لزوم الجريان في غير حال الضرورة، وأنّ الأصحاب حملوا أخبار الدهن على أقلّ مراتب الجريان 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وفرض الوضوء غسل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غسل الوجه بما يحصل به مسمّاه، وإنْ كان كالدهن مع الجريان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من فروض الوضوء غسل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إجراء الماء عليه كما يشهد به العرف واللّغة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الوجه، وفيه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الواجب في الغسل ما يجري فيه جزء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يرجع فيه إلى العرف، أو يكفي الدهن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استعراض الأقوال والمناقشة استشكل في انحصاره في الجريان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صريحاً عن المبسوط والمعتبر والمنتهى والقواعد والتحرير والإرشاد وجامع المقاصد وظاهراً عن غيرهم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ونسبه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المسالة الثالثة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زرارة، وفي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نكس غسل وجهه خالف النيّة، وفي إجزائه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 لكن يُكره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كلامه في الذكرى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تبنّى النكس، وهذا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 أن يكون البدأة فيه بغير الأعلى، وإلّا لما جازت البدأة بالأعلى، والمرتضى وابن إدريس يستحبّ فيصحّ النكس للعموم ولصحيح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العموم يخصّ بدليل والمسح غير الغسل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لو غسل الوجه منكوساً يبدأ من المحادر إلى القصاص لأجزأه على الصحيح من المذهبين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ليحيى بن سعيد الحلّي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غسله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منكوساً جاز لأنّه غاسل، وخالف السُّنة،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الإثنا عشريّة، وفي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المرعشي النجفي رقم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الوضوء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منه ذلك بل صرّح بالابتداء بالأعلى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أنّ جمهور الأصحاب على الابتداء بالأعلى، ثمّ نقل قول المرتضى وابن إدريس في جواز الابتداء بغير الأعلى، وأيّد الإطلاق وبراءة الذمّة بأنّ الابتداء من الأعلى قد يكون للجبلّة، أو لكونه أحد جزئيّات المأمور به، وإنّ رواية التحديد بالأعلى مرسلة،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 المرتضى غير بعيد عن الصواب، وإنْ كان العمل على المشهور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وقد سبق الجواهر في نسبته إلى بعض القاصرين،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بقيّة المسألة السادسة والعشرون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وألزمه في الذكرى جحيث ذهب الشهيد إلى وجوب غَسل ما ناله الإصبعان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بمخالفة المشهور عندهم وظاهر مذهب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الاتّفاق عليه، قال في تعليقه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يجب غسل مسترسل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ليس من الوجه اتّفاقاً منّا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منه القول في الذكرى بجواز النكس راجع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وقد أحال ذلك على غَسل الوجه، وقد مرَّ في الذكرى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أنّ النكس شديد الكراهة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دعوى أنّ الغسل من المرافق إلى أطراف الأصابع ممّا انفردت به الإماميّة،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أصحابنا من يظنّ وجوب ذلك حتّى أنّه لا يجزي خلافه،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علمنا أنّه إذا غَسل من المرافق إلى الأصابع كان مزيلاً للحدث عن اليدين بالإجماع واليقين وليس كذلك إذا غسل من الأصابع، فالذي قلناه أحوط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الوضوء وجملة من أحكامه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المناقشة للسيّد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المبحث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اليدين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اليدين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قبله الشريف المرتضى في الناصريّات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وعندنا أنّ المرافق يجب غسلها مع اليدين، وهو قول جميع الفقهاء إلّازُفَر بن هُذيل وحده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الفرض الثالث من فروض الوضوء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كلام العلّامة في المنتهى مُشعرٌ بذلك بقوله بعد نقل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الكلام يُشعر بأنّ وجوب غسل المرفق عنده إنّما هو من باب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الأمر في الفوائد المليّة في شرح النفليّة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فقد صرّح الشهيد في النفليّة باستحباب غسل ما بقي من المرفق، فبنى الشارح على أنّ وجوب غسل المرفق عنده من باب المقدّمة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في المنتهى بذلك، ولكنّه نتيجة لما تبنّاه فيه كما قاله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فتعيّن أن يكون مبناه هو جعل المرفق طرف الساعد وفاقاً للمنتهى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قوله في نهاية الأحكام 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المرفق طرف عظم الساعد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هذا المعنى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حكاه عن العلّامة في التذكرة، وهو اختياره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واختيار الشهيد في الذكرى أيضاً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نسبه الى المشهور السيّد الخوئي قدس سره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تصريحه بوجوب غسل شعر البدن في الوضوء وإن كثف لتوقّف غسل اليد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أرى مصرّحاً بخلافه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إلّاأنّ المذكور في نسخة العوالي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للعباد أن يطلبوه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التهذيب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للعباد أن يغسلوه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قوله بعد ذكر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نقف على خلافٍ بين الأصحاب في هذا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أمكن المناقشة فيه، لكن التعويل على الشهرة بل الإجماع ظاهراً مع رعاية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فصَّل بين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إلّانسخة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فصَّل بين الكلامين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ومثله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علمائنا الاكتفاء في مسح الرأس والرِّجلين بإصبع واحد، اختاره الشيخ في أكثر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عقيب الرواية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 من كتاب الطهارة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في تعليقه على الرواية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حَدّ الوضوء وترتيبه وثوابه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أنّ مَسح مقدّم الرأس بثلاث أصابع فرض، إلّاأنّه 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ويجزي إصبع واحد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لحريزيوماً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كم يُجزيك أن تمسح من شعر رأسك في وضوئك للصلاة؟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ثلاث أصابع وأومأ إلى السبّابة والوسطى والثالثة، وكان يونس يذكر عنه فقهاً كثيراً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الدعوى استظهرها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الجنيد يجزي في المقدّم إصبع والمرأة ثلاث أصابع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حيث اختار في الطول المسمّى،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والاحتياط أن لا يترك المسح بثلاث أصابع عرضاً بل طولاً أيضاً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مسح الرأس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صاحب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التعريف للناصية هو الأولى والأحوط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الناصية قصاص من الشّعر في مقدم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وقالها البغوي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القاف،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 شيء أوّله والناصية والجبهة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استقرّ عليه مذهب الأصحاب بعد ابن الجنيد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استدلاله بعموم الآية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ونخصّها بدليل إجماع الفرقة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ورسائل المرتضى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والسيّد ابن زُهرة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ومثله ما 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بينهما في الألفاظ</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يختصّ الأخذ بهذه المواضع، بل يجوز من جميع محال الوضوء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وهو ظاهر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يبقى معه نداوة أخذ من لحيته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ثمّ تحدث عن الانتقال للأخذ من اللّحية والحاجب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السادس يجب المسح بفضل نداوة الوضوء</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إطلاق اليد وباطن أصابع الكفّ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الإطلاق، وقوة احتمال انصرافه إلى بلل ما يجب المسح به، وعليه فلا يجوز الأخذ من ظاهر اليد فضلاً عن الذراع مع وجود البلل من الباطن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 في المسح بعد فقد نداوة اليد من الأخذ من اللّحية، وإلّا فالحاجب وأشفار العيون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الاستدلال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ولكنّها لم يلتزم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دليلها بالإرسال وعدم ثبوت الجابر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جفّ ماء الوضوء من الحرّ المفرط، أو الهواء المحرق جاز البناء، واستئناف الماء الجديد والمسح دفعاً للحرج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والمقاصد العلية للشهيد الثاني وهو شرح كبير على الألفيّة للشهيد الأوّل، ولا يزال مخطوط، وهو في المكتبة الرضويّة تحت رقم </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الرسائل الصعديّة للعلّامة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مفتاح الكرامة حيث حكاه عن غير واحد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وغيرهم، إلّاأنّ أغلب الإجماعات على أنّ المسح على مقدم الرأس، والإطلاق يشمل الشّعر الذي هو في المقدم، بحيث لا يخرج من مدّه عن حدّه كما أشار إلى ذلك غير واحد من الأعلام، وعليه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محصّلاً ومنقولاً على لسان جملةٍ من الأساطين كالشيخ والمحقّق والعلّامة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بأن يمسح رأسه والحنّاء عليه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ذكر جملة من أصحابنا أنّه لا يجوز المسح بغير اليد اتّفاقاً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باطن اليد أولى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والأفضل أن يكون ذلك بباطن الكفّين، ويجزي بإصبعين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كون المسح بباطن اليد للتأسّي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المفيد في المقنعة والقاضي في المهذّب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قضيّة إطلاق الكتاب، والفقيه والجمل والعقود والإشارة والمراسم والسرائر والمعتبر والنافع والقواعد والتحرير والإرشاد والدروس واللّمعة وغيرها، عدم وجوب كون الماسح اليد اليمنى، كما هو صريح النفليّة وظاهر شرحها وصريح كشف الغطاء بل في الحدائق الظاهر الاتّفاق على الاستحباب، لكن قد عرفت أنّ حسنة زرارة ظاهرة في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الأولى كونه ج أي المسح ج في الناصية باليد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وترتيبه وثوابه، في تعليقه على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تردّ الشَّعر في غسل اليدين ولا في مسح الرأس والقدمين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 مسح الرأس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ويجزي الانسان في مسح رأسه أن يمسح من مقدمه مقدار اصبع يضعها عليه عرضاً من الشعر إلى قصاصه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استقبال الشَّعر فيه جمسح الرأس ج على المشهور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ذكره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 إجماع الفرقة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الخلاف والسيّد في الانتصار، وهو ظاهر كلام السيّد في الانتصار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مَسح الرِّجلين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الفرض السابع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الألفيّة والنفليّة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المفاتيح</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للسيّد الحكيم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الكعبان هما الناتئان في وسط القدم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الكعبان فقد اختلف في معناهما، فعند الإماميّة هما العظمان الناتئان في ظهر القدم عند مقعد الشراك</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والكعبان هما قبّتا القدمين أمام الساقين ما بين المفصل والمشط، وليسا الأعظم التي عن اليمين والشمال من الساقين الخارجة عنهما كما يظنّ ذلك العامّة ويسمّونها الكعبين بل هذه عظام الساقين، والعرب تُسمّي كلّ واحد منهما ظنبوباً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زرارة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وسنورد قوله في بقيّة كتبه زيادة في الاستفادة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النابتان في وسط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الناتئان في وسط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الاقتصاد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وفي الرسائل العشر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موضع معقد الشراك من وسط القدم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مفصل للعظام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ونقل عن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الإماميّة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الكعب عظمٌ مستدير تحت عظم الساق حيث مفصل الساق والقدم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قال 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يظهر لك ذلك</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بالمسح على النعل العربي وإنْ لم يدخل يده تحت الشِّراك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المسح على النعل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وأيضاً في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ولكن لا يوجد في نسخة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والكعب أسفل من ذلك</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34693</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فالوجه عندي الدخول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إدخالهما في 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اختار وجوب المسح ليبلغ الكعبين ولو لم يدخلا في المسح كما هو الظاهر،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يجزي لو لم يبلغ الكعب؟ فيه تردّد أشبهه 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يجب إدخال الكعب في المسح الأشبه لا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إدخال الكعبين في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الواجب من رؤس الأصابع إلى الكعبين ولو بإصبع واحد، وهو مذهب علمائنا أجمع</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بإصبع واحد عند فقهاء أهل البيت عليهم السلام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يجب استيعاب الرِّجلين بالمسح، بل يكفي المسح من رؤس الأصابع إلى الكعبين ولو بإصبع واحد، وهو إجماع فقهاء أهل البيت عليهم السلام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اقتصر في المسح عليهما بإصبع واحد لم يكن به بأس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أن يكون بثلاث أصابع مضمومة، وقال بعض علمائنا يجب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أبو المجد الحلبي في إشارة السبق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ومسح ظاهر القدمين من رؤوس أصابعهما إلى موضع معقد الشراك أقلّه بإصبعين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ويجزي بإصبعين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رواية زرارة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حيث اعتبر أنّ القول بكفاية اصبع تبعاً لإجماع العلّامة جيّد،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والاحتياط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منه الى المسح بتمام الكفّ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ولولا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لأمكن القول بوجوب المسح بالكفّ كلّها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للمحقّق السبزواري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والأولى أن يمسح بتمام كفّه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ثمّ قال 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وراه الصدوق مرسلاً، والشيخ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مثله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يجزي النكس؟ المشهور نعم 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ثمّ اختار في نهاية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أنّ‌الأولى عدم النكس، لحصول اليقين بالخروج عن العُهدة بفعله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جواز النكس هنا كالرأس وفاقاً للمشهور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وإلى ذلك ذهب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أنّه يجوز المسح منكوساً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تضع كفّيك على أطراف أصابع رجليك وتمدّها إلى الكعبين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مسح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به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مَسح الرِّجل هو من أطراف الأصابع إلى الكعبين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حيث ادّعى الإجماع على الترتيب ولم يذكر منه تقديم اليمنى على اليسرى في المسح، ولهذا استظهر في الجواهر منه القول بعدم الترتيب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في الأحكام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والترتيب أيضاً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فتبدأ بالرِّجل اليمنى في المسح قبل اليسرى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في تعليقه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ترتيب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الوجوب لأنّ وجوب البيان إن وقع فيه الترتيب فوجوبه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والأظهر وجوب الترتيب لا لما ذكروه، بل لما رواه محمّد بن مسلم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وامسح على القدمين وابدأ بالشقّ الأيمن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للوجوب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 ابن الجنيد هنا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بيمينه رأسه ورجله اليُمنى، وبيده اليسرى رجله اليسرى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ابن الجنيد أنّه لو عكس المسح لا يجزيه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مختاره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الترتيب وهو واجب بالإجماع والنصوص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لم يظهر منه التزامه بوجوب الترتيب في المسح بين اليمنى واليسرى، فراجع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يجب البدأة باليمنى من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كلام بعضهم يجوز مسحهمامعاً لا تقديم اليسرى، والعمل بالترتيب أحوط</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بعد استعراض المسألة والأقوال فيها قال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المحتمل قويّاً الجمع بين هذه الرواية وما تقدّم من الأخبار بالحكم باستحباب الجمع بينهما أو بالابتداء باليمين، لكن لم أعثر على مصرّح به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يجزي على حائل كالعمامة والمقنعة، ذهب إليه علماؤنا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المسح على البشرة ويحرم على الحائل كالخُفّ وشبهه إلّامع الضَّرورة أو التقيَّة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 في وجيزته، وعن الشيخ أبو الحسن في بلغته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والسيّد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فإنّه ظاهر في مدح أبي الورد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أنتم فترجعون مغفوراً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والمخاطب أبا الورد والموالين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 من كتاب الأمر بالمعروف والنهي عن المنكر، ح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 عَلَيْكُمْ فِي اَلدِّينِ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وغيره من الأبواب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على الجوربين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الفرض الخامس</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الفرض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التقيَّة مع الخوف إلى خروج صاحب الزمان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الأمر بالمعروف ح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ascii="IRNazanin" w:hAnsi="IRNazanin" w:eastAsia="IRNazanin"/>
          <w:b w:val="false"/>
          <w:b w:val="false"/>
          <w:bCs w:val="false"/>
          <w:i w:val="false"/>
          <w:i w:val="false"/>
          <w:iCs w:val="false"/>
          <w:color w:val="333333"/>
          <w:sz w:val="20"/>
          <w:sz w:val="20"/>
          <w:szCs w:val="20"/>
          <w:rtl w:val="true"/>
        </w:rPr>
        <w:t>، ولم يرد فيه ومتعة الحجّ، إلّاأنّها وردت في حديث زرارة المتقدّم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21403</w:t>
      </w:r>
      <w:r>
        <w:rPr>
          <w:rFonts w:ascii="IRNazanin" w:hAnsi="IRNazanin" w:eastAsia="IRNazanin"/>
          <w:b w:val="false"/>
          <w:b w:val="false"/>
          <w:bCs w:val="false"/>
          <w:i w:val="false"/>
          <w:i w:val="false"/>
          <w:iCs w:val="false"/>
          <w:color w:val="333333"/>
          <w:sz w:val="20"/>
          <w:sz w:val="20"/>
          <w:szCs w:val="20"/>
          <w:rtl w:val="true"/>
        </w:rPr>
        <w:t>، بتصرّف، فإنّ المقطع الأوّل هنا هو المقطع الثاني في الحديث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67754</Words>
  <Characters>307066</Characters>
  <CharactersWithSpaces>371331</CharactersWithSpaces>
  <Paragraphs>3913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2026-08-22T07:41:24Z</dcterms:created>
  <dc:creator>ghaemiyeh.com</dc:creator>
  <dc:description/>
  <dc:language>en-US</dc:language>
  <cp:lastModifiedBy/>
  <dcterms:modified xsi:type="dcterms:W3CDTF">2026-08-22T11:11:40Z</dcterms:modified>
  <cp:revision>1</cp:revision>
  <dc:subject/>
  <dc:title>فقه الصادق علیه السلام جلد 1</dc:title>
</cp:coreProperties>
</file>

<file path=docProps/custom.xml><?xml version="1.0" encoding="utf-8"?>
<Properties xmlns="http://schemas.openxmlformats.org/officeDocument/2006/custom-properties" xmlns:vt="http://schemas.openxmlformats.org/officeDocument/2006/docPropsVTypes"/>
</file>