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71908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17191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71912_73709187">
            <w:r>
              <w:rPr>
                <w:webHidden/>
                <w:rStyle w:val="IndexLink"/>
                <w:rtl w:val="true"/>
              </w:rPr>
              <w:t>كتاب الحجّ</w:t>
            </w:r>
            <w:r>
              <w:rPr>
                <w:rStyle w:val="IndexLink"/>
                <w:rtl w:val="true"/>
              </w:rPr>
              <w:tab/>
            </w:r>
            <w:r>
              <w:rPr>
                <w:rStyle w:val="IndexLink"/>
              </w:rPr>
              <w:t>12</w:t>
            </w:r>
          </w:hyperlink>
        </w:p>
        <w:p>
          <w:pPr>
            <w:pStyle w:val="Contents3"/>
            <w:tabs>
              <w:tab w:val="clear" w:pos="8459"/>
              <w:tab w:val="right" w:pos="9026" w:leader="dot"/>
            </w:tabs>
            <w:rPr/>
          </w:pPr>
          <w:hyperlink w:anchor="__RefHeading___Toc6171914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171916_73709187">
            <w:r>
              <w:rPr>
                <w:webHidden/>
                <w:rStyle w:val="IndexLink"/>
                <w:rtl w:val="true"/>
              </w:rPr>
              <w:t>المقصد الأول</w:t>
            </w:r>
            <w:r>
              <w:rPr>
                <w:rStyle w:val="IndexLink"/>
                <w:rtl w:val="true"/>
              </w:rPr>
              <w:tab/>
            </w:r>
            <w:r>
              <w:rPr>
                <w:rStyle w:val="IndexLink"/>
              </w:rPr>
              <w:t>13</w:t>
            </w:r>
          </w:hyperlink>
        </w:p>
        <w:p>
          <w:pPr>
            <w:pStyle w:val="Contents4"/>
            <w:tabs>
              <w:tab w:val="clear" w:pos="8176"/>
              <w:tab w:val="right" w:pos="9026" w:leader="dot"/>
            </w:tabs>
            <w:rPr/>
          </w:pPr>
          <w:hyperlink w:anchor="__RefHeading___Toc6171918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171920_73709187">
            <w:r>
              <w:rPr>
                <w:webHidden/>
                <w:rStyle w:val="IndexLink"/>
                <w:rtl w:val="true"/>
              </w:rPr>
              <w:t xml:space="preserve">الباب الأول </w:t>
            </w:r>
            <w:r>
              <w:rPr>
                <w:rStyle w:val="IndexLink"/>
                <w:rtl w:val="true"/>
              </w:rPr>
              <w:t xml:space="preserve">: </w:t>
            </w:r>
            <w:r>
              <w:rPr>
                <w:rStyle w:val="IndexLink"/>
                <w:rtl w:val="true"/>
              </w:rPr>
              <w:t>في الواجب من الحجّ</w:t>
            </w:r>
            <w:r>
              <w:rPr>
                <w:rStyle w:val="IndexLink"/>
                <w:rtl w:val="true"/>
              </w:rPr>
              <w:tab/>
            </w:r>
            <w:r>
              <w:rPr>
                <w:rStyle w:val="IndexLink"/>
              </w:rPr>
              <w:t>15</w:t>
            </w:r>
          </w:hyperlink>
        </w:p>
        <w:p>
          <w:pPr>
            <w:pStyle w:val="Contents5"/>
            <w:tabs>
              <w:tab w:val="clear" w:pos="7892"/>
              <w:tab w:val="right" w:pos="9026" w:leader="dot"/>
            </w:tabs>
            <w:rPr/>
          </w:pPr>
          <w:hyperlink w:anchor="__RefHeading___Toc6171922_7370918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6171924_73709187">
            <w:r>
              <w:rPr>
                <w:webHidden/>
                <w:rStyle w:val="IndexLink"/>
                <w:rtl w:val="true"/>
              </w:rPr>
              <w:t xml:space="preserve">المطلب الأول </w:t>
            </w:r>
            <w:r>
              <w:rPr>
                <w:rStyle w:val="IndexLink"/>
                <w:rtl w:val="true"/>
              </w:rPr>
              <w:t xml:space="preserve">: </w:t>
            </w:r>
            <w:r>
              <w:rPr>
                <w:rStyle w:val="IndexLink"/>
                <w:rtl w:val="true"/>
              </w:rPr>
              <w:t>في الواجب بأصل الشرع</w:t>
            </w:r>
            <w:r>
              <w:rPr>
                <w:rStyle w:val="IndexLink"/>
                <w:rtl w:val="true"/>
              </w:rPr>
              <w:tab/>
            </w:r>
            <w:r>
              <w:rPr>
                <w:rStyle w:val="IndexLink"/>
              </w:rPr>
              <w:t>15</w:t>
            </w:r>
          </w:hyperlink>
        </w:p>
        <w:p>
          <w:pPr>
            <w:pStyle w:val="Contents6"/>
            <w:tabs>
              <w:tab w:val="clear" w:pos="7609"/>
              <w:tab w:val="right" w:pos="9026" w:leader="dot"/>
            </w:tabs>
            <w:rPr/>
          </w:pPr>
          <w:hyperlink w:anchor="__RefHeading___Toc6171926_7370918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6171928_73709187">
            <w:r>
              <w:rPr>
                <w:webHidden/>
                <w:rStyle w:val="IndexLink"/>
                <w:rtl w:val="true"/>
              </w:rPr>
              <w:t xml:space="preserve">الفصل الأول </w:t>
            </w:r>
            <w:r>
              <w:rPr>
                <w:rStyle w:val="IndexLink"/>
                <w:rtl w:val="true"/>
              </w:rPr>
              <w:t xml:space="preserve">: </w:t>
            </w:r>
            <w:r>
              <w:rPr>
                <w:rStyle w:val="IndexLink"/>
                <w:rtl w:val="true"/>
              </w:rPr>
              <w:t>في أحكامه</w:t>
            </w:r>
            <w:r>
              <w:rPr>
                <w:rStyle w:val="IndexLink"/>
                <w:rtl w:val="true"/>
              </w:rPr>
              <w:tab/>
            </w:r>
            <w:r>
              <w:rPr>
                <w:rStyle w:val="IndexLink"/>
              </w:rPr>
              <w:t>15</w:t>
            </w:r>
          </w:hyperlink>
        </w:p>
        <w:p>
          <w:pPr>
            <w:pStyle w:val="Contents6"/>
            <w:tabs>
              <w:tab w:val="clear" w:pos="7609"/>
              <w:tab w:val="right" w:pos="9026" w:leader="dot"/>
            </w:tabs>
            <w:rPr/>
          </w:pPr>
          <w:hyperlink w:anchor="__RefHeading___Toc6171930_73709187">
            <w:r>
              <w:rPr>
                <w:webHidden/>
                <w:rStyle w:val="IndexLink"/>
                <w:rtl w:val="true"/>
              </w:rPr>
              <w:t xml:space="preserve">الفصل الثاني </w:t>
            </w:r>
            <w:r>
              <w:rPr>
                <w:rStyle w:val="IndexLink"/>
                <w:rtl w:val="true"/>
              </w:rPr>
              <w:t xml:space="preserve">: </w:t>
            </w:r>
            <w:r>
              <w:rPr>
                <w:rStyle w:val="IndexLink"/>
                <w:rtl w:val="true"/>
              </w:rPr>
              <w:t>في شرائط حجة الإسلام</w:t>
            </w:r>
            <w:r>
              <w:rPr>
                <w:rStyle w:val="IndexLink"/>
                <w:rtl w:val="true"/>
              </w:rPr>
              <w:tab/>
            </w:r>
            <w:r>
              <w:rPr>
                <w:rStyle w:val="IndexLink"/>
              </w:rPr>
              <w:t>19</w:t>
            </w:r>
          </w:hyperlink>
        </w:p>
        <w:p>
          <w:pPr>
            <w:pStyle w:val="Contents6"/>
            <w:tabs>
              <w:tab w:val="clear" w:pos="7609"/>
              <w:tab w:val="right" w:pos="9026" w:leader="dot"/>
            </w:tabs>
            <w:rPr/>
          </w:pPr>
          <w:hyperlink w:anchor="__RefHeading___Toc6171932_7370918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6171934_73709187">
            <w:r>
              <w:rPr>
                <w:webHidden/>
                <w:rStyle w:val="IndexLink"/>
                <w:rtl w:val="true"/>
              </w:rPr>
              <w:t xml:space="preserve">الشرط الأول والثاني </w:t>
            </w:r>
            <w:r>
              <w:rPr>
                <w:rStyle w:val="IndexLink"/>
                <w:rtl w:val="true"/>
              </w:rPr>
              <w:t xml:space="preserve">: </w:t>
            </w:r>
            <w:r>
              <w:rPr>
                <w:rStyle w:val="IndexLink"/>
                <w:rtl w:val="true"/>
              </w:rPr>
              <w:t>البلوغ والعقل</w:t>
            </w:r>
            <w:r>
              <w:rPr>
                <w:rStyle w:val="IndexLink"/>
                <w:rtl w:val="true"/>
              </w:rPr>
              <w:tab/>
            </w:r>
            <w:r>
              <w:rPr>
                <w:rStyle w:val="IndexLink"/>
              </w:rPr>
              <w:t>19</w:t>
            </w:r>
          </w:hyperlink>
        </w:p>
        <w:p>
          <w:pPr>
            <w:pStyle w:val="Contents6"/>
            <w:tabs>
              <w:tab w:val="clear" w:pos="7609"/>
              <w:tab w:val="right" w:pos="9026" w:leader="dot"/>
            </w:tabs>
            <w:rPr/>
          </w:pPr>
          <w:hyperlink w:anchor="__RefHeading___Toc6171936_7370918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6171938_73709187">
            <w:r>
              <w:rPr>
                <w:webHidden/>
                <w:rStyle w:val="IndexLink"/>
                <w:rtl w:val="true"/>
              </w:rPr>
              <w:t xml:space="preserve">فروع </w:t>
            </w:r>
            <w:r>
              <w:rPr>
                <w:rStyle w:val="IndexLink"/>
                <w:rtl w:val="true"/>
              </w:rPr>
              <w:t>:</w:t>
              <w:tab/>
            </w:r>
            <w:r>
              <w:rPr>
                <w:rStyle w:val="IndexLink"/>
              </w:rPr>
              <w:t>22</w:t>
            </w:r>
          </w:hyperlink>
        </w:p>
        <w:p>
          <w:pPr>
            <w:pStyle w:val="Contents6"/>
            <w:tabs>
              <w:tab w:val="clear" w:pos="7609"/>
              <w:tab w:val="right" w:pos="9026" w:leader="dot"/>
            </w:tabs>
            <w:rPr/>
          </w:pPr>
          <w:hyperlink w:anchor="__RefHeading___Toc6171940_73709187">
            <w:r>
              <w:rPr>
                <w:webHidden/>
                <w:rStyle w:val="IndexLink"/>
                <w:rtl w:val="true"/>
              </w:rPr>
              <w:t xml:space="preserve">الشرط الثالث </w:t>
            </w:r>
            <w:r>
              <w:rPr>
                <w:rStyle w:val="IndexLink"/>
                <w:rtl w:val="true"/>
              </w:rPr>
              <w:t xml:space="preserve">: </w:t>
            </w:r>
            <w:r>
              <w:rPr>
                <w:rStyle w:val="IndexLink"/>
                <w:rtl w:val="true"/>
              </w:rPr>
              <w:t>الحرّية</w:t>
            </w:r>
            <w:r>
              <w:rPr>
                <w:rStyle w:val="IndexLink"/>
                <w:rtl w:val="true"/>
              </w:rPr>
              <w:t>.</w:t>
              <w:tab/>
            </w:r>
            <w:r>
              <w:rPr>
                <w:rStyle w:val="IndexLink"/>
              </w:rPr>
              <w:t>26</w:t>
            </w:r>
          </w:hyperlink>
        </w:p>
        <w:p>
          <w:pPr>
            <w:pStyle w:val="Contents6"/>
            <w:tabs>
              <w:tab w:val="clear" w:pos="7609"/>
              <w:tab w:val="right" w:pos="9026" w:leader="dot"/>
            </w:tabs>
            <w:rPr/>
          </w:pPr>
          <w:hyperlink w:anchor="__RefHeading___Toc6171942_73709187">
            <w:r>
              <w:rPr>
                <w:webHidden/>
                <w:rStyle w:val="IndexLink"/>
                <w:rtl w:val="true"/>
              </w:rPr>
              <w:t xml:space="preserve">الشرط الرابع </w:t>
            </w:r>
            <w:r>
              <w:rPr>
                <w:rStyle w:val="IndexLink"/>
                <w:rtl w:val="true"/>
              </w:rPr>
              <w:t xml:space="preserve">: </w:t>
            </w:r>
            <w:r>
              <w:rPr>
                <w:rStyle w:val="IndexLink"/>
                <w:rtl w:val="true"/>
              </w:rPr>
              <w:t>الاستطاعة</w:t>
            </w:r>
            <w:r>
              <w:rPr>
                <w:rStyle w:val="IndexLink"/>
                <w:rtl w:val="true"/>
              </w:rPr>
              <w:t>.</w:t>
              <w:tab/>
            </w:r>
            <w:r>
              <w:rPr>
                <w:rStyle w:val="IndexLink"/>
              </w:rPr>
              <w:t>28</w:t>
            </w:r>
          </w:hyperlink>
        </w:p>
        <w:p>
          <w:pPr>
            <w:pStyle w:val="Contents6"/>
            <w:tabs>
              <w:tab w:val="clear" w:pos="7609"/>
              <w:tab w:val="right" w:pos="9026" w:leader="dot"/>
            </w:tabs>
            <w:rPr/>
          </w:pPr>
          <w:hyperlink w:anchor="__RefHeading___Toc6171944_7370918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6171946_73709187">
            <w:r>
              <w:rPr>
                <w:webHidden/>
                <w:rStyle w:val="IndexLink"/>
                <w:rtl w:val="true"/>
              </w:rPr>
              <w:t xml:space="preserve">ويلحق بهذا المقام مسائل </w:t>
            </w:r>
            <w:r>
              <w:rPr>
                <w:rStyle w:val="IndexLink"/>
                <w:rtl w:val="true"/>
              </w:rPr>
              <w:t>:</w:t>
              <w:tab/>
            </w:r>
            <w:r>
              <w:rPr>
                <w:rStyle w:val="IndexLink"/>
              </w:rPr>
              <w:t>37</w:t>
            </w:r>
          </w:hyperlink>
        </w:p>
        <w:p>
          <w:pPr>
            <w:pStyle w:val="Contents6"/>
            <w:tabs>
              <w:tab w:val="clear" w:pos="7609"/>
              <w:tab w:val="right" w:pos="9026" w:leader="dot"/>
            </w:tabs>
            <w:rPr/>
          </w:pPr>
          <w:hyperlink w:anchor="__RefHeading___Toc6171948_73709187">
            <w:r>
              <w:rPr>
                <w:webHidden/>
                <w:rStyle w:val="IndexLink"/>
                <w:rtl w:val="true"/>
              </w:rPr>
              <w:t xml:space="preserve">فروع </w:t>
            </w:r>
            <w:r>
              <w:rPr>
                <w:rStyle w:val="IndexLink"/>
                <w:rtl w:val="true"/>
              </w:rPr>
              <w:t>:</w:t>
              <w:tab/>
            </w:r>
            <w:r>
              <w:rPr>
                <w:rStyle w:val="IndexLink"/>
              </w:rPr>
              <w:t>53</w:t>
            </w:r>
          </w:hyperlink>
        </w:p>
        <w:p>
          <w:pPr>
            <w:pStyle w:val="Contents6"/>
            <w:tabs>
              <w:tab w:val="clear" w:pos="7609"/>
              <w:tab w:val="right" w:pos="9026" w:leader="dot"/>
            </w:tabs>
            <w:rPr/>
          </w:pPr>
          <w:hyperlink w:anchor="__RefHeading___Toc6171950_73709187">
            <w:r>
              <w:rPr>
                <w:webHidden/>
                <w:rStyle w:val="IndexLink"/>
                <w:rtl w:val="true"/>
              </w:rPr>
              <w:t xml:space="preserve">فرعان </w:t>
            </w:r>
            <w:r>
              <w:rPr>
                <w:rStyle w:val="IndexLink"/>
                <w:rtl w:val="true"/>
              </w:rPr>
              <w:t>:</w:t>
              <w:tab/>
            </w:r>
            <w:r>
              <w:rPr>
                <w:rStyle w:val="IndexLink"/>
              </w:rPr>
              <w:t>79</w:t>
            </w:r>
          </w:hyperlink>
        </w:p>
        <w:p>
          <w:pPr>
            <w:pStyle w:val="Contents6"/>
            <w:tabs>
              <w:tab w:val="clear" w:pos="7609"/>
              <w:tab w:val="right" w:pos="9026" w:leader="dot"/>
            </w:tabs>
            <w:rPr/>
          </w:pPr>
          <w:hyperlink w:anchor="__RefHeading___Toc6171952_73709187">
            <w:r>
              <w:rPr>
                <w:webHidden/>
                <w:rStyle w:val="IndexLink"/>
                <w:rtl w:val="true"/>
              </w:rPr>
              <w:t xml:space="preserve">فروع </w:t>
            </w:r>
            <w:r>
              <w:rPr>
                <w:rStyle w:val="IndexLink"/>
                <w:rtl w:val="true"/>
              </w:rPr>
              <w:t>:</w:t>
              <w:tab/>
            </w:r>
            <w:r>
              <w:rPr>
                <w:rStyle w:val="IndexLink"/>
              </w:rPr>
              <w:t>82</w:t>
            </w:r>
          </w:hyperlink>
        </w:p>
        <w:p>
          <w:pPr>
            <w:pStyle w:val="Contents5"/>
            <w:tabs>
              <w:tab w:val="clear" w:pos="7892"/>
              <w:tab w:val="right" w:pos="9026" w:leader="dot"/>
            </w:tabs>
            <w:rPr/>
          </w:pPr>
          <w:hyperlink w:anchor="__RefHeading___Toc6171954_73709187">
            <w:r>
              <w:rPr>
                <w:webHidden/>
                <w:rStyle w:val="IndexLink"/>
                <w:rtl w:val="true"/>
              </w:rPr>
              <w:t xml:space="preserve">المطلب الثاني </w:t>
            </w:r>
            <w:r>
              <w:rPr>
                <w:rStyle w:val="IndexLink"/>
                <w:rtl w:val="true"/>
              </w:rPr>
              <w:t xml:space="preserve">: </w:t>
            </w:r>
            <w:r>
              <w:rPr>
                <w:rStyle w:val="IndexLink"/>
                <w:rtl w:val="true"/>
              </w:rPr>
              <w:t>في الحجّ الواجب بالعارض</w:t>
            </w:r>
            <w:r>
              <w:rPr>
                <w:rStyle w:val="IndexLink"/>
                <w:rtl w:val="true"/>
              </w:rPr>
              <w:tab/>
            </w:r>
            <w:r>
              <w:rPr>
                <w:rStyle w:val="IndexLink"/>
              </w:rPr>
              <w:t>97</w:t>
            </w:r>
          </w:hyperlink>
        </w:p>
        <w:p>
          <w:pPr>
            <w:pStyle w:val="Contents6"/>
            <w:tabs>
              <w:tab w:val="clear" w:pos="7609"/>
              <w:tab w:val="right" w:pos="9026" w:leader="dot"/>
            </w:tabs>
            <w:rPr/>
          </w:pPr>
          <w:hyperlink w:anchor="__RefHeading___Toc6171956_7370918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6171958_73709187">
            <w:r>
              <w:rPr>
                <w:webHidden/>
                <w:rStyle w:val="IndexLink"/>
                <w:rtl w:val="true"/>
              </w:rPr>
              <w:t xml:space="preserve">الفصل الأول </w:t>
            </w:r>
            <w:r>
              <w:rPr>
                <w:rStyle w:val="IndexLink"/>
                <w:rtl w:val="true"/>
              </w:rPr>
              <w:t xml:space="preserve">: </w:t>
            </w:r>
            <w:r>
              <w:rPr>
                <w:rStyle w:val="IndexLink"/>
                <w:rtl w:val="true"/>
              </w:rPr>
              <w:t>في الواجب بالنذر وأخويه</w:t>
            </w:r>
            <w:r>
              <w:rPr>
                <w:rStyle w:val="IndexLink"/>
                <w:rtl w:val="true"/>
              </w:rPr>
              <w:tab/>
            </w:r>
            <w:r>
              <w:rPr>
                <w:rStyle w:val="IndexLink"/>
              </w:rPr>
              <w:t>97</w:t>
            </w:r>
          </w:hyperlink>
        </w:p>
        <w:p>
          <w:pPr>
            <w:pStyle w:val="Contents6"/>
            <w:tabs>
              <w:tab w:val="clear" w:pos="7609"/>
              <w:tab w:val="right" w:pos="9026" w:leader="dot"/>
            </w:tabs>
            <w:rPr/>
          </w:pPr>
          <w:hyperlink w:anchor="__RefHeading___Toc6171960_7370918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6171962_73709187">
            <w:r>
              <w:rPr>
                <w:webHidden/>
                <w:rStyle w:val="IndexLink"/>
                <w:rtl w:val="true"/>
              </w:rPr>
              <w:t xml:space="preserve">فروع </w:t>
            </w:r>
            <w:r>
              <w:rPr>
                <w:rStyle w:val="IndexLink"/>
                <w:rtl w:val="true"/>
              </w:rPr>
              <w:t>:</w:t>
              <w:tab/>
            </w:r>
            <w:r>
              <w:rPr>
                <w:rStyle w:val="IndexLink"/>
              </w:rPr>
              <w:t>105</w:t>
            </w:r>
          </w:hyperlink>
        </w:p>
        <w:p>
          <w:pPr>
            <w:pStyle w:val="Contents6"/>
            <w:tabs>
              <w:tab w:val="clear" w:pos="7609"/>
              <w:tab w:val="right" w:pos="9026" w:leader="dot"/>
            </w:tabs>
            <w:rPr/>
          </w:pPr>
          <w:hyperlink w:anchor="__RefHeading___Toc6171964_73709187">
            <w:r>
              <w:rPr>
                <w:webHidden/>
                <w:rStyle w:val="IndexLink"/>
                <w:rtl w:val="true"/>
              </w:rPr>
              <w:t xml:space="preserve">الفصل الثاني </w:t>
            </w:r>
            <w:r>
              <w:rPr>
                <w:rStyle w:val="IndexLink"/>
                <w:rtl w:val="true"/>
              </w:rPr>
              <w:t xml:space="preserve">: </w:t>
            </w:r>
            <w:r>
              <w:rPr>
                <w:rStyle w:val="IndexLink"/>
                <w:rtl w:val="true"/>
              </w:rPr>
              <w:t>في الواجب بالنيابة والإجارة</w:t>
            </w:r>
            <w:r>
              <w:rPr>
                <w:rStyle w:val="IndexLink"/>
                <w:rtl w:val="true"/>
              </w:rPr>
              <w:tab/>
            </w:r>
            <w:r>
              <w:rPr>
                <w:rStyle w:val="IndexLink"/>
              </w:rPr>
              <w:t>112</w:t>
            </w:r>
          </w:hyperlink>
        </w:p>
        <w:p>
          <w:pPr>
            <w:pStyle w:val="Contents6"/>
            <w:tabs>
              <w:tab w:val="clear" w:pos="7609"/>
              <w:tab w:val="right" w:pos="9026" w:leader="dot"/>
            </w:tabs>
            <w:rPr/>
          </w:pPr>
          <w:hyperlink w:anchor="__RefHeading___Toc6171966_73709187">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6171968_73709187">
            <w:r>
              <w:rPr>
                <w:webHidden/>
                <w:rStyle w:val="IndexLink"/>
                <w:rtl w:val="true"/>
              </w:rPr>
              <w:t xml:space="preserve">فرعان </w:t>
            </w:r>
            <w:r>
              <w:rPr>
                <w:rStyle w:val="IndexLink"/>
                <w:rtl w:val="true"/>
              </w:rPr>
              <w:t>:</w:t>
              <w:tab/>
            </w:r>
            <w:r>
              <w:rPr>
                <w:rStyle w:val="IndexLink"/>
              </w:rPr>
              <w:t>132</w:t>
            </w:r>
          </w:hyperlink>
        </w:p>
        <w:p>
          <w:pPr>
            <w:pStyle w:val="Contents6"/>
            <w:tabs>
              <w:tab w:val="clear" w:pos="7609"/>
              <w:tab w:val="right" w:pos="9026" w:leader="dot"/>
            </w:tabs>
            <w:rPr/>
          </w:pPr>
          <w:hyperlink w:anchor="__RefHeading___Toc6171970_73709187">
            <w:r>
              <w:rPr>
                <w:webHidden/>
                <w:rStyle w:val="IndexLink"/>
                <w:rtl w:val="true"/>
              </w:rPr>
              <w:t xml:space="preserve">فروع </w:t>
            </w:r>
            <w:r>
              <w:rPr>
                <w:rStyle w:val="IndexLink"/>
                <w:rtl w:val="true"/>
              </w:rPr>
              <w:t>:</w:t>
              <w:tab/>
            </w:r>
            <w:r>
              <w:rPr>
                <w:rStyle w:val="IndexLink"/>
              </w:rPr>
              <w:t>151</w:t>
            </w:r>
          </w:hyperlink>
        </w:p>
        <w:p>
          <w:pPr>
            <w:pStyle w:val="Contents6"/>
            <w:tabs>
              <w:tab w:val="clear" w:pos="7609"/>
              <w:tab w:val="right" w:pos="9026" w:leader="dot"/>
            </w:tabs>
            <w:rPr/>
          </w:pPr>
          <w:hyperlink w:anchor="__RefHeading___Toc6171972_73709187">
            <w:r>
              <w:rPr>
                <w:webHidden/>
                <w:rStyle w:val="IndexLink"/>
                <w:rtl w:val="true"/>
              </w:rPr>
              <w:t xml:space="preserve">فروع </w:t>
            </w:r>
            <w:r>
              <w:rPr>
                <w:rStyle w:val="IndexLink"/>
                <w:rtl w:val="true"/>
              </w:rPr>
              <w:t>:</w:t>
              <w:tab/>
            </w:r>
            <w:r>
              <w:rPr>
                <w:rStyle w:val="IndexLink"/>
              </w:rPr>
              <w:t>160</w:t>
            </w:r>
          </w:hyperlink>
        </w:p>
        <w:p>
          <w:pPr>
            <w:pStyle w:val="Contents4"/>
            <w:tabs>
              <w:tab w:val="clear" w:pos="8176"/>
              <w:tab w:val="right" w:pos="9026" w:leader="dot"/>
            </w:tabs>
            <w:rPr/>
          </w:pPr>
          <w:hyperlink w:anchor="__RefHeading___Toc6171974_73709187">
            <w:r>
              <w:rPr>
                <w:webHidden/>
                <w:rStyle w:val="IndexLink"/>
                <w:rtl w:val="true"/>
              </w:rPr>
              <w:t xml:space="preserve">الباب الثاني </w:t>
            </w:r>
            <w:r>
              <w:rPr>
                <w:rStyle w:val="IndexLink"/>
                <w:rtl w:val="true"/>
              </w:rPr>
              <w:t xml:space="preserve">: </w:t>
            </w:r>
            <w:r>
              <w:rPr>
                <w:rStyle w:val="IndexLink"/>
                <w:rtl w:val="true"/>
              </w:rPr>
              <w:t>في الحج المندوب</w:t>
            </w:r>
            <w:r>
              <w:rPr>
                <w:rStyle w:val="IndexLink"/>
                <w:rtl w:val="true"/>
              </w:rPr>
              <w:tab/>
            </w:r>
            <w:r>
              <w:rPr>
                <w:rStyle w:val="IndexLink"/>
              </w:rPr>
              <w:t>161</w:t>
            </w:r>
          </w:hyperlink>
        </w:p>
        <w:p>
          <w:pPr>
            <w:pStyle w:val="Contents4"/>
            <w:tabs>
              <w:tab w:val="clear" w:pos="8176"/>
              <w:tab w:val="right" w:pos="9026" w:leader="dot"/>
            </w:tabs>
            <w:rPr/>
          </w:pPr>
          <w:hyperlink w:anchor="__RefHeading___Toc6171976_73709187">
            <w:r>
              <w:rPr>
                <w:webHidden/>
                <w:rStyle w:val="IndexLink"/>
                <w:rtl w:val="true"/>
              </w:rPr>
              <w:t xml:space="preserve">الباب الثالث </w:t>
            </w:r>
            <w:r>
              <w:rPr>
                <w:rStyle w:val="IndexLink"/>
                <w:rtl w:val="true"/>
              </w:rPr>
              <w:t xml:space="preserve">: </w:t>
            </w:r>
            <w:r>
              <w:rPr>
                <w:rStyle w:val="IndexLink"/>
                <w:rtl w:val="true"/>
              </w:rPr>
              <w:t>في أقسام العمرة بحسب الحكم</w:t>
            </w:r>
            <w:r>
              <w:rPr>
                <w:rStyle w:val="IndexLink"/>
                <w:rtl w:val="true"/>
              </w:rPr>
              <w:tab/>
            </w:r>
            <w:r>
              <w:rPr>
                <w:rStyle w:val="IndexLink"/>
              </w:rPr>
              <w:t>163</w:t>
            </w:r>
          </w:hyperlink>
        </w:p>
        <w:p>
          <w:pPr>
            <w:pStyle w:val="Contents3"/>
            <w:tabs>
              <w:tab w:val="clear" w:pos="8459"/>
              <w:tab w:val="right" w:pos="9026" w:leader="dot"/>
            </w:tabs>
            <w:rPr/>
          </w:pPr>
          <w:hyperlink w:anchor="__RefHeading___Toc6171978_73709187">
            <w:r>
              <w:rPr>
                <w:webHidden/>
                <w:rStyle w:val="IndexLink"/>
                <w:rtl w:val="true"/>
              </w:rPr>
              <w:t xml:space="preserve">المقصد الثاني </w:t>
            </w:r>
            <w:r>
              <w:rPr>
                <w:rStyle w:val="IndexLink"/>
                <w:rtl w:val="true"/>
              </w:rPr>
              <w:t xml:space="preserve">: </w:t>
            </w:r>
            <w:r>
              <w:rPr>
                <w:rStyle w:val="IndexLink"/>
                <w:rtl w:val="true"/>
              </w:rPr>
              <w:t>في بيان المواقيت وأحكامها</w:t>
            </w:r>
            <w:r>
              <w:rPr>
                <w:rStyle w:val="IndexLink"/>
                <w:rtl w:val="true"/>
              </w:rPr>
              <w:tab/>
            </w:r>
            <w:r>
              <w:rPr>
                <w:rStyle w:val="IndexLink"/>
              </w:rPr>
              <w:t>169</w:t>
            </w:r>
          </w:hyperlink>
        </w:p>
        <w:p>
          <w:pPr>
            <w:pStyle w:val="Contents4"/>
            <w:tabs>
              <w:tab w:val="clear" w:pos="8176"/>
              <w:tab w:val="right" w:pos="9026" w:leader="dot"/>
            </w:tabs>
            <w:rPr/>
          </w:pPr>
          <w:hyperlink w:anchor="__RefHeading___Toc6171980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171982_73709187">
            <w:r>
              <w:rPr>
                <w:webHidden/>
                <w:rStyle w:val="IndexLink"/>
                <w:rtl w:val="true"/>
              </w:rPr>
              <w:t xml:space="preserve">الأول </w:t>
            </w:r>
            <w:r>
              <w:rPr>
                <w:rStyle w:val="IndexLink"/>
                <w:rtl w:val="true"/>
              </w:rPr>
              <w:t xml:space="preserve">: </w:t>
            </w:r>
            <w:r>
              <w:rPr>
                <w:rStyle w:val="IndexLink"/>
                <w:rtl w:val="true"/>
              </w:rPr>
              <w:t>العقيق</w:t>
            </w:r>
            <w:r>
              <w:rPr>
                <w:rStyle w:val="IndexLink"/>
                <w:rtl w:val="true"/>
              </w:rPr>
              <w:tab/>
            </w:r>
            <w:r>
              <w:rPr>
                <w:rStyle w:val="IndexLink"/>
              </w:rPr>
              <w:t>170</w:t>
            </w:r>
          </w:hyperlink>
        </w:p>
        <w:p>
          <w:pPr>
            <w:pStyle w:val="Contents4"/>
            <w:tabs>
              <w:tab w:val="clear" w:pos="8176"/>
              <w:tab w:val="right" w:pos="9026" w:leader="dot"/>
            </w:tabs>
            <w:rPr/>
          </w:pPr>
          <w:hyperlink w:anchor="__RefHeading___Toc6171984_73709187">
            <w:r>
              <w:rPr>
                <w:webHidden/>
                <w:rStyle w:val="IndexLink"/>
                <w:rtl w:val="true"/>
              </w:rPr>
              <w:t xml:space="preserve">والثاني </w:t>
            </w:r>
            <w:r>
              <w:rPr>
                <w:rStyle w:val="IndexLink"/>
                <w:rtl w:val="true"/>
              </w:rPr>
              <w:t xml:space="preserve">: </w:t>
            </w:r>
            <w:r>
              <w:rPr>
                <w:rStyle w:val="IndexLink"/>
                <w:rtl w:val="true"/>
              </w:rPr>
              <w:t>مسجد الشجرة</w:t>
            </w:r>
            <w:r>
              <w:rPr>
                <w:rStyle w:val="IndexLink"/>
                <w:rtl w:val="true"/>
              </w:rPr>
              <w:tab/>
            </w:r>
            <w:r>
              <w:rPr>
                <w:rStyle w:val="IndexLink"/>
              </w:rPr>
              <w:t>178</w:t>
            </w:r>
          </w:hyperlink>
        </w:p>
        <w:p>
          <w:pPr>
            <w:pStyle w:val="Contents4"/>
            <w:tabs>
              <w:tab w:val="clear" w:pos="8176"/>
              <w:tab w:val="right" w:pos="9026" w:leader="dot"/>
            </w:tabs>
            <w:rPr/>
          </w:pPr>
          <w:hyperlink w:anchor="__RefHeading___Toc6171986_73709187">
            <w:r>
              <w:rPr>
                <w:webHidden/>
                <w:rStyle w:val="IndexLink"/>
                <w:rtl w:val="true"/>
              </w:rPr>
              <w:t xml:space="preserve">الثالث </w:t>
            </w:r>
            <w:r>
              <w:rPr>
                <w:rStyle w:val="IndexLink"/>
                <w:rtl w:val="true"/>
              </w:rPr>
              <w:t xml:space="preserve">: </w:t>
            </w:r>
            <w:r>
              <w:rPr>
                <w:rStyle w:val="IndexLink"/>
                <w:rtl w:val="true"/>
              </w:rPr>
              <w:t>الجحفة</w:t>
            </w:r>
            <w:r>
              <w:rPr>
                <w:rStyle w:val="IndexLink"/>
                <w:rtl w:val="true"/>
              </w:rPr>
              <w:tab/>
            </w:r>
            <w:r>
              <w:rPr>
                <w:rStyle w:val="IndexLink"/>
              </w:rPr>
              <w:t>187</w:t>
            </w:r>
          </w:hyperlink>
        </w:p>
        <w:p>
          <w:pPr>
            <w:pStyle w:val="Contents4"/>
            <w:tabs>
              <w:tab w:val="clear" w:pos="8176"/>
              <w:tab w:val="right" w:pos="9026" w:leader="dot"/>
            </w:tabs>
            <w:rPr/>
          </w:pPr>
          <w:hyperlink w:anchor="__RefHeading___Toc6171988_73709187">
            <w:r>
              <w:rPr>
                <w:webHidden/>
                <w:rStyle w:val="IndexLink"/>
                <w:rtl w:val="true"/>
              </w:rPr>
              <w:t xml:space="preserve">الرابع </w:t>
            </w:r>
            <w:r>
              <w:rPr>
                <w:rStyle w:val="IndexLink"/>
                <w:rtl w:val="true"/>
              </w:rPr>
              <w:t xml:space="preserve">: - </w:t>
            </w:r>
            <w:r>
              <w:rPr>
                <w:rStyle w:val="IndexLink"/>
                <w:rtl w:val="true"/>
              </w:rPr>
              <w:t xml:space="preserve">وهو ميقات أهل اليمن </w:t>
            </w:r>
            <w:r>
              <w:rPr>
                <w:rStyle w:val="IndexLink"/>
                <w:rtl w:val="true"/>
              </w:rPr>
              <w:t xml:space="preserve">- </w:t>
            </w:r>
            <w:r>
              <w:rPr>
                <w:rStyle w:val="IndexLink"/>
                <w:rtl w:val="true"/>
              </w:rPr>
              <w:t>يلملم</w:t>
            </w:r>
            <w:r>
              <w:rPr>
                <w:rStyle w:val="IndexLink"/>
                <w:rtl w:val="true"/>
              </w:rPr>
              <w:tab/>
            </w:r>
            <w:r>
              <w:rPr>
                <w:rStyle w:val="IndexLink"/>
              </w:rPr>
              <w:t>188</w:t>
            </w:r>
          </w:hyperlink>
        </w:p>
        <w:p>
          <w:pPr>
            <w:pStyle w:val="Contents4"/>
            <w:tabs>
              <w:tab w:val="clear" w:pos="8176"/>
              <w:tab w:val="right" w:pos="9026" w:leader="dot"/>
            </w:tabs>
            <w:rPr/>
          </w:pPr>
          <w:hyperlink w:anchor="__RefHeading___Toc6171990_73709187">
            <w:r>
              <w:rPr>
                <w:webHidden/>
                <w:rStyle w:val="IndexLink"/>
                <w:rtl w:val="true"/>
              </w:rPr>
              <w:t xml:space="preserve">الخامس </w:t>
            </w:r>
            <w:r>
              <w:rPr>
                <w:rStyle w:val="IndexLink"/>
                <w:rtl w:val="true"/>
              </w:rPr>
              <w:t xml:space="preserve">: </w:t>
            </w:r>
            <w:r>
              <w:rPr>
                <w:rStyle w:val="IndexLink"/>
                <w:rtl w:val="true"/>
              </w:rPr>
              <w:t>قرن المنازل</w:t>
            </w:r>
            <w:r>
              <w:rPr>
                <w:rStyle w:val="IndexLink"/>
                <w:rtl w:val="true"/>
              </w:rPr>
              <w:tab/>
            </w:r>
            <w:r>
              <w:rPr>
                <w:rStyle w:val="IndexLink"/>
              </w:rPr>
              <w:t>188</w:t>
            </w:r>
          </w:hyperlink>
        </w:p>
        <w:p>
          <w:pPr>
            <w:pStyle w:val="Contents4"/>
            <w:tabs>
              <w:tab w:val="clear" w:pos="8176"/>
              <w:tab w:val="right" w:pos="9026" w:leader="dot"/>
            </w:tabs>
            <w:rPr/>
          </w:pPr>
          <w:hyperlink w:anchor="__RefHeading___Toc6171992_73709187">
            <w:r>
              <w:rPr>
                <w:webHidden/>
                <w:rStyle w:val="IndexLink"/>
                <w:rtl w:val="true"/>
              </w:rPr>
              <w:t xml:space="preserve">السادس </w:t>
            </w:r>
            <w:r>
              <w:rPr>
                <w:rStyle w:val="IndexLink"/>
                <w:rtl w:val="true"/>
              </w:rPr>
              <w:t xml:space="preserve">: </w:t>
            </w:r>
            <w:r>
              <w:rPr>
                <w:rStyle w:val="IndexLink"/>
                <w:rtl w:val="true"/>
              </w:rPr>
              <w:t>مكّة</w:t>
            </w:r>
            <w:r>
              <w:rPr>
                <w:rStyle w:val="IndexLink"/>
                <w:rtl w:val="true"/>
              </w:rPr>
              <w:tab/>
            </w:r>
            <w:r>
              <w:rPr>
                <w:rStyle w:val="IndexLink"/>
              </w:rPr>
              <w:t>189</w:t>
            </w:r>
          </w:hyperlink>
        </w:p>
        <w:p>
          <w:pPr>
            <w:pStyle w:val="Contents4"/>
            <w:tabs>
              <w:tab w:val="clear" w:pos="8176"/>
              <w:tab w:val="right" w:pos="9026" w:leader="dot"/>
            </w:tabs>
            <w:rPr/>
          </w:pPr>
          <w:hyperlink w:anchor="__RefHeading___Toc6171994_73709187">
            <w:r>
              <w:rPr>
                <w:webHidden/>
                <w:rStyle w:val="IndexLink"/>
                <w:rtl w:val="true"/>
              </w:rPr>
              <w:t xml:space="preserve">الثامن </w:t>
            </w:r>
            <w:r>
              <w:rPr>
                <w:rStyle w:val="IndexLink"/>
                <w:rtl w:val="true"/>
              </w:rPr>
              <w:t xml:space="preserve">: </w:t>
            </w:r>
            <w:r>
              <w:rPr>
                <w:rStyle w:val="IndexLink"/>
                <w:rtl w:val="true"/>
              </w:rPr>
              <w:t>محاذاة الميقات</w:t>
            </w:r>
            <w:r>
              <w:rPr>
                <w:rStyle w:val="IndexLink"/>
                <w:rtl w:val="true"/>
              </w:rPr>
              <w:tab/>
            </w:r>
            <w:r>
              <w:rPr>
                <w:rStyle w:val="IndexLink"/>
              </w:rPr>
              <w:t>191</w:t>
            </w:r>
          </w:hyperlink>
        </w:p>
        <w:p>
          <w:pPr>
            <w:pStyle w:val="Contents4"/>
            <w:tabs>
              <w:tab w:val="clear" w:pos="8176"/>
              <w:tab w:val="right" w:pos="9026" w:leader="dot"/>
            </w:tabs>
            <w:rPr/>
          </w:pPr>
          <w:hyperlink w:anchor="__RefHeading___Toc6171996_73709187">
            <w:r>
              <w:rPr>
                <w:webHidden/>
                <w:rStyle w:val="IndexLink"/>
                <w:rtl w:val="true"/>
              </w:rPr>
              <w:t xml:space="preserve">التاسع </w:t>
            </w:r>
            <w:r>
              <w:rPr>
                <w:rStyle w:val="IndexLink"/>
                <w:rtl w:val="true"/>
              </w:rPr>
              <w:t xml:space="preserve">: </w:t>
            </w:r>
            <w:r>
              <w:rPr>
                <w:rStyle w:val="IndexLink"/>
                <w:rtl w:val="true"/>
              </w:rPr>
              <w:t>أدنى الحلّ</w:t>
            </w:r>
            <w:r>
              <w:rPr>
                <w:rStyle w:val="IndexLink"/>
                <w:rtl w:val="true"/>
              </w:rPr>
              <w:tab/>
            </w:r>
            <w:r>
              <w:rPr>
                <w:rStyle w:val="IndexLink"/>
              </w:rPr>
              <w:t>193</w:t>
            </w:r>
          </w:hyperlink>
        </w:p>
        <w:p>
          <w:pPr>
            <w:pStyle w:val="Contents5"/>
            <w:tabs>
              <w:tab w:val="clear" w:pos="7892"/>
              <w:tab w:val="right" w:pos="9026" w:leader="dot"/>
            </w:tabs>
            <w:rPr/>
          </w:pPr>
          <w:hyperlink w:anchor="__RefHeading___Toc6171998_7370918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172000_73709187">
            <w:r>
              <w:rPr>
                <w:webHidden/>
                <w:rStyle w:val="IndexLink"/>
                <w:rtl w:val="true"/>
              </w:rPr>
              <w:t xml:space="preserve">وها هنا مسائل </w:t>
            </w:r>
            <w:r>
              <w:rPr>
                <w:rStyle w:val="IndexLink"/>
                <w:rtl w:val="true"/>
              </w:rPr>
              <w:t>:</w:t>
              <w:tab/>
            </w:r>
            <w:r>
              <w:rPr>
                <w:rStyle w:val="IndexLink"/>
              </w:rPr>
              <w:t>194</w:t>
            </w:r>
          </w:hyperlink>
        </w:p>
        <w:p>
          <w:pPr>
            <w:pStyle w:val="Contents3"/>
            <w:tabs>
              <w:tab w:val="clear" w:pos="8459"/>
              <w:tab w:val="right" w:pos="9026" w:leader="dot"/>
            </w:tabs>
            <w:rPr/>
          </w:pPr>
          <w:hyperlink w:anchor="__RefHeading___Toc6172002_73709187">
            <w:r>
              <w:rPr>
                <w:webHidden/>
                <w:rStyle w:val="IndexLink"/>
                <w:rtl w:val="true"/>
              </w:rPr>
              <w:t xml:space="preserve">المقصد الثالث </w:t>
            </w:r>
            <w:r>
              <w:rPr>
                <w:rStyle w:val="IndexLink"/>
                <w:rtl w:val="true"/>
              </w:rPr>
              <w:t xml:space="preserve">: </w:t>
            </w:r>
            <w:r>
              <w:rPr>
                <w:rStyle w:val="IndexLink"/>
                <w:rtl w:val="true"/>
              </w:rPr>
              <w:t>في بيان أقسام الحجّ والعمرة بحسب الكيفيّة ، وكيفيّة كلّ منهما إجمالا</w:t>
            </w:r>
            <w:r>
              <w:rPr>
                <w:rStyle w:val="IndexLink"/>
                <w:rtl w:val="true"/>
              </w:rPr>
              <w:tab/>
            </w:r>
            <w:r>
              <w:rPr>
                <w:rStyle w:val="IndexLink"/>
              </w:rPr>
              <w:t>207</w:t>
            </w:r>
          </w:hyperlink>
        </w:p>
        <w:p>
          <w:pPr>
            <w:pStyle w:val="Contents3"/>
            <w:tabs>
              <w:tab w:val="clear" w:pos="8459"/>
              <w:tab w:val="right" w:pos="9026" w:leader="dot"/>
            </w:tabs>
            <w:rPr/>
          </w:pPr>
          <w:hyperlink w:anchor="__RefHeading___Toc6172004_73709187">
            <w:r>
              <w:rPr>
                <w:webHidden/>
                <w:rStyle w:val="IndexLink"/>
                <w:rtl w:val="true"/>
              </w:rPr>
              <w:t xml:space="preserve">المقصد الرابع </w:t>
            </w:r>
            <w:r>
              <w:rPr>
                <w:rStyle w:val="IndexLink"/>
                <w:rtl w:val="true"/>
              </w:rPr>
              <w:t xml:space="preserve">: </w:t>
            </w:r>
            <w:r>
              <w:rPr>
                <w:rStyle w:val="IndexLink"/>
                <w:rtl w:val="true"/>
              </w:rPr>
              <w:t>في تفصيل أحكام كلّ من هذه الأقسام وشرائطه وأفعاله</w:t>
            </w:r>
            <w:r>
              <w:rPr>
                <w:rStyle w:val="IndexLink"/>
                <w:rtl w:val="true"/>
              </w:rPr>
              <w:tab/>
            </w:r>
            <w:r>
              <w:rPr>
                <w:rStyle w:val="IndexLink"/>
              </w:rPr>
              <w:t>217</w:t>
            </w:r>
          </w:hyperlink>
        </w:p>
        <w:p>
          <w:pPr>
            <w:pStyle w:val="Contents4"/>
            <w:tabs>
              <w:tab w:val="clear" w:pos="8176"/>
              <w:tab w:val="right" w:pos="9026" w:leader="dot"/>
            </w:tabs>
            <w:rPr/>
          </w:pPr>
          <w:hyperlink w:anchor="__RefHeading___Toc6172006_7370918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6172008_73709187">
            <w:r>
              <w:rPr>
                <w:webHidden/>
                <w:rStyle w:val="IndexLink"/>
                <w:rtl w:val="true"/>
              </w:rPr>
              <w:t xml:space="preserve">الباب الأول </w:t>
            </w:r>
            <w:r>
              <w:rPr>
                <w:rStyle w:val="IndexLink"/>
                <w:rtl w:val="true"/>
              </w:rPr>
              <w:t xml:space="preserve">: </w:t>
            </w:r>
            <w:r>
              <w:rPr>
                <w:rStyle w:val="IndexLink"/>
                <w:rtl w:val="true"/>
              </w:rPr>
              <w:t>في شرائط حجّ التمتّع وأحكامه وتفصيل أفعاله</w:t>
            </w:r>
            <w:r>
              <w:rPr>
                <w:rStyle w:val="IndexLink"/>
                <w:rtl w:val="true"/>
              </w:rPr>
              <w:tab/>
            </w:r>
            <w:r>
              <w:rPr>
                <w:rStyle w:val="IndexLink"/>
              </w:rPr>
              <w:t>219</w:t>
            </w:r>
          </w:hyperlink>
        </w:p>
        <w:p>
          <w:pPr>
            <w:pStyle w:val="Contents5"/>
            <w:tabs>
              <w:tab w:val="clear" w:pos="7892"/>
              <w:tab w:val="right" w:pos="9026" w:leader="dot"/>
            </w:tabs>
            <w:rPr/>
          </w:pPr>
          <w:hyperlink w:anchor="__RefHeading___Toc6172010_7370918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6172012_73709187">
            <w:r>
              <w:rPr>
                <w:webHidden/>
                <w:rStyle w:val="IndexLink"/>
                <w:rtl w:val="true"/>
              </w:rPr>
              <w:t xml:space="preserve">المبحث الأول </w:t>
            </w:r>
            <w:r>
              <w:rPr>
                <w:rStyle w:val="IndexLink"/>
                <w:rtl w:val="true"/>
              </w:rPr>
              <w:t xml:space="preserve">: </w:t>
            </w:r>
            <w:r>
              <w:rPr>
                <w:rStyle w:val="IndexLink"/>
                <w:rtl w:val="true"/>
              </w:rPr>
              <w:t xml:space="preserve">في شرائط حجّ التمتّع </w:t>
            </w:r>
            <w:r>
              <w:rPr>
                <w:rStyle w:val="IndexLink"/>
                <w:rtl w:val="true"/>
              </w:rPr>
              <w:t xml:space="preserve">- </w:t>
            </w:r>
            <w:r>
              <w:rPr>
                <w:rStyle w:val="IndexLink"/>
                <w:rtl w:val="true"/>
              </w:rPr>
              <w:t xml:space="preserve">من حيث هو تمتّع </w:t>
            </w:r>
            <w:r>
              <w:rPr>
                <w:rStyle w:val="IndexLink"/>
                <w:rtl w:val="true"/>
              </w:rPr>
              <w:t xml:space="preserve">- </w:t>
            </w:r>
            <w:r>
              <w:rPr>
                <w:rStyle w:val="IndexLink"/>
                <w:rtl w:val="true"/>
              </w:rPr>
              <w:t>وأحكامه</w:t>
            </w:r>
            <w:r>
              <w:rPr>
                <w:rStyle w:val="IndexLink"/>
                <w:rtl w:val="true"/>
              </w:rPr>
              <w:tab/>
            </w:r>
            <w:r>
              <w:rPr>
                <w:rStyle w:val="IndexLink"/>
              </w:rPr>
              <w:t>219</w:t>
            </w:r>
          </w:hyperlink>
        </w:p>
        <w:p>
          <w:pPr>
            <w:pStyle w:val="Contents5"/>
            <w:tabs>
              <w:tab w:val="clear" w:pos="7892"/>
              <w:tab w:val="right" w:pos="9026" w:leader="dot"/>
            </w:tabs>
            <w:rPr/>
          </w:pPr>
          <w:hyperlink w:anchor="__RefHeading___Toc6172014_73709187">
            <w:r>
              <w:rPr>
                <w:webHidden/>
                <w:rStyle w:val="IndexLink"/>
                <w:rtl w:val="true"/>
              </w:rPr>
              <w:t xml:space="preserve">المبحث الثاني </w:t>
            </w:r>
            <w:r>
              <w:rPr>
                <w:rStyle w:val="IndexLink"/>
                <w:rtl w:val="true"/>
              </w:rPr>
              <w:t xml:space="preserve">: </w:t>
            </w:r>
            <w:r>
              <w:rPr>
                <w:rStyle w:val="IndexLink"/>
                <w:rtl w:val="true"/>
              </w:rPr>
              <w:t>في تفصيل أفعال حجّ التمتّع</w:t>
            </w:r>
            <w:r>
              <w:rPr>
                <w:rStyle w:val="IndexLink"/>
                <w:rtl w:val="true"/>
              </w:rPr>
              <w:tab/>
            </w:r>
            <w:r>
              <w:rPr>
                <w:rStyle w:val="IndexLink"/>
              </w:rPr>
              <w:t>259</w:t>
            </w:r>
          </w:hyperlink>
        </w:p>
        <w:p>
          <w:pPr>
            <w:pStyle w:val="Contents6"/>
            <w:tabs>
              <w:tab w:val="clear" w:pos="7609"/>
              <w:tab w:val="right" w:pos="9026" w:leader="dot"/>
            </w:tabs>
            <w:rPr/>
          </w:pPr>
          <w:hyperlink w:anchor="__RefHeading___Toc6172016_73709187">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6172018_73709187">
            <w:r>
              <w:rPr>
                <w:webHidden/>
                <w:rStyle w:val="IndexLink"/>
                <w:rtl w:val="true"/>
              </w:rPr>
              <w:t xml:space="preserve">المطلب الأول </w:t>
            </w:r>
            <w:r>
              <w:rPr>
                <w:rStyle w:val="IndexLink"/>
                <w:rtl w:val="true"/>
              </w:rPr>
              <w:t xml:space="preserve">: </w:t>
            </w:r>
            <w:r>
              <w:rPr>
                <w:rStyle w:val="IndexLink"/>
                <w:rtl w:val="true"/>
              </w:rPr>
              <w:t>في بيان الأفعال الخمسة لعمرة حجّ التمتّع</w:t>
            </w:r>
            <w:r>
              <w:rPr>
                <w:rStyle w:val="IndexLink"/>
                <w:rtl w:val="true"/>
              </w:rPr>
              <w:tab/>
            </w:r>
            <w:r>
              <w:rPr>
                <w:rStyle w:val="IndexLink"/>
              </w:rPr>
              <w:t>260</w:t>
            </w:r>
          </w:hyperlink>
        </w:p>
        <w:p>
          <w:pPr>
            <w:pStyle w:val="Contents6"/>
            <w:tabs>
              <w:tab w:val="clear" w:pos="7609"/>
              <w:tab w:val="right" w:pos="9026" w:leader="dot"/>
            </w:tabs>
            <w:rPr/>
          </w:pPr>
          <w:hyperlink w:anchor="__RefHeading___Toc6172020_7370918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6172022_73709187">
            <w:r>
              <w:rPr>
                <w:webHidden/>
                <w:rStyle w:val="IndexLink"/>
                <w:rtl w:val="true"/>
              </w:rPr>
              <w:t xml:space="preserve">الفصل الأول </w:t>
            </w:r>
            <w:r>
              <w:rPr>
                <w:rStyle w:val="IndexLink"/>
                <w:rtl w:val="true"/>
              </w:rPr>
              <w:t xml:space="preserve">: </w:t>
            </w:r>
            <w:r>
              <w:rPr>
                <w:rStyle w:val="IndexLink"/>
                <w:rtl w:val="true"/>
              </w:rPr>
              <w:t>في الفعل الأول ، وهو الإحرام</w:t>
            </w:r>
            <w:r>
              <w:rPr>
                <w:rStyle w:val="IndexLink"/>
                <w:rtl w:val="true"/>
              </w:rPr>
              <w:tab/>
            </w:r>
            <w:r>
              <w:rPr>
                <w:rStyle w:val="IndexLink"/>
              </w:rPr>
              <w:t>260</w:t>
            </w:r>
          </w:hyperlink>
        </w:p>
        <w:p>
          <w:pPr>
            <w:pStyle w:val="Contents6"/>
            <w:tabs>
              <w:tab w:val="clear" w:pos="7609"/>
              <w:tab w:val="right" w:pos="9026" w:leader="dot"/>
            </w:tabs>
            <w:rPr/>
          </w:pPr>
          <w:hyperlink w:anchor="__RefHeading___Toc6172024_7370918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6172026_73709187">
            <w:r>
              <w:rPr>
                <w:webHidden/>
                <w:rStyle w:val="IndexLink"/>
                <w:rtl w:val="true"/>
              </w:rPr>
              <w:t xml:space="preserve">البحث الأول </w:t>
            </w:r>
            <w:r>
              <w:rPr>
                <w:rStyle w:val="IndexLink"/>
                <w:rtl w:val="true"/>
              </w:rPr>
              <w:t xml:space="preserve">: </w:t>
            </w:r>
            <w:r>
              <w:rPr>
                <w:rStyle w:val="IndexLink"/>
                <w:rtl w:val="true"/>
              </w:rPr>
              <w:t>في مقدّماته والتهيّؤ له</w:t>
            </w:r>
            <w:r>
              <w:rPr>
                <w:rStyle w:val="IndexLink"/>
                <w:rtl w:val="true"/>
              </w:rPr>
              <w:tab/>
            </w:r>
            <w:r>
              <w:rPr>
                <w:rStyle w:val="IndexLink"/>
              </w:rPr>
              <w:t>267</w:t>
            </w:r>
          </w:hyperlink>
        </w:p>
        <w:p>
          <w:pPr>
            <w:pStyle w:val="Contents6"/>
            <w:tabs>
              <w:tab w:val="clear" w:pos="7609"/>
              <w:tab w:val="right" w:pos="9026" w:leader="dot"/>
            </w:tabs>
            <w:rPr/>
          </w:pPr>
          <w:hyperlink w:anchor="__RefHeading___Toc6172028_73709187">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6172030_73709187">
            <w:r>
              <w:rPr>
                <w:webHidden/>
                <w:rStyle w:val="IndexLink"/>
                <w:rtl w:val="true"/>
              </w:rPr>
              <w:t xml:space="preserve">فروع </w:t>
            </w:r>
            <w:r>
              <w:rPr>
                <w:rStyle w:val="IndexLink"/>
                <w:rtl w:val="true"/>
              </w:rPr>
              <w:t>:</w:t>
              <w:tab/>
            </w:r>
            <w:r>
              <w:rPr>
                <w:rStyle w:val="IndexLink"/>
              </w:rPr>
              <w:t>273</w:t>
            </w:r>
          </w:hyperlink>
        </w:p>
        <w:p>
          <w:pPr>
            <w:pStyle w:val="Contents6"/>
            <w:tabs>
              <w:tab w:val="clear" w:pos="7609"/>
              <w:tab w:val="right" w:pos="9026" w:leader="dot"/>
            </w:tabs>
            <w:rPr/>
          </w:pPr>
          <w:hyperlink w:anchor="__RefHeading___Toc6172032_73709187">
            <w:r>
              <w:rPr>
                <w:webHidden/>
                <w:rStyle w:val="IndexLink"/>
                <w:rtl w:val="true"/>
              </w:rPr>
              <w:t xml:space="preserve">البحث الثاني </w:t>
            </w:r>
            <w:r>
              <w:rPr>
                <w:rStyle w:val="IndexLink"/>
                <w:rtl w:val="true"/>
              </w:rPr>
              <w:t xml:space="preserve">: </w:t>
            </w:r>
            <w:r>
              <w:rPr>
                <w:rStyle w:val="IndexLink"/>
                <w:rtl w:val="true"/>
              </w:rPr>
              <w:t>في واجباته</w:t>
            </w:r>
            <w:r>
              <w:rPr>
                <w:rStyle w:val="IndexLink"/>
                <w:rtl w:val="true"/>
              </w:rPr>
              <w:tab/>
            </w:r>
            <w:r>
              <w:rPr>
                <w:rStyle w:val="IndexLink"/>
              </w:rPr>
              <w:t>285</w:t>
            </w:r>
          </w:hyperlink>
        </w:p>
        <w:p>
          <w:pPr>
            <w:pStyle w:val="Contents6"/>
            <w:tabs>
              <w:tab w:val="clear" w:pos="7609"/>
              <w:tab w:val="right" w:pos="9026" w:leader="dot"/>
            </w:tabs>
            <w:rPr/>
          </w:pPr>
          <w:hyperlink w:anchor="__RefHeading___Toc6172034_73709187">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6172036_73709187">
            <w:r>
              <w:rPr>
                <w:webHidden/>
                <w:rStyle w:val="IndexLink"/>
                <w:rtl w:val="true"/>
              </w:rPr>
              <w:t xml:space="preserve">الأول </w:t>
            </w:r>
            <w:r>
              <w:rPr>
                <w:rStyle w:val="IndexLink"/>
                <w:rtl w:val="true"/>
              </w:rPr>
              <w:t xml:space="preserve">: </w:t>
            </w:r>
            <w:r>
              <w:rPr>
                <w:rStyle w:val="IndexLink"/>
                <w:rtl w:val="true"/>
              </w:rPr>
              <w:t>النيّة</w:t>
            </w:r>
            <w:r>
              <w:rPr>
                <w:rStyle w:val="IndexLink"/>
                <w:rtl w:val="true"/>
              </w:rPr>
              <w:tab/>
            </w:r>
            <w:r>
              <w:rPr>
                <w:rStyle w:val="IndexLink"/>
              </w:rPr>
              <w:t>285</w:t>
            </w:r>
          </w:hyperlink>
        </w:p>
        <w:p>
          <w:pPr>
            <w:pStyle w:val="Contents6"/>
            <w:tabs>
              <w:tab w:val="clear" w:pos="7609"/>
              <w:tab w:val="right" w:pos="9026" w:leader="dot"/>
            </w:tabs>
            <w:rPr/>
          </w:pPr>
          <w:hyperlink w:anchor="__RefHeading___Toc6172038_73709187">
            <w:r>
              <w:rPr>
                <w:webHidden/>
                <w:rStyle w:val="IndexLink"/>
                <w:rtl w:val="true"/>
              </w:rPr>
              <w:t xml:space="preserve">الثاني </w:t>
            </w:r>
            <w:r>
              <w:rPr>
                <w:rStyle w:val="IndexLink"/>
                <w:rtl w:val="true"/>
              </w:rPr>
              <w:t xml:space="preserve">: </w:t>
            </w:r>
            <w:r>
              <w:rPr>
                <w:rStyle w:val="IndexLink"/>
                <w:rtl w:val="true"/>
              </w:rPr>
              <w:t>لبس الثوبين</w:t>
            </w:r>
            <w:r>
              <w:rPr>
                <w:rStyle w:val="IndexLink"/>
                <w:rtl w:val="true"/>
              </w:rPr>
              <w:tab/>
            </w:r>
            <w:r>
              <w:rPr>
                <w:rStyle w:val="IndexLink"/>
              </w:rPr>
              <w:t>291</w:t>
            </w:r>
          </w:hyperlink>
        </w:p>
        <w:p>
          <w:pPr>
            <w:pStyle w:val="Contents6"/>
            <w:tabs>
              <w:tab w:val="clear" w:pos="7609"/>
              <w:tab w:val="right" w:pos="9026" w:leader="dot"/>
            </w:tabs>
            <w:rPr/>
          </w:pPr>
          <w:hyperlink w:anchor="__RefHeading___Toc6172040_73709187">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6172042_73709187">
            <w:r>
              <w:rPr>
                <w:webHidden/>
                <w:rStyle w:val="IndexLink"/>
                <w:rtl w:val="true"/>
              </w:rPr>
              <w:t xml:space="preserve">فروع </w:t>
            </w:r>
            <w:r>
              <w:rPr>
                <w:rStyle w:val="IndexLink"/>
                <w:rtl w:val="true"/>
              </w:rPr>
              <w:t>:</w:t>
              <w:tab/>
            </w:r>
            <w:r>
              <w:rPr>
                <w:rStyle w:val="IndexLink"/>
              </w:rPr>
              <w:t>294</w:t>
            </w:r>
          </w:hyperlink>
        </w:p>
        <w:p>
          <w:pPr>
            <w:pStyle w:val="Contents6"/>
            <w:tabs>
              <w:tab w:val="clear" w:pos="7609"/>
              <w:tab w:val="right" w:pos="9026" w:leader="dot"/>
            </w:tabs>
            <w:rPr/>
          </w:pPr>
          <w:hyperlink w:anchor="__RefHeading___Toc6172044_73709187">
            <w:r>
              <w:rPr>
                <w:webHidden/>
                <w:rStyle w:val="IndexLink"/>
                <w:rtl w:val="true"/>
              </w:rPr>
              <w:t xml:space="preserve">الثالث </w:t>
            </w:r>
            <w:r>
              <w:rPr>
                <w:rStyle w:val="IndexLink"/>
                <w:rtl w:val="true"/>
              </w:rPr>
              <w:t xml:space="preserve">: </w:t>
            </w:r>
            <w:r>
              <w:rPr>
                <w:rStyle w:val="IndexLink"/>
                <w:rtl w:val="true"/>
              </w:rPr>
              <w:t>التلبيات الأربع</w:t>
            </w:r>
            <w:r>
              <w:rPr>
                <w:rStyle w:val="IndexLink"/>
                <w:rtl w:val="true"/>
              </w:rPr>
              <w:tab/>
            </w:r>
            <w:r>
              <w:rPr>
                <w:rStyle w:val="IndexLink"/>
              </w:rPr>
              <w:t>308</w:t>
            </w:r>
          </w:hyperlink>
        </w:p>
        <w:p>
          <w:pPr>
            <w:pStyle w:val="Contents6"/>
            <w:tabs>
              <w:tab w:val="clear" w:pos="7609"/>
              <w:tab w:val="right" w:pos="9026" w:leader="dot"/>
            </w:tabs>
            <w:rPr/>
          </w:pPr>
          <w:hyperlink w:anchor="__RefHeading___Toc6172046_73709187">
            <w:r>
              <w:rPr>
                <w:webHidden/>
                <w:rStyle w:val="IndexLink"/>
                <w:rtl w:val="true"/>
              </w:rPr>
              <w:t xml:space="preserve">البحث الثالث </w:t>
            </w:r>
            <w:r>
              <w:rPr>
                <w:rStyle w:val="IndexLink"/>
                <w:rtl w:val="true"/>
              </w:rPr>
              <w:t xml:space="preserve">: </w:t>
            </w:r>
            <w:r>
              <w:rPr>
                <w:rStyle w:val="IndexLink"/>
                <w:rtl w:val="true"/>
              </w:rPr>
              <w:t>في بعض الأحكام المتعلّقة بالإحرام</w:t>
            </w:r>
            <w:r>
              <w:rPr>
                <w:rStyle w:val="IndexLink"/>
                <w:rtl w:val="true"/>
              </w:rPr>
              <w:tab/>
            </w:r>
            <w:r>
              <w:rPr>
                <w:rStyle w:val="IndexLink"/>
              </w:rPr>
              <w:t>331</w:t>
            </w:r>
          </w:hyperlink>
        </w:p>
        <w:p>
          <w:pPr>
            <w:pStyle w:val="Contents6"/>
            <w:tabs>
              <w:tab w:val="clear" w:pos="7609"/>
              <w:tab w:val="right" w:pos="9026" w:leader="dot"/>
            </w:tabs>
            <w:rPr/>
          </w:pPr>
          <w:hyperlink w:anchor="__RefHeading___Toc6172048_73709187">
            <w:r>
              <w:rPr>
                <w:webHidden/>
                <w:rStyle w:val="IndexLink"/>
                <w:rtl w:val="true"/>
              </w:rPr>
              <w:t xml:space="preserve">البحث الرابع </w:t>
            </w:r>
            <w:r>
              <w:rPr>
                <w:rStyle w:val="IndexLink"/>
                <w:rtl w:val="true"/>
              </w:rPr>
              <w:t xml:space="preserve">: </w:t>
            </w:r>
            <w:r>
              <w:rPr>
                <w:rStyle w:val="IndexLink"/>
                <w:rtl w:val="true"/>
              </w:rPr>
              <w:t>في تروك الإحرام</w:t>
            </w:r>
            <w:r>
              <w:rPr>
                <w:rStyle w:val="IndexLink"/>
                <w:rtl w:val="true"/>
              </w:rPr>
              <w:tab/>
            </w:r>
            <w:r>
              <w:rPr>
                <w:rStyle w:val="IndexLink"/>
              </w:rPr>
              <w:t>342</w:t>
            </w:r>
          </w:hyperlink>
        </w:p>
        <w:p>
          <w:pPr>
            <w:pStyle w:val="Contents6"/>
            <w:tabs>
              <w:tab w:val="clear" w:pos="7609"/>
              <w:tab w:val="right" w:pos="9026" w:leader="dot"/>
            </w:tabs>
            <w:rPr/>
          </w:pPr>
          <w:hyperlink w:anchor="__RefHeading___Toc6172050_73709187">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6172052_73709187">
            <w:r>
              <w:rPr>
                <w:webHidden/>
                <w:rStyle w:val="IndexLink"/>
                <w:rtl w:val="true"/>
              </w:rPr>
              <w:t xml:space="preserve">المقام الأول </w:t>
            </w:r>
            <w:r>
              <w:rPr>
                <w:rStyle w:val="IndexLink"/>
                <w:rtl w:val="true"/>
              </w:rPr>
              <w:t xml:space="preserve">: </w:t>
            </w:r>
            <w:r>
              <w:rPr>
                <w:rStyle w:val="IndexLink"/>
                <w:rtl w:val="true"/>
              </w:rPr>
              <w:t>في المحرّمات</w:t>
            </w:r>
            <w:r>
              <w:rPr>
                <w:rStyle w:val="IndexLink"/>
                <w:rtl w:val="true"/>
              </w:rPr>
              <w:tab/>
            </w:r>
            <w:r>
              <w:rPr>
                <w:rStyle w:val="IndexLink"/>
              </w:rPr>
              <w:t>342</w:t>
            </w:r>
          </w:hyperlink>
        </w:p>
        <w:p>
          <w:pPr>
            <w:pStyle w:val="Contents6"/>
            <w:tabs>
              <w:tab w:val="clear" w:pos="7609"/>
              <w:tab w:val="right" w:pos="9026" w:leader="dot"/>
            </w:tabs>
            <w:rPr/>
          </w:pPr>
          <w:hyperlink w:anchor="__RefHeading___Toc6172054_73709187">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6172056_73709187">
            <w:r>
              <w:rPr>
                <w:webHidden/>
                <w:rStyle w:val="IndexLink"/>
                <w:rtl w:val="true"/>
              </w:rPr>
              <w:t xml:space="preserve">فروع </w:t>
            </w:r>
            <w:r>
              <w:rPr>
                <w:rStyle w:val="IndexLink"/>
                <w:rtl w:val="true"/>
              </w:rPr>
              <w:t>:</w:t>
              <w:tab/>
            </w:r>
            <w:r>
              <w:rPr>
                <w:rStyle w:val="IndexLink"/>
              </w:rPr>
              <w:t>378</w:t>
            </w:r>
          </w:hyperlink>
        </w:p>
        <w:p>
          <w:pPr>
            <w:pStyle w:val="Contents6"/>
            <w:tabs>
              <w:tab w:val="clear" w:pos="7609"/>
              <w:tab w:val="right" w:pos="9026" w:leader="dot"/>
            </w:tabs>
            <w:rPr/>
          </w:pPr>
          <w:hyperlink w:anchor="__RefHeading___Toc6172058_73709187">
            <w:r>
              <w:rPr>
                <w:webHidden/>
                <w:rStyle w:val="IndexLink"/>
                <w:rtl w:val="true"/>
              </w:rPr>
              <w:t xml:space="preserve">فرعان </w:t>
            </w:r>
            <w:r>
              <w:rPr>
                <w:rStyle w:val="IndexLink"/>
                <w:rtl w:val="true"/>
              </w:rPr>
              <w:t>:</w:t>
              <w:tab/>
            </w:r>
            <w:r>
              <w:rPr>
                <w:rStyle w:val="IndexLink"/>
              </w:rPr>
              <w:t>397</w:t>
            </w:r>
          </w:hyperlink>
        </w:p>
        <w:p>
          <w:pPr>
            <w:pStyle w:val="Contents6"/>
            <w:tabs>
              <w:tab w:val="clear" w:pos="7609"/>
              <w:tab w:val="right" w:pos="9026" w:leader="dot"/>
            </w:tabs>
            <w:rPr/>
          </w:pPr>
          <w:hyperlink w:anchor="__RefHeading___Toc6172060_73709187">
            <w:r>
              <w:rPr>
                <w:webHidden/>
                <w:rStyle w:val="IndexLink"/>
                <w:rtl w:val="true"/>
              </w:rPr>
              <w:t xml:space="preserve">فروع </w:t>
            </w:r>
            <w:r>
              <w:rPr>
                <w:rStyle w:val="IndexLink"/>
                <w:rtl w:val="true"/>
              </w:rPr>
              <w:t>:</w:t>
              <w:tab/>
            </w:r>
            <w:r>
              <w:rPr>
                <w:rStyle w:val="IndexLink"/>
              </w:rPr>
              <w:t>407</w:t>
            </w:r>
          </w:hyperlink>
        </w:p>
        <w:p>
          <w:pPr>
            <w:pStyle w:val="Contents2"/>
            <w:tabs>
              <w:tab w:val="clear" w:pos="8743"/>
              <w:tab w:val="right" w:pos="9026" w:leader="dot"/>
            </w:tabs>
            <w:rPr/>
          </w:pPr>
          <w:hyperlink w:anchor="__RefHeading___Toc6172062_73709187">
            <w:r>
              <w:rPr>
                <w:webHidden/>
                <w:rStyle w:val="IndexLink"/>
                <w:rtl w:val="true"/>
              </w:rPr>
              <w:t>فهرس الموضوعات</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1_107602"/>
      <w:bookmarkStart w:id="1" w:name="pg11651_107602"/>
      <w:bookmarkEnd w:id="1"/>
    </w:p>
    <w:p>
      <w:pPr>
        <w:pStyle w:val="Heading2"/>
        <w:numPr>
          <w:ilvl w:val="1"/>
          <w:numId w:val="1"/>
        </w:numPr>
        <w:rPr/>
      </w:pPr>
      <w:bookmarkStart w:id="2" w:name="pg11651_107602"/>
      <w:bookmarkStart w:id="3" w:name="__RefHeading___Toc6171908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71910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نستعين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51_107608"/>
      <w:bookmarkStart w:id="8" w:name="pg11651_107608"/>
      <w:bookmarkEnd w:id="8"/>
    </w:p>
    <w:p>
      <w:pPr>
        <w:pStyle w:val="Heading2"/>
        <w:numPr>
          <w:ilvl w:val="1"/>
          <w:numId w:val="1"/>
        </w:numPr>
        <w:rPr/>
      </w:pPr>
      <w:bookmarkStart w:id="9" w:name="pg11651_107608"/>
      <w:bookmarkStart w:id="10" w:name="__RefHeading___Toc6171912_73709187"/>
      <w:bookmarkStart w:id="11" w:name="_Toc3"/>
      <w:bookmarkEnd w:id="9"/>
      <w:bookmarkEnd w:id="10"/>
      <w:r>
        <w:rPr>
          <w:rtl w:val="true"/>
        </w:rPr>
        <w:t>كتاب الحجّ</w:t>
      </w:r>
      <w:bookmarkEnd w:id="11"/>
    </w:p>
    <w:p>
      <w:pPr>
        <w:pStyle w:val="Heading3"/>
        <w:numPr>
          <w:ilvl w:val="2"/>
          <w:numId w:val="1"/>
        </w:numPr>
        <w:rPr/>
      </w:pPr>
      <w:bookmarkStart w:id="12" w:name="__RefHeading___Toc6171914_73709187"/>
      <w:bookmarkStart w:id="13" w:name="_Toc4"/>
      <w:bookmarkEnd w:id="12"/>
      <w:r>
        <w:rPr>
          <w:rtl w:val="true"/>
        </w:rPr>
        <w:t>اشارة</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وتتبعه العمرة أو تدخل فيه ، وفيه مقاصد </w:t>
      </w:r>
      <w:r>
        <w:rPr>
          <w:rFonts w:eastAsia="Amiri" w:cs="Amiri" w:ascii="Amiri" w:hAnsi="Amiri"/>
          <w:color w:val="111111"/>
          <w:sz w:val="28"/>
          <w:szCs w:val="28"/>
          <w:rtl w:val="true"/>
          <w:lang w:bidi="ar-SA"/>
        </w:rPr>
        <w:t xml:space="preserve">: </w:t>
      </w:r>
      <w:bookmarkStart w:id="14" w:name="pg11651_107609"/>
    </w:p>
    <w:p>
      <w:pPr>
        <w:pStyle w:val="Heading3"/>
        <w:numPr>
          <w:ilvl w:val="2"/>
          <w:numId w:val="1"/>
        </w:numPr>
        <w:rPr/>
      </w:pPr>
      <w:bookmarkStart w:id="15" w:name="__RefHeading___Toc6171916_73709187"/>
      <w:bookmarkStart w:id="16" w:name="_Toc5"/>
      <w:bookmarkEnd w:id="14"/>
      <w:bookmarkEnd w:id="15"/>
      <w:r>
        <w:rPr>
          <w:rtl w:val="true"/>
        </w:rPr>
        <w:t>المقصد الأول</w:t>
      </w:r>
      <w:bookmarkEnd w:id="16"/>
    </w:p>
    <w:p>
      <w:pPr>
        <w:pStyle w:val="Heading4"/>
        <w:numPr>
          <w:ilvl w:val="3"/>
          <w:numId w:val="1"/>
        </w:numPr>
        <w:rPr/>
      </w:pPr>
      <w:bookmarkStart w:id="17" w:name="__RefHeading___Toc6171918_73709187"/>
      <w:bookmarkStart w:id="18" w:name="_Toc6"/>
      <w:bookmarkEnd w:id="17"/>
      <w:r>
        <w:rPr>
          <w:rtl w:val="true"/>
        </w:rPr>
        <w:t>اشارة</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وأقسامه بحسب الحكم وشرائط كلّ منها ، وما يتعلّق به من هذه الجهة ، وينقسم كلّ من الحجّ والعمرة من هذه الجهة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وندب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فهاهنا أبواب ثلاثة </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651_107611"/>
      <w:bookmarkStart w:id="20" w:name="pg11651_107611"/>
      <w:bookmarkEnd w:id="20"/>
    </w:p>
    <w:p>
      <w:pPr>
        <w:pStyle w:val="Heading4"/>
        <w:numPr>
          <w:ilvl w:val="3"/>
          <w:numId w:val="1"/>
        </w:numPr>
        <w:rPr/>
      </w:pPr>
      <w:bookmarkStart w:id="21" w:name="pg11651_107611"/>
      <w:bookmarkStart w:id="22" w:name="__RefHeading___Toc6171920_73709187"/>
      <w:bookmarkStart w:id="23" w:name="_Toc7"/>
      <w:bookmarkEnd w:id="21"/>
      <w:bookmarkEnd w:id="22"/>
      <w:r>
        <w:rPr>
          <w:rtl w:val="true"/>
        </w:rPr>
        <w:t xml:space="preserve">الباب الأول </w:t>
      </w:r>
      <w:r>
        <w:rPr>
          <w:rtl w:val="true"/>
        </w:rPr>
        <w:t xml:space="preserve">: </w:t>
      </w:r>
      <w:r>
        <w:rPr>
          <w:rtl w:val="true"/>
        </w:rPr>
        <w:t>في الواجب من الحجّ</w:t>
      </w:r>
      <w:bookmarkEnd w:id="23"/>
    </w:p>
    <w:p>
      <w:pPr>
        <w:pStyle w:val="Heading5"/>
        <w:numPr>
          <w:ilvl w:val="4"/>
          <w:numId w:val="1"/>
        </w:numPr>
        <w:rPr/>
      </w:pPr>
      <w:bookmarkStart w:id="24" w:name="__RefHeading___Toc6171922_7370918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بأصل الشرع ، والواجب بالعارض ، فهاهنا مطلبان </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6171924_73709187"/>
      <w:bookmarkStart w:id="27" w:name="_Toc9"/>
      <w:bookmarkEnd w:id="26"/>
      <w:r>
        <w:rPr>
          <w:rtl w:val="true"/>
        </w:rPr>
        <w:t xml:space="preserve">المطلب الأول </w:t>
      </w:r>
      <w:r>
        <w:rPr>
          <w:rtl w:val="true"/>
        </w:rPr>
        <w:t xml:space="preserve">: </w:t>
      </w:r>
      <w:r>
        <w:rPr>
          <w:rtl w:val="true"/>
        </w:rPr>
        <w:t>في الواجب بأصل الشرع</w:t>
      </w:r>
      <w:bookmarkEnd w:id="27"/>
    </w:p>
    <w:p>
      <w:pPr>
        <w:pStyle w:val="Heading6"/>
        <w:numPr>
          <w:ilvl w:val="5"/>
          <w:numId w:val="1"/>
        </w:numPr>
        <w:rPr/>
      </w:pPr>
      <w:bookmarkStart w:id="28" w:name="__RefHeading___Toc6171926_73709187"/>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وهو الذي يسمّى بحجّة الإسلام ، وهو واجب على كلّ من اجتمعت فيه الشرائط الآتية من الرجال والنساء والخناثى ، بالكتاب </w:t>
      </w:r>
      <w:r>
        <w:rPr>
          <w:rStyle w:val="FootnoteAnchor"/>
          <w:rtl w:val="true"/>
        </w:rPr>
        <w:footnoteReference w:id="3"/>
      </w:r>
      <w:r>
        <w:rPr>
          <w:rFonts w:ascii="Amiri" w:hAnsi="Amiri" w:eastAsia="Amiri" w:cs="Amiri"/>
          <w:color w:val="111111"/>
          <w:sz w:val="28"/>
          <w:sz w:val="28"/>
          <w:szCs w:val="28"/>
          <w:rtl w:val="true"/>
          <w:lang w:bidi="ar-SA"/>
        </w:rPr>
        <w:t xml:space="preserve">والسنّة </w:t>
      </w:r>
      <w:r>
        <w:rPr>
          <w:rStyle w:val="FootnoteAnchor"/>
          <w:rtl w:val="true"/>
        </w:rPr>
        <w:footnoteReference w:id="4"/>
      </w:r>
      <w:r>
        <w:rPr>
          <w:rFonts w:ascii="Amiri" w:hAnsi="Amiri" w:eastAsia="Amiri" w:cs="Amiri"/>
          <w:color w:val="111111"/>
          <w:sz w:val="28"/>
          <w:sz w:val="28"/>
          <w:szCs w:val="28"/>
          <w:rtl w:val="true"/>
          <w:lang w:bidi="ar-SA"/>
        </w:rPr>
        <w:t>وإجماع المسلمين ، بل 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إمّا في أحكامه من جهة الوجوب ، أو شرائطه من هذه الجهة ، ففيه فصلان </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171928_73709187"/>
      <w:bookmarkStart w:id="31" w:name="_Toc11"/>
      <w:bookmarkEnd w:id="30"/>
      <w:r>
        <w:rPr>
          <w:rtl w:val="true"/>
        </w:rPr>
        <w:t xml:space="preserve">الفصل الأول </w:t>
      </w:r>
      <w:r>
        <w:rPr>
          <w:rtl w:val="true"/>
        </w:rPr>
        <w:t xml:space="preserve">: </w:t>
      </w:r>
      <w:r>
        <w:rPr>
          <w:rtl w:val="true"/>
        </w:rPr>
        <w:t>في أحكامه</w:t>
      </w:r>
      <w:bookmarkEnd w:id="31"/>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كل مستجمع للشرائط في تمام العمر مرّة واحدة ، بلا خلاف فيه بين المسلمين كما في التهذيبين </w:t>
      </w:r>
      <w:r>
        <w:rPr>
          <w:rStyle w:val="FootnoteAnchor"/>
          <w:rtl w:val="true"/>
        </w:rPr>
        <w:footnoteReference w:id="5"/>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بإجماعهم كما في المعتبر والمنتهى وشرح المفاتيح </w:t>
      </w:r>
      <w:r>
        <w:rPr>
          <w:rStyle w:val="FootnoteAnchor"/>
          <w:rtl w:val="true"/>
        </w:rPr>
        <w:footnoteReference w:id="6"/>
      </w:r>
      <w:r>
        <w:rPr>
          <w:rFonts w:ascii="Amiri" w:hAnsi="Amiri" w:eastAsia="Amiri" w:cs="Amiri"/>
          <w:color w:val="111111"/>
          <w:sz w:val="28"/>
          <w:sz w:val="28"/>
          <w:szCs w:val="28"/>
          <w:rtl w:val="true"/>
          <w:lang w:bidi="ar-SA"/>
        </w:rPr>
        <w:t xml:space="preserve">وغيرها </w:t>
      </w:r>
      <w:r>
        <w:rPr>
          <w:rStyle w:val="FootnoteAnchor"/>
          <w:rtl w:val="true"/>
        </w:rPr>
        <w:footnoteReference w:id="7"/>
      </w:r>
      <w:r>
        <w:rPr>
          <w:rFonts w:ascii="Amiri" w:hAnsi="Amiri" w:eastAsia="Amiri" w:cs="Amiri"/>
          <w:color w:val="111111"/>
          <w:sz w:val="28"/>
          <w:sz w:val="28"/>
          <w:szCs w:val="28"/>
          <w:rtl w:val="true"/>
          <w:lang w:bidi="ar-SA"/>
        </w:rPr>
        <w:t xml:space="preserve">، ونسبه في التذكرة إلى عامّة أهل العلم </w:t>
      </w:r>
      <w:r>
        <w:rPr>
          <w:rStyle w:val="FootnoteAnchor"/>
          <w:rtl w:val="true"/>
        </w:rPr>
        <w:footnoteReference w:id="8"/>
      </w:r>
      <w:r>
        <w:rPr>
          <w:rFonts w:ascii="Amiri" w:hAnsi="Amiri" w:eastAsia="Amiri" w:cs="Amiri"/>
          <w:color w:val="111111"/>
          <w:sz w:val="28"/>
          <w:sz w:val="28"/>
          <w:szCs w:val="28"/>
          <w:rtl w:val="true"/>
          <w:lang w:bidi="ar-SA"/>
        </w:rPr>
        <w:t xml:space="preserve">، للأصل ، والإجماع المحقّق ، وقيل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المستفيضة من طرق الخاصّة والعامّة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 في العلل ، فأوجبه في المستجمع للشرائط في كلّ عام </w:t>
      </w:r>
      <w:r>
        <w:rPr>
          <w:rStyle w:val="FootnoteAnchor"/>
          <w:rtl w:val="true"/>
        </w:rPr>
        <w:footnoteReference w:id="11"/>
      </w:r>
      <w:r>
        <w:rPr>
          <w:rFonts w:ascii="Amiri" w:hAnsi="Amiri" w:eastAsia="Amiri" w:cs="Amiri"/>
          <w:color w:val="111111"/>
          <w:sz w:val="28"/>
          <w:sz w:val="28"/>
          <w:szCs w:val="28"/>
          <w:rtl w:val="true"/>
          <w:lang w:bidi="ar-SA"/>
        </w:rPr>
        <w:t xml:space="preserve">، للمستفيضة المتضمّنة للصحيح وغيره </w:t>
      </w:r>
      <w:r>
        <w:rPr>
          <w:rStyle w:val="FootnoteAnchor"/>
          <w:rtl w:val="true"/>
        </w:rPr>
        <w:footnoteReference w:id="12"/>
      </w:r>
      <w:r>
        <w:rPr>
          <w:rFonts w:ascii="Amiri" w:hAnsi="Amiri" w:eastAsia="Amiri" w:cs="Amiri"/>
          <w:color w:val="111111"/>
          <w:sz w:val="28"/>
          <w:sz w:val="28"/>
          <w:szCs w:val="28"/>
          <w:rtl w:val="true"/>
          <w:lang w:bidi="ar-SA"/>
        </w:rPr>
        <w:t xml:space="preserve">، لكنّها غير ناهضة لإثبات الحكم ، لمخالفتها الإجماع ، فهي إمّا مطروحة ، أو على الاستحباب محمولة ، أو على إرادة كلّ عام على البدليّة ، أو على الوجوب كفاية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لا يخلو بيت اللّه من طائف أبدا ، كما يستفاد من الأخبار المستفيضة أيضا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فوري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تجب المبادرة إليه في أول عام الاستطاعة والتمكّن ، بلا خلاف فيه يعرف كما في الذخيرة </w:t>
      </w:r>
      <w:r>
        <w:rPr>
          <w:rStyle w:val="FootnoteAnchor"/>
          <w:rtl w:val="true"/>
        </w:rPr>
        <w:footnoteReference w:id="14"/>
      </w:r>
      <w:r>
        <w:rPr>
          <w:rFonts w:ascii="Amiri" w:hAnsi="Amiri" w:eastAsia="Amiri" w:cs="Amiri"/>
          <w:color w:val="111111"/>
          <w:sz w:val="28"/>
          <w:sz w:val="28"/>
          <w:szCs w:val="28"/>
          <w:rtl w:val="true"/>
          <w:lang w:bidi="ar-SA"/>
        </w:rPr>
        <w:t xml:space="preserve">، بل بلا خلاف فيه بيننا كما عن السرائر </w:t>
      </w:r>
      <w:r>
        <w:rPr>
          <w:rStyle w:val="FootnoteAnchor"/>
          <w:rtl w:val="true"/>
        </w:rPr>
        <w:footnoteReference w:id="15"/>
      </w:r>
      <w:r>
        <w:rPr>
          <w:rFonts w:ascii="Amiri" w:hAnsi="Amiri" w:eastAsia="Amiri" w:cs="Amiri"/>
          <w:color w:val="111111"/>
          <w:sz w:val="28"/>
          <w:sz w:val="28"/>
          <w:szCs w:val="28"/>
          <w:rtl w:val="true"/>
          <w:lang w:bidi="ar-SA"/>
        </w:rPr>
        <w:t xml:space="preserve">، بل بالإجماع كما في المنتهى والتذكرة والمدارك والمفاتيح وعن الناصريات والخلاف والروضة وشرح الجمل </w:t>
      </w:r>
    </w:p>
    <w:p>
      <w:pPr>
        <w:pStyle w:val="BookText"/>
        <w:rPr/>
      </w:pPr>
      <w:r>
        <w:rPr>
          <w:rFonts w:ascii="Amiri" w:hAnsi="Amiri" w:eastAsia="Amiri" w:cs="Amiri"/>
          <w:color w:val="111111"/>
          <w:sz w:val="28"/>
          <w:sz w:val="28"/>
          <w:szCs w:val="28"/>
          <w:rtl w:val="true"/>
          <w:lang w:bidi="ar-SA"/>
        </w:rPr>
        <w:t xml:space="preserve">للقاضي وشرح القواعد للمحقّق الثاني </w:t>
      </w:r>
      <w:r>
        <w:rPr>
          <w:rStyle w:val="FootnoteAnchor"/>
          <w:rtl w:val="true"/>
        </w:rPr>
        <w:footnoteReference w:id="16"/>
      </w:r>
      <w:r>
        <w:rPr>
          <w:rFonts w:ascii="Amiri" w:hAnsi="Amiri" w:eastAsia="Amiri" w:cs="Amiri"/>
          <w:color w:val="111111"/>
          <w:sz w:val="28"/>
          <w:sz w:val="28"/>
          <w:szCs w:val="28"/>
          <w:rtl w:val="true"/>
          <w:lang w:bidi="ar-SA"/>
        </w:rPr>
        <w:t xml:space="preserve">وغيرها </w:t>
      </w:r>
      <w:r>
        <w:rPr>
          <w:rStyle w:val="FootnoteAnchor"/>
          <w:rtl w:val="true"/>
        </w:rPr>
        <w:footnoteReference w:id="17"/>
      </w:r>
      <w:r>
        <w:rPr>
          <w:rFonts w:ascii="Amiri" w:hAnsi="Amiri" w:eastAsia="Amiri" w:cs="Amiri"/>
          <w:color w:val="111111"/>
          <w:sz w:val="28"/>
          <w:sz w:val="28"/>
          <w:szCs w:val="28"/>
          <w:rtl w:val="true"/>
          <w:lang w:bidi="ar-SA"/>
        </w:rPr>
        <w:t xml:space="preserve">، بل بالإجماع المحقّق ، له ، وللأخبار المستفيضة ، كصحيحتي الحلبي </w:t>
      </w:r>
      <w:r>
        <w:rPr>
          <w:rStyle w:val="FootnoteAnchor"/>
          <w:rtl w:val="true"/>
        </w:rPr>
        <w:footnoteReference w:id="18"/>
      </w:r>
      <w:r>
        <w:rPr>
          <w:rFonts w:ascii="Amiri" w:hAnsi="Amiri" w:eastAsia="Amiri" w:cs="Amiri"/>
          <w:color w:val="111111"/>
          <w:sz w:val="28"/>
          <w:sz w:val="28"/>
          <w:szCs w:val="28"/>
          <w:rtl w:val="true"/>
          <w:lang w:bidi="ar-SA"/>
        </w:rPr>
        <w:t xml:space="preserve">والمحاربي </w:t>
      </w:r>
      <w:r>
        <w:rPr>
          <w:rStyle w:val="FootnoteAnchor"/>
          <w:rtl w:val="true"/>
        </w:rPr>
        <w:footnoteReference w:id="19"/>
      </w:r>
      <w:r>
        <w:rPr>
          <w:rFonts w:ascii="Amiri" w:hAnsi="Amiri" w:eastAsia="Amiri" w:cs="Amiri"/>
          <w:color w:val="111111"/>
          <w:sz w:val="28"/>
          <w:sz w:val="28"/>
          <w:szCs w:val="28"/>
          <w:rtl w:val="true"/>
          <w:lang w:bidi="ar-SA"/>
        </w:rPr>
        <w:t xml:space="preserve">، وغيرهما </w:t>
      </w:r>
      <w:r>
        <w:rPr>
          <w:rStyle w:val="FootnoteAnchor"/>
          <w:rtl w:val="true"/>
        </w:rPr>
        <w:footnoteReference w:id="20"/>
      </w:r>
      <w:r>
        <w:rPr>
          <w:rFonts w:ascii="Amiri" w:hAnsi="Amiri" w:eastAsia="Amiri" w:cs="Amiri"/>
          <w:color w:val="111111"/>
          <w:sz w:val="28"/>
          <w:sz w:val="28"/>
          <w:szCs w:val="28"/>
          <w:rtl w:val="true"/>
          <w:lang w:bidi="ar-SA"/>
        </w:rPr>
        <w:t>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عصى وأخّر عن أول العام يجب عليه فيما يليه كذلك وهكذا ،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إدراك الحجّ على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الفور بها على وجه يدرك الحجّ كذلك ، لوجوب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تعدّدت الرفقة في العام الواحد ، فإن لم يتمكّن من المسير مع بعضها تعيّن الباقي قطعا ، وإن احتمل المسير مع كل واحد منها يجوز التأخير إلى الأخير ، وفاقا للمدارك </w:t>
      </w:r>
      <w:r>
        <w:rPr>
          <w:rStyle w:val="FootnoteAnchor"/>
          <w:rtl w:val="true"/>
        </w:rPr>
        <w:footnoteReference w:id="21"/>
      </w:r>
      <w:r>
        <w:rPr>
          <w:rFonts w:ascii="Amiri" w:hAnsi="Amiri" w:eastAsia="Amiri" w:cs="Amiri"/>
          <w:color w:val="111111"/>
          <w:sz w:val="28"/>
          <w:sz w:val="28"/>
          <w:szCs w:val="28"/>
          <w:rtl w:val="true"/>
          <w:lang w:bidi="ar-SA"/>
        </w:rPr>
        <w:t>، لانتفاء الدليل على فوريّة المسير بهذا المعنى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السير مع أولاها ، فإن أخّر عنها وأدركه مع الثانية وإلاّ كان كمؤخّره عمدا ، اختاره في الروضة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بجواز التأخير مع الوثوق بالسفر مع غيرها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لهما</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يتمّ الأول بالنسبة إلى ثبوت الاستقرار الموجب للقضاء ، لعموم ما دلّ على وجوبه </w:t>
      </w:r>
      <w:r>
        <w:rPr>
          <w:rStyle w:val="FootnoteAnchor"/>
          <w:rtl w:val="true"/>
        </w:rPr>
        <w:footnoteReference w:id="24"/>
      </w:r>
      <w:r>
        <w:rPr>
          <w:rFonts w:ascii="Amiri" w:hAnsi="Amiri" w:eastAsia="Amiri" w:cs="Amiri"/>
          <w:color w:val="111111"/>
          <w:sz w:val="28"/>
          <w:sz w:val="28"/>
          <w:szCs w:val="28"/>
          <w:rtl w:val="true"/>
          <w:lang w:bidi="ar-SA"/>
        </w:rPr>
        <w:t>السليم عن المعارض ، وأمّا بالنسبة إلى الإثم والعصيان فلا</w:t>
      </w:r>
      <w:r>
        <w:rPr>
          <w:rFonts w:eastAsia="Amiri" w:cs="Amiri" w:ascii="Amiri" w:hAnsi="Amiri"/>
          <w:color w:val="111111"/>
          <w:sz w:val="28"/>
          <w:szCs w:val="28"/>
          <w:rtl w:val="true"/>
          <w:lang w:bidi="ar-SA"/>
        </w:rPr>
        <w:t xml:space="preserve">. </w:t>
      </w:r>
      <w:bookmarkStart w:id="32" w:name="pg11651_107615"/>
    </w:p>
    <w:p>
      <w:pPr>
        <w:pStyle w:val="Heading6"/>
        <w:numPr>
          <w:ilvl w:val="5"/>
          <w:numId w:val="1"/>
        </w:numPr>
        <w:rPr/>
      </w:pPr>
      <w:bookmarkStart w:id="33" w:name="__RefHeading___Toc6171930_73709187"/>
      <w:bookmarkStart w:id="34" w:name="_Toc12"/>
      <w:bookmarkEnd w:id="32"/>
      <w:bookmarkEnd w:id="33"/>
      <w:r>
        <w:rPr>
          <w:rtl w:val="true"/>
        </w:rPr>
        <w:t xml:space="preserve">الفصل الثاني </w:t>
      </w:r>
      <w:r>
        <w:rPr>
          <w:rtl w:val="true"/>
        </w:rPr>
        <w:t xml:space="preserve">: </w:t>
      </w:r>
      <w:r>
        <w:rPr>
          <w:rtl w:val="true"/>
        </w:rPr>
        <w:t>في شرائط حجة الإسلام</w:t>
      </w:r>
      <w:bookmarkEnd w:id="34"/>
    </w:p>
    <w:p>
      <w:pPr>
        <w:pStyle w:val="Heading6"/>
        <w:numPr>
          <w:ilvl w:val="5"/>
          <w:numId w:val="1"/>
        </w:numPr>
        <w:rPr/>
      </w:pPr>
      <w:bookmarkStart w:id="35" w:name="__RefHeading___Toc6171932_73709187"/>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6171934_73709187"/>
      <w:bookmarkStart w:id="38" w:name="_Toc14"/>
      <w:bookmarkEnd w:id="37"/>
      <w:r>
        <w:rPr>
          <w:rtl w:val="true"/>
        </w:rPr>
        <w:t xml:space="preserve">الشرط الأول والثاني </w:t>
      </w:r>
      <w:r>
        <w:rPr>
          <w:rtl w:val="true"/>
        </w:rPr>
        <w:t xml:space="preserve">: </w:t>
      </w:r>
      <w:r>
        <w:rPr>
          <w:rtl w:val="true"/>
        </w:rPr>
        <w:t>البلوغ والعقل</w:t>
      </w:r>
      <w:bookmarkEnd w:id="38"/>
    </w:p>
    <w:p>
      <w:pPr>
        <w:pStyle w:val="Heading6"/>
        <w:numPr>
          <w:ilvl w:val="5"/>
          <w:numId w:val="1"/>
        </w:numPr>
        <w:rPr/>
      </w:pPr>
      <w:bookmarkStart w:id="39" w:name="__RefHeading___Toc6171936_73709187"/>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فلا يجب على الصبيّ والمجنون ، إجماعا محققا ومحكيّا </w:t>
      </w:r>
      <w:r>
        <w:rPr>
          <w:rStyle w:val="FootnoteAnchor"/>
          <w:rtl w:val="true"/>
        </w:rPr>
        <w:footnoteReference w:id="25"/>
      </w:r>
      <w:r>
        <w:rPr>
          <w:rFonts w:ascii="Amiri" w:hAnsi="Amiri" w:eastAsia="Amiri" w:cs="Amiri"/>
          <w:color w:val="111111"/>
          <w:sz w:val="28"/>
          <w:sz w:val="28"/>
          <w:szCs w:val="28"/>
          <w:rtl w:val="true"/>
          <w:lang w:bidi="ar-SA"/>
        </w:rPr>
        <w:t xml:space="preserve">مستفيضا ، للأصل ، وحديث رفع القلم </w:t>
      </w:r>
      <w:r>
        <w:rPr>
          <w:rStyle w:val="FootnoteAnchor"/>
          <w:rtl w:val="true"/>
        </w:rPr>
        <w:footnoteReference w:id="26"/>
      </w:r>
      <w:r>
        <w:rPr>
          <w:rFonts w:ascii="Amiri" w:hAnsi="Amiri" w:eastAsia="Amiri" w:cs="Amiri"/>
          <w:color w:val="111111"/>
          <w:sz w:val="28"/>
          <w:sz w:val="28"/>
          <w:szCs w:val="28"/>
          <w:rtl w:val="true"/>
          <w:lang w:bidi="ar-SA"/>
        </w:rPr>
        <w:t xml:space="preserve">، مضافا في الصبيّ إلى مفهوم رواية شهاب </w:t>
      </w:r>
      <w:r>
        <w:rPr>
          <w:rStyle w:val="FootnoteAnchor"/>
          <w:rtl w:val="true"/>
        </w:rPr>
        <w:footnoteReference w:id="27"/>
      </w:r>
      <w:r>
        <w:rPr>
          <w:rFonts w:ascii="Amiri" w:hAnsi="Amiri" w:eastAsia="Amiri" w:cs="Amiri"/>
          <w:color w:val="111111"/>
          <w:sz w:val="28"/>
          <w:sz w:val="28"/>
          <w:szCs w:val="28"/>
          <w:rtl w:val="true"/>
          <w:lang w:bidi="ar-SA"/>
        </w:rPr>
        <w:t xml:space="preserve">، 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عشر سنين يحجّ؟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حجّة الإسلام إذا احتلم ، وكذلك الجارية عليها الحجّ إذا طمثت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ويصحّ من الصبيّ المميّز وغير المميّز ، بلا خلاف في الأول كما عن التذكرة والمنتهى </w:t>
      </w:r>
      <w:r>
        <w:rPr>
          <w:rStyle w:val="FootnoteAnchor"/>
          <w:rtl w:val="true"/>
        </w:rPr>
        <w:footnoteReference w:id="29"/>
      </w:r>
      <w:r>
        <w:rPr>
          <w:rFonts w:ascii="Amiri" w:hAnsi="Amiri" w:eastAsia="Amiri" w:cs="Amiri"/>
          <w:color w:val="111111"/>
          <w:sz w:val="28"/>
          <w:sz w:val="28"/>
          <w:szCs w:val="28"/>
          <w:rtl w:val="true"/>
          <w:lang w:bidi="ar-SA"/>
        </w:rPr>
        <w:t xml:space="preserve">، بل بالإجماع كما صرّح به بعضهم </w:t>
      </w:r>
      <w:r>
        <w:rPr>
          <w:rStyle w:val="FootnoteAnchor"/>
          <w:rtl w:val="true"/>
        </w:rPr>
        <w:footnoteReference w:id="30"/>
      </w:r>
      <w:r>
        <w:rPr>
          <w:rFonts w:ascii="Amiri" w:hAnsi="Amiri" w:eastAsia="Amiri" w:cs="Amiri"/>
          <w:color w:val="111111"/>
          <w:sz w:val="28"/>
          <w:sz w:val="28"/>
          <w:szCs w:val="28"/>
          <w:rtl w:val="true"/>
          <w:lang w:bidi="ar-SA"/>
        </w:rPr>
        <w:t xml:space="preserve">وحكي عن الخلاف </w:t>
      </w:r>
      <w:r>
        <w:rPr>
          <w:rStyle w:val="FootnoteAnchor"/>
          <w:rtl w:val="true"/>
        </w:rPr>
        <w:footnoteReference w:id="31"/>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الثاني أيضا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في الأول عمومات مرغّبات الحجّ وأفعاله ، فإنّها شاملة </w:t>
      </w:r>
    </w:p>
    <w:p>
      <w:pPr>
        <w:pStyle w:val="BookText"/>
        <w:rPr/>
      </w:pPr>
      <w:r>
        <w:rPr>
          <w:rFonts w:ascii="Amiri" w:hAnsi="Amiri" w:eastAsia="Amiri" w:cs="Amiri"/>
          <w:color w:val="111111"/>
          <w:sz w:val="28"/>
          <w:sz w:val="28"/>
          <w:szCs w:val="28"/>
          <w:rtl w:val="true"/>
          <w:lang w:bidi="ar-SA"/>
        </w:rPr>
        <w:t>للصبيّ أيضا على ما مرّ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الأخبار العديدة ، كرواية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متى يحرم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أثغر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سقط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إذا حجّ به فقد قضى حجّة الإسلام حتى يكبر ، والعبد إذا حجّ به فقد قضى حجّة الإسلام حتى يعتق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فقامت إليه امرأة ومعها صبيّ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أيحجّ عن مثل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 أجره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 الرجل بابنه وهو صغير فإنّه يأمره أن يلبّي ويفرض الحجّ ، فإن لم يحسن أن يلبّي لبّوا عنه ويطاف به ويصلّى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ويصوم الكبار ، ويتّقى عليهم ما يتّقى على المحرم من الثياب والطيب ، وإن قتل صيدا فعلى أبيه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الإحرام والتلبية ، أو الإشعار ، أو التقليد ، فإنّ الصبيّ في تلك الأخبار أعمّ من المميّز وغيره ، بل في الأخيرة تصريح بكلّ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أعمّ من الأمر بمباشرته أو جعله مباشرا ، بقرينة قوله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والعبد إذا 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كيفية حجّ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يباشر بنفسه ما يباشره الحاجّ من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يباشر به ، أي يجعل مباشرا لما يمكن جعله كذلك من الأفعال ، وتولّى </w:t>
      </w:r>
      <w:r>
        <w:rPr>
          <w:rStyle w:val="FootnoteAnchor"/>
          <w:rtl w:val="true"/>
        </w:rPr>
        <w:footnoteReference w:id="37"/>
      </w:r>
      <w:r>
        <w:rPr>
          <w:rFonts w:ascii="Amiri" w:hAnsi="Amiri" w:eastAsia="Amiri" w:cs="Amiri"/>
          <w:color w:val="111111"/>
          <w:sz w:val="28"/>
          <w:sz w:val="28"/>
          <w:szCs w:val="28"/>
          <w:rtl w:val="true"/>
          <w:lang w:bidi="ar-SA"/>
        </w:rPr>
        <w:t>عنه ما لم يمكن من النيّات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المشار إليها ، وقوله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 أن يلبّي ويفرض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بضميمة الإجماع المركّب في تتمة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من كان معكم من الصبيان إلى الجحفة </w:t>
      </w:r>
      <w:r>
        <w:rPr>
          <w:rStyle w:val="FootnoteAnchor"/>
          <w:rtl w:val="true"/>
        </w:rPr>
        <w:footnoteReference w:id="38"/>
      </w:r>
      <w:r>
        <w:rPr>
          <w:rFonts w:ascii="Amiri" w:hAnsi="Amiri" w:eastAsia="Amiri" w:cs="Amiri"/>
          <w:color w:val="111111"/>
          <w:sz w:val="28"/>
          <w:sz w:val="28"/>
          <w:szCs w:val="28"/>
          <w:rtl w:val="true"/>
          <w:lang w:bidi="ar-SA"/>
        </w:rPr>
        <w:t xml:space="preserve">أو إلى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يصنع بهم ما يصنع بالمحرم ، يطاف بهم ويسعى بهم ويرمى عنهم ، ومن لم يجد منهم هديا فليصم عنه وليّه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والبجلي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مولود صبي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يوم التروية فجرّدوه وغسلوه كما يجرّد المحرم ، ثم أحرموا عنه ، ثم قفوا به في الموقف ، فإذا كان يوم النحر فارموا عنه واحلقوا رأسه ، ثم زوّروه بالبيت ، </w:t>
      </w:r>
      <w:bookmarkStart w:id="41" w:name="pg11651_107618"/>
    </w:p>
    <w:p>
      <w:pPr>
        <w:pStyle w:val="BookText"/>
        <w:rPr/>
      </w:pPr>
      <w:bookmarkEnd w:id="41"/>
      <w:r>
        <w:rPr>
          <w:rFonts w:ascii="Amiri" w:hAnsi="Amiri" w:eastAsia="Amiri" w:cs="Amiri"/>
          <w:color w:val="111111"/>
          <w:sz w:val="28"/>
          <w:sz w:val="28"/>
          <w:szCs w:val="28"/>
          <w:rtl w:val="true"/>
          <w:lang w:bidi="ar-SA"/>
        </w:rPr>
        <w:t xml:space="preserve">ثم مروا الخادم أن يطوف به بالبيت وبين الصفا والمروة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يتوهّم شمول هذه الكيفيّة للمميّزين أيضا ، لظهورها في غيرهم ، مع أنّه على فرض الشمول يجب التقييد بما في صحيحة زرارة المتقدّمة</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171938_73709187"/>
      <w:bookmarkStart w:id="43" w:name="_Toc16"/>
      <w:bookmarkEnd w:id="42"/>
      <w:r>
        <w:rPr>
          <w:rtl w:val="true"/>
        </w:rPr>
        <w:t xml:space="preserve">فروع </w:t>
      </w:r>
      <w:r>
        <w:rPr>
          <w:rtl w:val="true"/>
        </w:rPr>
        <w:t>:</w:t>
      </w:r>
      <w:bookmarkEnd w:id="4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صحّة حجّ المميّز إذن الولي؟</w:t>
      </w:r>
    </w:p>
    <w:p>
      <w:pPr>
        <w:pStyle w:val="BookText"/>
        <w:rPr/>
      </w:pPr>
      <w:r>
        <w:rPr>
          <w:rFonts w:ascii="Amiri" w:hAnsi="Amiri" w:eastAsia="Amiri" w:cs="Amiri"/>
          <w:color w:val="111111"/>
          <w:sz w:val="28"/>
          <w:sz w:val="28"/>
          <w:szCs w:val="28"/>
          <w:rtl w:val="true"/>
          <w:lang w:bidi="ar-SA"/>
        </w:rPr>
        <w:t xml:space="preserve">فيه 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 ،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1"/>
      </w:r>
      <w:r>
        <w:rPr>
          <w:rFonts w:ascii="Amiri" w:hAnsi="Amiri" w:eastAsia="Amiri" w:cs="Amiri"/>
          <w:color w:val="111111"/>
          <w:sz w:val="28"/>
          <w:sz w:val="28"/>
          <w:szCs w:val="28"/>
          <w:rtl w:val="true"/>
          <w:lang w:bidi="ar-SA"/>
        </w:rPr>
        <w:t xml:space="preserve">، بل نسب إلى الأكثر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الحجّ عبادة متلقّاة من الشرع مخالف للأصل ، فيجب الاقتصار فيها على المتيقّن ، وهو الصبيّ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الصحّة هنا بمعنى ترتّب الكفّارات عليه أو على الولي والهدي أو بدله ، ولم يجز له التصرّف في شي‌ء من ذلك في المال إلاّ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التوقيف والتعيين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الصحّة هنا بالمعنى المذكور ، بل هي بمعنى موافقة الأفعال لأمر الشارع ، ولزوم الكفّارات أثر ارتكاب أمر آخر وليس أثرا للإحرام أصلا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أنّه أثره ولا يجوز له التصرّف في المال ، فغايته أنّه يبقى في </w:t>
      </w:r>
    </w:p>
    <w:p>
      <w:pPr>
        <w:pStyle w:val="BookText"/>
        <w:rPr/>
      </w:pPr>
      <w:r>
        <w:rPr>
          <w:rFonts w:ascii="Amiri" w:hAnsi="Amiri" w:eastAsia="Amiri" w:cs="Amiri"/>
          <w:color w:val="111111"/>
          <w:sz w:val="28"/>
          <w:sz w:val="28"/>
          <w:szCs w:val="28"/>
          <w:rtl w:val="true"/>
          <w:lang w:bidi="ar-SA"/>
        </w:rPr>
        <w:t>ذمّته ، أو يكون بالنسبة إلى الكفّارات والهدي بمنزلة الفاقد لها فيصنع ما يصنعه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لتقييده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الرجل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أنّ المباشر للحجّ بغير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أو من يأمره ويستنيبه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تعيّنه ، والأخبار غير دالّة على التخصيص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معكم من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ممّن كان مع وليّه أو غيره ، وكذا لا اختصاص في الأمر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فإن ثبت الإجماع فيه فهو ، وإلاّ فالظاهر جوازه لكلّ من يتكفّل طفلا ، غاية الأمر أنّه لا يتعلّق أمر ماليّ بالطفل ، بل يكون على المباشر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وقفت عليها في المسألة من الروايات مختصّ بالصبي ، ولا ريب أنّ الصبيّة في معناه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مطالبته بدليل كونها في معناه ، وربّما يستدلّ للصبيّة برواية شهاب وموثّقة إسحاق المتقدّمتين </w:t>
      </w:r>
      <w:r>
        <w:rPr>
          <w:rStyle w:val="FootnoteAnchor"/>
          <w:rtl w:val="true"/>
        </w:rPr>
        <w:footnoteReference w:id="45"/>
      </w:r>
      <w:r>
        <w:rPr>
          <w:rFonts w:ascii="Amiri" w:hAnsi="Amiri" w:eastAsia="Amiri" w:cs="Amiri"/>
          <w:color w:val="111111"/>
          <w:sz w:val="28"/>
          <w:sz w:val="28"/>
          <w:szCs w:val="28"/>
          <w:rtl w:val="true"/>
          <w:lang w:bidi="ar-SA"/>
        </w:rPr>
        <w:t>، وفي دلالتهما نظر ، لأنّها إنّما هي إذا تضمّنت حجّ الصبيّة ، وليس فيها ذلك ، بل ليس فيها حجّ الصبيّ أيضا ، لجواز أن يكون السؤال عن وجوب الحجّ ، فأجاب بأنّه بعد الاحتلام والطمث ، لا أن يكون السؤال عن الحجّ الواقع حتى يمكن التمسّك فيه بالتقرير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بموثّقة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صبية صغارا وأنا أخاف </w:t>
      </w:r>
    </w:p>
    <w:p>
      <w:pPr>
        <w:pStyle w:val="BookText"/>
        <w:rPr/>
      </w:pPr>
      <w:r>
        <w:rPr>
          <w:rFonts w:ascii="Amiri" w:hAnsi="Amiri" w:eastAsia="Amiri" w:cs="Amiri"/>
          <w:color w:val="111111"/>
          <w:sz w:val="28"/>
          <w:sz w:val="28"/>
          <w:szCs w:val="28"/>
          <w:rtl w:val="true"/>
          <w:lang w:bidi="ar-SA"/>
        </w:rPr>
        <w:t xml:space="preserve">عليهم البرد ، فمن أين يحرمون؟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بهم العرج </w:t>
      </w:r>
      <w:r>
        <w:rPr>
          <w:rStyle w:val="FootnoteAnchor"/>
          <w:rtl w:val="true"/>
        </w:rPr>
        <w:footnoteReference w:id="46"/>
      </w:r>
      <w:r>
        <w:rPr>
          <w:rFonts w:ascii="Amiri" w:hAnsi="Amiri" w:eastAsia="Amiri" w:cs="Amiri"/>
          <w:color w:val="111111"/>
          <w:sz w:val="28"/>
          <w:sz w:val="28"/>
          <w:szCs w:val="28"/>
          <w:rtl w:val="true"/>
          <w:lang w:bidi="ar-SA"/>
        </w:rPr>
        <w:t xml:space="preserve">فليحرموا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الثابت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الصبية ، وهو يثبت من العمومات أيضا ، لا الحجّ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الأصحاب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 واستدل له بأنّه ليس أخفض حالا من الصبي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بأنّه قياس </w:t>
      </w:r>
      <w:r>
        <w:rPr>
          <w:rStyle w:val="FootnoteAnchor"/>
          <w:rtl w:val="true"/>
        </w:rPr>
        <w:footnoteReference w:id="49"/>
      </w:r>
      <w:r>
        <w:rPr>
          <w:rFonts w:ascii="Amiri" w:hAnsi="Amiri" w:eastAsia="Amiri" w:cs="Amiri"/>
          <w:color w:val="111111"/>
          <w:sz w:val="28"/>
          <w:sz w:val="28"/>
          <w:szCs w:val="28"/>
          <w:rtl w:val="true"/>
          <w:lang w:bidi="ar-SA"/>
        </w:rPr>
        <w:t>، وهو كذلك ، إلاّ أنّه لمّا كان المقام مقام المسامحة تكفي في حكمه فتوى كثير من الأصحاب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 هذا الحجّ بقسميه عن حجّة الإسلام لو استجمع الصغير والمجنون الشرائط بعد الكمال ، بلا خلاف يعرف كما عن المنتهى </w:t>
      </w:r>
      <w:r>
        <w:rPr>
          <w:rStyle w:val="FootnoteAnchor"/>
          <w:rtl w:val="true"/>
        </w:rPr>
        <w:footnoteReference w:id="50"/>
      </w:r>
      <w:r>
        <w:rPr>
          <w:rFonts w:ascii="Amiri" w:hAnsi="Amiri" w:eastAsia="Amiri" w:cs="Amiri"/>
          <w:color w:val="111111"/>
          <w:sz w:val="28"/>
          <w:sz w:val="28"/>
          <w:szCs w:val="28"/>
          <w:rtl w:val="true"/>
          <w:lang w:bidi="ar-SA"/>
        </w:rPr>
        <w:t xml:space="preserve">، بل بالإجماع كما في شرح القواعد لبعض الأجلّة والمفاتيح وشرحه </w:t>
      </w:r>
      <w:r>
        <w:rPr>
          <w:rStyle w:val="FootnoteAnchor"/>
          <w:rtl w:val="true"/>
        </w:rPr>
        <w:footnoteReference w:id="51"/>
      </w:r>
      <w:r>
        <w:rPr>
          <w:rFonts w:ascii="Amiri" w:hAnsi="Amiri" w:eastAsia="Amiri" w:cs="Amiri"/>
          <w:color w:val="111111"/>
          <w:sz w:val="28"/>
          <w:sz w:val="28"/>
          <w:szCs w:val="28"/>
          <w:rtl w:val="true"/>
          <w:lang w:bidi="ar-SA"/>
        </w:rPr>
        <w:t xml:space="preserve">، بل بالإجماع المحقّق ، له ، وللمستفيضة ، كروايتي شهاب والحكم ، وموثّقة إسحاق المتقدّمة </w:t>
      </w:r>
      <w:r>
        <w:rPr>
          <w:rStyle w:val="FootnoteAnchor"/>
          <w:rtl w:val="true"/>
        </w:rPr>
        <w:footnoteReference w:id="52"/>
      </w:r>
      <w:r>
        <w:rPr>
          <w:rFonts w:ascii="Amiri" w:hAnsi="Amiri" w:eastAsia="Amiri" w:cs="Amiri"/>
          <w:color w:val="111111"/>
          <w:sz w:val="28"/>
          <w:sz w:val="28"/>
          <w:szCs w:val="28"/>
          <w:rtl w:val="true"/>
          <w:lang w:bidi="ar-SA"/>
        </w:rPr>
        <w:t xml:space="preserve">، ورواية مسمع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يجزئ لو أدرك أحد الموقفين كاملا ، أم لا؟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المبسوط والخلاف </w:t>
      </w:r>
      <w:r>
        <w:rPr>
          <w:rStyle w:val="FootnoteAnchor"/>
          <w:rtl w:val="true"/>
        </w:rPr>
        <w:footnoteReference w:id="54"/>
      </w:r>
      <w:r>
        <w:rPr>
          <w:rFonts w:ascii="Amiri" w:hAnsi="Amiri" w:eastAsia="Amiri" w:cs="Amiri"/>
          <w:color w:val="111111"/>
          <w:sz w:val="28"/>
          <w:sz w:val="28"/>
          <w:szCs w:val="28"/>
          <w:rtl w:val="true"/>
          <w:lang w:bidi="ar-SA"/>
        </w:rPr>
        <w:t xml:space="preserve">والوسيلة والإرشاد </w:t>
      </w:r>
      <w:r>
        <w:rPr>
          <w:rStyle w:val="FootnoteAnchor"/>
          <w:rtl w:val="true"/>
        </w:rPr>
        <w:footnoteReference w:id="55"/>
      </w:r>
      <w:r>
        <w:rPr>
          <w:rFonts w:ascii="Amiri" w:hAnsi="Amiri" w:eastAsia="Amiri" w:cs="Amiri"/>
          <w:color w:val="111111"/>
          <w:sz w:val="28"/>
          <w:sz w:val="28"/>
          <w:szCs w:val="28"/>
          <w:rtl w:val="true"/>
          <w:lang w:bidi="ar-SA"/>
        </w:rPr>
        <w:t xml:space="preserve">، بل أكثر الأصحاب كما صرّح به جماعة </w:t>
      </w:r>
      <w:r>
        <w:rPr>
          <w:rStyle w:val="FootnoteAnchor"/>
          <w:rtl w:val="true"/>
        </w:rPr>
        <w:footnoteReference w:id="56"/>
      </w:r>
      <w:r>
        <w:rPr>
          <w:rFonts w:ascii="Amiri" w:hAnsi="Amiri" w:eastAsia="Amiri" w:cs="Amiri"/>
          <w:color w:val="111111"/>
          <w:sz w:val="28"/>
          <w:sz w:val="28"/>
          <w:szCs w:val="28"/>
          <w:rtl w:val="true"/>
          <w:lang w:bidi="ar-SA"/>
        </w:rPr>
        <w:t xml:space="preserve">، بل إجماعيّ كما عن الخلاف والتذكرة </w:t>
      </w:r>
      <w:r>
        <w:rPr>
          <w:rStyle w:val="FootnoteAnchor"/>
          <w:rtl w:val="true"/>
        </w:rPr>
        <w:footnoteReference w:id="57"/>
      </w:r>
      <w:r>
        <w:rPr>
          <w:rFonts w:ascii="Amiri" w:hAnsi="Amiri" w:eastAsia="Amiri" w:cs="Amiri"/>
          <w:color w:val="111111"/>
          <w:sz w:val="28"/>
          <w:sz w:val="28"/>
          <w:szCs w:val="28"/>
          <w:rtl w:val="true"/>
          <w:lang w:bidi="ar-SA"/>
        </w:rPr>
        <w:t xml:space="preserve">وظاهر المسالك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فيه في الشرائع والمنتهى والتحرير </w:t>
      </w:r>
      <w:r>
        <w:rPr>
          <w:rStyle w:val="FootnoteAnchor"/>
          <w:rtl w:val="true"/>
        </w:rPr>
        <w:footnoteReference w:id="59"/>
      </w:r>
      <w:r>
        <w:rPr>
          <w:rFonts w:ascii="Amiri" w:hAnsi="Amiri" w:eastAsia="Amiri" w:cs="Amiri"/>
          <w:color w:val="111111"/>
          <w:sz w:val="28"/>
          <w:sz w:val="28"/>
          <w:szCs w:val="28"/>
          <w:rtl w:val="true"/>
          <w:lang w:bidi="ar-SA"/>
        </w:rPr>
        <w:t xml:space="preserve">، بل نفاه جمع من متأخّري المتأخّرين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المثبتة لهذا الحكم في العبد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زمانا يصحّ فيه إنشاء الحجّ ، فكان مجزئا بأن يجدّد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أنّه زمان يصحّ فيه الإنشاء في بعض الصور المنصوصة فلا يفيد ، وإن أريد مطلقا فلا نسلّم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استدلّ له بقوله عليه السلام في غير واحد من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فقد أدرك الحجّ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لكان أقرب ، وإن كان في شموله للمورد نظر ، </w:t>
      </w:r>
      <w:bookmarkStart w:id="44" w:name="pg11651_107622"/>
    </w:p>
    <w:p>
      <w:pPr>
        <w:pStyle w:val="BookText"/>
        <w:rPr/>
      </w:pPr>
      <w:bookmarkEnd w:id="44"/>
      <w:r>
        <w:rPr>
          <w:rFonts w:ascii="Amiri" w:hAnsi="Amiri" w:eastAsia="Amiri" w:cs="Amiri"/>
          <w:color w:val="111111"/>
          <w:sz w:val="28"/>
          <w:sz w:val="28"/>
          <w:szCs w:val="28"/>
          <w:rtl w:val="true"/>
          <w:lang w:bidi="ar-SA"/>
        </w:rPr>
        <w:t>سيّما في حجّ التمتع ، حيث إنّ العمرة الواجبة وقعت في زمان عدم التكليف ولم يثبت إدراك العمرة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الأحوط 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بعد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بالإجزاء ، ففي اشتراط استطاعته من البلد ، أو الميقات ، أو حين التكليف ، أقوال ،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كما يظهر مما سنذكره في المملوك ونفقته الزائدة على ما يلزمه في الحضر على من يسافر به ، لعدم ثبوت جواز التصرّف في القدر الزائد في مال الطفل</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171940_73709187"/>
      <w:bookmarkStart w:id="46" w:name="_Toc17"/>
      <w:bookmarkEnd w:id="45"/>
      <w:r>
        <w:rPr>
          <w:rtl w:val="true"/>
        </w:rPr>
        <w:t xml:space="preserve">الشرط الثالث </w:t>
      </w:r>
      <w:r>
        <w:rPr>
          <w:rtl w:val="true"/>
        </w:rPr>
        <w:t xml:space="preserve">: </w:t>
      </w:r>
      <w:r>
        <w:rPr>
          <w:rtl w:val="true"/>
        </w:rPr>
        <w:t>الحرّية</w:t>
      </w:r>
      <w:r>
        <w:rPr>
          <w:rtl w:val="true"/>
        </w:rPr>
        <w:t>.</w:t>
      </w:r>
      <w:bookmarkEnd w:id="46"/>
    </w:p>
    <w:p>
      <w:pPr>
        <w:pStyle w:val="BookText"/>
        <w:rPr/>
      </w:pPr>
      <w:r>
        <w:rPr>
          <w:rFonts w:ascii="Amiri" w:hAnsi="Amiri" w:eastAsia="Amiri" w:cs="Amiri"/>
          <w:color w:val="111111"/>
          <w:sz w:val="28"/>
          <w:sz w:val="28"/>
          <w:szCs w:val="28"/>
          <w:rtl w:val="true"/>
          <w:lang w:bidi="ar-SA"/>
        </w:rPr>
        <w:t xml:space="preserve">فلا يجب على المملوك ، إجماعا محقّقا ، ومحكيّا </w:t>
      </w:r>
      <w:r>
        <w:rPr>
          <w:rStyle w:val="FootnoteAnchor"/>
          <w:rtl w:val="true"/>
        </w:rPr>
        <w:footnoteReference w:id="63"/>
      </w:r>
      <w:r>
        <w:rPr>
          <w:rFonts w:ascii="Amiri" w:hAnsi="Amiri" w:eastAsia="Amiri" w:cs="Amiri"/>
          <w:color w:val="111111"/>
          <w:sz w:val="28"/>
          <w:sz w:val="28"/>
          <w:szCs w:val="28"/>
          <w:rtl w:val="true"/>
          <w:lang w:bidi="ar-SA"/>
        </w:rPr>
        <w:t xml:space="preserve">مستفيضا ، له ، وللنصوص المستفيضة </w:t>
      </w:r>
      <w:r>
        <w:rPr>
          <w:rStyle w:val="FootnoteAnchor"/>
          <w:rtl w:val="true"/>
        </w:rPr>
        <w:footnoteReference w:id="64"/>
      </w:r>
      <w:r>
        <w:rPr>
          <w:rFonts w:ascii="Amiri" w:hAnsi="Amiri" w:eastAsia="Amiri" w:cs="Amiri"/>
          <w:color w:val="111111"/>
          <w:sz w:val="28"/>
          <w:sz w:val="28"/>
          <w:szCs w:val="28"/>
          <w:rtl w:val="true"/>
          <w:lang w:bidi="ar-SA"/>
        </w:rPr>
        <w:t xml:space="preserve">، وإطلاقها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الفتاوى </w:t>
      </w:r>
      <w:r>
        <w:rPr>
          <w:rStyle w:val="FootnoteAnchor"/>
          <w:rtl w:val="true"/>
        </w:rPr>
        <w:footnoteReference w:id="65"/>
      </w:r>
      <w:r>
        <w:rPr>
          <w:rFonts w:ascii="Amiri" w:hAnsi="Amiri" w:eastAsia="Amiri" w:cs="Amiri"/>
          <w:color w:val="111111"/>
          <w:sz w:val="28"/>
          <w:sz w:val="28"/>
          <w:szCs w:val="28"/>
          <w:rtl w:val="true"/>
          <w:lang w:bidi="ar-SA"/>
        </w:rPr>
        <w:t xml:space="preserve">، بل صريح بعضها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لو أذن له المولى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منه الحجّ إذا أذن له المولى ، بالإجماع والنصوص ، ولا يجزئه عن حجّة الإسلام كذلك لو استجمع الشرائط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الروايات الظاهرة في الإجزاء فمؤوّلة ، أو مخصّصة بما هو أخصّ منها ، أو مطروحة ، للمعارضة مع الأكثر والمخالفة للإجماع ، إلاّ أن يدرك أحد الموقفين معتقا ، فيجزئه عنها إجماعا ونصّا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أعتق 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أحد </w:t>
      </w:r>
    </w:p>
    <w:p>
      <w:pPr>
        <w:pStyle w:val="BookText"/>
        <w:rPr/>
      </w:pPr>
      <w:r>
        <w:rPr>
          <w:rFonts w:ascii="Amiri" w:hAnsi="Amiri" w:eastAsia="Amiri" w:cs="Amiri"/>
          <w:color w:val="111111"/>
          <w:sz w:val="28"/>
          <w:sz w:val="28"/>
          <w:szCs w:val="28"/>
          <w:rtl w:val="true"/>
          <w:lang w:bidi="ar-SA"/>
        </w:rPr>
        <w:t xml:space="preserve">الموقفين فقد أدرك الحجّ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عشيّة عرفة عبدا ، أيجزئ عن حجّة الإسلام؟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تشترط في إجزائه عنها استطاعته حين العتق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أريد الاستطاعة البدنيّة ، بل الماليّة بقدر ما يحتاج إليه من الزاد والراحلة من الموقف إلى إتمام الحجّ ، لإطلاق الآية </w:t>
      </w:r>
      <w:r>
        <w:rPr>
          <w:rStyle w:val="FootnoteAnchor"/>
          <w:rtl w:val="true"/>
        </w:rPr>
        <w:footnoteReference w:id="69"/>
      </w:r>
      <w:r>
        <w:rPr>
          <w:rFonts w:ascii="IRNazanin" w:hAnsi="IRNazanin" w:eastAsia="IRNazanin"/>
          <w:color w:val="111111"/>
          <w:sz w:val="28"/>
          <w:sz w:val="28"/>
          <w:szCs w:val="28"/>
          <w:rtl w:val="true"/>
          <w:lang w:bidi="fa-IR"/>
        </w:rPr>
        <w:t xml:space="preserve">والنصوص </w:t>
      </w:r>
      <w:r>
        <w:rPr>
          <w:rStyle w:val="FootnoteAnchor"/>
          <w:rtl w:val="true"/>
        </w:rPr>
        <w:footnoteReference w:id="70"/>
      </w:r>
      <w:r>
        <w:rPr>
          <w:rFonts w:ascii="Amiri" w:hAnsi="Amiri" w:eastAsia="Amiri" w:cs="Amiri"/>
          <w:color w:val="111111"/>
          <w:sz w:val="28"/>
          <w:sz w:val="28"/>
          <w:szCs w:val="28"/>
          <w:rtl w:val="true"/>
          <w:lang w:bidi="ar-SA"/>
        </w:rPr>
        <w:t>، فلو لم يكن كذلك وأتمّ الحجّ بجهد ومشقّة لم يجز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 إن أريد الأزيد من ذلك ،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أصلا ، لإطلاق النص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الإطلاق لا عموم فيه ، فينصرف إلى الغالب من حصول الاستطاعة البدنيّة المعتبرة في المورد ، فلا يشمل ما لو لم تكن هناك 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الإطلاق فيعارض ما دلّ على اشتراط الاستطاعة من الكتاب والسنّة بالعموم من وجه ، والأخير أرجح ، لموافقة الكتاب ، مضافا إلى الأكثريّة والأصرحيّة والأشهريّة ، بل يظهر من بعض الأجلّة الإجماع على اشتراط الاستطاعة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المأذون في إحرامه حال رقّيته بما يلزمه به الدم ، </w:t>
      </w:r>
      <w:bookmarkStart w:id="47" w:name="pg11651_107624"/>
    </w:p>
    <w:p>
      <w:pPr>
        <w:pStyle w:val="BookText"/>
        <w:rPr/>
      </w:pPr>
      <w:bookmarkEnd w:id="47"/>
      <w:r>
        <w:rPr>
          <w:rFonts w:ascii="Amiri" w:hAnsi="Amiri" w:eastAsia="Amiri" w:cs="Amiri"/>
          <w:color w:val="111111"/>
          <w:sz w:val="28"/>
          <w:sz w:val="28"/>
          <w:szCs w:val="28"/>
          <w:rtl w:val="true"/>
          <w:lang w:bidi="ar-SA"/>
        </w:rPr>
        <w:t xml:space="preserve">كان على سيّده ، وفاقا لصريح المعتبر </w:t>
      </w:r>
      <w:r>
        <w:rPr>
          <w:rStyle w:val="FootnoteAnchor"/>
          <w:rtl w:val="true"/>
        </w:rPr>
        <w:footnoteReference w:id="73"/>
      </w:r>
      <w:r>
        <w:rPr>
          <w:rFonts w:ascii="Amiri" w:hAnsi="Amiri" w:eastAsia="Amiri" w:cs="Amiri"/>
          <w:color w:val="111111"/>
          <w:sz w:val="28"/>
          <w:sz w:val="28"/>
          <w:szCs w:val="28"/>
          <w:rtl w:val="true"/>
          <w:lang w:bidi="ar-SA"/>
        </w:rPr>
        <w:t xml:space="preserve">، وظاهر التهذيب </w:t>
      </w:r>
      <w:r>
        <w:rPr>
          <w:rStyle w:val="FootnoteAnchor"/>
          <w:rtl w:val="true"/>
        </w:rPr>
        <w:footnoteReference w:id="74"/>
      </w:r>
      <w:r>
        <w:rPr>
          <w:rFonts w:ascii="Amiri" w:hAnsi="Amiri" w:eastAsia="Amiri" w:cs="Amiri"/>
          <w:color w:val="111111"/>
          <w:sz w:val="28"/>
          <w:sz w:val="28"/>
          <w:szCs w:val="28"/>
          <w:rtl w:val="true"/>
          <w:lang w:bidi="ar-SA"/>
        </w:rPr>
        <w:t xml:space="preserve">، وقوّاه في المدارك </w:t>
      </w:r>
      <w:r>
        <w:rPr>
          <w:rStyle w:val="FootnoteAnchor"/>
          <w:rtl w:val="true"/>
        </w:rPr>
        <w:footnoteReference w:id="75"/>
      </w:r>
      <w:r>
        <w:rPr>
          <w:rFonts w:ascii="Amiri" w:hAnsi="Amiri" w:eastAsia="Amiri" w:cs="Amiri"/>
          <w:color w:val="111111"/>
          <w:sz w:val="28"/>
          <w:sz w:val="28"/>
          <w:szCs w:val="28"/>
          <w:rtl w:val="true"/>
          <w:lang w:bidi="ar-SA"/>
        </w:rPr>
        <w:t xml:space="preserve">، لصحيحة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أصاب العبد وهو محرم في إحرامه فهو على السيّد إذا أذن له في الإحرام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تعارضه صحيحة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أصاب صيدا وهو محرم ، هل على مولاه شي‌ء من الفداء؟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على مولاه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لأنّ الأولى أخصّ مطلقا من الثانية بتقييدها بالإذن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الثانية أيضا متضمّنة له ، لأنّ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تقريره عليه في الجواب يدلّ على تحقّق الصحّة المشروطة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بمنع حجّية مثل ذلك التقرير أولا ، وتحقّق الصحّة بالإذن بالعموم ، بأن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تشاء ، الذي هو أيضا أعمّ مطلقا من الإذن في الإحرام ، ثانيا</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171942_73709187"/>
      <w:bookmarkStart w:id="49" w:name="_Toc18"/>
      <w:bookmarkEnd w:id="48"/>
      <w:r>
        <w:rPr>
          <w:rtl w:val="true"/>
        </w:rPr>
        <w:t xml:space="preserve">الشرط الرابع </w:t>
      </w:r>
      <w:r>
        <w:rPr>
          <w:rtl w:val="true"/>
        </w:rPr>
        <w:t xml:space="preserve">: </w:t>
      </w:r>
      <w:r>
        <w:rPr>
          <w:rtl w:val="true"/>
        </w:rPr>
        <w:t>الاستطاعة</w:t>
      </w:r>
      <w:r>
        <w:rPr>
          <w:rtl w:val="true"/>
        </w:rPr>
        <w:t>.</w:t>
      </w:r>
      <w:bookmarkEnd w:id="49"/>
    </w:p>
    <w:p>
      <w:pPr>
        <w:pStyle w:val="Heading6"/>
        <w:numPr>
          <w:ilvl w:val="5"/>
          <w:numId w:val="1"/>
        </w:numPr>
        <w:rPr/>
      </w:pPr>
      <w:bookmarkStart w:id="50" w:name="__RefHeading___Toc6171944_73709187"/>
      <w:bookmarkStart w:id="51" w:name="_Toc19"/>
      <w:bookmarkEnd w:id="50"/>
      <w:r>
        <w:rPr>
          <w:rtl w:val="true"/>
        </w:rPr>
        <w:t>اشارة</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بالإجماع ، والكتاب </w:t>
      </w:r>
      <w:r>
        <w:rPr>
          <w:rStyle w:val="FootnoteAnchor"/>
          <w:rtl w:val="true"/>
        </w:rPr>
        <w:footnoteReference w:id="78"/>
      </w:r>
      <w:r>
        <w:rPr>
          <w:rFonts w:ascii="Amiri" w:hAnsi="Amiri" w:eastAsia="Amiri" w:cs="Amiri"/>
          <w:color w:val="111111"/>
          <w:sz w:val="28"/>
          <w:sz w:val="28"/>
          <w:szCs w:val="28"/>
          <w:rtl w:val="true"/>
          <w:lang w:bidi="ar-SA"/>
        </w:rPr>
        <w:t xml:space="preserve">، والسنّة المتواترة </w:t>
      </w:r>
      <w:r>
        <w:rPr>
          <w:rStyle w:val="FootnoteAnchor"/>
          <w:rtl w:val="true"/>
        </w:rPr>
        <w:footnoteReference w:id="79"/>
      </w:r>
      <w:r>
        <w:rPr>
          <w:rFonts w:ascii="Amiri" w:hAnsi="Amiri" w:eastAsia="Amiri" w:cs="Amiri"/>
          <w:color w:val="111111"/>
          <w:sz w:val="28"/>
          <w:sz w:val="28"/>
          <w:szCs w:val="28"/>
          <w:rtl w:val="true"/>
          <w:lang w:bidi="ar-SA"/>
        </w:rPr>
        <w:t xml:space="preserve">، وهي تكون بالاستطاعة </w:t>
      </w:r>
    </w:p>
    <w:p>
      <w:pPr>
        <w:pStyle w:val="BookText"/>
        <w:rPr/>
      </w:pPr>
      <w:r>
        <w:rPr>
          <w:rFonts w:ascii="Amiri" w:hAnsi="Amiri" w:eastAsia="Amiri" w:cs="Amiri"/>
          <w:color w:val="111111"/>
          <w:sz w:val="28"/>
          <w:sz w:val="28"/>
          <w:szCs w:val="28"/>
          <w:rtl w:val="true"/>
          <w:lang w:bidi="ar-SA"/>
        </w:rPr>
        <w:t xml:space="preserve">في أربعة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الماليّة ، والسربيّة ، والبدنيّة ، والزمانيّة ، وتفصيلها يقع في أربعة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تحصل بالتمكّن من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الزاد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الأكل والشرب مدّة ذهابه إلى المقصد وعوده إلى بلده ، ودخوله في مفهوم الاستطاعة لغة وعرفا واضح ، والأخبار به ناصّة </w:t>
      </w:r>
      <w:r>
        <w:rPr>
          <w:rStyle w:val="FootnoteAnchor"/>
          <w:rtl w:val="true"/>
        </w:rPr>
        <w:footnoteReference w:id="80"/>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 بعضهم في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الملبس وما يكنّ به </w:t>
      </w:r>
      <w:r>
        <w:rPr>
          <w:rStyle w:val="FootnoteAnchor"/>
          <w:rtl w:val="true"/>
        </w:rPr>
        <w:footnoteReference w:id="81"/>
      </w:r>
      <w:r>
        <w:rPr>
          <w:rFonts w:ascii="Amiri" w:hAnsi="Amiri" w:eastAsia="Amiri" w:cs="Amiri"/>
          <w:color w:val="111111"/>
          <w:sz w:val="28"/>
          <w:sz w:val="28"/>
          <w:szCs w:val="28"/>
          <w:rtl w:val="true"/>
          <w:lang w:bidi="ar-SA"/>
        </w:rPr>
        <w:t>، أي يستر ويقي نفسه من الحرّ والبرد من خباء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الملبس ، فإن أراد به ما يحتاج إليه في السفر زائدا عمّا يحتاج إليه في وطنه ممّا يقيه من برد ونحوه ، فلا شكّ في دخوله في الاستطاعة مع الحاجة ، سواء سلّمنا شمول الزاد له أم لا ، ويدل على اشتراطه نفي العسر والحرج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مطلق الملبس الضروريّ ولو في الحضر ، فإن أراد أنّه يشترط أن يكون له بعد استثناء الملبس ما يكفي لزاده ، فهو صحيح كما يأتي ، ولكن لا يحسن إدخاله في الزاد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مطلق الملبس الضروري ، فتوجيهه كتوجيه المأكل الضروري ، فإنّه قد يتمكّن في الحضر من ملبس باكتساب ونحوه ويمنعه السفر إلى الحجّ عن تحصيله فيبقى في أثناء الطريق عريانا ، أو يكتفي في الحضر بالاستعراء والتكفّف من الناس ونحوهما ، فيشترط وجوب الحجّ </w:t>
      </w:r>
    </w:p>
    <w:p>
      <w:pPr>
        <w:pStyle w:val="BookText"/>
        <w:rPr/>
      </w:pPr>
      <w:r>
        <w:rPr>
          <w:rFonts w:ascii="Amiri" w:hAnsi="Amiri" w:eastAsia="Amiri" w:cs="Amiri"/>
          <w:color w:val="111111"/>
          <w:sz w:val="28"/>
          <w:sz w:val="28"/>
          <w:szCs w:val="28"/>
          <w:rtl w:val="true"/>
          <w:lang w:bidi="ar-SA"/>
        </w:rPr>
        <w:t>بعدم احتياجه في ضروريّ ملبسه إلى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يكنّ به ، فاشتراط التمكّن منه إنّما يتمّ مع الحاجة إليه لا مطلقا ، كما إذا كانت من وطنه إلى مكّة خمسة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الهواء بحيث لا يحتاج إلى كنّ ، أو كان الشخص ممّن لا تضرّه الشمس ولا يشقّ عليه أيضا انتفاء الكنّ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وجوده مع الحاجة للضرورة أو المشقّة بدونه ، ولكن مع ذلك في إدخاله في الزاد تأمّل ، وإن دخل فيما يستطاع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الكتاب والسنّة وإن لم يقتض اعتبار الزاد في العود أيضا ، إلاّ أنّ أكثر الأصحاب اعتبروه </w:t>
      </w:r>
      <w:r>
        <w:rPr>
          <w:rStyle w:val="FootnoteAnchor"/>
          <w:rtl w:val="true"/>
        </w:rPr>
        <w:footnoteReference w:id="82"/>
      </w:r>
      <w:r>
        <w:rPr>
          <w:rFonts w:ascii="Amiri" w:hAnsi="Amiri" w:eastAsia="Amiri" w:cs="Amiri"/>
          <w:color w:val="111111"/>
          <w:sz w:val="28"/>
          <w:sz w:val="28"/>
          <w:szCs w:val="28"/>
          <w:rtl w:val="true"/>
          <w:lang w:bidi="ar-SA"/>
        </w:rPr>
        <w:t xml:space="preserve">، بل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عدم دخول زاد العود في استطاعة سبيل الحجّ ، ولكن إن كان الشخص ممّن له أهل أو ملك في الوطن ، أو يشقّ عليه مفارقته ، فلا محيص من اعتباره ، دفعا للضرر والحرج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 وإن استضعفه في التذكرة </w:t>
      </w:r>
      <w:r>
        <w:rPr>
          <w:rStyle w:val="FootnoteAnchor"/>
          <w:rtl w:val="true"/>
        </w:rPr>
        <w:footnoteReference w:id="84"/>
      </w:r>
      <w:r>
        <w:rPr>
          <w:rFonts w:ascii="IRNazanin" w:hAnsi="IRNazanin" w:eastAsia="IRNazanin"/>
          <w:color w:val="111111"/>
          <w:sz w:val="28"/>
          <w:sz w:val="28"/>
          <w:szCs w:val="28"/>
          <w:rtl w:val="true"/>
          <w:lang w:bidi="fa-IR"/>
        </w:rPr>
        <w:t>، لأنّ النفوس تطلب الأوطان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إن كان بحدّ يشقّ معه الترك فكذلك ، وإلاّ فلا يوجب الاشتراط ، مع أنّ من الأشخاص من تساوى عنده البلاد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المعتبر في وجدان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مقتدرا على تحصيل المأكول والمشروب بقدر الحاجة ، إمّا بالقدرة على حملهما ، أو تحصيلهما في المنازل ، من غير فرق في ذلك بين المأكول والمشروب وعلف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 فأوجب حمل المأكول دون الماء والعلف ، فإذا فقدا في المواضع المعتادة يسقط الحجّ ولو أمكن الحمل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لعدم صدق الاستطاعة مع الفقد ، بناء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الزاد ، ولكن كان كسوبا يتمكّن من الاكتساب في الطريق لكلّ يوم بقدر ما يكفيه ، وظنّ إمكانه بجريان العادة عليه من غير مشقّة ، وجب الحجّ ، لصدق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إن كان السفر طويلا ، لما في الجمع بين الكسب والسفر من المشقّة ، ولإمكان انقطاعه من الكسب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منازعة لفظيّة ، لأنّ المفروض إمكان الجمع وجريان العادة بعدم الانقطاع ، وإلاّ فالزاد أيضا قد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الراحلة ، فعلى اشتراطها وتوقّف الاستطاعة عليها الإجماع ، كما عن الناصريات والخلاف والغنية والمنتهى والتذكرة والسرائر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استطاعة بدون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ما يعني بذلك؟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صحيحا في بدنه مخلّى سربه له زاد وراحلة فهو ممّن يستطيع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والمرويين في توحيد الصدوق </w:t>
      </w:r>
      <w:r>
        <w:rPr>
          <w:rStyle w:val="FootnoteAnchor"/>
          <w:rtl w:val="true"/>
        </w:rPr>
        <w:footnoteReference w:id="89"/>
      </w:r>
      <w:r>
        <w:rPr>
          <w:rFonts w:ascii="Amiri" w:hAnsi="Amiri" w:eastAsia="Amiri" w:cs="Amiri"/>
          <w:color w:val="111111"/>
          <w:sz w:val="28"/>
          <w:sz w:val="28"/>
          <w:szCs w:val="28"/>
          <w:rtl w:val="true"/>
          <w:lang w:bidi="ar-SA"/>
        </w:rPr>
        <w:t xml:space="preserve">وتفسير العيّاشي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يعني بذلك؟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صحيحا في بدنه مخلّى في سربه له زاد وراحلة فهو ممّن يستطيع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يعني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ليس استطاعة البدن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مع الصحّة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اشتراط الراحلة مختصّ بصورة الاحتياج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على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للمشقّة مطلقا ، أو الشديدة منها وإن كان قادرا على المشي ، أو لمنافاة المشي لشأنه وشرفه ونحو ذلك ، أو يعمّ جميع الصور وإن ساوى عنده المشي والركوب سهولة وصعوبة وشرفا وضعة؟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حيث اشترط الراحلة للمحتاج إليها </w:t>
      </w:r>
      <w:r>
        <w:rPr>
          <w:rStyle w:val="FootnoteAnchor"/>
          <w:rtl w:val="true"/>
        </w:rPr>
        <w:footnoteReference w:id="93"/>
      </w:r>
      <w:r>
        <w:rPr>
          <w:rFonts w:ascii="Amiri" w:hAnsi="Amiri" w:eastAsia="Amiri" w:cs="Amiri"/>
          <w:color w:val="111111"/>
          <w:sz w:val="28"/>
          <w:sz w:val="28"/>
          <w:szCs w:val="28"/>
          <w:rtl w:val="true"/>
          <w:lang w:bidi="ar-SA"/>
        </w:rPr>
        <w:t xml:space="preserve">، وهو ظاهر الذخيرة والمدارك </w:t>
      </w:r>
      <w:r>
        <w:rPr>
          <w:rStyle w:val="FootnoteAnchor"/>
          <w:rtl w:val="true"/>
        </w:rPr>
        <w:footnoteReference w:id="94"/>
      </w:r>
      <w:r>
        <w:rPr>
          <w:rFonts w:ascii="Amiri" w:hAnsi="Amiri" w:eastAsia="Amiri" w:cs="Amiri"/>
          <w:color w:val="111111"/>
          <w:sz w:val="28"/>
          <w:sz w:val="28"/>
          <w:szCs w:val="28"/>
          <w:rtl w:val="true"/>
          <w:lang w:bidi="ar-SA"/>
        </w:rPr>
        <w:t xml:space="preserve">، وصريح المفاتيح وشرحه </w:t>
      </w:r>
      <w:r>
        <w:rPr>
          <w:rStyle w:val="FootnoteAnchor"/>
          <w:rtl w:val="true"/>
        </w:rPr>
        <w:footnoteReference w:id="95"/>
      </w:r>
      <w:r>
        <w:rPr>
          <w:rFonts w:ascii="Amiri" w:hAnsi="Amiri" w:eastAsia="Amiri" w:cs="Amiri"/>
          <w:color w:val="111111"/>
          <w:sz w:val="28"/>
          <w:sz w:val="28"/>
          <w:szCs w:val="28"/>
          <w:rtl w:val="true"/>
          <w:lang w:bidi="ar-SA"/>
        </w:rPr>
        <w:t xml:space="preserve">، ونسبه في الأخير إلى الشهيدين </w:t>
      </w:r>
      <w:r>
        <w:rPr>
          <w:rStyle w:val="FootnoteAnchor"/>
          <w:rtl w:val="true"/>
        </w:rPr>
        <w:footnoteReference w:id="96"/>
      </w:r>
      <w:r>
        <w:rPr>
          <w:rFonts w:ascii="Amiri" w:hAnsi="Amiri" w:eastAsia="Amiri" w:cs="Amiri"/>
          <w:color w:val="111111"/>
          <w:sz w:val="28"/>
          <w:sz w:val="28"/>
          <w:szCs w:val="28"/>
          <w:rtl w:val="true"/>
          <w:lang w:bidi="ar-SA"/>
        </w:rPr>
        <w:t xml:space="preserve">، بل التذكرة </w:t>
      </w:r>
      <w:r>
        <w:rPr>
          <w:rStyle w:val="FootnoteAnchor"/>
          <w:rtl w:val="true"/>
        </w:rPr>
        <w:footnoteReference w:id="97"/>
      </w:r>
      <w:r>
        <w:rPr>
          <w:rFonts w:ascii="Amiri" w:hAnsi="Amiri" w:eastAsia="Amiri" w:cs="Amiri"/>
          <w:color w:val="111111"/>
          <w:sz w:val="28"/>
          <w:sz w:val="28"/>
          <w:szCs w:val="28"/>
          <w:rtl w:val="true"/>
          <w:lang w:bidi="ar-SA"/>
        </w:rPr>
        <w:t xml:space="preserve">، بل يمكن استفادته من كلام جماعة قيّدوها </w:t>
      </w:r>
    </w:p>
    <w:p>
      <w:pPr>
        <w:pStyle w:val="BookText"/>
        <w:rPr/>
      </w:pPr>
      <w:r>
        <w:rPr>
          <w:rFonts w:ascii="Amiri" w:hAnsi="Amiri" w:eastAsia="Amiri" w:cs="Amiri"/>
          <w:color w:val="111111"/>
          <w:sz w:val="28"/>
          <w:sz w:val="28"/>
          <w:szCs w:val="28"/>
          <w:rtl w:val="true"/>
          <w:lang w:bidi="ar-SA"/>
        </w:rPr>
        <w:t xml:space="preserve">بالاحتياج أو الافتقار </w:t>
      </w:r>
      <w:r>
        <w:rPr>
          <w:rStyle w:val="FootnoteAnchor"/>
          <w:rtl w:val="true"/>
        </w:rPr>
        <w:footnoteReference w:id="98"/>
      </w:r>
      <w:r>
        <w:rPr>
          <w:rFonts w:ascii="Amiri" w:hAnsi="Amiri" w:eastAsia="Amiri" w:cs="Amiri"/>
          <w:color w:val="111111"/>
          <w:sz w:val="28"/>
          <w:sz w:val="28"/>
          <w:szCs w:val="28"/>
          <w:rtl w:val="true"/>
          <w:lang w:bidi="ar-SA"/>
        </w:rPr>
        <w:t xml:space="preserve">، واستشكل في الكفاية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صدق الاستطاعة بدون الحاجة إليها بأحد الوجوه المتقدّمة ، ولذا صرّح جماعة بعدم اعتباره للمكّي والقريب إلى مكّة والمسافر من البحر </w:t>
      </w:r>
      <w:r>
        <w:rPr>
          <w:rStyle w:val="FootnoteAnchor"/>
          <w:rtl w:val="true"/>
        </w:rPr>
        <w:footnoteReference w:id="100"/>
      </w:r>
      <w:r>
        <w:rPr>
          <w:rFonts w:ascii="Amiri" w:hAnsi="Amiri" w:eastAsia="Amiri" w:cs="Amiri"/>
          <w:color w:val="111111"/>
          <w:sz w:val="28"/>
          <w:sz w:val="28"/>
          <w:szCs w:val="28"/>
          <w:rtl w:val="true"/>
          <w:lang w:bidi="ar-SA"/>
        </w:rPr>
        <w:t>، والأخبار العديدة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 الرجل على ما يحجّ به ثم دفع ذلك وليس له شغل يعذره اللّه فيه فقد ترك شريعة من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والمحاربي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يحجّ حجّة الإسلام ما يمنعه من ذلك حاجة تجحف به ، أو مرض لا يطيق معه الحجّ أو سلطان يمنعه ، فليمت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دين ، أعليه أن يحجّ؟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حجّة الإسلام واجبة على من أطاق المشي من المسلمين ، ولقد كان أكثر من حجّ مع النبيّ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ما السبيل؟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ما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يطيق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ويركب بعضا فليحجّ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ويمشي إن لم يكن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المشي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يمشي ويركب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يخدم القوم ويخرج معهم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وصحيحة محمّد الآتية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بعض المتأخّرين بالثاني </w:t>
      </w:r>
      <w:r>
        <w:rPr>
          <w:rStyle w:val="FootnoteAnchor"/>
          <w:rtl w:val="true"/>
        </w:rPr>
        <w:footnoteReference w:id="107"/>
      </w:r>
      <w:r>
        <w:rPr>
          <w:rFonts w:ascii="Amiri" w:hAnsi="Amiri" w:eastAsia="Amiri" w:cs="Amiri"/>
          <w:color w:val="111111"/>
          <w:sz w:val="28"/>
          <w:sz w:val="28"/>
          <w:szCs w:val="28"/>
          <w:rtl w:val="true"/>
          <w:lang w:bidi="ar-SA"/>
        </w:rPr>
        <w:t>، بل نسب إلى الأكثر ، بل نسب غيره إلى الشذوذ ، واستشهد بالإجماعات المتقدّمة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أنّ اللازم منه ، أي ممّا سبق ذكره ، عدم اعتبار الراحلة في حقّ البعيد مطلقا إذا تمكّن من المشي من غير مشقّة شديدة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نعلم به قائلا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صاحب الذخيرة ، بعد نقل الأخبار المتقدّمة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تخلو من إشكال ، لعدم تصريح بالخلاف بين الأصحاب في اعتبار الزاد والراحلة في الاستطاعة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التعميم بالأخبار المذكورة أولا ، المتضمّنة لذكر الزاد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والراحلة على الإطلاق ، ورجّحها على تلك الأخبار بموافقة عمل الأصحاب ، والإجماعات المحكية ، والأصل ، والشهرة العظيمة ، وظاهر الآية من جهة عدم انصراف إطلاق الأمر فيها إلاّ إلى المستطيع ببدنه ، فاعتبار الاستطاعة بعده ليس إلاّ لأمر آخر وليس إلاّ الزاد والراحلة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وبمخالفة قول مالك من العامّة ، حيث نقل في المنتهى عنه عدم اعتباره الزاد والراحلة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وبشذوذ تلك الأخبار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المذكورة فلا شكّ أنّ دلالتها بالإطلاق المنصرف إلى الغالب ، وهو احتياج البعيد إلى الراحلة ولو لدفع مطلق المشقّة أو حفظ شرف النفس ونحوهما ، ولو سلّم عدم الانصراف والبقاء على الإطلاق يعارض الأخبار الأخيرة ، إمّا بالعموم والخصوص من وجه ،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نسلّم رجحان الأولى بما ذكر ، أمّا عمل الأصحاب فلانصراف إطلاق كلماتهم أيضا إلى الغالب ، مع تصريح جمع كثير منهم بالحاجة </w:t>
      </w:r>
      <w:r>
        <w:rPr>
          <w:rStyle w:val="FootnoteAnchor"/>
          <w:rtl w:val="true"/>
        </w:rPr>
        <w:footnoteReference w:id="111"/>
      </w:r>
      <w:r>
        <w:rPr>
          <w:rFonts w:ascii="Amiri" w:hAnsi="Amiri" w:eastAsia="Amiri" w:cs="Amiri"/>
          <w:color w:val="111111"/>
          <w:sz w:val="28"/>
          <w:sz w:val="28"/>
          <w:szCs w:val="28"/>
          <w:rtl w:val="true"/>
          <w:lang w:bidi="ar-SA"/>
        </w:rPr>
        <w:t>، ولذا لم يشترطوها للقريب وراكب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الإجماعات المحكيّة ، مع أنّ كثيرا منها وارد في شأن غير المحتاج ، وكذا حال الشهرة ، مع أنّ الترجيح بهذه الأمور ممّا لم يثبت اعتباره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شذوذ الأخيرة ، فإن أريد بالنسبة إلى الإطلاق والوجوب على 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ننكره ولا نقول به ، بل يخالف ذلك ظاهر آيات الاستطاعة ونفي 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بالنسبة إلى غير المحتاج بوجه فلا نسلّم الشذوذ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ظاهر الآية ، فلا يوافق إطلاقها أصلا ، لصدق الاستطاعة بدون الراحلة في غير المحتاج ، ولا يلزم من اعتبار أمر آخر وراء صحّة البدن في الاستطاعة اعتبار الزاد والراحلة معا مطلقا ، بل يكفي اعتبارهما في حقّ المحتاج واعتبار 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مالك فهو أنّه لا يعتبر الراحلة مطلقا ولو مع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أنّ 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وعليه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العود وإمكان التحصيل بالكسب في السفر هنا كما مرّ في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الراحلة أن تكون مناسبة لحاله بحسب العزّة والشرف ، فيعتبر المحمل أو نحوه عند علوّ منصبه؟</w:t>
      </w:r>
    </w:p>
    <w:p>
      <w:pPr>
        <w:pStyle w:val="BookText"/>
        <w:rPr/>
      </w:pPr>
      <w:r>
        <w:rPr>
          <w:rFonts w:ascii="Amiri" w:hAnsi="Amiri" w:eastAsia="Amiri" w:cs="Amiri"/>
          <w:color w:val="111111"/>
          <w:sz w:val="28"/>
          <w:sz w:val="28"/>
          <w:szCs w:val="28"/>
          <w:rtl w:val="true"/>
          <w:lang w:bidi="ar-SA"/>
        </w:rPr>
        <w:t xml:space="preserve">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الذخيرة إلاّ مع العجز عن الركوب بدون المحمل أو التضرّر </w:t>
      </w:r>
      <w:r>
        <w:rPr>
          <w:rStyle w:val="FootnoteAnchor"/>
          <w:rtl w:val="true"/>
        </w:rPr>
        <w:footnoteReference w:id="114"/>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عليه السلام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دعاه قوم أن يحجّوه فاستحيا فلم يفعل فإنّه لا يسعه إلاّ أن يخرج ولو على حمار أجدع أبتر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ما يحجّ به فاستحيا من ذلك أهو ممّن </w:t>
      </w:r>
      <w:bookmarkStart w:id="52" w:name="pg11651_107633"/>
    </w:p>
    <w:p>
      <w:pPr>
        <w:pStyle w:val="BookText"/>
        <w:rPr/>
      </w:pPr>
      <w:bookmarkEnd w:id="52"/>
      <w:r>
        <w:rPr>
          <w:rFonts w:ascii="Amiri" w:hAnsi="Amiri" w:eastAsia="Amiri" w:cs="Amiri"/>
          <w:color w:val="111111"/>
          <w:sz w:val="28"/>
          <w:sz w:val="28"/>
          <w:szCs w:val="28"/>
          <w:rtl w:val="true"/>
          <w:lang w:bidi="ar-SA"/>
        </w:rPr>
        <w:t xml:space="preserve">يستطيع إليه سبيلا؟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ما شأنه 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ولو على حمار أبتر ، فإن كان يستطيع أن يمشي بعضا ويركب بعضا فليحجّ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عليه الحجّ ولو على حمار أجدع مقطوع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مستطيع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عرض عليه الحجّ فاستحيا؟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ممّن يستطيع ولم يستحي ولو على حمار أجدع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يستطيع أن يمشي بعضا ويركب بعضا فليفعل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يخصّص عموم انتفاء العسر لو سلّمناه هنا ولم نقل أنّه من الخيلاء وخداع النفس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يضطرّ إليه من الآلات والأوعية التي يحتاج إليها المسافر ، من القرب والجواليق </w:t>
      </w:r>
      <w:r>
        <w:rPr>
          <w:rStyle w:val="FootnoteAnchor"/>
          <w:rtl w:val="true"/>
        </w:rPr>
        <w:footnoteReference w:id="119"/>
      </w:r>
      <w:r>
        <w:rPr>
          <w:rFonts w:ascii="Amiri" w:hAnsi="Amiri" w:eastAsia="Amiri" w:cs="Amiri"/>
          <w:color w:val="111111"/>
          <w:sz w:val="28"/>
          <w:sz w:val="28"/>
          <w:szCs w:val="28"/>
          <w:rtl w:val="true"/>
          <w:lang w:bidi="ar-SA"/>
        </w:rPr>
        <w:t>وثياب المركوب وما شابهها بالإجماع ، لعدم صدق الاستطاعة بدونها مع الضرورة</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171946_73709187"/>
      <w:bookmarkStart w:id="54" w:name="_Toc20"/>
      <w:bookmarkEnd w:id="53"/>
      <w:r>
        <w:rPr>
          <w:rtl w:val="true"/>
        </w:rPr>
        <w:t xml:space="preserve">ويلحق بهذا المقام مسائل </w:t>
      </w:r>
      <w:r>
        <w:rPr>
          <w:rtl w:val="true"/>
        </w:rPr>
        <w:t>:</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وجوب الحجّ من فاضل من الزاد والراحلة </w:t>
      </w:r>
    </w:p>
    <w:p>
      <w:pPr>
        <w:pStyle w:val="BookText"/>
        <w:rPr/>
      </w:pPr>
      <w:r>
        <w:rPr>
          <w:rFonts w:ascii="Amiri" w:hAnsi="Amiri" w:eastAsia="Amiri" w:cs="Amiri"/>
          <w:color w:val="111111"/>
          <w:sz w:val="28"/>
          <w:sz w:val="28"/>
          <w:szCs w:val="28"/>
          <w:rtl w:val="true"/>
          <w:lang w:bidi="ar-SA"/>
        </w:rPr>
        <w:t xml:space="preserve">بقدر ما يمون به عياله الواجبي النفقة حتى يرجع ، بالإجماع المحقّق والمحكي </w:t>
      </w:r>
      <w:r>
        <w:rPr>
          <w:rStyle w:val="FootnoteAnchor"/>
          <w:rtl w:val="true"/>
        </w:rPr>
        <w:footnoteReference w:id="120"/>
      </w:r>
      <w:r>
        <w:rPr>
          <w:rFonts w:ascii="Amiri" w:hAnsi="Amiri" w:eastAsia="Amiri" w:cs="Amiri"/>
          <w:color w:val="111111"/>
          <w:sz w:val="28"/>
          <w:sz w:val="28"/>
          <w:szCs w:val="28"/>
          <w:rtl w:val="true"/>
          <w:lang w:bidi="ar-SA"/>
        </w:rPr>
        <w:t xml:space="preserve">، والنّص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سئل أبو جعفر عليه السلام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إذن ، لئن كان من كان له زاد وراحلة قدر ما يقوت به عياله ويستغني به عن الناس ينطلق إليهم فيسلبهم إيّاه لقد هلكوا ، فقيل له فما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إذا كان يحجّ ببعض ويبقي بعضا يقوت به عياله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والمرسلة المرويّة في المجمع عن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الاستطاعة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وجود الزاد والراحلة ونفقة من يلزم نفقته والرجوع إلى كفاية ، إمّا من مال أو ضياع أو حرفة مع الصحّة في النفس وتخلية السرب من الموانع وإمكان السير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المرويّ عن الخصال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الزاد والراحلة مع صحّة البدن ، وأن يكون للإنسان ما يخلفه على عياله وما يرجع إليه من حجّه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الناس إذا كان من له زاد وراحلة لا يملك غيرهما أو مقدار ذلك ممّا يقوت به عياله ويستغني به عن الناس ، فقد وجب عليه أن يحجّ بذلك ، ثم يرجع فيسأل الناس بكفّه ، لقد هلك إذن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عندك؟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السعة في المال ، وهو أن يكون معه ما يحجّ ببعضه ويبقى بعض يقوت به نفسه وعياله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بعض هذه الأخبار لو كان لكان منجبرا بعمل الطائفة طرّا والإجماعات المحكيّة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بعض الأخبار المذكورة في المسألة الثالثة الآتية ، وبعض هذه النصوص وإن لم يقيّد العيال بواجبي النفقة ولا ما يمون به إلى وقت الرجوع ، إلاّ أنّ الأول مصرّح به في رواية المجمع ، ومع ذلك هو مقتضى الاقتصار على القدر المتيقّن ، والثاني مفهوم من السياق ، بل هو أيضا اقتصار على المتيقّن ، لأنّ الظاهر منه اعتبار ما يستغنى به عن الناس مطلقا ، وهو يشمل ما بعد الرجوع أيضا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اشتراط الرجوع إلى صنعة أو بضاعة أو عقار أو نحوها ممّا تكون فيه الكفاية عادة بحيث لا يحوجه صرف المال في الحجّ إلى السؤال بعد العود ، وفاقا للشيخين والحلبي والقاضي وبني زهرة وحمزة وسعيد </w:t>
      </w:r>
      <w:r>
        <w:rPr>
          <w:rStyle w:val="FootnoteAnchor"/>
          <w:rtl w:val="true"/>
        </w:rPr>
        <w:footnoteReference w:id="125"/>
      </w:r>
      <w:r>
        <w:rPr>
          <w:rFonts w:ascii="Amiri" w:hAnsi="Amiri" w:eastAsia="Amiri" w:cs="Amiri"/>
          <w:color w:val="111111"/>
          <w:sz w:val="28"/>
          <w:sz w:val="28"/>
          <w:szCs w:val="28"/>
          <w:rtl w:val="true"/>
          <w:lang w:bidi="ar-SA"/>
        </w:rPr>
        <w:t xml:space="preserve">، وهو ظاهر الصدوق أيضا </w:t>
      </w:r>
      <w:r>
        <w:rPr>
          <w:rStyle w:val="FootnoteAnchor"/>
          <w:rtl w:val="true"/>
        </w:rPr>
        <w:footnoteReference w:id="126"/>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أكثر المتقدّمين </w:t>
      </w:r>
      <w:r>
        <w:rPr>
          <w:rStyle w:val="FootnoteAnchor"/>
          <w:rtl w:val="true"/>
        </w:rPr>
        <w:footnoteReference w:id="127"/>
      </w:r>
      <w:r>
        <w:rPr>
          <w:rFonts w:ascii="Amiri" w:hAnsi="Amiri" w:eastAsia="Amiri" w:cs="Amiri"/>
          <w:color w:val="111111"/>
          <w:sz w:val="28"/>
          <w:sz w:val="28"/>
          <w:szCs w:val="28"/>
          <w:rtl w:val="true"/>
          <w:lang w:bidi="ar-SA"/>
        </w:rPr>
        <w:t xml:space="preserve">، 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بينهم </w:t>
      </w:r>
      <w:r>
        <w:rPr>
          <w:rStyle w:val="FootnoteAnchor"/>
          <w:rtl w:val="true"/>
        </w:rPr>
        <w:footnoteReference w:id="128"/>
      </w:r>
      <w:r>
        <w:rPr>
          <w:rFonts w:ascii="Amiri" w:hAnsi="Amiri" w:eastAsia="Amiri" w:cs="Amiri"/>
          <w:color w:val="111111"/>
          <w:sz w:val="28"/>
          <w:sz w:val="28"/>
          <w:szCs w:val="28"/>
          <w:rtl w:val="true"/>
          <w:lang w:bidi="ar-SA"/>
        </w:rPr>
        <w:t xml:space="preserve">، وفي المختلف والمسالك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نقله السيّد عن الأكثر </w:t>
      </w:r>
      <w:r>
        <w:rPr>
          <w:rStyle w:val="FootnoteAnchor"/>
          <w:rtl w:val="true"/>
        </w:rPr>
        <w:footnoteReference w:id="129"/>
      </w:r>
      <w:r>
        <w:rPr>
          <w:rFonts w:ascii="Amiri" w:hAnsi="Amiri" w:eastAsia="Amiri" w:cs="Amiri"/>
          <w:color w:val="111111"/>
          <w:sz w:val="28"/>
          <w:sz w:val="28"/>
          <w:szCs w:val="28"/>
          <w:rtl w:val="true"/>
          <w:lang w:bidi="ar-SA"/>
        </w:rPr>
        <w:t xml:space="preserve">، وعن الخلاف والغنية إجماع الإماميّة عليه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مرّ من روايات المجمع والخصال والمقنعة ، فإنّ قوله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يرجع فيسأل الناس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اشتراط الكفاية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البعض يقوت به نفسه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رجوعه ، وإلاّ فكيف يقوت نفسه بذلك البعض الباقي مع أنّه 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يستفاد منه اعتبار بقاء شي‌ء بعد الحجّ والرجوع ، وهو غير دالّ على كونه بقدر الكفاية على الوجه المتنازع فيه ، فيحتمل أن يكون المراد به قوت السنة له ولعياله ، إذ ذلك كاف في عدم السؤال ، إذ به يحصل الغناء الشرعي ، كما في المدارك والذخيرة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 بأنّ بعد اعتبار ذلك يثبت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المطلوب أيضا ما مرّ من الإجمال في العمومات والمطلقات ، الموجب للرجوع إلى الأصل في غير ما ثبت معه الوجوب ، وضعف سند ما ذكر مجبور بما مرّ من حكايات الشهرة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للمطلوب بظاهر الآية ، حيث إنّ الاستطاعة لغة وعرفا ليست هي مجرّد القدرة والطاقة ، بل ما تكون فيه السهولة وارتفاع المشقّة ، كما ذكره السيّد في المسائل الناصريّة مستدلاّ بالاستعمال في مواضع كثيرة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جيّد ، لأنّه إنّما يتمّ على أصله من كون الأصل في الاستعمال الحقيقة ، مضافا إلى أنّه يفيد لو كانت الاستطاعة في الآية مطلقة ، ولكنّها </w:t>
      </w:r>
    </w:p>
    <w:p>
      <w:pPr>
        <w:pStyle w:val="BookText"/>
        <w:rPr/>
      </w:pPr>
      <w:r>
        <w:rPr>
          <w:rFonts w:ascii="Amiri" w:hAnsi="Amiri" w:eastAsia="Amiri" w:cs="Amiri"/>
          <w:color w:val="111111"/>
          <w:sz w:val="28"/>
          <w:sz w:val="28"/>
          <w:szCs w:val="28"/>
          <w:rtl w:val="true"/>
          <w:lang w:bidi="ar-SA"/>
        </w:rPr>
        <w:t>باستطاعة السبيل مقيّدة ، فغايته سهولة قطع الطريق لا مطلقا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القديمين وجمل السيّد والحلّي وفي النافع والشرائع </w:t>
      </w:r>
      <w:r>
        <w:rPr>
          <w:rStyle w:val="FootnoteAnchor"/>
          <w:rtl w:val="true"/>
        </w:rPr>
        <w:footnoteReference w:id="133"/>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134"/>
      </w:r>
      <w:r>
        <w:rPr>
          <w:rFonts w:ascii="Amiri" w:hAnsi="Amiri" w:eastAsia="Amiri" w:cs="Amiri"/>
          <w:color w:val="111111"/>
          <w:sz w:val="28"/>
          <w:sz w:val="28"/>
          <w:szCs w:val="28"/>
          <w:rtl w:val="true"/>
          <w:lang w:bidi="ar-SA"/>
        </w:rPr>
        <w:t xml:space="preserve">، بل مطلقا كما عن المعتبر والتذكرة </w:t>
      </w:r>
      <w:r>
        <w:rPr>
          <w:rStyle w:val="FootnoteAnchor"/>
          <w:rtl w:val="true"/>
        </w:rPr>
        <w:footnoteReference w:id="135"/>
      </w:r>
      <w:r>
        <w:rPr>
          <w:rFonts w:ascii="Amiri" w:hAnsi="Amiri" w:eastAsia="Amiri" w:cs="Amiri"/>
          <w:color w:val="111111"/>
          <w:sz w:val="28"/>
          <w:sz w:val="28"/>
          <w:szCs w:val="28"/>
          <w:rtl w:val="true"/>
          <w:lang w:bidi="ar-SA"/>
        </w:rPr>
        <w:t>، لظاهر الآية ، وللأخبار المتقدّمة المصرّحة بحصول الاستطاعة بوجود ما يحجّ به ، أو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تخصيصه بما ذكرنا ، لأخصيّة المطلقة الموافقة للشهرة القديمة والملّة السهلة الحنيفة ، ومخالفة عمل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الرجوع إلى كفاية إنّما يشترط فيمن كانت استطاعته بماله وكانت له كفاية ، بحيث لو قلنا بعدم الاشتراط صرف الكفاية في الحجّ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ليس كذلك ولا يتفاوت حجّه في وجود الكفاية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أدرك أحد الموقفين كاملا أو حرّا أو من ذهب متسكّعا أو تأجّر إلى قريب مكّة وتحصل له الاستطاعة من غير احتياج إلى صرف مال ، أو بذل له أحد 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فيه الرجوع إلى الكفاية إجماعا ، لأنّ من ذكرنا هو المراد من روايات اعتبار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من سياقها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يتكفّف ، سواء حجّ أو لم يحجّ ، مع أنّ انجبارها الموجب لحجّيتها </w:t>
      </w:r>
    </w:p>
    <w:p>
      <w:pPr>
        <w:pStyle w:val="BookText"/>
        <w:rPr/>
      </w:pPr>
      <w:r>
        <w:rPr>
          <w:rFonts w:ascii="Amiri" w:hAnsi="Amiri" w:eastAsia="Amiri" w:cs="Amiri"/>
          <w:color w:val="111111"/>
          <w:sz w:val="28"/>
          <w:sz w:val="28"/>
          <w:szCs w:val="28"/>
          <w:rtl w:val="true"/>
          <w:lang w:bidi="ar-SA"/>
        </w:rPr>
        <w:t>مخصوص بما 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صحيحة ابن عمّار </w:t>
      </w:r>
      <w:r>
        <w:rPr>
          <w:rStyle w:val="FootnoteAnchor"/>
          <w:rtl w:val="true"/>
        </w:rPr>
        <w:footnoteReference w:id="137"/>
      </w:r>
      <w:r>
        <w:rPr>
          <w:rFonts w:ascii="Amiri" w:hAnsi="Amiri" w:eastAsia="Amiri" w:cs="Amiri"/>
          <w:color w:val="111111"/>
          <w:sz w:val="28"/>
          <w:sz w:val="28"/>
          <w:szCs w:val="28"/>
          <w:rtl w:val="true"/>
          <w:lang w:bidi="ar-SA"/>
        </w:rPr>
        <w:t xml:space="preserve">والغنوي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الموجبتان للإجمال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واردتان فيمن يحجّ من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فروايات وجوب الحجّ على مدرك الموقفين والمبذول له نفقة الحجّ ونحوهما </w:t>
      </w:r>
      <w:r>
        <w:rPr>
          <w:rStyle w:val="FootnoteAnchor"/>
          <w:rtl w:val="true"/>
        </w:rPr>
        <w:footnoteReference w:id="139"/>
      </w:r>
      <w:r>
        <w:rPr>
          <w:rFonts w:ascii="Amiri" w:hAnsi="Amiri" w:eastAsia="Amiri" w:cs="Amiri"/>
          <w:color w:val="111111"/>
          <w:sz w:val="28"/>
          <w:sz w:val="28"/>
          <w:szCs w:val="28"/>
          <w:rtl w:val="true"/>
          <w:lang w:bidi="ar-SA"/>
        </w:rPr>
        <w:t>تعارض الروايات المذكورة ، ولا تخصّص أيضا بهاتين الروايتين حتى يحصل فيها الإجمال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لنفقة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 ولا دار السكنى ، ولا الثياب المحتاج إليها ، ولا فرس الركوب ، ولا كتب العلم ، ولا أثاث البيت ، ولا آلات الصنائع ، كلّ ذلك مع الضرورة والحاجة بقدرهما ، وعلى أكثرها حكاية الإجماع مستفيضة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انتفاء الضيق والعسر والحرج الحاصلة بالتكليف ببيع هذه الأمور ، ويمكن أن يستدلّ له بصحيحة المحاربي المتقدّمة </w:t>
      </w:r>
      <w:r>
        <w:rPr>
          <w:rStyle w:val="FootnoteAnchor"/>
          <w:rtl w:val="true"/>
        </w:rPr>
        <w:footnoteReference w:id="141"/>
      </w:r>
      <w:r>
        <w:rPr>
          <w:rFonts w:ascii="Amiri" w:hAnsi="Amiri" w:eastAsia="Amiri" w:cs="Amiri"/>
          <w:color w:val="111111"/>
          <w:sz w:val="28"/>
          <w:sz w:val="28"/>
          <w:szCs w:val="28"/>
          <w:rtl w:val="true"/>
          <w:lang w:bidi="ar-SA"/>
        </w:rPr>
        <w:t>، حيث إنّ مع الحاجة إليها يصدق حاجة تجحف 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أيضا بصحيحة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يحجّ حجّة الإسلام ولم يترك إلاّ بقدر نفقة الحجّ فورثته أحقّ بما ترك ، إن شاءوا حجّوا عنه وإن شاءوا 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الغنوي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دلّتا على عدم كفاية نفقة الحجّ في الاستطاعة واستقرار الحجّ في الذمّة ، بل لا بد من الزائد عليها ، ولعدم تعيّن الزائد يدخل الإجمال في العمومات والإطلاقات ، فلا يحكم بالوجوب إلاّ في موضع اليقين ، وهو بعد استثناء نفقة العيال والأمور المذكورة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جواز مراعاة المناسبة لحاله بحسب عادة زمانه ومكانه في العزّ والشرف ، ويجب الاقتصار في هذه الأشياء على قدر الضرورة مع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أعيانها على قدر الحاجة وجب صرف الزائد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بيعها وشراء ما يليق بحاله بأقلّ من ثمنها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وجوب البيع وشراء الأدون </w:t>
      </w:r>
      <w:r>
        <w:rPr>
          <w:rStyle w:val="FootnoteAnchor"/>
          <w:rtl w:val="true"/>
        </w:rPr>
        <w:footnoteReference w:id="143"/>
      </w:r>
      <w:r>
        <w:rPr>
          <w:rFonts w:ascii="Amiri" w:hAnsi="Amiri" w:eastAsia="Amiri" w:cs="Amiri"/>
          <w:color w:val="111111"/>
          <w:sz w:val="28"/>
          <w:sz w:val="28"/>
          <w:szCs w:val="28"/>
          <w:rtl w:val="true"/>
          <w:lang w:bidi="ar-SA"/>
        </w:rPr>
        <w:t>، وكذا لو أمكن تحصيل ما تحصل به الكفاية من هذه الأشياء بالإجارة ونحوها من غير مشقّة عاديّة ، فالظاهر الاكتفاء به ، وما ذكره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تكن له المستثنيات تستثنى له أثمانها إذا دعت الضرورة العاديّة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عين الزاد والراحلة وأمكن شراؤهما أو استئجار ما يصحّ استئجاره منهما ، وجب إجماعا ، لتوقّف الواجب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يوجد إلاّ بالزائد عن الثمن والأجرة ، فصرّح في الشرائع والمنتهى </w:t>
      </w:r>
      <w:r>
        <w:rPr>
          <w:rStyle w:val="FootnoteAnchor"/>
          <w:rtl w:val="true"/>
        </w:rPr>
        <w:footnoteReference w:id="144"/>
      </w:r>
      <w:r>
        <w:rPr>
          <w:rFonts w:ascii="Amiri" w:hAnsi="Amiri" w:eastAsia="Amiri" w:cs="Amiri"/>
          <w:color w:val="111111"/>
          <w:sz w:val="28"/>
          <w:sz w:val="28"/>
          <w:szCs w:val="28"/>
          <w:rtl w:val="true"/>
          <w:lang w:bidi="ar-SA"/>
        </w:rPr>
        <w:t xml:space="preserve">وغيرهما </w:t>
      </w:r>
      <w:r>
        <w:rPr>
          <w:rStyle w:val="FootnoteAnchor"/>
          <w:rtl w:val="true"/>
        </w:rPr>
        <w:footnoteReference w:id="145"/>
      </w:r>
      <w:r>
        <w:rPr>
          <w:rFonts w:ascii="Amiri" w:hAnsi="Amiri" w:eastAsia="Amiri" w:cs="Amiri"/>
          <w:color w:val="111111"/>
          <w:sz w:val="28"/>
          <w:sz w:val="28"/>
          <w:szCs w:val="28"/>
          <w:rtl w:val="true"/>
          <w:lang w:bidi="ar-SA"/>
        </w:rPr>
        <w:t xml:space="preserve">بوجوب الشراء والإجارة ، ونسبه في المدارك والذخيرة إلى الأكثر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عدم الوجوب </w:t>
      </w:r>
      <w:r>
        <w:rPr>
          <w:rStyle w:val="FootnoteAnchor"/>
          <w:rtl w:val="true"/>
        </w:rPr>
        <w:footnoteReference w:id="147"/>
      </w:r>
      <w:r>
        <w:rPr>
          <w:rFonts w:ascii="Amiri" w:hAnsi="Amiri" w:eastAsia="Amiri" w:cs="Amiri"/>
          <w:color w:val="111111"/>
          <w:sz w:val="28"/>
          <w:sz w:val="28"/>
          <w:szCs w:val="28"/>
          <w:rtl w:val="true"/>
          <w:lang w:bidi="ar-SA"/>
        </w:rPr>
        <w:t xml:space="preserve">، 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تجحف بماله لم يلزمه شراؤه وإن تمكّن على إشكال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وجده بأكثر من ثمن المثل أو بأكثر من أجرة المثل ، فإن تضرّر به لم يجب الشراء إجماعا ، وإن لم يتضرّر فالأقرب وجوب الشراء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ومراده من التضرّر إمّا إهلاك النفس والعيال ، أو الوقوع في ذلّ المسكنة والسؤال ، فلا يجب مع مثل ذلك ويجب بدونه ، أو المراد ما يعدّ ضررا عرفا ولو كان 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تكن الزيادة شيئا لا يعدّ بالنسبة إليه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مراده من قوله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تجحف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Style w:val="FootnoteAnchor"/>
          <w:rtl w:val="true"/>
        </w:rPr>
        <w:footnoteReference w:id="150"/>
      </w:r>
      <w:r>
        <w:rPr>
          <w:rFonts w:ascii="Amiri" w:hAnsi="Amiri" w:eastAsia="Amiri" w:cs="Amiri"/>
          <w:color w:val="111111"/>
          <w:sz w:val="28"/>
          <w:sz w:val="28"/>
          <w:szCs w:val="28"/>
          <w:rtl w:val="true"/>
          <w:lang w:bidi="ar-SA"/>
        </w:rPr>
        <w:t>وجوب الحجّ بالاستطاعة ، أو بوجدان الزاد والراحلة ، ولا شكّ أنّ مثل ذلك الشخص واجد لهما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المرويّ في الدعائم المتقدّم في بحث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يجد الماء بثمن غال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واجدا لثمنه فقد وجده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النافين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التعويل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نفي الضرر والضرار والعسر والحرج ، بجعلها معارضا للأولى وتقديم الثانية ، أو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دليل المفصّل بين الإجحاف والتضرّر وعدمه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على الظاهر مع المفصّل ، لما ذكر ، بل النافي للوجوب مطلقا ، </w:t>
      </w:r>
    </w:p>
    <w:p>
      <w:pPr>
        <w:pStyle w:val="BookText"/>
        <w:rPr/>
      </w:pPr>
      <w:r>
        <w:rPr>
          <w:rFonts w:ascii="Amiri" w:hAnsi="Amiri" w:eastAsia="Amiri" w:cs="Amiri"/>
          <w:color w:val="111111"/>
          <w:sz w:val="28"/>
          <w:sz w:val="28"/>
          <w:szCs w:val="28"/>
          <w:rtl w:val="true"/>
          <w:lang w:bidi="ar-SA"/>
        </w:rPr>
        <w:t>لصدق الضرر على بذل الزائد على الثمن مطلقا ، كما يظهر من استدلال بعضهم لخيار الغبن مطلقا بنفي الضرر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إلاّ أنّ في صدق الضرر على مثل ذلك نظرا ، لما يقع بإزائه من تحصيل مقدّمات الحجّ بملاحظة العلّة المنصوصة في صحيحة صفوان الواردة في شراء ماء الوضوء بمائة درهم أو ألف درهم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يشتري بذلك مال كثير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فإنّه علّل وجوب الشراء بأنّه يشتري بإزائه مالا كثيرا ، وهو هنا أيضا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الأخبار الأخر المتضمّنة لشراء ماء الوضوء بمائة ألف أو ألف أو مائة دينار </w:t>
      </w:r>
      <w:r>
        <w:rPr>
          <w:rStyle w:val="FootnoteAnchor"/>
          <w:rtl w:val="true"/>
        </w:rPr>
        <w:footnoteReference w:id="154"/>
      </w:r>
      <w:r>
        <w:rPr>
          <w:rFonts w:ascii="Amiri" w:hAnsi="Amiri" w:eastAsia="Amiri" w:cs="Amiri"/>
          <w:color w:val="111111"/>
          <w:sz w:val="28"/>
          <w:sz w:val="28"/>
          <w:szCs w:val="28"/>
          <w:rtl w:val="true"/>
          <w:lang w:bidi="ar-SA"/>
        </w:rPr>
        <w:t>، فالأقرب هو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وجوب بيع المتاع أو الضياع بأقلّ من ثمن المثل ولو كثيرا إذا لم يمكن البيع بالثمن ، للعلّة المنصوصة ، ولأنّه يجب البيع لو كان ثمنه الزاد أو الراحلة ويتعدّى إلى ثمنهما بالإجماع المركّب ، مع أنّ العلّة المنصوصة جارية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وهو قادر على اقتضائه وجب عليه إجماعا ، لصدق الاستطاعة ، ولو لم يقدر لم يجب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مؤجّلا هل تجب عليه الاستدانة للحجّ وأداؤه من ماله بعد الأجل ، وكذا لو كان له مال لا يمكنه الحجّ ولم يمكن بيعه في الحال ، فهل تجب الاستدانة؟ </w:t>
      </w:r>
    </w:p>
    <w:p>
      <w:pPr>
        <w:pStyle w:val="BookText"/>
        <w:rPr/>
      </w:pPr>
      <w:r>
        <w:rPr>
          <w:rFonts w:ascii="Amiri" w:hAnsi="Amiri" w:eastAsia="Amiri" w:cs="Amiri"/>
          <w:color w:val="111111"/>
          <w:sz w:val="28"/>
          <w:sz w:val="28"/>
          <w:szCs w:val="28"/>
          <w:rtl w:val="true"/>
          <w:lang w:bidi="ar-SA"/>
        </w:rPr>
        <w:t xml:space="preserve">صرّح في المنتهى بالعدم </w:t>
      </w:r>
      <w:r>
        <w:rPr>
          <w:rStyle w:val="FootnoteAnchor"/>
          <w:rtl w:val="true"/>
        </w:rPr>
        <w:footnoteReference w:id="155"/>
      </w:r>
      <w:r>
        <w:rPr>
          <w:rFonts w:ascii="Amiri" w:hAnsi="Amiri" w:eastAsia="Amiri" w:cs="Amiri"/>
          <w:color w:val="111111"/>
          <w:sz w:val="28"/>
          <w:sz w:val="28"/>
          <w:szCs w:val="28"/>
          <w:rtl w:val="true"/>
          <w:lang w:bidi="ar-SA"/>
        </w:rPr>
        <w:t xml:space="preserve">، وفي الدروس والمدارك بالوجوب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وعدم الاستطاعة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التمكّن من الحجّ ، فيكون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الاستطاعة من ماله ، وقبل الاقتراض ليس كذلك ، فلا يجب عليه ، ولو كان مطلق التمكّن استطاعة لوجبت الاستدانة لو لم يكن له مال أيضا ، بل طلب البذل إذا علم أنّه يبذل له لو طلب ، وهو خلاف الإجماع ، ومنّة القبول وذلّ الطلب حاصلان في الاستدانة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التقييد بالاستطاعة من ماله أولا ، وحصولها بالتمكّن من تحصيل المال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ردّ دليل الأول وتماميّة دليل القول الثاني ، فهو الأقرب ، وخرجت الاستدانة من غير مال والسؤال بالأخبار والإجماع ، مع أنّه لو صحّ الأول لزم عدم إجزاء حجّ من فقد ماله في أثناء الطريق أو سرق أو نهب أو صرفه في مصرف </w:t>
      </w:r>
      <w:r>
        <w:rPr>
          <w:rStyle w:val="FootnoteAnchor"/>
          <w:rtl w:val="true"/>
        </w:rPr>
        <w:footnoteReference w:id="157"/>
      </w:r>
      <w:r>
        <w:rPr>
          <w:rFonts w:ascii="Amiri" w:hAnsi="Amiri" w:eastAsia="Amiri" w:cs="Amiri"/>
          <w:color w:val="111111"/>
          <w:sz w:val="28"/>
          <w:sz w:val="28"/>
          <w:szCs w:val="28"/>
          <w:rtl w:val="true"/>
          <w:lang w:bidi="ar-SA"/>
        </w:rPr>
        <w:t>واحتاج إلى الاقتراض ، والظاهر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الحجّ على المديون أم لا؟</w:t>
      </w:r>
    </w:p>
    <w:p>
      <w:pPr>
        <w:pStyle w:val="BookText"/>
        <w:rPr/>
      </w:pPr>
      <w:r>
        <w:rPr>
          <w:rFonts w:ascii="Amiri" w:hAnsi="Amiri" w:eastAsia="Amiri" w:cs="Amiri"/>
          <w:color w:val="111111"/>
          <w:sz w:val="28"/>
          <w:sz w:val="28"/>
          <w:szCs w:val="28"/>
          <w:rtl w:val="true"/>
          <w:lang w:bidi="ar-SA"/>
        </w:rPr>
        <w:t xml:space="preserve">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إمّا معجّل أو مؤجّل ، والأول إمّا أن يكون مطالبا به أم لا ، والثاني إمّا لا يسع الأجل إتمام المناسك والعود أو يسعه ، وعلى التقادير إمّا يكون له ما يقضي دينه زائدا على نفقة الحجّ أم لا ، وعلى الثاني إمّا يظنّ له طريق للوفاء به بعد الرجوع أو 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الوجوب مع التعجيل وعدم وفاء المال بالحجّ </w:t>
      </w:r>
    </w:p>
    <w:p>
      <w:pPr>
        <w:pStyle w:val="BookText"/>
        <w:rPr/>
      </w:pPr>
      <w:r>
        <w:rPr>
          <w:rFonts w:ascii="Amiri" w:hAnsi="Amiri" w:eastAsia="Amiri" w:cs="Amiri"/>
          <w:color w:val="111111"/>
          <w:sz w:val="28"/>
          <w:sz w:val="28"/>
          <w:szCs w:val="28"/>
          <w:rtl w:val="true"/>
          <w:lang w:bidi="ar-SA"/>
        </w:rPr>
        <w:t xml:space="preserve">والدين معا ، سواء كان مطالبا به أم لا ، وسواء ظنّ له طريق للوفاء بعد الرجوع أم لا ، وإن تردّد بعضهم في بعض صوره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عدم الجواز مع المطالبة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إشكال في الوجوب مع كون ماله بقدر ما يقضي به دينه زائدا على نفقة الحجّ مطلقا ، 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الوجوب مع التأجيل وعدم سعة الأجل للحجّ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دخول الإشكال والخدش في أكثر الصور المذكورة ، لأنّ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مال يسع أحد الأمرين من الحجّ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الحجّ وخطاب أداء الدين ، وإذ لا مرجّح في البين فيكون مخيّرا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التعجيل أو عدم سعة الأجل هو مخيّر بين الحجّ ووفاء الدين ، سواء علمت المطالبة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رضى الدائن بالتأخير فلا يكون مأمورا بالوفاء ، فيبقى خطاب الحجّ خاليا عن المعارض ،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مؤجّلا بأجل يسع الحجّ 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ظنّ له طريق للوفاء بعد العود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للقدماء على قول في المسألة ، وكذا كثير من المتأخّرين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تعرّض لها جماعة منهم ، وهم بين مصرّح بعدم الوجوب إذا لم تفضل عن دينه نفقة الحجّ ، من غير تعرّض للمعجّل أو المؤجّل ، كما في </w:t>
      </w:r>
    </w:p>
    <w:p>
      <w:pPr>
        <w:pStyle w:val="BookText"/>
        <w:rPr/>
      </w:pPr>
      <w:r>
        <w:rPr>
          <w:rFonts w:ascii="IRNazanin" w:hAnsi="IRNazanin" w:eastAsia="IRNazanin"/>
          <w:color w:val="111111"/>
          <w:sz w:val="28"/>
          <w:sz w:val="28"/>
          <w:szCs w:val="28"/>
          <w:rtl w:val="true"/>
          <w:lang w:bidi="fa-IR"/>
        </w:rPr>
        <w:t xml:space="preserve">الشرائع </w:t>
      </w:r>
      <w:r>
        <w:rPr>
          <w:rStyle w:val="FootnoteAnchor"/>
          <w:rtl w:val="true"/>
        </w:rPr>
        <w:footnoteReference w:id="160"/>
      </w:r>
      <w:r>
        <w:rPr>
          <w:rFonts w:ascii="Amiri" w:hAnsi="Amiri" w:eastAsia="Amiri" w:cs="Amiri"/>
          <w:color w:val="111111"/>
          <w:sz w:val="28"/>
          <w:sz w:val="28"/>
          <w:szCs w:val="28"/>
          <w:rtl w:val="true"/>
          <w:lang w:bidi="ar-SA"/>
        </w:rPr>
        <w:t xml:space="preserve">وبعض كتب الفاضل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ومصرّح بعدمه مع التعجيل والتأجيل ، كالمنتهى والتحرير والدروس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المدارك والكفاية والذخيرة التردّد في بعض الصور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Style w:val="FootnoteAnchor"/>
          <w:rtl w:val="true"/>
        </w:rPr>
        <w:footnoteReference w:id="164"/>
      </w:r>
      <w:r>
        <w:rPr>
          <w:rFonts w:ascii="Amiri" w:hAnsi="Amiri" w:eastAsia="Amiri" w:cs="Amiri"/>
          <w:color w:val="111111"/>
          <w:sz w:val="28"/>
          <w:sz w:val="28"/>
          <w:szCs w:val="28"/>
          <w:rtl w:val="true"/>
          <w:lang w:bidi="ar-SA"/>
        </w:rPr>
        <w:t>، والظاهر أنّه مذهب القدماء ، حيث لم يتعرّضوا لاشتراط الخلوّ عن الدين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الحقّ ، لصدق الاستطاعة عرفا ، والمستفيضة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الاستطاعة هي أن يكون له مال يحجّ به ، كصحاح ابن عمّار </w:t>
      </w:r>
      <w:r>
        <w:rPr>
          <w:rStyle w:val="FootnoteAnchor"/>
          <w:rtl w:val="true"/>
        </w:rPr>
        <w:footnoteReference w:id="165"/>
      </w:r>
      <w:r>
        <w:rPr>
          <w:rFonts w:ascii="IRNazanin" w:hAnsi="IRNazanin" w:eastAsia="IRNazanin"/>
          <w:color w:val="111111"/>
          <w:sz w:val="28"/>
          <w:sz w:val="28"/>
          <w:szCs w:val="28"/>
          <w:rtl w:val="true"/>
          <w:lang w:bidi="fa-IR"/>
        </w:rPr>
        <w:t xml:space="preserve">ومحمد </w:t>
      </w:r>
      <w:r>
        <w:rPr>
          <w:rStyle w:val="FootnoteAnchor"/>
          <w:rtl w:val="true"/>
        </w:rPr>
        <w:footnoteReference w:id="166"/>
      </w:r>
      <w:r>
        <w:rPr>
          <w:rFonts w:ascii="Amiri" w:hAnsi="Amiri" w:eastAsia="Amiri" w:cs="Amiri"/>
          <w:color w:val="111111"/>
          <w:sz w:val="28"/>
          <w:sz w:val="28"/>
          <w:szCs w:val="28"/>
          <w:rtl w:val="true"/>
          <w:lang w:bidi="ar-SA"/>
        </w:rPr>
        <w:t xml:space="preserve">والحلبي </w:t>
      </w:r>
      <w:r>
        <w:rPr>
          <w:rStyle w:val="FootnoteAnchor"/>
          <w:rtl w:val="true"/>
        </w:rPr>
        <w:footnoteReference w:id="167"/>
      </w:r>
      <w:r>
        <w:rPr>
          <w:rFonts w:ascii="Amiri" w:hAnsi="Amiri" w:eastAsia="Amiri" w:cs="Amiri"/>
          <w:color w:val="111111"/>
          <w:sz w:val="28"/>
          <w:sz w:val="28"/>
          <w:szCs w:val="28"/>
          <w:rtl w:val="true"/>
          <w:lang w:bidi="ar-SA"/>
        </w:rPr>
        <w:t xml:space="preserve">والخثعمي </w:t>
      </w:r>
      <w:r>
        <w:rPr>
          <w:rStyle w:val="FootnoteAnchor"/>
          <w:rtl w:val="true"/>
        </w:rPr>
        <w:footnoteReference w:id="168"/>
      </w:r>
      <w:r>
        <w:rPr>
          <w:rFonts w:ascii="Amiri" w:hAnsi="Amiri" w:eastAsia="Amiri" w:cs="Amiri"/>
          <w:color w:val="111111"/>
          <w:sz w:val="28"/>
          <w:sz w:val="28"/>
          <w:szCs w:val="28"/>
          <w:rtl w:val="true"/>
          <w:lang w:bidi="ar-SA"/>
        </w:rPr>
        <w:t xml:space="preserve">، والدالّة على وجوب الحجّ على من له ما يحجّ به من المال ، كمرسلة الصدوق </w:t>
      </w:r>
      <w:r>
        <w:rPr>
          <w:rStyle w:val="FootnoteAnchor"/>
          <w:rtl w:val="true"/>
        </w:rPr>
        <w:footnoteReference w:id="169"/>
      </w:r>
      <w:r>
        <w:rPr>
          <w:rFonts w:ascii="Amiri" w:hAnsi="Amiri" w:eastAsia="Amiri" w:cs="Amiri"/>
          <w:color w:val="111111"/>
          <w:sz w:val="28"/>
          <w:sz w:val="28"/>
          <w:szCs w:val="28"/>
          <w:rtl w:val="true"/>
          <w:lang w:bidi="ar-SA"/>
        </w:rPr>
        <w:t xml:space="preserve">وصحيحة ابن عمّار </w:t>
      </w:r>
      <w:r>
        <w:rPr>
          <w:rStyle w:val="FootnoteAnchor"/>
          <w:rtl w:val="true"/>
        </w:rPr>
        <w:footnoteReference w:id="170"/>
      </w:r>
      <w:r>
        <w:rPr>
          <w:rFonts w:ascii="Amiri" w:hAnsi="Amiri" w:eastAsia="Amiri" w:cs="Amiri"/>
          <w:color w:val="111111"/>
          <w:sz w:val="28"/>
          <w:sz w:val="28"/>
          <w:szCs w:val="28"/>
          <w:rtl w:val="true"/>
          <w:lang w:bidi="ar-SA"/>
        </w:rPr>
        <w:t xml:space="preserve">وغيرهما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شكّ أنّ من استدان مالا على قدر الاستطاعة يكون ذلك ملكا له ، فيصدق عليه أنّ عنده مال وله ما يحجّ به ، للاتّفاق على أنّ ما يقرض ملك للمديون ، ولذا جعلوا من إيجاب صيغة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 وصرّحوا بجواز بيعه وهبته وغير ذلك من أنحاء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المتضمّنة لوجوب الحجّ على من عليه دين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الرجل التاجر ذا المال حين يسوّف الحجّ كلّ عام ، وليس يشغله عنه إلاّ التجارة أو الدين؟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له متى يسوّف الحجّ إن مات وقد ترك الحجّ فقد ترك شريعة من شرائع الإسلام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دين ، أعليه أن يحجّ؟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حجّة الإسلام واجبة على من أطاق المشي من المسلمين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واجب على الرجل وإن كان عليه دين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والمصرّحة بوجوبه على من عليه دين وليس له ما يقضيه به لو حجّ ممّا في يده ، كصحيحة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الدين فتقع في يدي الدراهم ، فإن وزّعتها بينهم لم يقع شيئا ، أفأحجّ بها أو أوزّعها بين الغرماء؟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بها وادع اللّه أن يقضي عنك دينك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ورواها الكليني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يبق شي‌ء </w:t>
      </w:r>
      <w:r>
        <w:rPr>
          <w:rStyle w:val="FootnoteAnchor"/>
          <w:rtl w:val="true"/>
        </w:rPr>
        <w:footnoteReference w:id="176"/>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القائل بعدم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الضرر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الدالّة على عدم الاستقراض للحجّ مع عدم مال يفي بالقرض ، كرواية الواسطي </w:t>
      </w:r>
      <w:r>
        <w:rPr>
          <w:rStyle w:val="FootnoteAnchor"/>
          <w:rtl w:val="true"/>
        </w:rPr>
        <w:footnoteReference w:id="177"/>
      </w:r>
      <w:r>
        <w:rPr>
          <w:rFonts w:ascii="Amiri" w:hAnsi="Amiri" w:eastAsia="Amiri" w:cs="Amiri"/>
          <w:color w:val="111111"/>
          <w:sz w:val="28"/>
          <w:sz w:val="28"/>
          <w:szCs w:val="28"/>
          <w:rtl w:val="true"/>
          <w:lang w:bidi="ar-SA"/>
        </w:rPr>
        <w:t xml:space="preserve">، وموثّقة عبد الملك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أبي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الدين ويحضره الشي‌ء ، أيقضي دينه أو يحجّ؟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ببعض ويحجّ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بقدر نفقة 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سنة ويحجّ سنة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لأنّه ماله يجوز له إتلافه ، فكيف لا يستطيع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توجّه الضرر مع ظن طريق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ما بإزائه الثواب والدرجات الرفيعة ضررا ، سيّما مع ما ورد في الأخبار المتكثّرة من أنّ الحجّ أقضى للدين ، وأنّ من حجّ سيقضي اللّه دينه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لو كان ضررا لكان ممّا أقدم عليه المتداينان ، والضرر </w:t>
      </w:r>
    </w:p>
    <w:p>
      <w:pPr>
        <w:pStyle w:val="BookText"/>
        <w:rPr/>
      </w:pPr>
      <w:r>
        <w:rPr>
          <w:rFonts w:ascii="Amiri" w:hAnsi="Amiri" w:eastAsia="Amiri" w:cs="Amiri"/>
          <w:color w:val="111111"/>
          <w:sz w:val="28"/>
          <w:sz w:val="28"/>
          <w:szCs w:val="28"/>
          <w:rtl w:val="true"/>
          <w:lang w:bidi="ar-SA"/>
        </w:rPr>
        <w:t>الناشئ من عمل المكلّف لا يمنع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ممّا يجب الحكم به مع وجود الدليل الشرعي ،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توجّه الضرر على المديون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أكثر ضررا ممّا لو لم يكن عليه دين وكان له ذلك المال ، فإنّه إذا حجّ به يعدّ ماله ولا تسلّط لأحد عليه ، وهذا أيضا كذلك ، إذ لو حصل له بعد العود ما يفي به دينه فيوفّيه وقد حجّ من ماله ، وإلاّ فلا تسلّط عليه ، لوجوب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توجّهه على من له الدين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لزم منع المديون عن صرفه في حوائجه وبيعه وهبته وعتقه ، مع أنّه لا خلاف في جواز ذلك ، بل في جواز الحجّ أيضا ، وإنّما النزاع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المتنازع فيه ، لأنّ السؤال فيها وقع عن أن يستقرض ويحجّ ، وكلامنا فيما إذا استقرض ، فإنّ الفرق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استقرضت فهل يجب عليّ الحجّ؟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 الاستقراض للحجّ؟ كما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استطعت فهل يجب عليّ الحجّ؟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 أن أستطيع وأحجّ؟</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هذه الأخبار معارضة بأخبار أخر أكثر وأوضح وأصرح ، كصحيحتي ابن أبي عمير </w:t>
      </w:r>
      <w:r>
        <w:rPr>
          <w:rStyle w:val="FootnoteAnchor"/>
          <w:rtl w:val="true"/>
        </w:rPr>
        <w:footnoteReference w:id="181"/>
      </w:r>
      <w:r>
        <w:rPr>
          <w:rFonts w:ascii="Amiri" w:hAnsi="Amiri" w:eastAsia="Amiri" w:cs="Amiri"/>
          <w:color w:val="111111"/>
          <w:sz w:val="28"/>
          <w:sz w:val="28"/>
          <w:szCs w:val="28"/>
          <w:rtl w:val="true"/>
          <w:lang w:bidi="ar-SA"/>
        </w:rPr>
        <w:t xml:space="preserve">، ويعقوب </w:t>
      </w:r>
      <w:r>
        <w:rPr>
          <w:rStyle w:val="FootnoteAnchor"/>
          <w:rtl w:val="true"/>
        </w:rPr>
        <w:footnoteReference w:id="182"/>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83"/>
      </w:r>
      <w:r>
        <w:rPr>
          <w:rFonts w:ascii="Amiri" w:hAnsi="Amiri" w:eastAsia="Amiri" w:cs="Amiri"/>
          <w:color w:val="111111"/>
          <w:sz w:val="28"/>
          <w:sz w:val="28"/>
          <w:szCs w:val="28"/>
          <w:rtl w:val="true"/>
          <w:lang w:bidi="ar-SA"/>
        </w:rPr>
        <w:t xml:space="preserve">، ورواية </w:t>
      </w:r>
    </w:p>
    <w:p>
      <w:pPr>
        <w:pStyle w:val="BookText"/>
        <w:rPr/>
      </w:pPr>
      <w:r>
        <w:rPr>
          <w:rFonts w:ascii="Amiri" w:hAnsi="Amiri" w:eastAsia="Amiri" w:cs="Amiri"/>
          <w:color w:val="111111"/>
          <w:sz w:val="28"/>
          <w:sz w:val="28"/>
          <w:szCs w:val="28"/>
          <w:rtl w:val="true"/>
          <w:lang w:bidi="ar-SA"/>
        </w:rPr>
        <w:t xml:space="preserve">عقبة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الرابع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أنّ الدين 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 على تأخير الحجّ من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المتنازع فيه ، لأنّ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سنة ويحجّ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الشي‌ء الحاضر ممّا يعتاد أن يحضر كلّ سنة ، كغلّة ضياع ، أو ربح تجارة ،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فإن كان الدين معجّلا يجب قضاؤه ولا يجب الحجّ وليس من المتنازع فيه ، وإن كان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ما يقضي به الدين عادة بعد حلول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الحجّ إجماعا ، ولا نزاع فيه أيضا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له الزاد والراحلة ، ومئونة عياله ذاهبا وعائدا صار مستطيعا مع استكمال باقي الشرائط ، إجماعا محقّقا ، ومحكيّا عن صريح الخلاف والغنية </w:t>
      </w:r>
      <w:r>
        <w:rPr>
          <w:rStyle w:val="FootnoteAnchor"/>
          <w:rtl w:val="true"/>
        </w:rPr>
        <w:footnoteReference w:id="185"/>
      </w:r>
      <w:r>
        <w:rPr>
          <w:rFonts w:ascii="Amiri" w:hAnsi="Amiri" w:eastAsia="Amiri" w:cs="Amiri"/>
          <w:color w:val="111111"/>
          <w:sz w:val="28"/>
          <w:sz w:val="28"/>
          <w:szCs w:val="28"/>
          <w:rtl w:val="true"/>
          <w:lang w:bidi="ar-SA"/>
        </w:rPr>
        <w:t xml:space="preserve">وظاهر المنتهى والتذكرة </w:t>
      </w:r>
      <w:r>
        <w:rPr>
          <w:rStyle w:val="FootnoteAnchor"/>
          <w:rtl w:val="true"/>
        </w:rPr>
        <w:footnoteReference w:id="186"/>
      </w:r>
      <w:r>
        <w:rPr>
          <w:rFonts w:ascii="Amiri" w:hAnsi="Amiri" w:eastAsia="Amiri" w:cs="Amiri"/>
          <w:color w:val="111111"/>
          <w:sz w:val="28"/>
          <w:sz w:val="28"/>
          <w:szCs w:val="28"/>
          <w:rtl w:val="true"/>
          <w:lang w:bidi="ar-SA"/>
        </w:rPr>
        <w:t xml:space="preserve">، لصدق الاستطاعة الموجبة للحجّ كتابا وسنّة ، والقدرة والإطاقة الموجبتين له في بعض ما تقدّم من الأخبار ، وخصوص المستفيضة ، كصحاح محمد </w:t>
      </w:r>
      <w:r>
        <w:rPr>
          <w:rStyle w:val="FootnoteAnchor"/>
          <w:rtl w:val="true"/>
        </w:rPr>
        <w:footnoteReference w:id="187"/>
      </w:r>
      <w:r>
        <w:rPr>
          <w:rFonts w:ascii="Amiri" w:hAnsi="Amiri" w:eastAsia="Amiri" w:cs="Amiri"/>
          <w:color w:val="111111"/>
          <w:sz w:val="28"/>
          <w:sz w:val="28"/>
          <w:szCs w:val="28"/>
          <w:rtl w:val="true"/>
          <w:lang w:bidi="ar-SA"/>
        </w:rPr>
        <w:t xml:space="preserve">وابن عمّار </w:t>
      </w:r>
      <w:r>
        <w:rPr>
          <w:rStyle w:val="FootnoteAnchor"/>
          <w:rtl w:val="true"/>
        </w:rPr>
        <w:footnoteReference w:id="188"/>
      </w:r>
      <w:r>
        <w:rPr>
          <w:rFonts w:ascii="IRNazanin" w:hAnsi="IRNazanin" w:eastAsia="IRNazanin"/>
          <w:color w:val="111111"/>
          <w:sz w:val="28"/>
          <w:sz w:val="28"/>
          <w:szCs w:val="28"/>
          <w:rtl w:val="true"/>
          <w:lang w:bidi="fa-IR"/>
        </w:rPr>
        <w:t xml:space="preserve">وهشام </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5" w:name="pg11651_107649"/>
    </w:p>
    <w:p>
      <w:pPr>
        <w:pStyle w:val="BookText"/>
        <w:rPr/>
      </w:pPr>
      <w:bookmarkEnd w:id="55"/>
      <w:r>
        <w:rPr>
          <w:rFonts w:ascii="Amiri" w:hAnsi="Amiri" w:eastAsia="Amiri" w:cs="Amiri"/>
          <w:color w:val="111111"/>
          <w:sz w:val="28"/>
          <w:sz w:val="28"/>
          <w:szCs w:val="28"/>
          <w:rtl w:val="true"/>
          <w:lang w:bidi="ar-SA"/>
        </w:rPr>
        <w:t xml:space="preserve">والحلبي </w:t>
      </w:r>
      <w:r>
        <w:rPr>
          <w:rStyle w:val="FootnoteAnchor"/>
          <w:rtl w:val="true"/>
        </w:rPr>
        <w:footnoteReference w:id="190"/>
      </w:r>
      <w:r>
        <w:rPr>
          <w:rFonts w:ascii="Amiri" w:hAnsi="Amiri" w:eastAsia="Amiri" w:cs="Amiri"/>
          <w:color w:val="111111"/>
          <w:sz w:val="28"/>
          <w:sz w:val="28"/>
          <w:szCs w:val="28"/>
          <w:rtl w:val="true"/>
          <w:lang w:bidi="ar-SA"/>
        </w:rPr>
        <w:t>، المتقدمة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تمليك المبذول وعدمه ، ولا بين وجوب البذل بنذر وشبهه وعدمه ، ولا بين وثوق الباذل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المحكي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الأول </w:t>
      </w:r>
      <w:r>
        <w:rPr>
          <w:rStyle w:val="FootnoteAnchor"/>
          <w:rtl w:val="true"/>
        </w:rPr>
        <w:footnoteReference w:id="191"/>
      </w:r>
      <w:r>
        <w:rPr>
          <w:rFonts w:ascii="Amiri" w:hAnsi="Amiri" w:eastAsia="Amiri" w:cs="Amiri"/>
          <w:color w:val="111111"/>
          <w:sz w:val="28"/>
          <w:sz w:val="28"/>
          <w:szCs w:val="28"/>
          <w:rtl w:val="true"/>
          <w:lang w:bidi="ar-SA"/>
        </w:rPr>
        <w:t xml:space="preserve">،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92"/>
      </w:r>
      <w:r>
        <w:rPr>
          <w:rFonts w:ascii="IRNazanin" w:hAnsi="IRNazanin" w:eastAsia="IRNazanin"/>
          <w:color w:val="111111"/>
          <w:sz w:val="28"/>
          <w:sz w:val="28"/>
          <w:szCs w:val="28"/>
          <w:rtl w:val="true"/>
          <w:lang w:bidi="fa-IR"/>
        </w:rPr>
        <w:t xml:space="preserve">، وعن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Style w:val="FootnoteAnchor"/>
          <w:rtl w:val="true"/>
        </w:rPr>
        <w:footnoteReference w:id="193"/>
      </w:r>
      <w:r>
        <w:rPr>
          <w:rFonts w:ascii="Amiri" w:hAnsi="Amiri" w:eastAsia="Amiri" w:cs="Amiri"/>
          <w:color w:val="111111"/>
          <w:sz w:val="28"/>
          <w:sz w:val="28"/>
          <w:szCs w:val="28"/>
          <w:rtl w:val="true"/>
          <w:lang w:bidi="ar-SA"/>
        </w:rPr>
        <w:t xml:space="preserve">، وفي المدارك والذخيرة والمفاتيح </w:t>
      </w:r>
      <w:r>
        <w:rPr>
          <w:rStyle w:val="FootnoteAnchor"/>
          <w:rtl w:val="true"/>
        </w:rPr>
        <w:footnoteReference w:id="194"/>
      </w:r>
      <w:r>
        <w:rPr>
          <w:rFonts w:ascii="Amiri" w:hAnsi="Amiri" w:eastAsia="Amiri" w:cs="Amiri"/>
          <w:color w:val="111111"/>
          <w:sz w:val="28"/>
          <w:sz w:val="28"/>
          <w:szCs w:val="28"/>
          <w:rtl w:val="true"/>
          <w:lang w:bidi="ar-SA"/>
        </w:rPr>
        <w:t xml:space="preserve">وغيرها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وهو الأصحّ ، لعدم صدق الاستطاعة بدونه عرفا ولا لغة ، فيعارض ما ينفي الوجوب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w:t>
      </w:r>
      <w:r>
        <w:rPr>
          <w:rStyle w:val="FootnoteAnchor"/>
          <w:rtl w:val="true"/>
        </w:rPr>
        <w:footnoteReference w:id="196"/>
      </w:r>
      <w:r>
        <w:rPr>
          <w:rFonts w:ascii="Amiri" w:hAnsi="Amiri" w:eastAsia="Amiri" w:cs="Amiri"/>
          <w:color w:val="111111"/>
          <w:sz w:val="28"/>
          <w:sz w:val="28"/>
          <w:szCs w:val="28"/>
          <w:rtl w:val="true"/>
          <w:lang w:bidi="ar-SA"/>
        </w:rPr>
        <w:t xml:space="preserve">الآية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 بالعموم من وجه ، ويرجع إلى الأصل ، ولاستلزام الوجوب بدونه العسر والحرج المنفيّين ، مضافا إلى عدم معلوميّة انصراف الإطلاق إلى ما يشمل صورة عدم الوثوق أيضا ، لأنّ المتبادر منه ما يكون معه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الوثوق العلم ، بل تكفي مظنّة الوفاء ، لانتفاء المقيّدات المذكورة معها ، ولأنّه لا يزيد على ملكيّة مال الاستطاعة ، وبقاؤه ليس بعلميّ ، فقد يفقد ويسرق وينهب</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171948_73709187"/>
      <w:bookmarkStart w:id="57" w:name="_Toc21"/>
      <w:bookmarkEnd w:id="56"/>
      <w:r>
        <w:rPr>
          <w:rtl w:val="true"/>
        </w:rPr>
        <w:t xml:space="preserve">فروع </w:t>
      </w:r>
      <w:r>
        <w:rPr>
          <w:rtl w:val="true"/>
        </w:rPr>
        <w:t>:</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ببذل الزاد والراحلة والمئونة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عليه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زادك وراحلتك ونفقة عيالك ، أو أحضرها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بذلك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أبحتها لك لتحجّ بها ، لصدق العرض والاستطاعة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وفرق في الوجوب بين عرض عين الزاد والراحلة أو أثمانهما ، وفاقا للأكثر ، كما في المدارك والذخيرة </w:t>
      </w:r>
      <w:r>
        <w:rPr>
          <w:rStyle w:val="FootnoteAnchor"/>
          <w:rtl w:val="true"/>
        </w:rPr>
        <w:footnoteReference w:id="197"/>
      </w:r>
      <w:r>
        <w:rPr>
          <w:rFonts w:ascii="Amiri" w:hAnsi="Amiri" w:eastAsia="Amiri" w:cs="Amiri"/>
          <w:color w:val="111111"/>
          <w:sz w:val="28"/>
          <w:sz w:val="28"/>
          <w:szCs w:val="28"/>
          <w:rtl w:val="true"/>
          <w:lang w:bidi="ar-SA"/>
        </w:rPr>
        <w:t>، لصدق الموجبات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بالثاني ، معلّلا بأنّ ذلك موقوف على القبول ، وهو شرط للواجب المشروط فلا يجب تحصيله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جريانه في بذل العين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إن كان وجوب الحجّ أو إباحة التصرّف أو حصول الاستطاعة العرفيّة ، فلا نسلّم التوقّف ، فإنّه يجوز له التصرّف ولو سكت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تحقّق الملكية واللزوم ، فلا نسلّم كونهما شرطين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تحصيله ، إن أريد أنّه إجماعي ، فهو في موضع النزاع ممنوع ، وإن أريد أنّه مقتضى القاعدة ، فهو يكون من باب الأصل اللاّزم طرحه بعد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وجوب الحجّ على من بذل له مال نذره مالكه لمن يحجّ ، أو أوصى له على سبيل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له مالا ليحجّ به ، يجب الحجّ على الأظهر ، لما ذكر ، وفاقا للشهيد الثاني </w:t>
      </w:r>
      <w:r>
        <w:rPr>
          <w:rStyle w:val="FootnoteAnchor"/>
          <w:rtl w:val="true"/>
        </w:rPr>
        <w:footnoteReference w:id="199"/>
      </w:r>
      <w:r>
        <w:rPr>
          <w:rFonts w:ascii="Amiri" w:hAnsi="Amiri" w:eastAsia="Amiri" w:cs="Amiri"/>
          <w:color w:val="111111"/>
          <w:sz w:val="28"/>
          <w:sz w:val="28"/>
          <w:szCs w:val="28"/>
          <w:rtl w:val="true"/>
          <w:lang w:bidi="ar-SA"/>
        </w:rPr>
        <w:t xml:space="preserve">، وظاهر المدارك والذخيرة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القبول ولا الحجّ </w:t>
      </w:r>
      <w:r>
        <w:rPr>
          <w:rStyle w:val="FootnoteAnchor"/>
          <w:rtl w:val="true"/>
        </w:rPr>
        <w:footnoteReference w:id="201"/>
      </w:r>
      <w:r>
        <w:rPr>
          <w:rFonts w:ascii="Amiri" w:hAnsi="Amiri" w:eastAsia="Amiri" w:cs="Amiri"/>
          <w:color w:val="111111"/>
          <w:sz w:val="28"/>
          <w:sz w:val="28"/>
          <w:szCs w:val="28"/>
          <w:rtl w:val="true"/>
          <w:lang w:bidi="ar-SA"/>
        </w:rPr>
        <w:t xml:space="preserve">، لما مرّ بجوابه ، فإنّ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القبول شرط اللزوم والملكيّة وتحقّق الهبة الشرعيّة ، دون إباحة التصرّف والاستطاعة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ردّ ما قيل من أنّ الهبة موقوفة على القبول ، فهي اكتساب غير واجب ، بخلاف البذل ، فإنّه إباحة يكفي فيها الإيقاع </w:t>
      </w:r>
      <w:r>
        <w:rPr>
          <w:rStyle w:val="FootnoteAnchor"/>
          <w:rtl w:val="true"/>
        </w:rPr>
        <w:footnoteReference w:id="202"/>
      </w:r>
      <w:r>
        <w:rPr>
          <w:rFonts w:ascii="Amiri" w:hAnsi="Amiri" w:eastAsia="Amiri" w:cs="Amiri"/>
          <w:color w:val="111111"/>
          <w:sz w:val="28"/>
          <w:sz w:val="28"/>
          <w:szCs w:val="28"/>
          <w:rtl w:val="true"/>
          <w:lang w:bidi="ar-SA"/>
        </w:rPr>
        <w:t xml:space="preserve">، فإنّ الهبة متضمّنة للإباحة المتحقّقة بدون القبول أيضا قطعا وإن كان تحقق جزئها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الاكتساب ، مع أنّ عدم وجوب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قبله الاستطاعة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وأيّ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عدم وجوب تحصيل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تحقّقها عرفا فيجب الاكتساب المتوقّف عليه الحجّ ، ولولاه لم يجب بيع المال لنفقة الحجّ ، ولا شراء عين الزاد والراحلة لمن يملك ثمنها ، فإنّ بعد تحقّق الاستطاعة يصير الواجب مطلقا ، وما يتوقف عليه مقدمة للواجب المطلق ، فيجب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له مالا ، أو وهبه له وأطلق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يقيّده بكونه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وجوب القبول ، لكونه اكتسابا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مرّ ، مع أنّه لا فرق في ذلك بين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معه ، إلاّ أن لم يكن مستجمعا لسائر الشرائط حين البذل ولم يبذل حال الاستجماع ، كأن بذله قبل إمكان المسافرة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الحجّ على تقدير البذل أو الهبة للحجّ ، وأمّا مع الإطلاق فيشترط في وجوب الحجّ عليه معيّنا توفية الدين أو رضى الدائن أو تأجيله ، والوجه ظاهر ، وكذا سائر ما يستثنى من الاستطاعة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بذل له تمام ما تتمّ به الاستطاعة مع وجود القدرة على باقيه ،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المبذول له إعادة الحجّ بعد اليسار ، وفاقا للمشهور على ما في المدارك والذخيرة والمفاتيح وشرحه </w:t>
      </w:r>
      <w:r>
        <w:rPr>
          <w:rStyle w:val="FootnoteAnchor"/>
          <w:rtl w:val="true"/>
        </w:rPr>
        <w:footnoteReference w:id="204"/>
      </w:r>
      <w:r>
        <w:rPr>
          <w:rFonts w:ascii="Amiri" w:hAnsi="Amiri" w:eastAsia="Amiri" w:cs="Amiri"/>
          <w:color w:val="111111"/>
          <w:sz w:val="28"/>
          <w:sz w:val="28"/>
          <w:szCs w:val="28"/>
          <w:rtl w:val="true"/>
          <w:lang w:bidi="ar-SA"/>
        </w:rPr>
        <w:t xml:space="preserve">، بل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الآخر شاذ ، وعن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فتوى علمائنا ، الظاهر في دعوى الإجماع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وصدق الامتثال ، ودلالة الأمر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يكن له مال فحجّ به رجل من إخوانه ، هل يجزئ ذلك عنه عن حجّة الإسلام ، أو هي ناقصة؟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حجّة تامّة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عن حجة الإسلام لا يدلّ على عدم وجوب الإعادة إلاّ بضميمة عدم وجوبها إلاّ مرّة واحدة ، وهو إمّا بالإجماع القابل للمنع في محلّ النزاع ، أو العمومات اللاّزم تخصيصها بما يأتي من المخصّصات ، ولذا أمر بالإعادة في الروايات الآتية مع التصريح بقضاء حجّة الإسلام ، مع أنّ حجّة الإسلام قد يعبّر بها عن أول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تماميّة الحجّ فهي تجري في المندوب والحجّ عن الغير أيضا ، لأنّ معناها كماله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للإستبصار ، فيعيد مع اليسار </w:t>
      </w:r>
      <w:r>
        <w:rPr>
          <w:rStyle w:val="FootnoteAnchor"/>
          <w:rtl w:val="true"/>
        </w:rPr>
        <w:footnoteReference w:id="207"/>
      </w:r>
      <w:r>
        <w:rPr>
          <w:rFonts w:ascii="Amiri" w:hAnsi="Amiri" w:eastAsia="Amiri" w:cs="Amiri"/>
          <w:color w:val="111111"/>
          <w:sz w:val="28"/>
          <w:sz w:val="28"/>
          <w:szCs w:val="28"/>
          <w:rtl w:val="true"/>
          <w:lang w:bidi="ar-SA"/>
        </w:rPr>
        <w:t xml:space="preserve">، لموثّقة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له مال فحجّ به أناس من أصحابه ، أقضى حجّة الإسلام؟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وإن أيسر بعد ذلك فعليه أن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حجّته تلك تامّة أو ناقصة إذا لم يكن حجّ من ماله؟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يقضي عنه حجّة الإسلام وتكون تامّة ليست بناقصة ، وإن أيسر فليحجّ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معسرا أحجّه رجل كانت له حجّة ، فإن أيسر بعد ذلك كان عليه الحجّ ، وكذلك الناصب إذا عرف فعليه الحجّ وإن كان قد حجّ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صلاحيّتهما لإثبات حكم مخالف للأصل ، لشذوذهما ، ومخالفتهما للشهرتين العظيمتين ، بل للإجماع المحقّق ، فإنّ مخالفة الإستبصار لا تضرّ في تحقّقه ، سيّما مع رجوع الشيخ عنه في سائر كتبه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تشبيه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عدم الوجوب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قرينة على إرادة الاستحباب ، فيجب الحمل عليه ، وأمّا الحمل على من حجّ عن غيره فبعيد غايته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المبذول له الرجوع إلى كفاية ، لأنّ الظاهر المتبادر من أخبار اشتراطه إنّما هو فيما إذا أنفق في الحجّ من كفايته ، لا مثل ذلك ، مع أنّ الشهرة الجابرة غير متحقّقة في المورد ، ومع ذلك تعارضها إطلاقات </w:t>
      </w:r>
    </w:p>
    <w:p>
      <w:pPr>
        <w:pStyle w:val="BookText"/>
        <w:rPr/>
      </w:pPr>
      <w:r>
        <w:rPr>
          <w:rFonts w:ascii="Amiri" w:hAnsi="Amiri" w:eastAsia="Amiri" w:cs="Amiri"/>
          <w:color w:val="111111"/>
          <w:sz w:val="28"/>
          <w:sz w:val="28"/>
          <w:szCs w:val="28"/>
          <w:rtl w:val="true"/>
          <w:lang w:bidi="ar-SA"/>
        </w:rPr>
        <w:t xml:space="preserve">وجوب الحجّ بالبذل ، وهي أقوى وأكثر ، فيرجع إلى عمومات وجوب الحجّ والاستطاعة العرفيّة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نفقة العيال ، فصريح الأصحاب اشتراط وجودها له ، ولا يخفى أنّ إثباته من أدلّة استثنائها مشكل ، لأنّ سبيلها سبيل أدلة استثناء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إثبات اشتراطها بإيجاب نفيه لتضيّع العيال الموجب للعسر والحرج المنفيين ، وعلى هذا فلو كان المبذول له من لا يقدر على نفقة العيال ولا يتكفّلهم يتّجه القول بعدم اشتراط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أحد للمعونة على السفر أو لتعليم فيه أو نحوهما بما يكفي لنفقة الحجّ والعيال أو شرطهما له ، فلا شكّ في الوجوب بعد القبول وتحقّق الإجارة ، ويجزئ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الوصول إلى تلك الأماكن قد وجب بالإجارة دون أفعال الحجّ ، فلا يتداخل الواجبان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الوصول إليها مقدّمة الحجّ لا نفسه ، ولا تجب عليه بالإجارة أفعاله ، ومقدّمة الشي‌ء لا يجب إيقاعها على وجه كونه لذلك الشي‌ء ، مع أنّ عدم التداخل ممنوع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إجابة المستأجر وقبول الإجارة قبل القبول ، أم لا؟</w:t>
      </w:r>
    </w:p>
    <w:p>
      <w:pPr>
        <w:pStyle w:val="BookText"/>
        <w:rPr/>
      </w:pPr>
      <w:r>
        <w:rPr>
          <w:rFonts w:ascii="Amiri" w:hAnsi="Amiri" w:eastAsia="Amiri" w:cs="Amiri"/>
          <w:color w:val="111111"/>
          <w:sz w:val="28"/>
          <w:sz w:val="28"/>
          <w:szCs w:val="28"/>
          <w:rtl w:val="true"/>
          <w:lang w:bidi="ar-SA"/>
        </w:rPr>
        <w:t xml:space="preserve">المصرّح به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12"/>
      </w:r>
      <w:r>
        <w:rPr>
          <w:rFonts w:ascii="Amiri" w:hAnsi="Amiri" w:eastAsia="Amiri" w:cs="Amiri"/>
          <w:color w:val="111111"/>
          <w:sz w:val="28"/>
          <w:sz w:val="28"/>
          <w:szCs w:val="28"/>
          <w:rtl w:val="true"/>
          <w:lang w:bidi="ar-SA"/>
        </w:rPr>
        <w:t>، لأنّه مقدّمة الواجب المشروط ، وتحصيلها غير واجب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إذا كان ما استؤجر له ممّا لا يشقّ عليه ويتمشّى منه ، لصدق الاستطاعة ، ولأنّه نوع كسب في الطريق ، وقد مرّ وجوبه على مثله ، </w:t>
      </w:r>
    </w:p>
    <w:p>
      <w:pPr>
        <w:pStyle w:val="BookText"/>
        <w:rPr/>
      </w:pPr>
      <w:r>
        <w:rPr>
          <w:rFonts w:ascii="Amiri" w:hAnsi="Amiri" w:eastAsia="Amiri" w:cs="Amiri"/>
          <w:color w:val="111111"/>
          <w:sz w:val="28"/>
          <w:sz w:val="28"/>
          <w:szCs w:val="28"/>
          <w:rtl w:val="true"/>
          <w:lang w:bidi="ar-SA"/>
        </w:rPr>
        <w:t>وليس القبول مقدّمة للواجب المشروط ، بل للمطلق ، لأنّ مع الفرض تحصل الاستطاعة العرفيّة ، فيصير الحجّ واجبا عليه وإن توقّف إيقاعه على القبول ، كاشتراء عين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ليست تحصيل الاستطاعة ، لأنّ بعد تمكّنه ممّا استؤجر له يكون ذلك منفعة بدنيّة مملوكة له ، حاصلة له ، قابلا لإيقاع الحجّ به ، فيكون مستطيعا ، كمالك منفعة ضيعة تفي بمئونة الحجّ عليه ، غايته أنّه يبادلها بالزاد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يجب تحصيل مئونة الحجّ على كلّ من قدر على الاكتساب وتحصيل الاستطاعة ، فيكون الحجّ واجبا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اقتداره بحيث تصدق معه الاستطاعة العرفيّة فنسلّم الوجوب ولا يصدق وجوب تحصيل الاستطاعة ، ولا ضير فيه ، وإلاّ فلا دليل على وجوب الاكتساب ، لأنّ ما نقول بوجوبه هو ما اجتمع مع صدق 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على ما فسّرت في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زاد وراحلة ، فلا تحصل إلاّ بوجودهما ، ولا يوجدان لمثل ذلك الشخص إلاّ بعد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بوجودهما ليس وجود عينهما ، بل أعمّ منها وممّا بإزائها ، والمنفعة البدنيّة إنّما هي موجودة له ، وهي بإزاء العين ، فمن يصدق عليه أنّه واجد لما بإزاء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بالبذل أو الإباحة الصريحين ، أو الضمنيّين كما في الهبة ، أو بعوض يملكه كمنفعة بدنيّة أو 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لم يصدق عليه ذلك وسهل عليه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يتمكّن من </w:t>
      </w:r>
    </w:p>
    <w:p>
      <w:pPr>
        <w:pStyle w:val="BookText"/>
        <w:rPr/>
      </w:pPr>
      <w:r>
        <w:rPr>
          <w:rFonts w:ascii="Amiri" w:hAnsi="Amiri" w:eastAsia="Amiri" w:cs="Amiri"/>
          <w:color w:val="111111"/>
          <w:sz w:val="28"/>
          <w:sz w:val="28"/>
          <w:szCs w:val="28"/>
          <w:rtl w:val="true"/>
          <w:lang w:bidi="ar-SA"/>
        </w:rPr>
        <w:t xml:space="preserve">أن يشتري متاعا بألف نسية إلى خمسة أيّام ويبيعه في بلد آخر قريب قبل الخمسة بألفين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 لأنّه لا يملك قبل الشراء ما بإزاء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هنا أولا بيان مسألة أخرى وتفريع أمثال تلك المسائل عليها ، وهي بيان معنى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مرّ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صدق الاستطاعة وجود عين الزاد والراحلة ، بل يكفي وجود ثمنهما أو ما يصلح أن يكون إزاء لهما أو لثمنهما ، وهو إجماعي ، بل ضروري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ما يصلح الإزاء عينا موجودة أو منفعة مملوكة ، فلو كانت له ضيعة لم يتمكّن من بيعها ويمكن إجارتها في مدّة بما يكفي لمئونة الحجّ وما يتبعه ، يجب الحجّ ، لصدق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وجود ما يصلح أن يكون إزاء للمئونة عينا أو منفعة ، أو يكفي الاقتدار والتمكّن على تحصيله من غير مشقّة ، بل بسهولة حال اجتماع سائر الشرائط؟</w:t>
      </w:r>
    </w:p>
    <w:p>
      <w:pPr>
        <w:pStyle w:val="BookText"/>
        <w:rPr/>
      </w:pPr>
      <w:r>
        <w:rPr>
          <w:rFonts w:ascii="Amiri" w:hAnsi="Amiri" w:eastAsia="Amiri" w:cs="Amiri"/>
          <w:color w:val="111111"/>
          <w:sz w:val="28"/>
          <w:sz w:val="28"/>
          <w:szCs w:val="28"/>
          <w:rtl w:val="true"/>
          <w:lang w:bidi="ar-SA"/>
        </w:rPr>
        <w:t xml:space="preserve">ظاهر كثير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حيث نفوا الوجوب إذا توقّف على الاكتساب مطلقا </w:t>
      </w:r>
      <w:r>
        <w:rPr>
          <w:rStyle w:val="FootnoteAnchor"/>
          <w:rtl w:val="true"/>
        </w:rPr>
        <w:footnoteReference w:id="213"/>
      </w:r>
      <w:r>
        <w:rPr>
          <w:rFonts w:ascii="Amiri" w:hAnsi="Amiri" w:eastAsia="Amiri" w:cs="Amiri"/>
          <w:color w:val="111111"/>
          <w:sz w:val="28"/>
          <w:sz w:val="28"/>
          <w:szCs w:val="28"/>
          <w:rtl w:val="true"/>
          <w:lang w:bidi="ar-SA"/>
        </w:rPr>
        <w:t>، حتى بمثل قبول الهبة وقبول إجارة النفس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المفسّرة للاستطاعة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أو عنده زاد وراحلة </w:t>
      </w:r>
      <w:r>
        <w:rPr>
          <w:rStyle w:val="FootnoteAnchor"/>
          <w:rtl w:val="true"/>
        </w:rPr>
        <w:footnoteReference w:id="214"/>
      </w:r>
      <w:r>
        <w:rPr>
          <w:rFonts w:ascii="Amiri" w:hAnsi="Amiri" w:eastAsia="Amiri" w:cs="Amiri"/>
          <w:color w:val="111111"/>
          <w:sz w:val="28"/>
          <w:sz w:val="28"/>
          <w:szCs w:val="28"/>
          <w:rtl w:val="true"/>
          <w:lang w:bidi="ar-SA"/>
        </w:rPr>
        <w:t xml:space="preserve">، أو أنّها وجود الزاد والراحلة ، كما في المرسلة المتقدّمة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ككلام من أوجب الحجّ للمتمكّن من الزاد الراحلة بالكسب في الطريق ، ومن أوجب الاستدانة لمن له دين مؤجّل أو متاع لا يتمكّن الحال من بيعه ، ومن أوجب قبول الهبة ، ومن استدلّ لهذه الأمور بالاقتدار والتمكّن والاستطاعة ، ومن قيّد الاستطاعة بالعرفيّة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لوجوب حمل الاستطاعة على العرفيّة وتحقّقها مع التمكّن بالسهولة ، وللأخبار الموجبة للحجّ بمجرّد القدرة على ما يحجّ به ، أو بمجرّد عدم الحاجة المجحفة ، أو مانع آخر ، كصحيحتي الحلبي </w:t>
      </w:r>
      <w:r>
        <w:rPr>
          <w:rStyle w:val="FootnoteAnchor"/>
          <w:rtl w:val="true"/>
        </w:rPr>
        <w:footnoteReference w:id="216"/>
      </w:r>
      <w:r>
        <w:rPr>
          <w:rFonts w:ascii="Amiri" w:hAnsi="Amiri" w:eastAsia="Amiri" w:cs="Amiri"/>
          <w:color w:val="111111"/>
          <w:sz w:val="28"/>
          <w:sz w:val="28"/>
          <w:szCs w:val="28"/>
          <w:rtl w:val="true"/>
          <w:lang w:bidi="ar-SA"/>
        </w:rPr>
        <w:t xml:space="preserve">والمحاربي </w:t>
      </w:r>
      <w:r>
        <w:rPr>
          <w:rStyle w:val="FootnoteAnchor"/>
          <w:rtl w:val="true"/>
        </w:rPr>
        <w:footnoteReference w:id="217"/>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تضرّ الأخبار المفسّرة للاستطاعة ، إذ ليس المراد بوجود الزاد والراحلة فيها معناه الحقيقي ، وهو وجوب عينهما إجماعا ، ومجازه كما يمكن أن يكون الأعمّ من وجود العين والثمن يمكن أن يكون القدرة على تحصيلهما ، التي هي حقيقة الاستطاعة ، فلا نعلم إرادة معنى آخر غير الحقيقي للفظ الاستطاعة ، فيجب الرجوع إليه ، مع أنّ صحيحتي الحلبي والمحاربي تعيّنان </w:t>
      </w:r>
      <w:r>
        <w:rPr>
          <w:rStyle w:val="FootnoteAnchor"/>
          <w:rtl w:val="true"/>
        </w:rPr>
        <w:footnoteReference w:id="218"/>
      </w:r>
      <w:r>
        <w:rPr>
          <w:rFonts w:ascii="Amiri" w:hAnsi="Amiri" w:eastAsia="Amiri" w:cs="Amiri"/>
          <w:color w:val="111111"/>
          <w:sz w:val="28"/>
          <w:sz w:val="28"/>
          <w:szCs w:val="28"/>
          <w:rtl w:val="true"/>
          <w:lang w:bidi="ar-SA"/>
        </w:rPr>
        <w:t>هذا المعنى ، فيجب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يتفرّع عليه كثير من مسائل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وجوب الحجّ على الكسوب إذا تمكّن من كسبه في الطريق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الاستدانة لمن له دين مؤجّل أو متاع لا يتمكّن من </w:t>
      </w:r>
    </w:p>
    <w:p>
      <w:pPr>
        <w:pStyle w:val="BookText"/>
        <w:rPr/>
      </w:pPr>
      <w:r>
        <w:rPr>
          <w:rFonts w:ascii="Amiri" w:hAnsi="Amiri" w:eastAsia="Amiri" w:cs="Amiri"/>
          <w:color w:val="111111"/>
          <w:sz w:val="28"/>
          <w:sz w:val="28"/>
          <w:szCs w:val="28"/>
          <w:rtl w:val="true"/>
          <w:lang w:bidi="ar-SA"/>
        </w:rPr>
        <w:t>بيعه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قبول الهبة وإجارة النفس لمعونة السفر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ممّن يتمكّن من شراء المتاع بألف وبيعه بألفين إذا كان ذلك مع استجماع سائر الشرائط ، كأن يكون وقت المسافرة وحضور الرفقة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يرتفع إشكال وجوب التكسّب للحجّ مطلقا ، إذ قبل الأوان لا يجب ، ومعه لا تحصل المئونة من الكسب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تقييد التحصيل بما لا يخرجه الدليل ، فلا تجب الاستدانة لمن ليس له مال ولا السؤال ولا الاستيهاب ، للإجماع ، والأخبار ، والعسر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للولد بذل ماله لوالده للحجّ ، ولا يجوز للوالد صرف مال ولده فيه بدون مصلحته أو إذنه ، وفاقا للأكثر </w:t>
      </w:r>
      <w:r>
        <w:rPr>
          <w:rStyle w:val="FootnoteAnchor"/>
          <w:rtl w:val="true"/>
        </w:rPr>
        <w:footnoteReference w:id="219"/>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والمبسوط والخلاف والقاضي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واستشكل فيه في الذخيرة </w:t>
      </w:r>
      <w:r>
        <w:rPr>
          <w:rStyle w:val="FootnoteAnchor"/>
          <w:rtl w:val="true"/>
        </w:rPr>
        <w:footnoteReference w:id="221"/>
      </w:r>
      <w:r>
        <w:rPr>
          <w:rFonts w:ascii="IRNazanin" w:hAnsi="IRNazanin" w:eastAsia="IRNazanin"/>
          <w:color w:val="111111"/>
          <w:sz w:val="28"/>
          <w:sz w:val="28"/>
          <w:szCs w:val="28"/>
          <w:rtl w:val="true"/>
          <w:lang w:bidi="fa-IR"/>
        </w:rPr>
        <w:t xml:space="preserve">، وظاهر الخلاف إجماع الأصحاب </w:t>
      </w:r>
      <w:r>
        <w:rPr>
          <w:rStyle w:val="FootnoteAnchor"/>
          <w:rtl w:val="true"/>
        </w:rPr>
        <w:footnoteReference w:id="222"/>
      </w:r>
      <w:r>
        <w:rPr>
          <w:rFonts w:ascii="Amiri" w:hAnsi="Amiri" w:eastAsia="Amiri" w:cs="Amiri"/>
          <w:color w:val="111111"/>
          <w:sz w:val="28"/>
          <w:sz w:val="28"/>
          <w:szCs w:val="28"/>
          <w:rtl w:val="true"/>
          <w:lang w:bidi="ar-SA"/>
        </w:rPr>
        <w:t xml:space="preserve">، لصحيحة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من مال ابنه وهو صغير؟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يحجّ منه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مال الولد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تدلّ الصحيحة على أزيد من جواز الحجّ من مال الابن الصغير الذي ولايته بيد الأب ، وهو غير دالّ على عدم إعطاء العوض ، فلعلّه معه حتى يكون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جواز هذا النوع من التصرّف أيضا ، وهو أعمّ من القرض ونحوه ، فلا يعارض ما دلّ على عدم جواز صرفه في غير مصلحة الصغير ، وأمّا جزؤه الأخير فمخالف للإجماع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صرف المال في النكاح بعد تعلّق الخطاب بالحج وتوقّف الحجّ على المال وإن شقّ ترك النكاح ، لأنّ الحجّ مع الاستطاعة واجب فلا يعارضه النكاح المندوب ، ولو حصل له من ترك النكاح ضرر شديد لا يتحمّل عادة أو خشي حدوث مرض بتركه قدّم النكاح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قيل بتقديم النكاح لو خشي وقوع الزنا بتركه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تقديم النكاح في صورة التضرّر بتركه يدلّ عليه في صورة المشقّة أيضا ، إذ تحمّل المشقّة عسر ، وهو منفيّ في الشريعة ، إلاّ أن يراد مشقّة جزئيّة لا عسر في تحمّلها ، وفي صدق المشقّة نظر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القول بتقديمه في صورة خشية الوقوع في الزنا ممّا لا دليل عليه ، سيما إذا كانت الخشية باحتمال الوقوع أو الظنّ بتركه ، بل وكذلك مع العلم ، فإنّ هذه الخشية لو أوجبت تخصيص عمومات وجوب الحجّ </w:t>
      </w:r>
      <w:r>
        <w:rPr>
          <w:rStyle w:val="FootnoteAnchor"/>
          <w:rtl w:val="true"/>
        </w:rPr>
        <w:footnoteReference w:id="226"/>
      </w:r>
      <w:r>
        <w:rPr>
          <w:rFonts w:ascii="Amiri" w:hAnsi="Amiri" w:eastAsia="Amiri" w:cs="Amiri"/>
          <w:color w:val="111111"/>
          <w:sz w:val="28"/>
          <w:sz w:val="28"/>
          <w:szCs w:val="28"/>
          <w:rtl w:val="true"/>
          <w:lang w:bidi="ar-SA"/>
        </w:rPr>
        <w:t xml:space="preserve">للاستطاعة لجاز تخصيص عموم كلّ ما يدفع به ذلك من ترك الواجبات </w:t>
      </w:r>
    </w:p>
    <w:p>
      <w:pPr>
        <w:pStyle w:val="BookText"/>
        <w:rPr/>
      </w:pPr>
      <w:r>
        <w:rPr>
          <w:rFonts w:ascii="Amiri" w:hAnsi="Amiri" w:eastAsia="Amiri" w:cs="Amiri"/>
          <w:color w:val="111111"/>
          <w:sz w:val="28"/>
          <w:sz w:val="28"/>
          <w:szCs w:val="28"/>
          <w:rtl w:val="true"/>
          <w:lang w:bidi="ar-SA"/>
        </w:rPr>
        <w:t xml:space="preserve">وفعل المحرّمات ، ولا يقولون به ، بل يمكن على ذلك أن يقال بتعارض عمومات حرمة الزنا </w:t>
      </w:r>
      <w:r>
        <w:rPr>
          <w:rStyle w:val="FootnoteAnchor"/>
          <w:rtl w:val="true"/>
        </w:rPr>
        <w:footnoteReference w:id="227"/>
      </w:r>
      <w:r>
        <w:rPr>
          <w:rFonts w:ascii="IRNazanin" w:hAnsi="IRNazanin" w:eastAsia="IRNazanin"/>
          <w:color w:val="111111"/>
          <w:sz w:val="28"/>
          <w:sz w:val="28"/>
          <w:szCs w:val="28"/>
          <w:rtl w:val="true"/>
          <w:lang w:bidi="fa-IR"/>
        </w:rPr>
        <w:t>بهذه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وفساد ذلك ظاهر جدّا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وترك الزنا ، والخشية إنّما هي لأجل غلبة نفسه ، التي هو مأمور بدفعها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ذكروه من عدم جواز صرف المال في النكاح مبنيّ على ما نقول به من وجوب إبقاء مقدّمة الواجب كما يجب تحصيلها ، ولذا نقول بعدم جواز إهراق الماء المحتاج إليه للطهارة ، والأكثر لم يذكروه وإن قالوا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عدم جواز وقفه وهبته وبيعه بثمن قليل تنتفي معه الاستطاعة ، وأنّه لو فعله لبطل الوقف ، بل الهبة والبيع أيضا على القول باستلزام النهي في المعاملات للفساد ،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تلزمه هذه الأمور في صورة اشتغال الذمّة بالدين المعجّل المتوقّف أداؤه على ذلك المال كما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الاستطاعة السربيّة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تحصل بتخلية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وإسكان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واشتراطها مجمع عليه محقّقا ومحكيّا </w:t>
      </w:r>
      <w:r>
        <w:rPr>
          <w:rStyle w:val="FootnoteAnchor"/>
          <w:rtl w:val="true"/>
        </w:rPr>
        <w:footnoteReference w:id="228"/>
      </w:r>
      <w:r>
        <w:rPr>
          <w:rFonts w:ascii="Amiri" w:hAnsi="Amiri" w:eastAsia="Amiri" w:cs="Amiri"/>
          <w:color w:val="111111"/>
          <w:sz w:val="28"/>
          <w:sz w:val="28"/>
          <w:szCs w:val="28"/>
          <w:rtl w:val="true"/>
          <w:lang w:bidi="ar-SA"/>
        </w:rPr>
        <w:t>، والآية تدلّ عليه ، وكثير من الأخبار المتقدّمة ترشد إليه ، ونفي العسر والحرج يؤكّده ، وانتفاء الضرر والضرار يبيّنه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الخوف على النفس أو البدن أو البضع أو المال ، وعدم خوف المنع في الطريق ، فمع خوف أحد هذه الأمور لا تحصل الاستطاعة ولا يتحقق فرض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الوجوب سلامة بعض الطرق ، فلو كان له طريقان مخلّى أحدهما دون الآخر وجب سلوك الأول وإن كان أبعد إذا لم تقصر نفقته عنه واتّسع الزمان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اشتراط كون الأبعد طريقا من بلده إلى مكّة عرفا ، أي لم يبلغ من الانحراف والبعد حدّا يخرج عن كونه سبيلا إليه ، 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طرق البلد إليه مخلّى ، فإن بعد بحيث لا ينصرف الطريق إليه ففي وجوب سلوكه إشكال ، بل عدمه أظهر ، لعدم صدق تخلية السرب عرفا ، وعدم انصراف استطاعة السبيل إليه ، فالمدني لو منع من المسير من طرق المدينة إلى مكّة وأمكنه المسير إلى الشام ومنه إلى العراق ومنه إلى خراسان ومنه إلى الهند ومنه إلى البحر ومنه إلى مكّة لم يجب عليه الحجّ</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الطريق عدو لا يندفع إلاّ بمال ، ففي سقوط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229"/>
      </w:r>
      <w:r>
        <w:rPr>
          <w:rFonts w:ascii="Amiri" w:hAnsi="Amiri" w:eastAsia="Amiri" w:cs="Amiri"/>
          <w:color w:val="111111"/>
          <w:sz w:val="28"/>
          <w:sz w:val="28"/>
          <w:szCs w:val="28"/>
          <w:rtl w:val="true"/>
          <w:lang w:bidi="ar-SA"/>
        </w:rPr>
        <w:t xml:space="preserve">وجماعة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والفاضل في بعض كتبه والمدارك والذخيرة </w:t>
      </w:r>
      <w:r>
        <w:rPr>
          <w:rStyle w:val="FootnoteAnchor"/>
          <w:rtl w:val="true"/>
        </w:rPr>
        <w:footnoteReference w:id="231"/>
      </w:r>
      <w:r>
        <w:rPr>
          <w:rFonts w:ascii="IRNazanin" w:hAnsi="IRNazanin" w:eastAsia="IRNazanin"/>
          <w:color w:val="111111"/>
          <w:sz w:val="28"/>
          <w:sz w:val="28"/>
          <w:szCs w:val="28"/>
          <w:rtl w:val="true"/>
          <w:lang w:bidi="fa-IR"/>
        </w:rPr>
        <w:t xml:space="preserve">، وجمع آخر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الأول مع الإجحاف والثاني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والدروس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 وظاهر </w:t>
      </w:r>
    </w:p>
    <w:p>
      <w:pPr>
        <w:pStyle w:val="BookText"/>
        <w:rPr/>
      </w:pPr>
      <w:r>
        <w:rPr>
          <w:rFonts w:ascii="IRNazanin" w:hAnsi="IRNazanin" w:eastAsia="IRNazanin"/>
          <w:color w:val="111111"/>
          <w:sz w:val="28"/>
          <w:sz w:val="28"/>
          <w:szCs w:val="28"/>
          <w:rtl w:val="true"/>
          <w:lang w:bidi="fa-IR"/>
        </w:rPr>
        <w:t xml:space="preserve">الإرشاد التردّد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الإعانة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على من أخذ المال منه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اشتراط التخلية مطلقا ، بل المشترط تخليته بحيث يتمكّن من المسير بدون مشقّة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إعانة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ومنع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الاستطاعة والقدرة ، فتتناوله 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الضرر المنفيّ مع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الأولون تخلية السرب المأخوذة في الاستطاعة على كونه خاليا عمّا يخاف معه الضرر على النفس أو البدن أو البضع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الرادّون على كونه بحيث يتمكّن من المسير منه بلا مشقّة شديدة ، وإن كان التمكّن لتحمّل ضرر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يرد على الطائفة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التمكّن بعد المشقّة إن كان لآيات نفي العسر والحرج فيجب تقييده بعدم الضرر أيضا ، لأخبار نفي الضرر والضرار ، بل لأدلّة نفي العسر أيضا ، فإنّ تحمّل الضرر عسر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لفهم العرف واللغة فلا شكّ أنّهم يفهمون منها التمكّن من المسير بلا ضرر يعتدّ به ، وأمّا معه فلا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تخلية السرب بكونه بحيث يتمكّن من المسير منه </w:t>
      </w:r>
    </w:p>
    <w:p>
      <w:pPr>
        <w:pStyle w:val="BookText"/>
        <w:rPr/>
      </w:pPr>
      <w:r>
        <w:rPr>
          <w:rFonts w:ascii="Amiri" w:hAnsi="Amiri" w:eastAsia="Amiri" w:cs="Amiri"/>
          <w:color w:val="111111"/>
          <w:sz w:val="28"/>
          <w:sz w:val="28"/>
          <w:szCs w:val="28"/>
          <w:rtl w:val="true"/>
          <w:lang w:bidi="ar-SA"/>
        </w:rPr>
        <w:t>بلا مشقّة شديدة ، ولا ضرر يعتدّ به زائدا عمّا هو لازم قطع المسافة من المشقّة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أدلّة نفي الضرر بنفسها أدلّة مستقلّة معارضة مع عمومات الاستطاعة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يؤخذ في معناهما تخلية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 موجبة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الأظهر هو القول الأول إن كان مرادهم من المال المعتدّ به الموجب لصدق الضرر عرفا ، والقول الثالث إن كان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الضرر الموجب لعدم تخلية السرب بين أن يؤخذ المال المتضرّر به قهرا ونهبا ، أو صلحا وهدية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يتصالح العدو ويرتفع عن الطريق بسبب 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سلطانا ورئاسة ، بأن يقرّر أخذ مال لمن يحجّ ، أو يعبر عن تحت ولايته أو بمصاحبته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الأخذ لأجل العبور للحجّ ، أو العبور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بلا مستند أو كان لأجل دفعه عدوّا آخر ومحافظة الطرق عمّا فيها من الأعداء ، متعدّيا عن قدر ما يلزم في الدفع ، أو لا ، إذا كان المأخوذ ضررا وإجحافا على المأخوذ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اندفع خوف العدو بصرف مال موجب للضرر في استصحاب عسكر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بتخلية السرب تخليته لكلّ أحد في كلّ حال ، بل المراد تخليته بالنسبة إلى الشخص بحسب أحواله ، فلو كان في الطريق خوف عدو لشخص دون آخر يجب الحجّ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يأمن الطريق للقافلة القليلة وأمن مع الكثرة وتحقّقت ، يجب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ارتفع العدو بتحمّل شخص الضرر على نفسه ، يجب على </w:t>
      </w:r>
    </w:p>
    <w:p>
      <w:pPr>
        <w:pStyle w:val="BookText"/>
        <w:rPr/>
      </w:pPr>
      <w:r>
        <w:rPr>
          <w:rFonts w:ascii="Amiri" w:hAnsi="Amiri" w:eastAsia="Amiri" w:cs="Amiri"/>
          <w:color w:val="111111"/>
          <w:sz w:val="28"/>
          <w:sz w:val="28"/>
          <w:szCs w:val="28"/>
          <w:rtl w:val="true"/>
          <w:lang w:bidi="ar-SA"/>
        </w:rPr>
        <w:t>الباقين ، إلى غير ذلك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من هذا شأنه ورضي بالضرر لم يكف عن حجّة الإسلام ، ويجب عليه الحجّ ثانيا إذا ارتفع المانع بلا تضرّر ، إلاّ إذا كان تحمّل الضرر قبل أحد المواقيت ولم يكن بعده عدوّ ، لحصول الاستطاعة بعده ، أو إذا كان هناك طريقان أحدهما مخلّى وسلك هو من غير المخلّى ، لتحقّق الاستطاعة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الحيلة في الإجزاء أيضا ، بإيجاب ما يأخذه العدو له على نفسه أولا بنذر أو يمين أو عهد ، أو ببذله لغيره وشرطه إعطائه العدو ونحو ذلك ، وكذا يجزئ لو بذله 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خلوّ السرب عن العدو يشترط خلوّه عن سائر الموانع أيضا ، فلو كان في بعض منازل الطريق طاعون أو وباء وخاف على نفسه من العبور فيه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انحصر الطريق في البحر وخاف المرض من سلوكه ، بل لو كان المانع مجرّد الخوف من الطاعون أو البحر بحدّ يعسر تحمّله ، وكانت فيه مشقّة شديدة ، أو احتمال حدوث مرض من الخوف ، لم يجب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الاستطاعة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الصحّة من المرض العائق عن الحركة أو الركوب أو الإتيان بالأفعال ، ومن العضب المانع كذلك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ثم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الزمانة والضعف ، فغير الصحيح لا يجب عليه الحجّ ، بالإجماع ، وعدم صدق الاستطاعة ، وانتفاء الحرج ، وكثير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الاستطاعة الزمانيّة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التمكّن من المسير بسعة الوقت ، فلو ضاق أو احتاج إلى سير </w:t>
      </w:r>
    </w:p>
    <w:p>
      <w:pPr>
        <w:pStyle w:val="BookText"/>
        <w:rPr/>
      </w:pPr>
      <w:r>
        <w:rPr>
          <w:rFonts w:ascii="Amiri" w:hAnsi="Amiri" w:eastAsia="Amiri" w:cs="Amiri"/>
          <w:color w:val="111111"/>
          <w:sz w:val="28"/>
          <w:sz w:val="28"/>
          <w:szCs w:val="28"/>
          <w:rtl w:val="true"/>
          <w:lang w:bidi="ar-SA"/>
        </w:rPr>
        <w:t xml:space="preserve">عنيف لقطع المسافة وعجز عنه سقط عنه فرضه في عامه ، وكذا لو قدر ولكن بمشقّة شديدة لا يتحمّل مثلها عادة ، للإجماع ، وفقد الاستطاعة ، ولزوم الحرج والعسر ، وكونه أمرا يعذره اللّه فيه ، كما صرّح به في بعض الأخبار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ولنختم ذلك الفصل بمسائل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الاستطاعات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أيضا ، وهو عدم ترتّب ضرر عليه أو على غيره بالخروج إلى الحجّ ، فلو كان أحد بحيث لو خرج كان خروجه إلى الحجّ موجبا لتلف ماله المعتدّ به غير ما يصرف في الحجّ ، أو كانت المرأة بحيث تخاف على رضيعها ، وغير ذلك ، لم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ذلك وبين الشراء بأزيد من ثمن المثل أو البيع بالأقلّ أنّ العلّة المنصوصة فيهما غير جارية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الوجوب لو منعه قاهر من المسافرة ، أو خاف فيه على نفسه أو بضعه أو ماله أو ما يتعلّق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الاستطاعات المذكورة حصولها من بلد المكلّف ، فلو حصلت له في موضع آخر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للحجّ والعود إلى بلده وجب عليه الحجّ وإن لم تكن له الاستطاعة من بلده ، وفاقا للذخيرة والمدارك </w:t>
      </w:r>
      <w:r>
        <w:rPr>
          <w:rStyle w:val="FootnoteAnchor"/>
          <w:rtl w:val="true"/>
        </w:rPr>
        <w:footnoteReference w:id="236"/>
      </w:r>
      <w:r>
        <w:rPr>
          <w:rFonts w:ascii="Amiri" w:hAnsi="Amiri" w:eastAsia="Amiri" w:cs="Amiri"/>
          <w:color w:val="111111"/>
          <w:sz w:val="28"/>
          <w:sz w:val="28"/>
          <w:szCs w:val="28"/>
          <w:rtl w:val="true"/>
          <w:lang w:bidi="ar-SA"/>
        </w:rPr>
        <w:t xml:space="preserve">، وبعض آخر من المتأخّرين </w:t>
      </w:r>
      <w:r>
        <w:rPr>
          <w:rStyle w:val="FootnoteAnchor"/>
          <w:rtl w:val="true"/>
        </w:rPr>
        <w:footnoteReference w:id="237"/>
      </w:r>
      <w:r>
        <w:rPr>
          <w:rFonts w:ascii="Amiri" w:hAnsi="Amiri" w:eastAsia="Amiri" w:cs="Amiri"/>
          <w:color w:val="111111"/>
          <w:sz w:val="28"/>
          <w:sz w:val="28"/>
          <w:szCs w:val="28"/>
          <w:rtl w:val="true"/>
          <w:lang w:bidi="ar-SA"/>
        </w:rPr>
        <w:t>، بل الأكثر ، كما يظهر من قولهم في الصبي والمجنون المدركين في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لعموم النصوص السالم عن المعارض ، 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مجتازا يريد اليمن أو غيرها من البلدان وطريقه بمكّة ، فيدرك الناس وهم يخرجون إلى الحجّ ، فيحرم معهم إلى المشاهد ، يجزيه ذلك من حجّة الإسلام؟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أقام في غير بلده إنّما يجب عليه الحجّ إذا كان مستطيعا من بلده ، إلاّ أن تكون إقامته في الثانية على وجه الدوام أو مع انتقال الفرض ، كالمجاور بمكّة بعد السنتين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لانفهام ذلك من العمومات والإطلاقات ، وهو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حجّ الفقير متسكّعا إلى الميقات ولكن لم يحتج إلى التسكّع منه إلى الفراغ من المناسك يجب عليه ويجزئه عن حجّة الإسلام ، وكذا الحال في سائر الاستطاعات ، وكذا لو سافر للتجارة إلى الشام مثلا وحصل له فيه من الربح ما يكفيه للحجّ والعود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غير المستطيع تسكّعا أو بمشقّة شديدة كان حجّه ندبا ولم يجز عن حجّة الإسلام ، وتجب عليه الإعادة لو استطاع ، بلا خلاف كما قيل </w:t>
      </w:r>
      <w:r>
        <w:rPr>
          <w:rStyle w:val="FootnoteAnchor"/>
          <w:rtl w:val="true"/>
        </w:rPr>
        <w:footnoteReference w:id="240"/>
      </w:r>
      <w:r>
        <w:rPr>
          <w:rFonts w:ascii="Amiri" w:hAnsi="Amiri" w:eastAsia="Amiri" w:cs="Amiri"/>
          <w:color w:val="111111"/>
          <w:sz w:val="28"/>
          <w:sz w:val="28"/>
          <w:szCs w:val="28"/>
          <w:rtl w:val="true"/>
          <w:lang w:bidi="ar-SA"/>
        </w:rPr>
        <w:t xml:space="preserve">، بل بظاهر الإجماع كما عن الخلاف والمنتهى </w:t>
      </w:r>
      <w:r>
        <w:rPr>
          <w:rStyle w:val="FootnoteAnchor"/>
          <w:rtl w:val="true"/>
        </w:rPr>
        <w:footnoteReference w:id="241"/>
      </w:r>
      <w:r>
        <w:rPr>
          <w:rFonts w:ascii="Amiri" w:hAnsi="Amiri" w:eastAsia="Amiri" w:cs="Amiri"/>
          <w:color w:val="111111"/>
          <w:sz w:val="28"/>
          <w:sz w:val="28"/>
          <w:szCs w:val="28"/>
          <w:rtl w:val="true"/>
          <w:lang w:bidi="ar-SA"/>
        </w:rPr>
        <w:t xml:space="preserve">وغيرهما </w:t>
      </w:r>
      <w:r>
        <w:rPr>
          <w:rStyle w:val="FootnoteAnchor"/>
          <w:rtl w:val="true"/>
        </w:rPr>
        <w:footnoteReference w:id="242"/>
      </w:r>
      <w:r>
        <w:rPr>
          <w:rFonts w:ascii="Amiri" w:hAnsi="Amiri" w:eastAsia="Amiri" w:cs="Amiri"/>
          <w:color w:val="111111"/>
          <w:sz w:val="28"/>
          <w:sz w:val="28"/>
          <w:szCs w:val="28"/>
          <w:rtl w:val="true"/>
          <w:lang w:bidi="ar-SA"/>
        </w:rPr>
        <w:t>، لتوقّف الإجزاء على الأمر والخطاب المنفيّين في المقام ، لفقد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 ذلك بين انتفاء الاستطاعة الماليّة وغيرها ، كما صرّح به جماعة </w:t>
      </w:r>
      <w:r>
        <w:rPr>
          <w:rStyle w:val="FootnoteAnchor"/>
          <w:rtl w:val="true"/>
        </w:rPr>
        <w:footnoteReference w:id="243"/>
      </w:r>
      <w:r>
        <w:rPr>
          <w:rFonts w:ascii="Amiri" w:hAnsi="Amiri" w:eastAsia="Amiri" w:cs="Amiri"/>
          <w:color w:val="111111"/>
          <w:sz w:val="28"/>
          <w:sz w:val="28"/>
          <w:szCs w:val="28"/>
          <w:rtl w:val="true"/>
          <w:lang w:bidi="ar-SA"/>
        </w:rPr>
        <w:t xml:space="preserve">، وحكي عن المشهور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Style w:val="FootnoteAnchor"/>
          <w:rtl w:val="true"/>
        </w:rPr>
        <w:footnoteReference w:id="245"/>
      </w:r>
      <w:r>
        <w:rPr>
          <w:rFonts w:ascii="Amiri" w:hAnsi="Amiri" w:eastAsia="Amiri" w:cs="Amiri"/>
          <w:color w:val="111111"/>
          <w:sz w:val="28"/>
          <w:sz w:val="28"/>
          <w:szCs w:val="28"/>
          <w:rtl w:val="true"/>
          <w:lang w:bidi="ar-SA"/>
        </w:rPr>
        <w:t>، فلا يجزئ في الأول ويجزئ في غيره ، كالمريض والممنوع بالعدو وضيق الوقت والمعضوب ، لأنّ ذلك من باب تحصيل الشرط ، فإنّه لا يجب ، ولو حصّله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الحاصل بالتكلّف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أو السير إليه ، لا الصحّة وأمن الطريق مثلا ، اللذان هما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حصلت لغير المستطيع الاستطاعة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يحصل له من السؤال ما يكفي له منه إلى تمام المناسك ، أو كان له من ماله هذا المقدار ، أو سهل له المشي منه إلى مكّة من غير راحلة ، أو تحمّل الحركة العنيفة في ضيق الوقت حتى أدرك الميقات في الوقت ، أو بلغ إلى موضع الأمن قبل الميقات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عن حجّة الإسلام ، ولأجل ذلك يشبه أن يكون خلاف الدروس مع المشهور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اقترض ما يكفيه لنفقة الحجّ والعيال وحجّ يكون مجزئا عنه ، إذ بعد الاقتراض يصير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الوجوب والإجزاء لمن حصلت له الاستطاعة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أو وجود قليل من المال أو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العيال ، أو الكفاية ، أو نفقة العود ، أم 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لو لم يتفاوت الحال للعيال والكفاية والعود بصرف ما في </w:t>
      </w:r>
    </w:p>
    <w:p>
      <w:pPr>
        <w:pStyle w:val="BookText"/>
        <w:rPr/>
      </w:pPr>
      <w:r>
        <w:rPr>
          <w:rFonts w:ascii="Amiri" w:hAnsi="Amiri" w:eastAsia="Amiri" w:cs="Amiri"/>
          <w:color w:val="111111"/>
          <w:sz w:val="28"/>
          <w:sz w:val="28"/>
          <w:szCs w:val="28"/>
          <w:rtl w:val="true"/>
          <w:lang w:bidi="ar-SA"/>
        </w:rPr>
        <w:t>يده إلى الحجّ يجب الحجّ ويجزئ ، وإن توقّف أحد الثلاثة عليه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المستطيع تسكّعا أو في نفقة غيره أجزأه عن الفرض ، بلا خلاف فيه بين العلماء ، لأنّ الحجّ واجب عليه وقد امتثل بفعل المناسك المخصوصة ، فيحصل الإجزاء ، وصرف المال غير واجب لذاته وإنّما يجب إذا توقّف عليه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عن المستطيع الحيّ غيره لم يجزه إجماعا ، لأنّ الواجب عليه إيقاعه مباشرة فلا تجزئ الاستنابة فيه ، وكذا لو حجّ غير المستطيع عن غيره لم يجزه ، بلا خلاف يعرف كما في المدارك والذخيرة </w:t>
      </w:r>
      <w:r>
        <w:rPr>
          <w:rStyle w:val="FootnoteAnchor"/>
          <w:rtl w:val="true"/>
        </w:rPr>
        <w:footnoteReference w:id="246"/>
      </w:r>
      <w:r>
        <w:rPr>
          <w:rFonts w:ascii="Amiri" w:hAnsi="Amiri" w:eastAsia="Amiri" w:cs="Amiri"/>
          <w:color w:val="111111"/>
          <w:sz w:val="28"/>
          <w:sz w:val="28"/>
          <w:szCs w:val="28"/>
          <w:rtl w:val="true"/>
          <w:lang w:bidi="ar-SA"/>
        </w:rPr>
        <w:t>، بل هو مذهب الأصحاب كما في الأول ، ومقطوع به في كلامهم كما في الثاني ، بل هو إجماعي ، فلو استطاع بعده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ولرواية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يحجّ عن إنسان ولم يكن له مال يحجّ به أجزأت عنه حتى يرزقه اللّه ما يحجّ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إبراهيم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صرورة لم يحجّ قط ، حجّ عن صرورة لم يحجّ قطّ ، أيجزئ كلّ واحد منهما تلك الحجّة عن حجّة الإسلام ، أم لا؟ بيّن ذلك يا سيّدي إن شاء اللّه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 ذلك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وبإزائها أخبار أخر دالّة على الاجتزاء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غيره ، يجزئه ذلك عن حجّة </w:t>
      </w:r>
    </w:p>
    <w:p>
      <w:pPr>
        <w:pStyle w:val="BookText"/>
        <w:rPr/>
      </w:pPr>
      <w:r>
        <w:rPr>
          <w:rFonts w:ascii="IRNazanin" w:hAnsi="IRNazanin" w:eastAsia="IRNazanin"/>
          <w:color w:val="111111"/>
          <w:sz w:val="28"/>
          <w:sz w:val="28"/>
          <w:szCs w:val="28"/>
          <w:rtl w:val="true"/>
          <w:lang w:bidi="fa-IR"/>
        </w:rPr>
        <w:t xml:space="preserve">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الصرورة يجزئ عنه وعمّن حجّ عنه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ليس له مال حجّ عن رجل أو أحجّه رجل ، ثم أصاب مالا ، هل عليه 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عنهما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للشذوذ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مع ما مرّ ،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الصراحة ولا الظهور في خلاف ما مرّ ، لاحتمال رجوع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 في الأولى ، إلى الغير وكان ممّن تتعيّن الاستنابة عنه ، 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إلى المنوب عنه والمحجوج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الإجزاء في الجميع يمكن أن يكون عن الأمر الندبي أو الإيجابي الثابت بالاستئجار ، ولم تثبت الحقيقة الشرعيّة في لفظ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المسألة محلّ إشكال </w:t>
      </w:r>
      <w:r>
        <w:rPr>
          <w:rStyle w:val="FootnoteAnchor"/>
          <w:rtl w:val="true"/>
        </w:rPr>
        <w:footnoteReference w:id="252"/>
      </w:r>
      <w:r>
        <w:rPr>
          <w:rFonts w:ascii="Amiri" w:hAnsi="Amiri" w:eastAsia="Amiri" w:cs="Amiri"/>
          <w:color w:val="111111"/>
          <w:sz w:val="28"/>
          <w:sz w:val="28"/>
          <w:szCs w:val="28"/>
          <w:rtl w:val="true"/>
          <w:lang w:bidi="ar-SA"/>
        </w:rPr>
        <w:t xml:space="preserve">، وما في بعض شروح المفاتيح أنّها من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أحد مالا ومنعه كبر أو مرض أو عدوّ أو سلطان أو نحو ذلك ، فإمّا يكون مأيوسا من الخلاص أو لا ، وعلى التقديرين إمّا يكون الحجّ مستقرّا في ذمّته قبل العذر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 اليأس والاستقرار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 الاستنابة في الحياة ، بل في المسالك والروضة والمفاتيح </w:t>
      </w:r>
      <w:r>
        <w:rPr>
          <w:rStyle w:val="FootnoteAnchor"/>
          <w:rtl w:val="true"/>
        </w:rPr>
        <w:footnoteReference w:id="253"/>
      </w:r>
      <w:r>
        <w:rPr>
          <w:rFonts w:ascii="Amiri" w:hAnsi="Amiri" w:eastAsia="Amiri" w:cs="Amiri"/>
          <w:color w:val="111111"/>
          <w:sz w:val="28"/>
          <w:sz w:val="28"/>
          <w:szCs w:val="28"/>
          <w:rtl w:val="true"/>
          <w:lang w:bidi="ar-SA"/>
        </w:rPr>
        <w:t xml:space="preserve">وشرح الشرائع للشيخ علي وغيرها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أراد الحجّ فعرض له مرض أو خالطه سقم ، فلم يستطع الخروج ، فليجهّز رجلا من ماله فليبعثه مكانه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 أمر شيخا كبيرا لم يحجّ قطّ ولم يطق الحجّ لكبره أن يجهّز رجلا يحجّ عنه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ومثلها صحيحة ابن عمّار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ينافيهما التعليق على المشيّة في روايتي القدّاح وأبي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قال لشيخ كبير لم يحجّ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فجهّز رجلا ثم ابعثه أن يحجّ عنك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أتى عليّا عليه السلام ولم يحجّ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كثير المال وفرّطت في الحجّ حتى كبر 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فتستطيع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فجهّز رجلا ثم ابعثه حتى يحجّ عنك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لإجمال متعلّق المشيّة ، فلعلّه براءة الذمّة أو الخلاص من العذاب ، وأيضا هذه قضايا في وقائع ولم يعلم اتّحادها ، فلعلّ الرجل في الأخيرتين لم يكن مستطيعا قبل الكبر ، إمّا من جهة المال ، أو من جهة مانع آخر من عدوّ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 موسر حال بينه وبين الحجّ مرض يعذره اللّه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يحجّ عنه من ماله صرورة لا مال له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وقريبة منها رواية عليّ بن أبي حمزة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وبالنصوص المفيدة لوجوب الاستنابة مع الاستقرار بعد الموت </w:t>
      </w:r>
      <w:r>
        <w:rPr>
          <w:rStyle w:val="FootnoteAnchor"/>
          <w:rtl w:val="true"/>
        </w:rPr>
        <w:footnoteReference w:id="262"/>
      </w:r>
      <w:r>
        <w:rPr>
          <w:rFonts w:ascii="Amiri" w:hAnsi="Amiri" w:eastAsia="Amiri" w:cs="Amiri"/>
          <w:color w:val="111111"/>
          <w:sz w:val="28"/>
          <w:sz w:val="28"/>
          <w:szCs w:val="28"/>
          <w:rtl w:val="true"/>
          <w:lang w:bidi="ar-SA"/>
        </w:rPr>
        <w:t>، فحين الحياة مع اليأس أولى ، لجواز الاستنابة حيّا ، اتّفاقا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الخدش في جميع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الإجماعات المحكيّة ، فبعدم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الصحيحة الأولى ، فبضعف الدلالة على الوجوب من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التجهيز على إرادة الحجّ ، الدالّة بالمفهوم على عدم وجوبه مع عدمها ، والإجماع المركّب يجري من الطرفين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حمل على الاستحباب أمكن الفرق بين الإرادة وعدمها ، فيستحبّ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الإرادة وعروض المانع دون </w:t>
      </w:r>
    </w:p>
    <w:p>
      <w:pPr>
        <w:pStyle w:val="BookText"/>
        <w:rPr/>
      </w:pPr>
      <w:r>
        <w:rPr>
          <w:rFonts w:ascii="Amiri" w:hAnsi="Amiri" w:eastAsia="Amiri" w:cs="Amiri"/>
          <w:color w:val="111111"/>
          <w:sz w:val="28"/>
          <w:sz w:val="28"/>
          <w:szCs w:val="28"/>
          <w:rtl w:val="true"/>
          <w:lang w:bidi="ar-SA"/>
        </w:rPr>
        <w:t>حال عدم الإرادة ، من جهة أنّ من أراد خيرا ينبغي إتمامه كيف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الأمر بالتجهيز من ماله الغير الواجب قطعا ، لكفاية بعثه ولو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شمول إطلاقه لمن يجب عليه الحجّ أولا ، كمن حجّ قبل ذلك ، أو استقرّ الوجوب في ذمّته قبل ذلك أم لا ، وحصل له اليأس أم لا ، بل ظهور عدم اليأس منهما ، حيث إنّ كون المرض العارض أو السقم المخالط ممّا لا يرجى زوالها من الأفراد النادرة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الأفراد ممّا لا تجب الاستنابة فيه إجماعا ، وبعضها ممّا ادّعي فيه الإجماع على عدم الوجوب ، وبعضها ممّا وقع الخلاف فيه ، والحكم بأولويّة التخصيص عن التجوّز في الأمر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مورد توهّم الحظر ، إمّا من جهة عدم ثبوت الاستنابة للحيّ ، أو من جهة قول بعض العامّة به ، كما في الخلاف والمنتهى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الثانيتان ، فبكثير ممّا ذكر أيضا ، مضافا إلى معارضتهما بالتعليق على المشيّة في الروايتين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متعلّق المشيّة غير المأمور به خلاف المتبادر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تعدّد الوقائع وعدم استطاعة مورد الأخيرتين بعيد جدّا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ظاهر قوله 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الاستطاعة ، وإلاّ لم يكن تفريطا </w:t>
      </w:r>
      <w:r>
        <w:rPr>
          <w:rStyle w:val="FootnoteAnchor"/>
          <w:rtl w:val="true"/>
        </w:rPr>
        <w:footnoteReference w:id="265"/>
      </w:r>
      <w:r>
        <w:rPr>
          <w:rFonts w:ascii="Amiri" w:hAnsi="Amiri" w:eastAsia="Amiri" w:cs="Amiri"/>
          <w:color w:val="111111"/>
          <w:sz w:val="28"/>
          <w:sz w:val="28"/>
          <w:szCs w:val="28"/>
          <w:rtl w:val="true"/>
          <w:lang w:bidi="ar-SA"/>
        </w:rPr>
        <w:t xml:space="preserve">، فترك الاستفصال فيه يفيد العموم الشامل لما نحن فيه قطعا </w:t>
      </w:r>
    </w:p>
    <w:p>
      <w:pPr>
        <w:pStyle w:val="BookText"/>
        <w:rPr/>
      </w:pPr>
      <w:r>
        <w:rPr>
          <w:rFonts w:ascii="Amiri" w:hAnsi="Amiri" w:eastAsia="Amiri" w:cs="Amiri"/>
          <w:color w:val="111111"/>
          <w:sz w:val="28"/>
          <w:sz w:val="28"/>
          <w:szCs w:val="28"/>
          <w:rtl w:val="true"/>
          <w:lang w:bidi="ar-SA"/>
        </w:rPr>
        <w:t>لو لم نقل بالاختصاص ، بل نقول به من جهة دلالتها على سبق الاستطاعة من جهة كثرة المال والتقصير ، وعلى اليأس من جهة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معارضتهما مع الصحيحة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الرابعتان ، فلبعض ما مرّ ، مضافا إلى تعلّق الأمر فيهما بالصرورة ، ولم يقل أحد بوجوب استنابته ، 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إليه على الاستحباب أو الإباحة أو الأعم منهما ومن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حمله بالإضافة إلى الاستنابة على الوجوب ، إلاّ على القول بجواز استعمال اللّفظ الواحد في حقيقته ومجازه في استعمال واحد ، وهو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 فبمنع الأولويّة ، لعدم معلوميّة العلّة ، سيّما مع القول بوجوب الإعادة لو اتّفق زوال العذر ، لقيام الفارق حينئذ ، وهو القطع بعدم وجوب الإعادة في الأصل وعدمه في الفرع ، لاحتمال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ظهر عدم وجود مخرج تامّ لنا عن أصل عدم وجوب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حكي التردّد عن بعضهم في الوجوب في هذه الصورة ، وهو الظاهر من الذخيرة ، بل من الشرائع والنافع والإرشاد </w:t>
      </w:r>
      <w:r>
        <w:rPr>
          <w:rStyle w:val="FootnoteAnchor"/>
          <w:rtl w:val="true"/>
        </w:rPr>
        <w:footnoteReference w:id="266"/>
      </w:r>
      <w:r>
        <w:rPr>
          <w:rFonts w:ascii="Amiri" w:hAnsi="Amiri" w:eastAsia="Amiri" w:cs="Amiri"/>
          <w:color w:val="111111"/>
          <w:sz w:val="28"/>
          <w:sz w:val="28"/>
          <w:szCs w:val="28"/>
          <w:rtl w:val="true"/>
          <w:lang w:bidi="ar-SA"/>
        </w:rPr>
        <w:t xml:space="preserve">، لتردّدهم في مسألة استنابة المعذور ، من غير تفصيل بين الاستقرار وعدمه ، بل قيل بخلوّ كثير من كلمات الموجبين للاستنابة والنافين لها عن هذا التفصيل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يتعرّض جماعة للحكم بالوجوب في هذه الصورة ، ومنهم الحلّي ، حيث اقتصر على ردّ وجوب الاستنابة بدون استقرار الاستطاعة ، </w:t>
      </w:r>
    </w:p>
    <w:p>
      <w:pPr>
        <w:pStyle w:val="BookText"/>
        <w:rPr/>
      </w:pPr>
      <w:r>
        <w:rPr>
          <w:rFonts w:ascii="Amiri" w:hAnsi="Amiri" w:eastAsia="Amiri" w:cs="Amiri"/>
          <w:color w:val="111111"/>
          <w:sz w:val="28"/>
          <w:sz w:val="28"/>
          <w:szCs w:val="28"/>
          <w:rtl w:val="true"/>
          <w:lang w:bidi="ar-SA"/>
        </w:rPr>
        <w:t xml:space="preserve">وحكم بوجوبها إذا استقرّت ومات المستطيع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فليس في المسألة مظنّة إجماع ، بل ولا علم بشهرة ، وحيث كانت كذلك ولم يكن دليل تامّ على الوجوب فالأقرب إذن ما يقتضيه الأصل ، وهو عدم الوجوب وإن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تظهر أقربيّة عدم الوجوب في صورة عدم الاستقرار بطريق أولى ، لوجود التصريح بالعدم فيها من الفحول ، كما عن المفيد والحلّي والجامع والقواعد والمختلف والإيضاح </w:t>
      </w:r>
      <w:r>
        <w:rPr>
          <w:rStyle w:val="FootnoteAnchor"/>
          <w:rtl w:val="true"/>
        </w:rPr>
        <w:footnoteReference w:id="269"/>
      </w:r>
      <w:r>
        <w:rPr>
          <w:rFonts w:ascii="Amiri" w:hAnsi="Amiri" w:eastAsia="Amiri" w:cs="Amiri"/>
          <w:color w:val="111111"/>
          <w:sz w:val="28"/>
          <w:sz w:val="28"/>
          <w:szCs w:val="28"/>
          <w:rtl w:val="true"/>
          <w:lang w:bidi="ar-SA"/>
        </w:rPr>
        <w:t xml:space="preserve">، واختاره بعض مشايخنا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لآخرين ، كالشيخ في النهاية والتهذيب والمبسوط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فيه الإجماع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والقديمين والحلبي والقاضي والتحرير </w:t>
      </w:r>
      <w:r>
        <w:rPr>
          <w:rStyle w:val="FootnoteAnchor"/>
          <w:rtl w:val="true"/>
        </w:rPr>
        <w:footnoteReference w:id="272"/>
      </w:r>
      <w:r>
        <w:rPr>
          <w:rFonts w:ascii="Amiri" w:hAnsi="Amiri" w:eastAsia="Amiri" w:cs="Amiri"/>
          <w:color w:val="111111"/>
          <w:sz w:val="28"/>
          <w:sz w:val="28"/>
          <w:szCs w:val="28"/>
          <w:rtl w:val="true"/>
          <w:lang w:bidi="ar-SA"/>
        </w:rPr>
        <w:t xml:space="preserve">، وكثير من المتأخّرين </w:t>
      </w:r>
      <w:r>
        <w:rPr>
          <w:rStyle w:val="FootnoteAnchor"/>
          <w:rtl w:val="true"/>
        </w:rPr>
        <w:footnoteReference w:id="273"/>
      </w:r>
      <w:r>
        <w:rPr>
          <w:rFonts w:ascii="Amiri" w:hAnsi="Amiri" w:eastAsia="Amiri" w:cs="Amiri"/>
          <w:color w:val="111111"/>
          <w:sz w:val="28"/>
          <w:sz w:val="28"/>
          <w:szCs w:val="28"/>
          <w:rtl w:val="true"/>
          <w:lang w:bidi="ar-SA"/>
        </w:rPr>
        <w:t xml:space="preserve">، بل الأكثر مطلقا كما قيل </w:t>
      </w:r>
      <w:r>
        <w:rPr>
          <w:rStyle w:val="FootnoteAnchor"/>
          <w:rtl w:val="true"/>
        </w:rPr>
        <w:footnoteReference w:id="274"/>
      </w:r>
      <w:r>
        <w:rPr>
          <w:rFonts w:ascii="Amiri" w:hAnsi="Amiri" w:eastAsia="Amiri" w:cs="Amiri"/>
          <w:color w:val="111111"/>
          <w:sz w:val="28"/>
          <w:sz w:val="28"/>
          <w:szCs w:val="28"/>
          <w:rtl w:val="true"/>
          <w:lang w:bidi="ar-SA"/>
        </w:rPr>
        <w:t>، لجميع ما مرّ مع ردّه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في صورة عدم اليأس ، لعدم مصرّح فيها بالوجوب سوى شاذّ يأتي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العدم </w:t>
      </w:r>
      <w:r>
        <w:rPr>
          <w:rStyle w:val="FootnoteAnchor"/>
          <w:rtl w:val="true"/>
        </w:rPr>
        <w:footnoteReference w:id="275"/>
      </w:r>
      <w:r>
        <w:rPr>
          <w:rFonts w:ascii="Amiri" w:hAnsi="Amiri" w:eastAsia="Amiri" w:cs="Amiri"/>
          <w:color w:val="111111"/>
          <w:sz w:val="28"/>
          <w:sz w:val="28"/>
          <w:szCs w:val="28"/>
          <w:rtl w:val="true"/>
          <w:lang w:bidi="ar-SA"/>
        </w:rPr>
        <w:t>، ولعدم جريان جميع الأدلّة المذكورة فيها</w:t>
      </w:r>
      <w:r>
        <w:rPr>
          <w:rFonts w:eastAsia="Amiri" w:cs="Amiri" w:ascii="Amiri" w:hAnsi="Amiri"/>
          <w:color w:val="111111"/>
          <w:sz w:val="28"/>
          <w:szCs w:val="28"/>
          <w:rtl w:val="true"/>
          <w:lang w:bidi="ar-SA"/>
        </w:rPr>
        <w:t xml:space="preserve">. </w:t>
      </w:r>
      <w:bookmarkStart w:id="58" w:name="pg11651_107675"/>
    </w:p>
    <w:p>
      <w:pPr>
        <w:pStyle w:val="BookText"/>
        <w:rPr/>
      </w:pPr>
      <w:bookmarkEnd w:id="58"/>
      <w:r>
        <w:rPr>
          <w:rFonts w:ascii="Amiri" w:hAnsi="Amiri" w:eastAsia="Amiri" w:cs="Amiri"/>
          <w:color w:val="111111"/>
          <w:sz w:val="28"/>
          <w:sz w:val="28"/>
          <w:szCs w:val="28"/>
          <w:rtl w:val="true"/>
          <w:lang w:bidi="ar-SA"/>
        </w:rPr>
        <w:t xml:space="preserve">خلافا للمحكيّ عن الدروس </w:t>
      </w:r>
      <w:r>
        <w:rPr>
          <w:rStyle w:val="FootnoteAnchor"/>
          <w:rtl w:val="true"/>
        </w:rPr>
        <w:footnoteReference w:id="276"/>
      </w:r>
      <w:r>
        <w:rPr>
          <w:rFonts w:ascii="Amiri" w:hAnsi="Amiri" w:eastAsia="Amiri" w:cs="Amiri"/>
          <w:color w:val="111111"/>
          <w:sz w:val="28"/>
          <w:sz w:val="28"/>
          <w:szCs w:val="28"/>
          <w:rtl w:val="true"/>
          <w:lang w:bidi="ar-SA"/>
        </w:rPr>
        <w:t>، لإطلاق بعض ما مرّ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في صورة عدم الاستقرار وعدم اليأس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تستحبّ الاستنابة في جميع تلك الصور ، لما مرّ</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171950_73709187"/>
      <w:bookmarkStart w:id="60" w:name="_Toc22"/>
      <w:bookmarkEnd w:id="59"/>
      <w:r>
        <w:rPr>
          <w:rtl w:val="true"/>
        </w:rPr>
        <w:t xml:space="preserve">فرعان </w:t>
      </w:r>
      <w:r>
        <w:rPr>
          <w:rtl w:val="true"/>
        </w:rPr>
        <w:t>:</w:t>
      </w:r>
      <w:bookmarkEnd w:id="6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بوجوب الاستنابة في بعض الصور واستناب ثم زال العذر يجب عليه الحجّ ثانيا ، من غير خلاف صريح بينهم أجده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277"/>
      </w:r>
      <w:r>
        <w:rPr>
          <w:rFonts w:ascii="Amiri" w:hAnsi="Amiri" w:eastAsia="Amiri" w:cs="Amiri"/>
          <w:color w:val="111111"/>
          <w:sz w:val="28"/>
          <w:sz w:val="28"/>
          <w:szCs w:val="28"/>
          <w:rtl w:val="true"/>
          <w:lang w:bidi="ar-SA"/>
        </w:rPr>
        <w:t>، وعن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بين علمائنا ، لإطلاق الأمر بالحجّ للمستطيع ، وما فعله كان واجبا في ماله ، وهذا يلزمه في نفسه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العدم ، لأنّه أدّى حجّة الإسلام بأمر الشارع ، ولا يجب الحجّ بأصل الشرع إلاّ مرّة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أنّ ما فعله حجّة الإسلام ، ونحن أيضا لا نوجبها إلاّ مرّة ، ولم يحجّ هو بعد ، وإنّما حجّ غيره نيابة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ما تقدّم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محمّد والحلبي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ذلك بحجّة الإسلام ، وجريانه في غيره من الواجبات أيضا ، كالمنذور ، والظاهر عدم الخلاف فيه أيضا ، كما يظهر منهم </w:t>
      </w:r>
    </w:p>
    <w:p>
      <w:pPr>
        <w:pStyle w:val="BookText"/>
        <w:rPr/>
      </w:pPr>
      <w:r>
        <w:rPr>
          <w:rFonts w:ascii="Amiri" w:hAnsi="Amiri" w:eastAsia="Amiri" w:cs="Amiri"/>
          <w:color w:val="111111"/>
          <w:sz w:val="28"/>
          <w:sz w:val="28"/>
          <w:szCs w:val="28"/>
          <w:rtl w:val="true"/>
          <w:lang w:bidi="ar-SA"/>
        </w:rPr>
        <w:t>في مسألة الاستنابة عن الحجّتين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 الحجّ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اجتمعت له شرائط الوجوب ومضت مدّة يمكنه فيها استيفاء جميع أفعال الحجّ كما عن الأكثر </w:t>
      </w:r>
      <w:r>
        <w:rPr>
          <w:rStyle w:val="FootnoteAnchor"/>
          <w:rtl w:val="true"/>
        </w:rPr>
        <w:footnoteReference w:id="281"/>
      </w:r>
      <w:r>
        <w:rPr>
          <w:rFonts w:ascii="Amiri" w:hAnsi="Amiri" w:eastAsia="Amiri" w:cs="Amiri"/>
          <w:color w:val="111111"/>
          <w:sz w:val="28"/>
          <w:sz w:val="28"/>
          <w:szCs w:val="28"/>
          <w:rtl w:val="true"/>
          <w:lang w:bidi="ar-SA"/>
        </w:rPr>
        <w:t xml:space="preserve">، أو الأركان منها خاصّة كما احتمله جماعة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فأهمل حتى مات ، يجب قضاؤه عنه ، بالإجماع المحقّق ، والمحكيّ في الخلاف والمنتهى والتذكرة </w:t>
      </w:r>
      <w:r>
        <w:rPr>
          <w:rStyle w:val="FootnoteAnchor"/>
          <w:rtl w:val="true"/>
        </w:rPr>
        <w:footnoteReference w:id="283"/>
      </w:r>
      <w:r>
        <w:rPr>
          <w:rFonts w:ascii="Amiri" w:hAnsi="Amiri" w:eastAsia="Amiri" w:cs="Amiri"/>
          <w:color w:val="111111"/>
          <w:sz w:val="28"/>
          <w:sz w:val="28"/>
          <w:szCs w:val="28"/>
          <w:rtl w:val="true"/>
          <w:lang w:bidi="ar-SA"/>
        </w:rPr>
        <w:t xml:space="preserve">وغيرها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خرج حاجّا حجّة الإسلام فمات في الطريق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في الحرم فقد أجزأت عنه حجّة الإسلام ، وإن مات دون الحرم فليقض عنه وليّه حجّة الإسلام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ولم يحجّ حجّة الإسلام ولم يوص بها وهو موسر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من صلب ماله ، لا يجوز غير ذلك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استودعني مالا فهلك وليس لولده شي‌ء ولم يحجّ حجّة الإسلام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عنه وما فضل فأعطهم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فأوصى أن يحجّ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كان صرورة فمن جميع المال ، إنّه بمنزلة الدين الواجب ، وإن كان قد حجّ فمن ثلثه ، ومن مات ولم يحجّ حجّة الإسلام ولم يترك إلاّ قدر نفقة الحمولة وله ورثة فهم أحقّ بما ترك ، فإن شاءوا أكلوا ، وإن شاءوا حجّوا عنه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جعل الحجّة من جميع المال معلّلا بأنّه بمنزلة الدين الواجب ، وليس ذلك لأجل الوصيّة ، لأنّها لا تكون إلاّ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أخبار كثيرة أخر أيضا متواترة معنى ، كالصحاح الثمان لابن عمّار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وجوب الحجّ وشرائطه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وضريس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وموثّقة رفاعة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إلاّ أنّ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الجملة الخبريّة ، أو ما يحتملها ، أو ما لا يجب قطعا كاستنابة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الوجوب قاصرة ، إلاّ أنّ يجعل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1" w:name="pg11651_107678"/>
    </w:p>
    <w:p>
      <w:pPr>
        <w:pStyle w:val="BookText"/>
        <w:rPr/>
      </w:pPr>
      <w:bookmarkEnd w:id="61"/>
      <w:r>
        <w:rPr>
          <w:rFonts w:ascii="Amiri" w:hAnsi="Amiri" w:eastAsia="Amiri" w:cs="Amiri"/>
          <w:color w:val="111111"/>
          <w:sz w:val="28"/>
          <w:sz w:val="28"/>
          <w:szCs w:val="28"/>
          <w:rtl w:val="true"/>
          <w:lang w:bidi="ar-SA"/>
        </w:rPr>
        <w:t>الإجماع والأخبار الأولى على إرادته قرينة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171952_73709187"/>
      <w:bookmarkStart w:id="63" w:name="_Toc23"/>
      <w:bookmarkEnd w:id="62"/>
      <w:r>
        <w:rPr>
          <w:rtl w:val="true"/>
        </w:rPr>
        <w:t xml:space="preserve">فروع </w:t>
      </w:r>
      <w:r>
        <w:rPr>
          <w:rtl w:val="true"/>
        </w:rPr>
        <w:t>:</w:t>
      </w:r>
      <w:bookmarkEnd w:id="6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موثّقة سماعة والعجلي وصحيحة ابن عمّار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القضاء من أصل مال الميّت ، ويدلّ عليه أيضا قوله في آخر صحيحة الحلبي المشار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يقضى عن الرجل حجّة الإسلام من جميع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يستفاد ذلك من صحيحة ابن عمّار والعجلي وضريس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إجماعي أيضا ، ولا ينافيه آخر صحيحة ابن عمّار المذكورة فيمن لم يترك إلاّ قدر نفقة الحمولة ، وبمضمونها رواية الغنوي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نفقة الحجّ مكان الحمولة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نفقة الحمولة أو الحجّ لا يوجب الاستطاعة ، للتوقّف على نفقة العيال ، بل الرجوع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إخراج مئونة الحجّ عن جميع المال تقدّمها على الميراث والوصايا كسائر الديون ، وأنّه لو لم يترك مالا غيرها يصرف فيها ، كما صرّح به في بعض الأخبار السابقة أيضا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دين معها يقسّم التركة على الدين ومئونة الحجّ بقدر الحصص ، لأنّه مقتضى كونها بمنزلة الدين المصرّح به في الأخبار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يقضي الحجّ من أقرب المواقيت إلى مكّة إن أمكن وإلاّ فمن غيره من المواقيت مراعيا للأقرب فالأقرب ، فإن تعذّر من أحد المواقيت فمن أقرب ما يمكن الحجّ منه إلى الميقات ، كما هو مختار المبسوط والخلاف والوسيلة والغنية والفاضلين في كتبهما والمسالك والروضة والمدارك </w:t>
      </w:r>
    </w:p>
    <w:p>
      <w:pPr>
        <w:pStyle w:val="BookText"/>
        <w:rPr/>
      </w:pPr>
      <w:r>
        <w:rPr>
          <w:rFonts w:ascii="Amiri" w:hAnsi="Amiri" w:eastAsia="Amiri" w:cs="Amiri"/>
          <w:color w:val="111111"/>
          <w:sz w:val="28"/>
          <w:sz w:val="28"/>
          <w:szCs w:val="28"/>
          <w:rtl w:val="true"/>
          <w:lang w:bidi="ar-SA"/>
        </w:rPr>
        <w:t xml:space="preserve">والذخيرة </w:t>
      </w:r>
      <w:r>
        <w:rPr>
          <w:rStyle w:val="FootnoteAnchor"/>
          <w:rtl w:val="true"/>
        </w:rPr>
        <w:footnoteReference w:id="292"/>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293"/>
      </w:r>
      <w:r>
        <w:rPr>
          <w:rFonts w:ascii="Amiri" w:hAnsi="Amiri" w:eastAsia="Amiri" w:cs="Amiri"/>
          <w:color w:val="111111"/>
          <w:sz w:val="28"/>
          <w:sz w:val="28"/>
          <w:szCs w:val="28"/>
          <w:rtl w:val="true"/>
          <w:lang w:bidi="ar-SA"/>
        </w:rPr>
        <w:t xml:space="preserve">، بل مطلقا ، وفي الغنية الإجماع عليه </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من البلد مطلقا ، كما حكاه في الشرائع </w:t>
      </w:r>
      <w:r>
        <w:rPr>
          <w:rStyle w:val="FootnoteAnchor"/>
          <w:rtl w:val="true"/>
        </w:rPr>
        <w:footnoteReference w:id="295"/>
      </w:r>
      <w:r>
        <w:rPr>
          <w:rFonts w:ascii="Amiri" w:hAnsi="Amiri" w:eastAsia="Amiri" w:cs="Amiri"/>
          <w:color w:val="111111"/>
          <w:sz w:val="28"/>
          <w:sz w:val="28"/>
          <w:szCs w:val="28"/>
          <w:rtl w:val="true"/>
          <w:lang w:bidi="ar-SA"/>
        </w:rPr>
        <w:t xml:space="preserve">قولا واحدا لا يعرف قائله ، كما صرّح به جمع </w:t>
      </w:r>
      <w:r>
        <w:rPr>
          <w:rStyle w:val="FootnoteAnchor"/>
          <w:rtl w:val="true"/>
        </w:rPr>
        <w:footnoteReference w:id="296"/>
      </w:r>
      <w:r>
        <w:rPr>
          <w:rFonts w:ascii="IRNazanin" w:hAnsi="IRNazanin" w:eastAsia="IRNazanin"/>
          <w:color w:val="111111"/>
          <w:sz w:val="28"/>
          <w:sz w:val="28"/>
          <w:szCs w:val="28"/>
          <w:rtl w:val="true"/>
          <w:lang w:bidi="fa-IR"/>
        </w:rPr>
        <w:t xml:space="preserve">، بل نفاه بعضهم </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الثاني مع السعة في التركة والأول مع عدمها ، كما حكي عن الشيخ في النهاية والصدوق في المقنع والحلّي والقاضي والجامع والمحقّق الثاني والدروس </w:t>
      </w:r>
      <w:r>
        <w:rPr>
          <w:rStyle w:val="FootnoteAnchor"/>
          <w:rtl w:val="true"/>
        </w:rPr>
        <w:footnoteReference w:id="298"/>
      </w:r>
      <w:r>
        <w:rPr>
          <w:rFonts w:ascii="Amiri" w:hAnsi="Amiri" w:eastAsia="Amiri" w:cs="Amiri"/>
          <w:color w:val="111111"/>
          <w:sz w:val="28"/>
          <w:sz w:val="28"/>
          <w:szCs w:val="28"/>
          <w:rtl w:val="true"/>
          <w:lang w:bidi="ar-SA"/>
        </w:rPr>
        <w:t xml:space="preserve">وظاهر اللمعة </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للأصل السالم عن المعارض ، وكون </w:t>
      </w:r>
      <w:r>
        <w:rPr>
          <w:rStyle w:val="FootnoteAnchor"/>
          <w:rtl w:val="true"/>
        </w:rPr>
        <w:footnoteReference w:id="300"/>
      </w:r>
      <w:r>
        <w:rPr>
          <w:rFonts w:ascii="Amiri" w:hAnsi="Amiri" w:eastAsia="Amiri" w:cs="Amiri"/>
          <w:color w:val="111111"/>
          <w:sz w:val="28"/>
          <w:sz w:val="28"/>
          <w:szCs w:val="28"/>
          <w:rtl w:val="true"/>
          <w:lang w:bidi="ar-SA"/>
        </w:rPr>
        <w:t>المأمور به قضاء الحجّ ، الذي هو المناسك المخصوصة ، وقطع المسافة ليس جزءا منه ، بل ولا واجبا لذاته ، وإنّما وجب لتوقّف الواجب عليه ، فإذا انتفى التوقّف انتفى الوجوب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سلّمنا وجوبه لم يلزم من ذلك وجوب قضائه ، لأنّ </w:t>
      </w:r>
    </w:p>
    <w:p>
      <w:pPr>
        <w:pStyle w:val="BookText"/>
        <w:rPr/>
      </w:pPr>
      <w:r>
        <w:rPr>
          <w:rFonts w:ascii="Amiri" w:hAnsi="Amiri" w:eastAsia="Amiri" w:cs="Amiri"/>
          <w:color w:val="111111"/>
          <w:sz w:val="28"/>
          <w:sz w:val="28"/>
          <w:szCs w:val="28"/>
          <w:rtl w:val="true"/>
          <w:lang w:bidi="ar-SA"/>
        </w:rPr>
        <w:t>القضاء إنّما هو بأمر جديد ، وهو إنّما قام على وجوب قضاء الحجّ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للقول الثاني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في السرائر من أنّه كانت تجب عليه نفقة الطريق من بلده ، فلمّا مات سقط الحجّ من بدنه وبقي في ماله بقدر ما كان يجب عليه لو كان حيا من مئونة الطريق من بلده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مرجعه إلى استصحاب وجوب صرف هذا القدر من ماله أيّام حياته بعد ثبوته ، فإنّه كان يجب عليه ذلك مع فعله ببدنه ، سقط الأخير فيستصحب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تواتر أخبارنا بذلك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في الروضة </w:t>
      </w:r>
      <w:r>
        <w:rPr>
          <w:rStyle w:val="FootnoteAnchor"/>
          <w:rtl w:val="true"/>
        </w:rPr>
        <w:footnoteReference w:id="303"/>
      </w:r>
      <w:r>
        <w:rPr>
          <w:rFonts w:ascii="Amiri" w:hAnsi="Amiri" w:eastAsia="Amiri" w:cs="Amiri"/>
          <w:color w:val="111111"/>
          <w:sz w:val="28"/>
          <w:sz w:val="28"/>
          <w:szCs w:val="28"/>
          <w:rtl w:val="true"/>
          <w:lang w:bidi="ar-SA"/>
        </w:rPr>
        <w:t xml:space="preserve">وغيره </w:t>
      </w:r>
      <w:r>
        <w:rPr>
          <w:rStyle w:val="FootnoteAnchor"/>
          <w:rtl w:val="true"/>
        </w:rPr>
        <w:footnoteReference w:id="304"/>
      </w:r>
      <w:r>
        <w:rPr>
          <w:rFonts w:ascii="Amiri" w:hAnsi="Amiri" w:eastAsia="Amiri" w:cs="Amiri"/>
          <w:color w:val="111111"/>
          <w:sz w:val="28"/>
          <w:sz w:val="28"/>
          <w:szCs w:val="28"/>
          <w:rtl w:val="true"/>
          <w:lang w:bidi="ar-SA"/>
        </w:rPr>
        <w:t xml:space="preserve">من الروايات الدالّة على ذلك التفصيل في صورة الوصيّة بمال معيّن أو مطلقا بالحجّ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الأول وجوب صرف هذا القدر من المال على هذا الشخص المستطيع في مئونة بدنه ، وبعد موته تغيّر الموضوع من وجهين ، فلا يجب على الغير صرفه في مئونة بدن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نمنع وجوب صرف هذا القدر من المال في أيّام حياته مطلقا ، بل كان الواجب عليه الحجّ ، ويتبعه وجوب صرف هذا القدر مشروطا بالحاجة إليه في الحجّ ، والواجب المشروط لا يمكن استصحابه بعد انتفاء الشرط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المعتبر والمختلف </w:t>
      </w:r>
      <w:r>
        <w:rPr>
          <w:rStyle w:val="FootnoteAnchor"/>
          <w:rtl w:val="true"/>
        </w:rPr>
        <w:footnoteReference w:id="306"/>
      </w:r>
      <w:r>
        <w:rPr>
          <w:rFonts w:ascii="IRNazanin" w:hAnsi="IRNazanin" w:eastAsia="IRNazanin"/>
          <w:color w:val="111111"/>
          <w:sz w:val="28"/>
          <w:sz w:val="28"/>
          <w:szCs w:val="28"/>
          <w:rtl w:val="true"/>
          <w:lang w:bidi="fa-IR"/>
        </w:rPr>
        <w:t xml:space="preserve">من أنّا لم نقف على خبر </w:t>
      </w:r>
    </w:p>
    <w:p>
      <w:pPr>
        <w:pStyle w:val="BookText"/>
        <w:rPr/>
      </w:pPr>
      <w:r>
        <w:rPr>
          <w:rFonts w:ascii="Amiri" w:hAnsi="Amiri" w:eastAsia="Amiri" w:cs="Amiri"/>
          <w:color w:val="111111"/>
          <w:sz w:val="28"/>
          <w:sz w:val="28"/>
          <w:szCs w:val="28"/>
          <w:rtl w:val="true"/>
          <w:lang w:bidi="ar-SA"/>
        </w:rPr>
        <w:t>شاذّ فكيف بدعوى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نظره إلى روايات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إجراء حكم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قياس باطل ، فلعلّ للوصيّة مدخليّة في ذلك ، سيّما مع قرب احتمال قيام القرائن الحاليّة يومئذ على إرادة الحجّ من البلد ، كما هو الظاهر من إطلاق الوصيّة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خلوّ روايات الوصيّة عن الدالّ على الوجوب أيضا ، بل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ببقيّة المال للإمام ، فحكمه عليه السلام بصرف ماله لا يستلزم جريانه في مال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يخلّف من استقرّ الحجّ في ذمّته شيئا لم يجب الحجّ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خلّف ما لا يفي بقضاء مجموع أفعال الحجّ والعمرة ، فإن قصر عن أجرة أحدهما تامّا أيضا كان المال للوارث أو الدين ، إذ لا يجب قضاء الحجّ والعمرة منه حينئذ ، لعدم الإمكان ، والأمر به إنّما هو مع إمكانه ، ولو أمكن قضاء بعض أفعال الحجّ أو العمرة لم يجب أيضا ، لعدم ثبوت التعبّد بذلك على الخصوص ، ووجوبه التبعيّ عند وجوب الكلّ لا يقتضي وجوبه عند عدمه ،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كلّه لا يترك كلّه ، يلزمه الإتيان بما أمكن ولو مجرّد الطواف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قصر عن أجرة الأمرين من الحجّ والعمرة ووفى بأحدهما ، فعن جمع من الأصحاب وجوبه ، وتقديم العمرة ، لتقدّمها ، أو الحجّ ، لأهمّيته في نظر الشرع ، أو التخيير ، لعدم الأولويّة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قويّا سقوط الفرض مع القصور عنهما إن كان الفرض التمتّع ، لدخول العمرة في الحجّ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الحجّ اسما لهما معا تعيّن ما احتمله في المدارك ، إذ بعد سقوط الكلّ ليس دليل على وجوب الجزء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الأصل ، حيث إنّه لم تعلم الحقيقة الشرعيّة فيهما ولم يرد مجرّد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على المتيقّن ، فيتعيّن تقديم الحجّ ، لأنّه المأمور بقضائه في الروايات ، بل يستشكل حينئذ في وجوب قضاء العمرة مع الوفاء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حينئذ إجماعيّ كما هو كذلك ، فالأقوى وجوب قضائهما مع الوفاء بهما ، والحجّ مع اختصاص الوفاء به ، إلاّ أن يعلم من القرائن إرادتهما معا من لفظ الحجّ ، فيسقط مع عدم الوفاء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دين وكان المال بقدر لا يفي إلاّ بأحد الأمرين من الحجّ والدين ، فالظاهر التخيير ، لأنّهما واجبان تعارضا ولا مرجّح لأحدهما ، واحتمال التوزيع إنّما يكون إذا وفت حصّة الحجّ به ، وأمّا مع عدمه فلا فائدة في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بمنزلة الدين الواجب في صحيحة ابن عمّار </w:t>
      </w:r>
      <w:r>
        <w:rPr>
          <w:rStyle w:val="FootnoteAnchor"/>
          <w:rtl w:val="true"/>
        </w:rPr>
        <w:footnoteReference w:id="309"/>
      </w:r>
      <w:r>
        <w:rPr>
          <w:rFonts w:ascii="Amiri" w:hAnsi="Amiri" w:eastAsia="Amiri" w:cs="Amiri"/>
          <w:color w:val="111111"/>
          <w:sz w:val="28"/>
          <w:sz w:val="28"/>
          <w:szCs w:val="28"/>
          <w:rtl w:val="true"/>
          <w:lang w:bidi="ar-SA"/>
        </w:rPr>
        <w:t>إنّما هو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وفى بالحجّ وشي‌ء من الدين أيضا يكون التخيير في القدر المساوي لأجرة الحجّ ، ويصرف الباقي في الدين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الأكثر وجوب قضاء الحجّ عن الميّت باستقراره في ذمّته ، واختلفوا فيما يتحقّق به الاستقرار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الأكثر إلى أنّه مضيّ زمان يتمكّن فيه الإتيان بجميع أفعال الحجّ مستجمعا للشرائط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مضيّ زمان يمكن فيه تأدّي الأركان خاصّة ، ونسب إلى التذكرة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بعضهم الاكتفاء بمضيّ زمان يمكنه فيه الإحرام ودخول الحرم ، ونسبه بعضهم إلى التذكرة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واستحسن بعض المتأخّرين الأخير إن كان زوال الاستطاعة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اشترط وجوب القضاء بالاستقرار واقعا ، 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إذ لم تثبت استطاعة من تمكّن من إتيان الأركان خاصة أو دخول الحرم دون سائر الأفعال ، والإجزاء لو مات بعد دخول الحرم بدليل لا يدلّ على وجوبه في غير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الشأن في اشتراط ذلك ، ولذا تأمّل فيه في الذخيرة </w:t>
      </w:r>
      <w:r>
        <w:rPr>
          <w:rStyle w:val="FootnoteAnchor"/>
          <w:rtl w:val="true"/>
        </w:rPr>
        <w:footnoteReference w:id="313"/>
      </w:r>
      <w:r>
        <w:rPr>
          <w:rFonts w:ascii="Amiri" w:hAnsi="Amiri" w:eastAsia="Amiri" w:cs="Amiri"/>
          <w:color w:val="111111"/>
          <w:sz w:val="28"/>
          <w:sz w:val="28"/>
          <w:szCs w:val="28"/>
          <w:rtl w:val="true"/>
          <w:lang w:bidi="ar-SA"/>
        </w:rPr>
        <w:t>، وهو في موضعه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 وكفاية توجّه الخطاب ظاهرا أولا ، كما هو ظاهر المدارك </w:t>
      </w:r>
      <w:r>
        <w:rPr>
          <w:rStyle w:val="FootnoteAnchor"/>
          <w:rtl w:val="true"/>
        </w:rPr>
        <w:footnoteReference w:id="314"/>
      </w:r>
      <w:r>
        <w:rPr>
          <w:rFonts w:ascii="Amiri" w:hAnsi="Amiri" w:eastAsia="Amiri" w:cs="Amiri"/>
          <w:color w:val="111111"/>
          <w:sz w:val="28"/>
          <w:sz w:val="28"/>
          <w:szCs w:val="28"/>
          <w:rtl w:val="true"/>
          <w:lang w:bidi="ar-SA"/>
        </w:rPr>
        <w:t xml:space="preserve">، وصريح المفاتيح وشرحه </w:t>
      </w:r>
      <w:r>
        <w:rPr>
          <w:rStyle w:val="FootnoteAnchor"/>
          <w:rtl w:val="true"/>
        </w:rPr>
        <w:footnoteReference w:id="315"/>
      </w:r>
      <w:r>
        <w:rPr>
          <w:rFonts w:ascii="Amiri" w:hAnsi="Amiri" w:eastAsia="Amiri" w:cs="Amiri"/>
          <w:color w:val="111111"/>
          <w:sz w:val="28"/>
          <w:sz w:val="28"/>
          <w:szCs w:val="28"/>
          <w:rtl w:val="true"/>
          <w:lang w:bidi="ar-SA"/>
        </w:rPr>
        <w:t xml:space="preserve">، وجعل الأخير القول بالاشتراط اجتهادا في مقابلة النصّ ، ونسب فيه وفي سابقه القول بعدم الاشتراط إلى الشيخين ، وينسب إلى المحقّق أيضا ، حيث حكم بوجوب </w:t>
      </w:r>
    </w:p>
    <w:p>
      <w:pPr>
        <w:pStyle w:val="BookText"/>
        <w:rPr/>
      </w:pPr>
      <w:r>
        <w:rPr>
          <w:rFonts w:ascii="Amiri" w:hAnsi="Amiri" w:eastAsia="Amiri" w:cs="Amiri"/>
          <w:color w:val="111111"/>
          <w:sz w:val="28"/>
          <w:sz w:val="28"/>
          <w:szCs w:val="28"/>
          <w:rtl w:val="true"/>
          <w:lang w:bidi="ar-SA"/>
        </w:rPr>
        <w:t xml:space="preserve">القضاء بالإهمال مع استكمال الشرائط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لإطلاقات وجوب القضاء ، بل عموم صحيحة ضريس المتقدّمة </w:t>
      </w:r>
      <w:r>
        <w:rPr>
          <w:rStyle w:val="FootnoteAnchor"/>
          <w:rtl w:val="true"/>
        </w:rPr>
        <w:footnoteReference w:id="317"/>
      </w:r>
      <w:r>
        <w:rPr>
          <w:rFonts w:ascii="Amiri" w:hAnsi="Amiri" w:eastAsia="Amiri" w:cs="Amiri"/>
          <w:color w:val="111111"/>
          <w:sz w:val="28"/>
          <w:sz w:val="28"/>
          <w:szCs w:val="28"/>
          <w:rtl w:val="true"/>
          <w:lang w:bidi="ar-SA"/>
        </w:rPr>
        <w:t>، الحاصل بترك الاستفصال فيمن مات قبل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صحيحة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حاجّا ومعه جمل له ونفقة وزاد فمات في الطريق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صرورة ثم مات في الحرم فقد أجزأ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 وإن كان مات وهو صرورة قبل أن يحرم جعل جمله وزاده ونفقته وما معه في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القضاء تابعا للأداء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الأمر على الإطلاق لزم وجوب القضاء ولو لم يكن ماله بقدر يستطيع بنفسه أو لم يتمكّن من المسافرة ، أي لم يتوجّه إليه الخطاب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ذلك بالإجماع ، وبمفهوم مثل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موسرا وحال بينه وبين الحجّ مرض أو حصر أو أمر يعذره اللّه فيه ، فإنّ عليه أن يحجّ عنه من ماله صرورة لا مال له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المستطيع في طريق الحجّ ، فإن كان قبل الإحرام ودخول الحرم وجب القضاء عنه بشرط استقرار الحجّ في ذمّته </w:t>
      </w:r>
    </w:p>
    <w:p>
      <w:pPr>
        <w:pStyle w:val="BookText"/>
        <w:rPr/>
      </w:pPr>
      <w:r>
        <w:rPr>
          <w:rFonts w:ascii="Amiri" w:hAnsi="Amiri" w:eastAsia="Amiri" w:cs="Amiri"/>
          <w:color w:val="111111"/>
          <w:sz w:val="28"/>
          <w:sz w:val="28"/>
          <w:szCs w:val="28"/>
          <w:rtl w:val="true"/>
          <w:lang w:bidi="ar-SA"/>
        </w:rPr>
        <w:t>سابقا على المشهور ، ومطلقا على الأقرب المنصور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بعدهما برئت ذمّته ولم يجب القضاء عنه مطلقا بلا خلاف يعرف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w:t>
      </w:r>
      <w:r>
        <w:rPr>
          <w:rStyle w:val="FootnoteAnchor"/>
          <w:rtl w:val="true"/>
        </w:rPr>
        <w:footnoteReference w:id="320"/>
      </w:r>
      <w:r>
        <w:rPr>
          <w:rFonts w:ascii="Amiri" w:hAnsi="Amiri" w:eastAsia="Amiri" w:cs="Amiri"/>
          <w:color w:val="111111"/>
          <w:sz w:val="28"/>
          <w:sz w:val="28"/>
          <w:szCs w:val="28"/>
          <w:rtl w:val="true"/>
          <w:lang w:bidi="ar-SA"/>
        </w:rPr>
        <w:t xml:space="preserve">، وفي المفاتيح وشرحه وعن المسالك ، والمنتهى والتنقيح </w:t>
      </w:r>
      <w:r>
        <w:rPr>
          <w:rStyle w:val="FootnoteAnchor"/>
          <w:rtl w:val="true"/>
        </w:rPr>
        <w:footnoteReference w:id="321"/>
      </w:r>
      <w:r>
        <w:rPr>
          <w:rFonts w:ascii="Amiri" w:hAnsi="Amiri" w:eastAsia="Amiri" w:cs="Amiri"/>
          <w:color w:val="111111"/>
          <w:sz w:val="28"/>
          <w:sz w:val="28"/>
          <w:szCs w:val="28"/>
          <w:rtl w:val="true"/>
          <w:lang w:bidi="ar-SA"/>
        </w:rPr>
        <w:t xml:space="preserve">وغيرها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لصحيحتي ضريس والعجلي المتقدّمتين في المسألة السابقة ، وإطلاقهما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الفرق في ذلك بين أن يقع التلبّس بإحرام الحجّ أو العمرة ، ولا بين أن يموت في الحلّ أو الحرم محرما أو محلاّ كما لو مات بين الإحرامين ، وبهذا التعميم قطع المتأخّرون </w:t>
      </w:r>
      <w:r>
        <w:rPr>
          <w:rStyle w:val="FootnoteAnchor"/>
          <w:rtl w:val="true"/>
        </w:rPr>
        <w:footnoteReference w:id="323"/>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الإحرام وقبل دخول الحرم لم تبرأ ذمته ، وكان كما قبل الإحرام على الأظهر الأشهر ، للأصل ، ومنطوق الصحيح الأول ، ومفهوم صدر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الخلاف والسرائر ، فاكتفيا بالموت بعد الإحرام </w:t>
      </w:r>
      <w:r>
        <w:rPr>
          <w:rStyle w:val="FootnoteAnchor"/>
          <w:rtl w:val="true"/>
        </w:rPr>
        <w:footnoteReference w:id="324"/>
      </w:r>
      <w:r>
        <w:rPr>
          <w:rFonts w:ascii="Amiri" w:hAnsi="Amiri" w:eastAsia="Amiri" w:cs="Amiri"/>
          <w:color w:val="111111"/>
          <w:sz w:val="28"/>
          <w:sz w:val="28"/>
          <w:szCs w:val="28"/>
          <w:rtl w:val="true"/>
          <w:lang w:bidi="ar-SA"/>
        </w:rPr>
        <w:t>، لمنطوق ذيل الصحيح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بمفهوم الصدر مع منطوق الأول ، ولو لا ترجيح الأخيرين لوجب التمسّك بالأصل الموافق للقول الأول أيضا ، مع احتمال أن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يدخل الحرم ، فقد جاء بمعناه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يعضده السياق أيضا ، بل قيل يعضده ما في الخلاف من أنّ الحكم منصوص للأصحاب لا يختلفون فيه </w:t>
      </w:r>
      <w:r>
        <w:rPr>
          <w:rStyle w:val="FootnoteAnchor"/>
          <w:rtl w:val="true"/>
        </w:rPr>
        <w:footnoteReference w:id="325"/>
      </w:r>
      <w:r>
        <w:rPr>
          <w:rFonts w:ascii="Amiri" w:hAnsi="Amiri" w:eastAsia="Amiri" w:cs="Amiri"/>
          <w:color w:val="111111"/>
          <w:sz w:val="28"/>
          <w:sz w:val="28"/>
          <w:szCs w:val="28"/>
          <w:rtl w:val="true"/>
          <w:lang w:bidi="ar-SA"/>
        </w:rPr>
        <w:t>، فلو لا أنّ المراد من الإحرام في كلامه ما ذكرنا لكان بعيدا ، فإنّ الخلاف مشهور لو أريد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كلام الخلاف والسرائر وارد في النائب دون الحاجّ لنفسه ، ونقل في السرائر من هذا القول في النائب عن المبسوط أيضا </w:t>
      </w:r>
      <w:r>
        <w:rPr>
          <w:rStyle w:val="FootnoteAnchor"/>
          <w:rtl w:val="true"/>
        </w:rPr>
        <w:footnoteReference w:id="326"/>
      </w:r>
      <w:r>
        <w:rPr>
          <w:rFonts w:ascii="Amiri" w:hAnsi="Amiri" w:eastAsia="Amiri" w:cs="Amiri"/>
          <w:color w:val="111111"/>
          <w:sz w:val="28"/>
          <w:sz w:val="28"/>
          <w:szCs w:val="28"/>
          <w:rtl w:val="true"/>
          <w:lang w:bidi="ar-SA"/>
        </w:rPr>
        <w:t>، واستدلّ له بعموم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والنائب هو الذي يستفاد منه هذا الحكم من بعض الأخبار كما يأتي ، فلا يبعد أن يكون كلامهما في خصوص النائب دون الحاجّ لنفسه ، والإجماع المركّب بعد غير معلوم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معاضدة في كلام الخلاف لما ذكر ، إذ لا تعلم شهرة الخلاف في النائب قبل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يجب عليه الحجّ عندنا ولا يصحّ منه إجماعا ، ولو مات كذلك أثم بالإخلال ولا يجب قضاؤه عنه ، ولو أسلم وجب عليه الإتيان بالحجّ إن بقيت الاستطاعة إجماعا ، وإلاّ فعلى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 وفاقا للذخيرة والمدارك </w:t>
      </w:r>
      <w:r>
        <w:rPr>
          <w:rStyle w:val="FootnoteAnchor"/>
          <w:rtl w:val="true"/>
        </w:rPr>
        <w:footnoteReference w:id="327"/>
      </w:r>
      <w:r>
        <w:rPr>
          <w:rFonts w:ascii="Amiri" w:hAnsi="Amiri" w:eastAsia="Amiri" w:cs="Amiri"/>
          <w:color w:val="111111"/>
          <w:sz w:val="28"/>
          <w:sz w:val="28"/>
          <w:szCs w:val="28"/>
          <w:rtl w:val="true"/>
          <w:lang w:bidi="ar-SA"/>
        </w:rPr>
        <w:t xml:space="preserve">وعن التذكرة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حجّ المسلم ثم ارتدّ ثم عاد لم تجب عليه إعادة الحجّ ، للإتيان بالمأمور به المقتضي للإجزاء ، ولرواية زرارة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330"/>
      </w:r>
      <w:r>
        <w:rPr>
          <w:rFonts w:ascii="Amiri" w:hAnsi="Amiri" w:eastAsia="Amiri" w:cs="Amiri"/>
          <w:color w:val="111111"/>
          <w:sz w:val="28"/>
          <w:sz w:val="28"/>
          <w:szCs w:val="28"/>
          <w:rtl w:val="true"/>
          <w:lang w:bidi="ar-SA"/>
        </w:rPr>
        <w:t xml:space="preserve">، لقاعدة موهونة ، مع عدم استلزام القاعدة لها على </w:t>
      </w:r>
    </w:p>
    <w:p>
      <w:pPr>
        <w:pStyle w:val="BookText"/>
        <w:rPr/>
      </w:pPr>
      <w:r>
        <w:rPr>
          <w:rFonts w:ascii="Amiri" w:hAnsi="Amiri" w:eastAsia="Amiri" w:cs="Amiri"/>
          <w:color w:val="111111"/>
          <w:sz w:val="28"/>
          <w:sz w:val="28"/>
          <w:szCs w:val="28"/>
          <w:rtl w:val="true"/>
          <w:lang w:bidi="ar-SA"/>
        </w:rPr>
        <w:t>فرض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لنا إذا حجّ ولم يخلّ بركن من أركانه لم يجب عليه الإعادة لو استبصر على الأظهر الأشهر ، بل عليه عامّة من تأخّر ، للصحاح المستفيضة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والقاضي </w:t>
      </w:r>
      <w:r>
        <w:rPr>
          <w:rStyle w:val="FootnoteAnchor"/>
          <w:rtl w:val="true"/>
        </w:rPr>
        <w:footnoteReference w:id="332"/>
      </w:r>
      <w:r>
        <w:rPr>
          <w:rFonts w:ascii="Amiri" w:hAnsi="Amiri" w:eastAsia="Amiri" w:cs="Amiri"/>
          <w:color w:val="111111"/>
          <w:sz w:val="28"/>
          <w:sz w:val="28"/>
          <w:szCs w:val="28"/>
          <w:rtl w:val="true"/>
          <w:lang w:bidi="ar-SA"/>
        </w:rPr>
        <w:t xml:space="preserve">، فتجب الإعادة ، لروايتين محمولتين على الاستحباب جمعا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وجوب الحجّ وشرائطه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ويشهد له ما في بعض تلك الصحاح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حجّ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أخلّ بالركن تجب الإعادة بلا خلاف ، لعدم إتيانه بالحجّ المسقط للإعادة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الركن الموجب إخلاله للإعادة هو الركن عندنا ، كما عن المعتبر والمنتهى والتحرير والدروس </w:t>
      </w:r>
      <w:r>
        <w:rPr>
          <w:rStyle w:val="FootnoteAnchor"/>
          <w:rtl w:val="true"/>
        </w:rPr>
        <w:footnoteReference w:id="334"/>
      </w:r>
      <w:r>
        <w:rPr>
          <w:rFonts w:ascii="Amiri" w:hAnsi="Amiri" w:eastAsia="Amiri" w:cs="Amiri"/>
          <w:color w:val="111111"/>
          <w:sz w:val="28"/>
          <w:sz w:val="28"/>
          <w:szCs w:val="28"/>
          <w:rtl w:val="true"/>
          <w:lang w:bidi="ar-SA"/>
        </w:rPr>
        <w:t xml:space="preserve">؟ أو عنده ، كما هو ظاهر المسالك والروضة والمدارك </w:t>
      </w:r>
      <w:r>
        <w:rPr>
          <w:rStyle w:val="FootnoteAnchor"/>
          <w:rtl w:val="true"/>
        </w:rPr>
        <w:footnoteReference w:id="335"/>
      </w:r>
      <w:r>
        <w:rPr>
          <w:rFonts w:ascii="Amiri" w:hAnsi="Amiri" w:eastAsia="Amiri" w:cs="Amiri"/>
          <w:color w:val="111111"/>
          <w:sz w:val="28"/>
          <w:sz w:val="28"/>
          <w:szCs w:val="28"/>
          <w:rtl w:val="true"/>
          <w:lang w:bidi="ar-SA"/>
        </w:rPr>
        <w:t xml:space="preserve">وجماعة ممّن تأخر عنهما </w:t>
      </w:r>
      <w:r>
        <w:rPr>
          <w:rStyle w:val="FootnoteAnchor"/>
          <w:rtl w:val="true"/>
        </w:rPr>
        <w:footnoteReference w:id="336"/>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مطلقة بالنسبة إلى الإخلال ، إلاّ أنّ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الصحيح عنده لا عندنا ، فإذا حجّ فاسدا عنده لم يدخل في موردها ، وإذا كان صحيحا عنده كان داخلا في مورد النصوص النافية </w:t>
      </w:r>
    </w:p>
    <w:p>
      <w:pPr>
        <w:pStyle w:val="BookText"/>
        <w:rPr/>
      </w:pPr>
      <w:r>
        <w:rPr>
          <w:rFonts w:ascii="Amiri" w:hAnsi="Amiri" w:eastAsia="Amiri" w:cs="Amiri"/>
          <w:color w:val="111111"/>
          <w:sz w:val="28"/>
          <w:sz w:val="28"/>
          <w:szCs w:val="28"/>
          <w:rtl w:val="true"/>
          <w:lang w:bidi="ar-SA"/>
        </w:rPr>
        <w:t>للإعادة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الثاني أقوى ، كما أنّ عليه مدار هؤلاء الفضلاء في الصلاة ونحوها ، والفرق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الأجلّة من أنّه إذا أخلّ بركن عندنا لم يأت حينئذ بالحجّ مع بقاء وقته ، بخلاف الصلاة فإنّه خرج وقتها والقضاء بأمر جديد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جيّد ، لأنّ الصلاة الفاسدة يجب قضاؤها خارج الوقت ، بالعمومات ، مع أنّهم لا يقولون به إذا كانت صحيحة عنده ، فالسقوط فيها ليس إلاّ لنحو الصحاح المتقدّمة الجارية هنا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من حكم بكفره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كالناصبي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الصحاح </w:t>
      </w:r>
      <w:r>
        <w:rPr>
          <w:rStyle w:val="FootnoteAnchor"/>
          <w:rtl w:val="true"/>
        </w:rPr>
        <w:footnoteReference w:id="338"/>
      </w:r>
      <w:r>
        <w:rPr>
          <w:rFonts w:ascii="Amiri" w:hAnsi="Amiri" w:eastAsia="Amiri" w:cs="Amiri"/>
          <w:color w:val="111111"/>
          <w:sz w:val="28"/>
          <w:sz w:val="28"/>
          <w:szCs w:val="28"/>
          <w:rtl w:val="true"/>
          <w:lang w:bidi="ar-SA"/>
        </w:rPr>
        <w:t>، بل صريح بعضه ، لتضمّنه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استطاعة المرأة على المحرم ، بلا خلاف يعرف كما في الذخيرة </w:t>
      </w:r>
      <w:r>
        <w:rPr>
          <w:rStyle w:val="FootnoteAnchor"/>
          <w:rtl w:val="true"/>
        </w:rPr>
        <w:footnoteReference w:id="339"/>
      </w:r>
      <w:r>
        <w:rPr>
          <w:rFonts w:ascii="Amiri" w:hAnsi="Amiri" w:eastAsia="Amiri" w:cs="Amiri"/>
          <w:color w:val="111111"/>
          <w:sz w:val="28"/>
          <w:sz w:val="28"/>
          <w:szCs w:val="28"/>
          <w:rtl w:val="true"/>
          <w:lang w:bidi="ar-SA"/>
        </w:rPr>
        <w:t xml:space="preserve">، بل بالإجماع كما عن المنتهى </w:t>
      </w:r>
      <w:r>
        <w:rPr>
          <w:rStyle w:val="FootnoteAnchor"/>
          <w:rtl w:val="true"/>
        </w:rPr>
        <w:footnoteReference w:id="340"/>
      </w:r>
      <w:r>
        <w:rPr>
          <w:rFonts w:ascii="Amiri" w:hAnsi="Amiri" w:eastAsia="Amiri" w:cs="Amiri"/>
          <w:color w:val="111111"/>
          <w:sz w:val="28"/>
          <w:sz w:val="28"/>
          <w:szCs w:val="28"/>
          <w:rtl w:val="true"/>
          <w:lang w:bidi="ar-SA"/>
        </w:rPr>
        <w:t xml:space="preserve">وغيره </w:t>
      </w:r>
      <w:r>
        <w:rPr>
          <w:rStyle w:val="FootnoteAnchor"/>
          <w:rtl w:val="true"/>
        </w:rPr>
        <w:footnoteReference w:id="341"/>
      </w:r>
      <w:r>
        <w:rPr>
          <w:rFonts w:ascii="Amiri" w:hAnsi="Amiri" w:eastAsia="Amiri" w:cs="Amiri"/>
          <w:color w:val="111111"/>
          <w:sz w:val="28"/>
          <w:sz w:val="28"/>
          <w:szCs w:val="28"/>
          <w:rtl w:val="true"/>
          <w:lang w:bidi="ar-SA"/>
        </w:rPr>
        <w:t xml:space="preserve">، للأصل ، والعمومات ، وخصوص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تخرج بغير وليّ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نحوها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الثالثة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مكّة بغير وليّ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تخرج مع قوم ثقات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تريد الحجّ ليس لها محرم ، هل يصلح لها 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كانت مأمونة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تحجّ بغير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مأمونة ولم تقدر على محرم فلا بأس بذلك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المرأة المسلمة قد عرفتني بعمل ، أعرفها بإسلامها ليس لها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فاحملها ، فإنّ المؤمن محرم للمؤمن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تحجّ بغير وليّها؟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كانت امرأة مأمونة تحجّ مع أخيها المسلم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بقوله 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غير خائفة على عرضها وآمنة عليه ، لا أن تكون هي بنفسها ، محلّ الاطمئنان غير متّهمة ، لأنّ التكليف تكليفها فعليها حفظ نفسها ، ولا يعلّق </w:t>
      </w:r>
    </w:p>
    <w:p>
      <w:pPr>
        <w:pStyle w:val="BookText"/>
        <w:rPr/>
      </w:pPr>
      <w:r>
        <w:rPr>
          <w:rFonts w:ascii="Amiri" w:hAnsi="Amiri" w:eastAsia="Amiri" w:cs="Amiri"/>
          <w:color w:val="111111"/>
          <w:sz w:val="28"/>
          <w:sz w:val="28"/>
          <w:szCs w:val="28"/>
          <w:rtl w:val="true"/>
          <w:lang w:bidi="ar-SA"/>
        </w:rPr>
        <w:t>تكليف مطلق بتكليف مطلق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الحكم لأوليائها ، أي إذا كانت مأمونة يجوز لهم تركها بغير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بعض هذه الأخبار وإن كانت مطلقة إلاّ أنّ مقتضى بعض آخر أنّه مقيّد بصورة الأمن على العرض وظنّ سلامته ، كما قيّده جماعة من الأصحاب </w:t>
      </w:r>
      <w:r>
        <w:rPr>
          <w:rStyle w:val="FootnoteAnchor"/>
          <w:rtl w:val="true"/>
        </w:rPr>
        <w:footnoteReference w:id="349"/>
      </w:r>
      <w:r>
        <w:rPr>
          <w:rFonts w:ascii="Amiri" w:hAnsi="Amiri" w:eastAsia="Amiri" w:cs="Amiri"/>
          <w:color w:val="111111"/>
          <w:sz w:val="28"/>
          <w:sz w:val="28"/>
          <w:szCs w:val="28"/>
          <w:rtl w:val="true"/>
          <w:lang w:bidi="ar-SA"/>
        </w:rPr>
        <w:t>، ويدلّ عليه أيضا استلزام التكليف بالحجّ مع عدمهما العسر والحرج المنفيّين عليها أو على أوليائها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عليه مفهوم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اشتراط المحرم إنّما هو مع عدم القدرة وإلاّ فيشترط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الاستحباب والأولويّة ، لعدم توقّفه على عدم القدرة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يحصل ظنّ السلامة إلاّ بالمحرم اعتبر وجوده ، ويتوقّف وجوب الحجّ عليها على سفره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كانت ممّن يشقّ عليها مخاطبة الأجانب وإركابهم إيّاها ، مع عدم اقتدارها على الركوب بنفسها ، على احتمال قويّ ذكره بعض الأصحاب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 عدم استطاعة أكثر النسوان الشابّة ، سيّما من الأشراف والمخدّرات من البلاد البعيدة مع تلك القوافل ، التي فيها أصناف الناس بدون محرم ، أو قريب ثقة ، أو مؤمن متديّن ثقة ، يتحمّل مالها وعليها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صورة التوقف على المحرم لا تجب عليه إجابته لها تبرعا ولا </w:t>
      </w:r>
    </w:p>
    <w:p>
      <w:pPr>
        <w:pStyle w:val="BookText"/>
        <w:rPr/>
      </w:pPr>
      <w:r>
        <w:rPr>
          <w:rFonts w:ascii="Amiri" w:hAnsi="Amiri" w:eastAsia="Amiri" w:cs="Amiri"/>
          <w:color w:val="111111"/>
          <w:sz w:val="28"/>
          <w:sz w:val="28"/>
          <w:szCs w:val="28"/>
          <w:rtl w:val="true"/>
          <w:lang w:bidi="ar-SA"/>
        </w:rPr>
        <w:t>بأجرة ، ولو احتاج إلى الأجرة وجبت ، لتوقّف الواجب عليها ، ويكون حينئذ جزءا من استطاعتها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إذن الزوج للزوجة في الحجّ الواجب ، بلا خلاف يوجد ، للأصل ، والعمومات ، والمستفيضة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لها زوج وهي صرورة ولا يأذن لها في 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تحجّ وإن لم يأذن لها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تحجّ وإن رغم أنفه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لم تحجّ ولها زوج وأبى أن يأذن لها في الحجّ فغاب زوجها ، فهل لها أن تحجّ؟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طاعة له عليها في حجة الإسلام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صحيحة ابن وهب </w:t>
      </w:r>
      <w:r>
        <w:rPr>
          <w:rStyle w:val="FootnoteAnchor"/>
          <w:rtl w:val="true"/>
        </w:rPr>
        <w:footnoteReference w:id="354"/>
      </w:r>
      <w:r>
        <w:rPr>
          <w:rFonts w:ascii="Amiri" w:hAnsi="Amiri" w:eastAsia="Amiri" w:cs="Amiri"/>
          <w:color w:val="111111"/>
          <w:sz w:val="28"/>
          <w:sz w:val="28"/>
          <w:szCs w:val="28"/>
          <w:rtl w:val="true"/>
          <w:lang w:bidi="ar-SA"/>
        </w:rPr>
        <w:t xml:space="preserve">ورواية ابن أبي حمزة </w:t>
      </w:r>
      <w:r>
        <w:rPr>
          <w:rStyle w:val="FootnoteAnchor"/>
          <w:rtl w:val="true"/>
        </w:rPr>
        <w:footnoteReference w:id="355"/>
      </w:r>
      <w:r>
        <w:rPr>
          <w:rFonts w:ascii="Amiri" w:hAnsi="Amiri" w:eastAsia="Amiri" w:cs="Amiri"/>
          <w:color w:val="111111"/>
          <w:sz w:val="28"/>
          <w:sz w:val="28"/>
          <w:szCs w:val="28"/>
          <w:rtl w:val="true"/>
          <w:lang w:bidi="ar-SA"/>
        </w:rPr>
        <w:t xml:space="preserve">، وزاد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نهاها أن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الحجّ الواجب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المندوب ، فلا يجوز لها إلاّ بإذن زوجها ، بلا خلاف يعرف كما </w:t>
      </w:r>
    </w:p>
    <w:p>
      <w:pPr>
        <w:pStyle w:val="BookText"/>
        <w:rPr/>
      </w:pPr>
      <w:r>
        <w:rPr>
          <w:rFonts w:ascii="Amiri" w:hAnsi="Amiri" w:eastAsia="Amiri" w:cs="Amiri"/>
          <w:color w:val="111111"/>
          <w:sz w:val="28"/>
          <w:sz w:val="28"/>
          <w:szCs w:val="28"/>
          <w:rtl w:val="true"/>
          <w:lang w:bidi="ar-SA"/>
        </w:rPr>
        <w:t xml:space="preserve">في الذخيرة </w:t>
      </w:r>
      <w:r>
        <w:rPr>
          <w:rStyle w:val="FootnoteAnchor"/>
          <w:rtl w:val="true"/>
        </w:rPr>
        <w:footnoteReference w:id="356"/>
      </w:r>
      <w:r>
        <w:rPr>
          <w:rFonts w:ascii="Amiri" w:hAnsi="Amiri" w:eastAsia="Amiri" w:cs="Amiri"/>
          <w:color w:val="111111"/>
          <w:sz w:val="28"/>
          <w:sz w:val="28"/>
          <w:szCs w:val="28"/>
          <w:rtl w:val="true"/>
          <w:lang w:bidi="ar-SA"/>
        </w:rPr>
        <w:t xml:space="preserve">، ولا نعلم فيه خلافا بين أهل العلم كما عن المنتهى </w:t>
      </w:r>
      <w:r>
        <w:rPr>
          <w:rStyle w:val="FootnoteAnchor"/>
          <w:rtl w:val="true"/>
        </w:rPr>
        <w:footnoteReference w:id="357"/>
      </w:r>
      <w:r>
        <w:rPr>
          <w:rFonts w:ascii="Amiri" w:hAnsi="Amiri" w:eastAsia="Amiri" w:cs="Amiri"/>
          <w:color w:val="111111"/>
          <w:sz w:val="28"/>
          <w:sz w:val="28"/>
          <w:szCs w:val="28"/>
          <w:rtl w:val="true"/>
          <w:lang w:bidi="ar-SA"/>
        </w:rPr>
        <w:t xml:space="preserve">، بل الإجماع كما في المدارك </w:t>
      </w:r>
      <w:r>
        <w:rPr>
          <w:rStyle w:val="FootnoteAnchor"/>
          <w:rtl w:val="true"/>
        </w:rPr>
        <w:footnoteReference w:id="358"/>
      </w:r>
      <w:r>
        <w:rPr>
          <w:rFonts w:ascii="Amiri" w:hAnsi="Amiri" w:eastAsia="Amiri" w:cs="Amiri"/>
          <w:color w:val="111111"/>
          <w:sz w:val="28"/>
          <w:sz w:val="28"/>
          <w:szCs w:val="28"/>
          <w:rtl w:val="true"/>
          <w:lang w:bidi="ar-SA"/>
        </w:rPr>
        <w:t>، بل لعلّه إجماع محقّق ، فهو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بموثّقة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الموسرة قد حجّت حجّة الإسلام فتقول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أحجّني مرّة أخرى ، أله أن يمنعها؟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وجعلها مؤيّدة لعدم دلالتها إلاّ على جواز منعه لا على التوقف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يؤيّده فحوى ما دلّ على عدم حجّ المعتدّة حجّ التطوّع أو الحجّ مطلقا </w:t>
      </w:r>
      <w:r>
        <w:rPr>
          <w:rStyle w:val="FootnoteAnchor"/>
          <w:rtl w:val="true"/>
        </w:rPr>
        <w:footnoteReference w:id="360"/>
      </w:r>
      <w:r>
        <w:rPr>
          <w:rFonts w:ascii="Amiri" w:hAnsi="Amiri" w:eastAsia="Amiri" w:cs="Amiri"/>
          <w:color w:val="111111"/>
          <w:sz w:val="28"/>
          <w:sz w:val="28"/>
          <w:szCs w:val="28"/>
          <w:rtl w:val="true"/>
          <w:lang w:bidi="ar-SA"/>
        </w:rPr>
        <w:t>، المخرج عنه حجّة الإسلام والمأذون فيه إجماعا ونصّا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المعتدّة الرجعيّة حكم ذات البعل ، لما ذكر ، ويجوز للبائنة والمتوفّى عنها زوجها ، فيحجّان المندوبة مطلقا ، وتدلّ عليه النصوص المستفيضة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الأخبار في أفضليّة الحجّ مطلقا ، راكبا أو ماشيا </w:t>
      </w:r>
      <w:r>
        <w:rPr>
          <w:rStyle w:val="FootnoteAnchor"/>
          <w:rtl w:val="true"/>
        </w:rPr>
        <w:footnoteReference w:id="362"/>
      </w:r>
      <w:r>
        <w:rPr>
          <w:rFonts w:ascii="Amiri" w:hAnsi="Amiri" w:eastAsia="Amiri" w:cs="Amiri"/>
          <w:color w:val="111111"/>
          <w:sz w:val="28"/>
          <w:sz w:val="28"/>
          <w:szCs w:val="28"/>
          <w:rtl w:val="true"/>
          <w:lang w:bidi="ar-SA"/>
        </w:rPr>
        <w:t xml:space="preserve">، والذي يستفاد من المجموع ويجمع به بينها بشهادة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المشي إذا لم يضعفه من العبادة وعن التقدّم إلى مكّة للعبادة ، أو كان قد ساق معه ما إذا أعياه ركبه ، أو كان لمشقّة العبادة دون توفير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وأفضليّة الركوب فيما عداها</w:t>
      </w:r>
      <w:r>
        <w:rPr>
          <w:rFonts w:eastAsia="Amiri" w:cs="Amiri" w:ascii="Amiri" w:hAnsi="Amiri"/>
          <w:color w:val="111111"/>
          <w:sz w:val="28"/>
          <w:szCs w:val="28"/>
          <w:rtl w:val="true"/>
          <w:lang w:bidi="ar-SA"/>
        </w:rPr>
        <w:t xml:space="preserve">. </w:t>
      </w:r>
      <w:bookmarkStart w:id="64" w:name="pg11651_107693"/>
    </w:p>
    <w:p>
      <w:pPr>
        <w:pStyle w:val="Heading5"/>
        <w:numPr>
          <w:ilvl w:val="4"/>
          <w:numId w:val="1"/>
        </w:numPr>
        <w:rPr/>
      </w:pPr>
      <w:bookmarkStart w:id="65" w:name="__RefHeading___Toc6171954_73709187"/>
      <w:bookmarkStart w:id="66" w:name="_Toc24"/>
      <w:bookmarkEnd w:id="64"/>
      <w:bookmarkEnd w:id="65"/>
      <w:r>
        <w:rPr>
          <w:rtl w:val="true"/>
        </w:rPr>
        <w:t xml:space="preserve">المطلب الثاني </w:t>
      </w:r>
      <w:r>
        <w:rPr>
          <w:rtl w:val="true"/>
        </w:rPr>
        <w:t xml:space="preserve">: </w:t>
      </w:r>
      <w:r>
        <w:rPr>
          <w:rtl w:val="true"/>
        </w:rPr>
        <w:t>في الحجّ الواجب بالعارض</w:t>
      </w:r>
      <w:bookmarkEnd w:id="66"/>
    </w:p>
    <w:p>
      <w:pPr>
        <w:pStyle w:val="Heading6"/>
        <w:numPr>
          <w:ilvl w:val="5"/>
          <w:numId w:val="1"/>
        </w:numPr>
        <w:rPr/>
      </w:pPr>
      <w:bookmarkStart w:id="67" w:name="__RefHeading___Toc6171956_73709187"/>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وله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بالنذر وأخويه ، والواجب بالنيابة ، والواجب بالفساد ، ولمّا كان الأخير يذكر في طيّ مسائل الحجّ وموارد فساده يكتفى هنا بذكر الأولين ، فهاهنا فصلان </w:t>
      </w:r>
      <w:r>
        <w:rPr>
          <w:rFonts w:eastAsia="Amiri" w:cs="Amiri" w:ascii="Amiri" w:hAnsi="Amiri"/>
          <w:color w:val="111111"/>
          <w:sz w:val="28"/>
          <w:szCs w:val="28"/>
          <w:rtl w:val="true"/>
          <w:lang w:bidi="ar-SA"/>
        </w:rPr>
        <w:t xml:space="preserve">: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6171958_73709187"/>
      <w:bookmarkStart w:id="70" w:name="_Toc26"/>
      <w:bookmarkEnd w:id="69"/>
      <w:r>
        <w:rPr>
          <w:rtl w:val="true"/>
        </w:rPr>
        <w:t xml:space="preserve">الفصل الأول </w:t>
      </w:r>
      <w:r>
        <w:rPr>
          <w:rtl w:val="true"/>
        </w:rPr>
        <w:t xml:space="preserve">: </w:t>
      </w:r>
      <w:r>
        <w:rPr>
          <w:rtl w:val="true"/>
        </w:rPr>
        <w:t>في الواجب بالنذر وأخويه</w:t>
      </w:r>
      <w:bookmarkEnd w:id="70"/>
    </w:p>
    <w:p>
      <w:pPr>
        <w:pStyle w:val="Heading6"/>
        <w:numPr>
          <w:ilvl w:val="5"/>
          <w:numId w:val="1"/>
        </w:numPr>
        <w:rPr/>
      </w:pPr>
      <w:bookmarkStart w:id="71" w:name="__RefHeading___Toc6171960_73709187"/>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انعقاد نذر الحجّ وعهده ويمينه ، وانعقد عليه الإجماع ، ودلّت عليه النصوص </w:t>
      </w:r>
      <w:r>
        <w:rPr>
          <w:rStyle w:val="FootnoteAnchor"/>
          <w:rtl w:val="true"/>
        </w:rPr>
        <w:footnoteReference w:id="364"/>
      </w:r>
      <w:r>
        <w:rPr>
          <w:rFonts w:ascii="Amiri" w:hAnsi="Amiri" w:eastAsia="Amiri" w:cs="Amiri"/>
          <w:color w:val="111111"/>
          <w:sz w:val="28"/>
          <w:sz w:val="28"/>
          <w:szCs w:val="28"/>
          <w:rtl w:val="true"/>
          <w:lang w:bidi="ar-SA"/>
        </w:rPr>
        <w:t xml:space="preserve">بالعموم والخصوص بشرائطها المذكورة في كتاب النذر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والحرّية ، وإذن الزوج ، والوالدين على قول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ولم يتمكّن من أدائه ومات ، فلا قضاء عنه ، للأصل السالم عن المعارض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تمكّن منه ومات قبل أدائه ، فذهب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المدارك </w:t>
      </w:r>
      <w:r>
        <w:rPr>
          <w:rStyle w:val="FootnoteAnchor"/>
          <w:rtl w:val="true"/>
        </w:rPr>
        <w:footnoteReference w:id="365"/>
      </w:r>
      <w:r>
        <w:rPr>
          <w:rFonts w:ascii="Amiri" w:hAnsi="Amiri" w:eastAsia="Amiri" w:cs="Amiri"/>
          <w:color w:val="111111"/>
          <w:sz w:val="28"/>
          <w:sz w:val="28"/>
          <w:szCs w:val="28"/>
          <w:rtl w:val="true"/>
          <w:lang w:bidi="ar-SA"/>
        </w:rPr>
        <w:t xml:space="preserve">، وأكثر المتأخّرين كما في غيره </w:t>
      </w:r>
      <w:r>
        <w:rPr>
          <w:rStyle w:val="FootnoteAnchor"/>
          <w:rtl w:val="true"/>
        </w:rPr>
        <w:footnoteReference w:id="366"/>
      </w:r>
      <w:r>
        <w:rPr>
          <w:rFonts w:ascii="Amiri" w:hAnsi="Amiri" w:eastAsia="Amiri" w:cs="Amiri"/>
          <w:color w:val="111111"/>
          <w:sz w:val="28"/>
          <w:sz w:val="28"/>
          <w:szCs w:val="28"/>
          <w:rtl w:val="true"/>
          <w:lang w:bidi="ar-SA"/>
        </w:rPr>
        <w:t xml:space="preserve">،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والشرائع والإرشاد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قضائه عنه من أصل التركة ، لأنّه دين كحجّة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 ، فإنّ الحجّ ليس واجبا ماليّا ، بل هو بدنيّ وإن توقّف على المال مع الحاجة إليه كما تتوقّف الصلاة عليه كذلك ، وإنّما وجب قضاء حجّة الإسلام بالإجماع والنصوص ، وإلحاق النذر به قياس باطل ، ووجوب الأداء لا يستلزم وجوب القضاء ، لأنّه بأمر جديد كما في حجّ الإسلام ، وبدونه يكون منفيّا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والصدوق والنهاية والتهذيب والمبسوط والمعتبر والنافع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قضائه من الثلث </w:t>
      </w:r>
      <w:r>
        <w:rPr>
          <w:rStyle w:val="FootnoteAnchor"/>
          <w:rtl w:val="true"/>
        </w:rPr>
        <w:footnoteReference w:id="368"/>
      </w:r>
      <w:r>
        <w:rPr>
          <w:rFonts w:ascii="Amiri" w:hAnsi="Amiri" w:eastAsia="Amiri" w:cs="Amiri"/>
          <w:color w:val="111111"/>
          <w:sz w:val="28"/>
          <w:sz w:val="28"/>
          <w:szCs w:val="28"/>
          <w:rtl w:val="true"/>
          <w:lang w:bidi="ar-SA"/>
        </w:rPr>
        <w:t xml:space="preserve">، لصحيحتي ضريس </w:t>
      </w:r>
      <w:r>
        <w:rPr>
          <w:rStyle w:val="FootnoteAnchor"/>
          <w:rtl w:val="true"/>
        </w:rPr>
        <w:footnoteReference w:id="369"/>
      </w:r>
      <w:r>
        <w:rPr>
          <w:rFonts w:ascii="Amiri" w:hAnsi="Amiri" w:eastAsia="Amiri" w:cs="Amiri"/>
          <w:color w:val="111111"/>
          <w:sz w:val="28"/>
          <w:sz w:val="28"/>
          <w:szCs w:val="28"/>
          <w:rtl w:val="true"/>
          <w:lang w:bidi="ar-SA"/>
        </w:rPr>
        <w:t xml:space="preserve">وابن أبي يعفور </w:t>
      </w:r>
      <w:r>
        <w:rPr>
          <w:rStyle w:val="FootnoteAnchor"/>
          <w:rtl w:val="true"/>
        </w:rPr>
        <w:footnoteReference w:id="370"/>
      </w:r>
      <w:r>
        <w:rPr>
          <w:rFonts w:ascii="Amiri" w:hAnsi="Amiri" w:eastAsia="Amiri" w:cs="Amiri"/>
          <w:color w:val="111111"/>
          <w:sz w:val="28"/>
          <w:sz w:val="28"/>
          <w:szCs w:val="28"/>
          <w:rtl w:val="true"/>
          <w:lang w:bidi="ar-SA"/>
        </w:rPr>
        <w:t>الواردتين فيمن نذر أن يحجّ رجلا كما في الأولى ، أو ابنه كما في الثانية ، ومات قبل الوفاء ، المصرّحتين بالإخراج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موردهما غير محلّ النزاع ، بل ظاهر إحجاج الغير صرف المال فيه ، فهو نذر ماليّ ودين محض ، وهو غير الحجّ الذي كلامنا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إنّما هو بفحواهما ، حيث إنّ الإحجاج الذي </w:t>
      </w:r>
    </w:p>
    <w:p>
      <w:pPr>
        <w:pStyle w:val="BookText"/>
        <w:rPr/>
      </w:pPr>
      <w:r>
        <w:rPr>
          <w:rFonts w:ascii="Amiri" w:hAnsi="Amiri" w:eastAsia="Amiri" w:cs="Amiri"/>
          <w:color w:val="111111"/>
          <w:sz w:val="28"/>
          <w:sz w:val="28"/>
          <w:szCs w:val="28"/>
          <w:rtl w:val="true"/>
          <w:lang w:bidi="ar-SA"/>
        </w:rPr>
        <w:t>ليس إلاّ بذل المال قطعا إذا لم يجب إلاّ من الثلث فحجّ نفسه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بمنع الحكم في الأصل أولا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 به فيه أحد ، بل أخرجوه من الأصل ، لما دلّ على وجوب الحقّ الماليّ من الأصل ، ونزّلوا الصحيحتين تارة على وقوع النذر في مرض الموت ، وأخرى على وقوعه التزاما بغير صيغة ، وثالثة على ما إذا قصد الناذر تنفيذ الحجّ المنذور بنفسه فلم يتّفق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يتعلّق بماله حجّ واجب بالنذر ، ويكون الأمر بإخراج الحجّ المنذور واردا على الاستحباب للوارث وكونه من الثلث رعاية لجانبه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 لعدم معلوميّة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ضعف دليل القولين وعدم وجود على أصل القضاء ، فكيف بالقضاء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استشكل في أصله في المدارك والذخيرة </w:t>
      </w:r>
      <w:r>
        <w:rPr>
          <w:rStyle w:val="FootnoteAnchor"/>
          <w:rtl w:val="true"/>
        </w:rPr>
        <w:footnoteReference w:id="372"/>
      </w:r>
      <w:r>
        <w:rPr>
          <w:rFonts w:ascii="IRNazanin" w:hAnsi="IRNazanin" w:eastAsia="IRNazanin"/>
          <w:color w:val="111111"/>
          <w:sz w:val="28"/>
          <w:sz w:val="28"/>
          <w:szCs w:val="28"/>
          <w:rtl w:val="true"/>
          <w:lang w:bidi="fa-IR"/>
        </w:rPr>
        <w:t xml:space="preserve">، وبعض آخر </w:t>
      </w:r>
      <w:r>
        <w:rPr>
          <w:rStyle w:val="FootnoteAnchor"/>
          <w:rtl w:val="true"/>
        </w:rPr>
        <w:footnoteReference w:id="373"/>
      </w:r>
      <w:r>
        <w:rPr>
          <w:rFonts w:ascii="Amiri" w:hAnsi="Amiri" w:eastAsia="Amiri" w:cs="Amiri"/>
          <w:color w:val="111111"/>
          <w:sz w:val="28"/>
          <w:sz w:val="28"/>
          <w:szCs w:val="28"/>
          <w:rtl w:val="true"/>
          <w:lang w:bidi="ar-SA"/>
        </w:rPr>
        <w:t>، وهو في موقعه جدّا ، إلاّ أنّ لمظنّة الإجماع يكون الأحوط القضاء ، ولأصالة الاقتصار فيما خالف الأصل على موضع اليقين يحتاط به بإخراجه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وهو معضوب </w:t>
      </w:r>
      <w:r>
        <w:rPr>
          <w:rStyle w:val="FootnoteAnchor"/>
          <w:rtl w:val="true"/>
        </w:rPr>
        <w:footnoteReference w:id="374"/>
      </w:r>
      <w:r>
        <w:rPr>
          <w:rFonts w:ascii="Amiri" w:hAnsi="Amiri" w:eastAsia="Amiri" w:cs="Amiri"/>
          <w:color w:val="111111"/>
          <w:sz w:val="28"/>
          <w:sz w:val="28"/>
          <w:szCs w:val="28"/>
          <w:rtl w:val="true"/>
          <w:lang w:bidi="ar-SA"/>
        </w:rPr>
        <w:t>، فإن كان مقيّدا بوقت معيّن واستمرّ المانع إلى ذلك الوقت بطل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مطلقا توقّع المكنة ، ومع اليأس يبطل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تجب الاستنابة في الصورتين إلاّ أن لاحظ في نذره الاستنابة ، </w:t>
      </w:r>
    </w:p>
    <w:p>
      <w:pPr>
        <w:pStyle w:val="BookText"/>
        <w:rPr/>
      </w:pPr>
      <w:r>
        <w:rPr>
          <w:rFonts w:ascii="IRNazanin" w:hAnsi="IRNazanin" w:eastAsia="IRNazanin"/>
          <w:color w:val="111111"/>
          <w:sz w:val="28"/>
          <w:sz w:val="28"/>
          <w:szCs w:val="28"/>
          <w:rtl w:val="true"/>
          <w:lang w:bidi="fa-IR"/>
        </w:rPr>
        <w:t>فتجب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حصل العضب بعد النذر والتمكّن من الفعل ، فقد قطع جمع بوجوب الاستنابة </w:t>
      </w:r>
      <w:r>
        <w:rPr>
          <w:rStyle w:val="FootnoteAnchor"/>
          <w:rtl w:val="true"/>
        </w:rPr>
        <w:footnoteReference w:id="375"/>
      </w:r>
      <w:r>
        <w:rPr>
          <w:rFonts w:ascii="Amiri" w:hAnsi="Amiri" w:eastAsia="Amiri" w:cs="Amiri"/>
          <w:color w:val="111111"/>
          <w:sz w:val="28"/>
          <w:sz w:val="28"/>
          <w:szCs w:val="28"/>
          <w:rtl w:val="true"/>
          <w:lang w:bidi="ar-SA"/>
        </w:rPr>
        <w:t xml:space="preserve">، وطالبهم في المدارك بالدليل </w:t>
      </w:r>
      <w:r>
        <w:rPr>
          <w:rStyle w:val="FootnoteAnchor"/>
          <w:rtl w:val="true"/>
        </w:rPr>
        <w:footnoteReference w:id="376"/>
      </w:r>
      <w:r>
        <w:rPr>
          <w:rFonts w:ascii="Amiri" w:hAnsi="Amiri" w:eastAsia="Amiri" w:cs="Amiri"/>
          <w:color w:val="111111"/>
          <w:sz w:val="28"/>
          <w:sz w:val="28"/>
          <w:szCs w:val="28"/>
          <w:rtl w:val="true"/>
          <w:lang w:bidi="ar-SA"/>
        </w:rPr>
        <w:t>، وهي مطالبة حقّة ، وإذ ليس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فإمّا أن ينوي حجّة الإسلام ، أو غيرها ، أو يطلق فلا ينوي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نذره على الأصحّ ، فتجب الكفّارة بالترك أو تأخيره عن الوقت المعيّن مع الاستطاعة فيه ، ولا يجب عليه غيرها حينئذ اتّفاقا ولا تحصيل الاستطاعة ، لأنّ المنذور ليس أمرا زائدا عن حجّ الإسلام ، إلاّ أن ينذر تحصيلها فيجب ، ولو قيّد النذر بوقت معيّن ولم تحصل له الاستطاعة إلى انقضائه بطل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يتداخلا قطعا ويجبان معا ، اتّفاقا كما عن التحرير والمختلف والمسالك </w:t>
      </w:r>
      <w:r>
        <w:rPr>
          <w:rStyle w:val="FootnoteAnchor"/>
          <w:rtl w:val="true"/>
        </w:rPr>
        <w:footnoteReference w:id="377"/>
      </w:r>
      <w:r>
        <w:rPr>
          <w:rFonts w:ascii="Amiri" w:hAnsi="Amiri" w:eastAsia="Amiri" w:cs="Amiri"/>
          <w:color w:val="111111"/>
          <w:sz w:val="28"/>
          <w:sz w:val="28"/>
          <w:szCs w:val="28"/>
          <w:rtl w:val="true"/>
          <w:lang w:bidi="ar-SA"/>
        </w:rPr>
        <w:t xml:space="preserve">وغيرها </w:t>
      </w:r>
      <w:r>
        <w:rPr>
          <w:rStyle w:val="FootnoteAnchor"/>
          <w:rtl w:val="true"/>
        </w:rPr>
        <w:footnoteReference w:id="378"/>
      </w:r>
      <w:r>
        <w:rPr>
          <w:rFonts w:ascii="Amiri" w:hAnsi="Amiri" w:eastAsia="Amiri" w:cs="Amiri"/>
          <w:color w:val="111111"/>
          <w:sz w:val="28"/>
          <w:sz w:val="28"/>
          <w:szCs w:val="28"/>
          <w:rtl w:val="true"/>
          <w:lang w:bidi="ar-SA"/>
        </w:rPr>
        <w:t>، إن كان حال النذر مستطيعا وكانت حجّة النذر مطلقة أو مقيّدة بزمان متأخّر عن سنة الاستطاعة ، ويجب عليه حينئذ تقديم حجّة الإسلام ، لفوريّتها وسعة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مقيّدة بسنة الاستطاعة بطل النذر إن قصدها مع بقاء الاستطاعة ، وإن قصدها مع زوالها صحّ ووجب الوفاء عند زوالها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خلا عن القصدين فوجهان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حال النذر مستطيعا وجبت المنذورة خاصّة بشرط القدرة دون الاستطاعة الشرعيّة ، فإنّها شرط في حجّة الإسلام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الدروس فيشترط أيضا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حصلت الاستطاعة الشرعيّة قبل الإتيان بالمنذورة ، فإن كانت مطلقة أو مقيّدة بزمان متأخّر عن سنة الاستطاعة خصوصا أو عموما وجب تقديم حجّة الإسلام ، لما مرّ ، وفاقا لجماعة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للمحكيّ عن الدروس ، فقدّم المنذورة </w:t>
      </w:r>
      <w:r>
        <w:rPr>
          <w:rStyle w:val="FootnoteAnchor"/>
          <w:rtl w:val="true"/>
        </w:rPr>
        <w:footnoteReference w:id="381"/>
      </w:r>
      <w:r>
        <w:rPr>
          <w:rFonts w:ascii="IRNazanin" w:hAnsi="IRNazanin" w:eastAsia="IRNazanin"/>
          <w:color w:val="111111"/>
          <w:sz w:val="28"/>
          <w:sz w:val="28"/>
          <w:szCs w:val="28"/>
          <w:rtl w:val="true"/>
          <w:lang w:bidi="fa-IR"/>
        </w:rPr>
        <w:t>، ولا أعرف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كانت مقيّدة بسنة الاستطاعة ، ففي تقديم المنذورة أو الفريضة وجهان ، 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وفاقا للمختلف والمسالك والمدارك </w:t>
      </w:r>
      <w:r>
        <w:rPr>
          <w:rStyle w:val="FootnoteAnchor"/>
          <w:rtl w:val="true"/>
        </w:rPr>
        <w:footnoteReference w:id="382"/>
      </w:r>
      <w:r>
        <w:rPr>
          <w:rFonts w:ascii="Amiri" w:hAnsi="Amiri" w:eastAsia="Amiri" w:cs="Amiri"/>
          <w:color w:val="111111"/>
          <w:sz w:val="28"/>
          <w:sz w:val="28"/>
          <w:szCs w:val="28"/>
          <w:rtl w:val="true"/>
          <w:lang w:bidi="ar-SA"/>
        </w:rPr>
        <w:t xml:space="preserve">وغيرها </w:t>
      </w:r>
      <w:r>
        <w:rPr>
          <w:rStyle w:val="FootnoteAnchor"/>
          <w:rtl w:val="true"/>
        </w:rPr>
        <w:footnoteReference w:id="383"/>
      </w:r>
      <w:r>
        <w:rPr>
          <w:rFonts w:ascii="Amiri" w:hAnsi="Amiri" w:eastAsia="Amiri" w:cs="Amiri"/>
          <w:color w:val="111111"/>
          <w:sz w:val="28"/>
          <w:sz w:val="28"/>
          <w:szCs w:val="28"/>
          <w:rtl w:val="true"/>
          <w:lang w:bidi="ar-SA"/>
        </w:rPr>
        <w:t>، لعدم تحقّق الاستطاعة ، لأنّ المانع الشرعيّ كالمانع العقليّ ، وعلى هذا فيعتبر في وجوب حجّ الإسلام بقاء الاستطاعة إلى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التداخل مطلقا ، فتجزئ نيّة كلّ منهما عن الآخر ، كما في الذخيرة </w:t>
      </w:r>
      <w:r>
        <w:rPr>
          <w:rStyle w:val="FootnoteAnchor"/>
          <w:rtl w:val="true"/>
        </w:rPr>
        <w:footnoteReference w:id="384"/>
      </w:r>
      <w:r>
        <w:rPr>
          <w:rFonts w:ascii="Amiri" w:hAnsi="Amiri" w:eastAsia="Amiri" w:cs="Amiri"/>
          <w:color w:val="111111"/>
          <w:sz w:val="28"/>
          <w:sz w:val="28"/>
          <w:szCs w:val="28"/>
          <w:rtl w:val="true"/>
          <w:lang w:bidi="ar-SA"/>
        </w:rPr>
        <w:t xml:space="preserve">، ومال إليه في المدارك </w:t>
      </w:r>
      <w:r>
        <w:rPr>
          <w:rStyle w:val="FootnoteAnchor"/>
          <w:rtl w:val="true"/>
        </w:rPr>
        <w:footnoteReference w:id="385"/>
      </w:r>
      <w:r>
        <w:rPr>
          <w:rFonts w:ascii="Amiri" w:hAnsi="Amiri" w:eastAsia="Amiri" w:cs="Amiri"/>
          <w:color w:val="111111"/>
          <w:sz w:val="28"/>
          <w:sz w:val="28"/>
          <w:szCs w:val="28"/>
          <w:rtl w:val="true"/>
          <w:lang w:bidi="ar-SA"/>
        </w:rPr>
        <w:t xml:space="preserve">، وعن الشيخ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عدمه كذلك ، كما عن الخلاف والسرائر والناصريّات والغنية </w:t>
      </w:r>
    </w:p>
    <w:p>
      <w:pPr>
        <w:pStyle w:val="BookText"/>
        <w:rPr/>
      </w:pPr>
      <w:r>
        <w:rPr>
          <w:rFonts w:ascii="Amiri" w:hAnsi="Amiri" w:eastAsia="Amiri" w:cs="Amiri"/>
          <w:color w:val="111111"/>
          <w:sz w:val="28"/>
          <w:sz w:val="28"/>
          <w:szCs w:val="28"/>
          <w:rtl w:val="true"/>
          <w:lang w:bidi="ar-SA"/>
        </w:rPr>
        <w:t xml:space="preserve">والفاضلين والشهيدين </w:t>
      </w:r>
      <w:r>
        <w:rPr>
          <w:rStyle w:val="FootnoteAnchor"/>
          <w:rtl w:val="true"/>
        </w:rPr>
        <w:footnoteReference w:id="387"/>
      </w:r>
      <w:r>
        <w:rPr>
          <w:rFonts w:ascii="Amiri" w:hAnsi="Amiri" w:eastAsia="Amiri" w:cs="Amiri"/>
          <w:color w:val="111111"/>
          <w:sz w:val="28"/>
          <w:sz w:val="28"/>
          <w:szCs w:val="28"/>
          <w:rtl w:val="true"/>
          <w:lang w:bidi="ar-SA"/>
        </w:rPr>
        <w:t xml:space="preserve">، وغيرهم </w:t>
      </w:r>
      <w:r>
        <w:rPr>
          <w:rStyle w:val="FootnoteAnchor"/>
          <w:rtl w:val="true"/>
        </w:rPr>
        <w:footnoteReference w:id="388"/>
      </w:r>
      <w:r>
        <w:rPr>
          <w:rFonts w:ascii="Amiri" w:hAnsi="Amiri" w:eastAsia="Amiri" w:cs="Amiri"/>
          <w:color w:val="111111"/>
          <w:sz w:val="28"/>
          <w:sz w:val="28"/>
          <w:szCs w:val="28"/>
          <w:rtl w:val="true"/>
          <w:lang w:bidi="ar-SA"/>
        </w:rPr>
        <w:t xml:space="preserve">، بل الأكثر كما قيل </w:t>
      </w:r>
      <w:r>
        <w:rPr>
          <w:rStyle w:val="FootnoteAnchor"/>
          <w:rtl w:val="true"/>
        </w:rPr>
        <w:footnoteReference w:id="389"/>
      </w:r>
      <w:r>
        <w:rPr>
          <w:rFonts w:ascii="Amiri" w:hAnsi="Amiri" w:eastAsia="Amiri" w:cs="Amiri"/>
          <w:color w:val="111111"/>
          <w:sz w:val="28"/>
          <w:sz w:val="28"/>
          <w:szCs w:val="28"/>
          <w:rtl w:val="true"/>
          <w:lang w:bidi="ar-SA"/>
        </w:rPr>
        <w:t>، بل الإجماع كما في 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تداخل حجّة الإسلام في قصد النذر دون العكس ، كما عن النهاية والتهذيب والإقتصاد </w:t>
      </w:r>
      <w:r>
        <w:rPr>
          <w:rStyle w:val="FootnoteAnchor"/>
          <w:rtl w:val="true"/>
        </w:rPr>
        <w:footnoteReference w:id="390"/>
      </w:r>
      <w:r>
        <w:rPr>
          <w:rFonts w:ascii="IRNazanin" w:hAnsi="IRNazanin" w:eastAsia="IRNazanin"/>
          <w:color w:val="111111"/>
          <w:sz w:val="28"/>
          <w:sz w:val="28"/>
          <w:szCs w:val="28"/>
          <w:rtl w:val="true"/>
          <w:lang w:bidi="fa-IR"/>
        </w:rPr>
        <w:t xml:space="preserve">، وجمع آخر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 ، 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لأصالة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الامتثال ، مضافا في صورة قصد المنذور إلى صحيحتي محمّد </w:t>
      </w:r>
      <w:r>
        <w:rPr>
          <w:rStyle w:val="FootnoteAnchor"/>
          <w:rtl w:val="true"/>
        </w:rPr>
        <w:footnoteReference w:id="392"/>
      </w:r>
      <w:r>
        <w:rPr>
          <w:rFonts w:ascii="Amiri" w:hAnsi="Amiri" w:eastAsia="Amiri" w:cs="Amiri"/>
          <w:color w:val="111111"/>
          <w:sz w:val="28"/>
          <w:sz w:val="28"/>
          <w:szCs w:val="28"/>
          <w:rtl w:val="true"/>
          <w:lang w:bidi="ar-SA"/>
        </w:rPr>
        <w:t xml:space="preserve">ورفاعة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الثاني بحكاية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وبأصالة عدم التداخل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في الخلاف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نسبته ما ذكره في النهاية إلى بعض الروايات </w:t>
      </w:r>
      <w:r>
        <w:rPr>
          <w:rStyle w:val="FootnoteAnchor"/>
          <w:rtl w:val="true"/>
        </w:rPr>
        <w:footnoteReference w:id="3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الأخبار أنّه لا يجزئ عنه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ضعيفا إلاّ أنّه منجبر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مع أنّ الأصل في أحد شقّي المسألة مدفوع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مرجع الضمير المجرور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الثالث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مقبول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ماشيا ، فإن كان عاجزا عنه حين النذر ومأيوسا عن حصول القوّة أو قيّده بوقت معيّن علم العجز </w:t>
      </w:r>
      <w:r>
        <w:rPr>
          <w:rStyle w:val="FootnoteAnchor"/>
          <w:rtl w:val="true"/>
        </w:rPr>
        <w:footnoteReference w:id="396"/>
      </w:r>
      <w:r>
        <w:rPr>
          <w:rFonts w:ascii="Amiri" w:hAnsi="Amiri" w:eastAsia="Amiri" w:cs="Amiri"/>
          <w:color w:val="111111"/>
          <w:sz w:val="28"/>
          <w:sz w:val="28"/>
          <w:szCs w:val="28"/>
          <w:rtl w:val="true"/>
          <w:lang w:bidi="ar-SA"/>
        </w:rPr>
        <w:t xml:space="preserve">فيه ، بطل النذر </w:t>
      </w:r>
      <w:r>
        <w:rPr>
          <w:rStyle w:val="FootnoteAnchor"/>
          <w:rtl w:val="true"/>
        </w:rPr>
        <w:footnoteReference w:id="397"/>
      </w:r>
      <w:r>
        <w:rPr>
          <w:rFonts w:ascii="Amiri" w:hAnsi="Amiri" w:eastAsia="Amiri" w:cs="Amiri"/>
          <w:color w:val="111111"/>
          <w:sz w:val="28"/>
          <w:sz w:val="28"/>
          <w:szCs w:val="28"/>
          <w:rtl w:val="true"/>
          <w:lang w:bidi="ar-SA"/>
        </w:rPr>
        <w:t>، لانتفاء التكليف بما يعجز عنه ، سواء في ذلك العجز مطلقا أو العجز في جميع الحالات وإن تمكّن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 النصوص من أنّه إذا عجز يركب فإنّما هو في العجز المتجدّد ، ولا تلزم من صحّة النذر مع القوّة وتجدّد العجز صحّته مع العلم بالعجز أيضا ، ولا يجب الحجّ مطلقا حينئذ ، وإن اقتضاه ما ذكره بعضهم </w:t>
      </w:r>
      <w:r>
        <w:rPr>
          <w:rStyle w:val="FootnoteAnchor"/>
          <w:rtl w:val="true"/>
        </w:rPr>
        <w:footnoteReference w:id="398"/>
      </w:r>
      <w:r>
        <w:rPr>
          <w:rFonts w:ascii="Amiri" w:hAnsi="Amiri" w:eastAsia="Amiri" w:cs="Amiri"/>
          <w:color w:val="111111"/>
          <w:sz w:val="28"/>
          <w:sz w:val="28"/>
          <w:szCs w:val="28"/>
          <w:rtl w:val="true"/>
          <w:lang w:bidi="ar-SA"/>
        </w:rPr>
        <w:t>من أنّ العجز إنّما حصل عن الصفة لا عن أصل الحجّ ، والنذر إنّما يتعلّق بأمرين ، ولا يلزم من سقوط أحدهما للعجز سقوط الآخر ، لمنع كون النذر متعلّقا بأمرين ، بل المنذور أمر واحد ، وهو الحجّ على الصفة المخصوصة لا الحجّ مع الصفة ، فلا يمكن الإتيان بالمنذور عند العجز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متمكّنا عنه انعقد ووجب على المعروف من مذهب </w:t>
      </w:r>
    </w:p>
    <w:p>
      <w:pPr>
        <w:pStyle w:val="BookText"/>
        <w:rPr/>
      </w:pPr>
      <w:r>
        <w:rPr>
          <w:rFonts w:ascii="Amiri" w:hAnsi="Amiri" w:eastAsia="Amiri" w:cs="Amiri"/>
          <w:color w:val="111111"/>
          <w:sz w:val="28"/>
          <w:sz w:val="28"/>
          <w:szCs w:val="28"/>
          <w:rtl w:val="true"/>
          <w:lang w:bidi="ar-SA"/>
        </w:rPr>
        <w:t xml:space="preserve">الأصحاب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عليه </w:t>
      </w:r>
      <w:r>
        <w:rPr>
          <w:rStyle w:val="FootnoteAnchor"/>
          <w:rtl w:val="true"/>
        </w:rPr>
        <w:footnoteReference w:id="399"/>
      </w:r>
      <w:r>
        <w:rPr>
          <w:rFonts w:ascii="Amiri" w:hAnsi="Amiri" w:eastAsia="Amiri" w:cs="Amiri"/>
          <w:color w:val="111111"/>
          <w:sz w:val="28"/>
          <w:sz w:val="28"/>
          <w:szCs w:val="28"/>
          <w:rtl w:val="true"/>
          <w:lang w:bidi="ar-SA"/>
        </w:rPr>
        <w:t xml:space="preserve">، وعمومات النذر وخصوص نصوص نذر الحجّ من الصحاح وغيرها </w:t>
      </w:r>
      <w:r>
        <w:rPr>
          <w:rStyle w:val="FootnoteAnchor"/>
          <w:rtl w:val="true"/>
        </w:rPr>
        <w:footnoteReference w:id="400"/>
      </w:r>
      <w:r>
        <w:rPr>
          <w:rFonts w:ascii="Amiri" w:hAnsi="Amiri" w:eastAsia="Amiri" w:cs="Amiri"/>
          <w:color w:val="111111"/>
          <w:sz w:val="28"/>
          <w:sz w:val="28"/>
          <w:szCs w:val="28"/>
          <w:rtl w:val="true"/>
          <w:lang w:bidi="ar-SA"/>
        </w:rPr>
        <w:t>عليه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الحذّاء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حكاية أخت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ذلك ، لأنّ مقتضاها عدم انعقاد نذر الحجّ ماشيا مع الحفاء ، وهو لا يخالف المدّعى ، وجعله بعيدا عن السياق لا وجه له ، إذ ليس فيها ما يوجب بعده سوى الأمر بالإركاب دون لبس النعل ، ولعلّه لبطلان أصل النذر لأجل الحفاء ، فلا يبقى المشي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مخالفا لأدلّة انعقاد نذره حافيا عموما وخصوصا لا يوجب صرفها إلى إبطال نذره ماشيا ، لأنّه أيضا مخالف لأدلّة انعقاد النذر ماشيا ، مع أنّ وجود خصوص في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المرويّ عن نوادر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أن يمشي </w:t>
      </w:r>
      <w:r>
        <w:rPr>
          <w:rStyle w:val="FootnoteAnchor"/>
          <w:rtl w:val="true"/>
        </w:rPr>
        <w:footnoteReference w:id="402"/>
      </w:r>
      <w:r>
        <w:rPr>
          <w:rFonts w:ascii="Amiri" w:hAnsi="Amiri" w:eastAsia="Amiri" w:cs="Amiri"/>
          <w:color w:val="111111"/>
          <w:sz w:val="28"/>
          <w:sz w:val="28"/>
          <w:szCs w:val="28"/>
          <w:rtl w:val="true"/>
          <w:lang w:bidi="ar-SA"/>
        </w:rPr>
        <w:t xml:space="preserve">حافيا إلى بيت اللّه تعالى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فليمش </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لا يثبته ، لأنّه أوجب المشي دون الحفاء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مع أنّه حكاية حال ، فلعلّ النبيّ صلی اللّه عليه وآله علم منها العجز ، أو كشف ما يجب ستره من المرأة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إيراد ذلك في الرواية على سبيل الجواب يقتضي عدم اختصاص الحكم بتلك المرأة</w:t>
      </w:r>
      <w:r>
        <w:rPr>
          <w:rFonts w:eastAsia="Amiri" w:cs="Amiri" w:ascii="Amiri" w:hAnsi="Amiri"/>
          <w:color w:val="111111"/>
          <w:sz w:val="28"/>
          <w:szCs w:val="28"/>
          <w:rtl w:val="true"/>
          <w:lang w:bidi="ar-SA"/>
        </w:rPr>
        <w:t xml:space="preserve">. </w:t>
      </w:r>
      <w:bookmarkStart w:id="73" w:name="pg11651_107701"/>
    </w:p>
    <w:p>
      <w:pPr>
        <w:pStyle w:val="BookText"/>
        <w:rPr/>
      </w:pPr>
      <w:bookmarkEnd w:id="73"/>
      <w:r>
        <w:rPr>
          <w:rFonts w:ascii="Amiri" w:hAnsi="Amiri" w:eastAsia="Amiri" w:cs="Amiri"/>
          <w:color w:val="111111"/>
          <w:sz w:val="28"/>
          <w:sz w:val="28"/>
          <w:szCs w:val="28"/>
          <w:rtl w:val="true"/>
          <w:lang w:bidi="ar-SA"/>
        </w:rPr>
        <w:t>مردود بأنّه لعلّ كان مقتضى المقام الإجمال في الجواب ، ومع احتمال ذلك لا يثبت التعميم في حكاية الحال الخالية عن 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في بعض كتبه </w:t>
      </w:r>
      <w:r>
        <w:rPr>
          <w:rStyle w:val="FootnoteAnchor"/>
          <w:rtl w:val="true"/>
        </w:rPr>
        <w:footnoteReference w:id="404"/>
      </w:r>
      <w:r>
        <w:rPr>
          <w:rFonts w:ascii="Amiri" w:hAnsi="Amiri" w:eastAsia="Amiri" w:cs="Amiri"/>
          <w:color w:val="111111"/>
          <w:sz w:val="28"/>
          <w:sz w:val="28"/>
          <w:szCs w:val="28"/>
          <w:rtl w:val="true"/>
          <w:lang w:bidi="ar-SA"/>
        </w:rPr>
        <w:t xml:space="preserve">وولده في الإيضاح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انعقاد النذر على القول بكون المشي أفضل من الركوب ، وإلاّ فلا ينعقد ، لاشتراط رجحان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مخالفته للإطلاقات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المنذور كونه أرجح من جميع ما عداه ، بل المعتبر رجحانه في نفسه ، ولا ريب في ثبوته وإن كان مرجوحا بالإضافة إلى غيره</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171962_73709187"/>
      <w:bookmarkStart w:id="75" w:name="_Toc28"/>
      <w:bookmarkEnd w:id="74"/>
      <w:r>
        <w:rPr>
          <w:rtl w:val="true"/>
        </w:rPr>
        <w:t xml:space="preserve">فروع </w:t>
      </w:r>
      <w:r>
        <w:rPr>
          <w:rtl w:val="true"/>
        </w:rPr>
        <w:t>:</w:t>
      </w:r>
      <w:bookmarkEnd w:id="7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مبدأ المشي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بلد الناذر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الشروع في أفعال الحج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قصد الناذر إن تعيّن ، وإلاّ فإلى عرفه حين النذر إن كان معلوما مضبوطا ، وهو في أمثال بلادنا بلد الناذر أو النذر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اضطراب عرفه بالنسبة إليهما يكتفي بالأقرب منهما إلى الميقات ، للأصل ، وإلاّ فإلى مقتضى اللفظ لغة ، وهو في لفظة أحجّ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الأفعال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الذي هو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أفاض من عرفات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والمعوّل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الناذر مع اليقين ، وإلاّ فعرفه مع معلوميّته ، وإلاّ فمقتضى اللغة ، وهو فيما ذكر آخر أفعال الحجّ الواجبة ، وهو رمي الجمار ، كما استفاضت به الروايات أيضا ، كصحيحتي جميل </w:t>
      </w:r>
      <w:r>
        <w:rPr>
          <w:rStyle w:val="FootnoteAnchor"/>
          <w:rtl w:val="true"/>
        </w:rPr>
        <w:footnoteReference w:id="412"/>
      </w:r>
      <w:r>
        <w:rPr>
          <w:rFonts w:ascii="IRNazanin" w:hAnsi="IRNazanin" w:eastAsia="IRNazanin"/>
          <w:color w:val="111111"/>
          <w:sz w:val="28"/>
          <w:sz w:val="28"/>
          <w:szCs w:val="28"/>
          <w:rtl w:val="true"/>
          <w:lang w:bidi="fa-IR"/>
        </w:rPr>
        <w:t xml:space="preserve">وابن همام </w:t>
      </w:r>
      <w:r>
        <w:rPr>
          <w:rStyle w:val="FootnoteAnchor"/>
          <w:rtl w:val="true"/>
        </w:rPr>
        <w:footnoteReference w:id="413"/>
      </w:r>
      <w:r>
        <w:rPr>
          <w:rFonts w:ascii="Amiri" w:hAnsi="Amiri" w:eastAsia="Amiri" w:cs="Amiri"/>
          <w:color w:val="111111"/>
          <w:sz w:val="28"/>
          <w:sz w:val="28"/>
          <w:szCs w:val="28"/>
          <w:rtl w:val="true"/>
          <w:lang w:bidi="ar-SA"/>
        </w:rPr>
        <w:t xml:space="preserve">، ورواية ابن أبي حمزة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القطع بطواف النساء ، وأمّا رواية الحميري فشاذّة ، أو على بعض المحامل 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يجب عليه المشي في الطريق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له المسافرة من طريق البحر ، لعدم صدق المشي على العابر بالسفن ، ولو لم يكن طريق غيره يحتمل سقوط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فليقم في المعبر قائما حتى يجوز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فهي واردة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والدجلة من الشطوط ، والأنهار العظيمة التي تحتاج إلى المعبر ، دون البحر والسفينة ، لأنّ المتبادر من المعبر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أمثال تلك المعابر ، فلو قطع النظر عن الرواية يجوز بالمعبر </w:t>
      </w:r>
    </w:p>
    <w:p>
      <w:pPr>
        <w:pStyle w:val="BookText"/>
        <w:rPr/>
      </w:pPr>
      <w:r>
        <w:rPr>
          <w:rFonts w:ascii="Amiri" w:hAnsi="Amiri" w:eastAsia="Amiri" w:cs="Amiri"/>
          <w:color w:val="111111"/>
          <w:sz w:val="28"/>
          <w:sz w:val="28"/>
          <w:szCs w:val="28"/>
          <w:rtl w:val="true"/>
          <w:lang w:bidi="ar-SA"/>
        </w:rPr>
        <w:t>مطلقا قائما أو جالسا ، لأنّ هذا القدر لا يضرّ عرفا في صدق المشي إلى مكّة ، ولكن لدلالة الرواية على وجوب القيام فيه يحكم به ، ولا يضرّ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ناذر المشي بعض الطريق وحجّ لم يكن آتيا بالمنذور ، فيعيده ماشيا إن كان النذر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يعيده ماشيا في موضع الركوب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بالأول إن كان الركوب بعد التلبّس بالحجّ ، والثاني إن كان قبله كما في المدارك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مقيّدا بسنة معيّنة فيكفّر لخلف النذر ، ويقضي الحجّ إن قلنا بوجوب قضاء المنذور من العبادات إذا ترك ، ويأتي بيانه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قضاء الحجّ لفساده الموجب للقضاء فإنّما يصحّ إذا ركب في أفعال الحجّ ، لكون الأمر بالحجّ ماشيا نهيا عن ضدّه الموجب لفساده ، وأمّا إذا ركب قبلها فلا وجه لفساد نفس الحجّ ، إلاّ إذا قصد به المنذور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الناذر للحجّ ماشيا عن المشي كلاّ أو بعضا مع المكنة أولا أو توقّعها ، ففيه أقوال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المكنة مع الإطلاق وعدم اليأس منها ، والسقوط مع التقييد بزمان معيّن وحصول العجز فيه أو اليأس مع الإطلاق ، اختاره الحلّي والفاضل في الإرشاد </w:t>
      </w:r>
      <w:r>
        <w:rPr>
          <w:rStyle w:val="FootnoteAnchor"/>
          <w:rtl w:val="true"/>
        </w:rPr>
        <w:footnoteReference w:id="417"/>
      </w:r>
      <w:r>
        <w:rPr>
          <w:rFonts w:ascii="Amiri" w:hAnsi="Amiri" w:eastAsia="Amiri" w:cs="Amiri"/>
          <w:color w:val="111111"/>
          <w:sz w:val="28"/>
          <w:sz w:val="28"/>
          <w:szCs w:val="28"/>
          <w:rtl w:val="true"/>
          <w:lang w:bidi="ar-SA"/>
        </w:rPr>
        <w:t>والمحقّق الثاني في حاشية الشرائع ، لوجوب تحصيل الواجب بقدر الإمكان في الأول ، والعجز المستتبع للسقوط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وسياق البدنة مطلقا ، ذهب إليه الشيخ </w:t>
      </w:r>
      <w:r>
        <w:rPr>
          <w:rStyle w:val="FootnoteAnchor"/>
          <w:rtl w:val="true"/>
        </w:rPr>
        <w:footnoteReference w:id="418"/>
      </w:r>
      <w:r>
        <w:rPr>
          <w:rFonts w:ascii="Amiri" w:hAnsi="Amiri" w:eastAsia="Amiri" w:cs="Amiri"/>
          <w:color w:val="111111"/>
          <w:sz w:val="28"/>
          <w:sz w:val="28"/>
          <w:szCs w:val="28"/>
          <w:rtl w:val="true"/>
          <w:lang w:bidi="ar-SA"/>
        </w:rPr>
        <w:t xml:space="preserve">وجماعة من الأصحاب </w:t>
      </w:r>
      <w:r>
        <w:rPr>
          <w:rStyle w:val="FootnoteAnchor"/>
          <w:rtl w:val="true"/>
        </w:rPr>
        <w:footnoteReference w:id="419"/>
      </w:r>
      <w:r>
        <w:rPr>
          <w:rFonts w:ascii="Amiri" w:hAnsi="Amiri" w:eastAsia="Amiri" w:cs="Amiri"/>
          <w:color w:val="111111"/>
          <w:sz w:val="28"/>
          <w:sz w:val="28"/>
          <w:szCs w:val="28"/>
          <w:rtl w:val="true"/>
          <w:lang w:bidi="ar-SA"/>
        </w:rPr>
        <w:t xml:space="preserve">، لصحيحتي الحلبي </w:t>
      </w:r>
      <w:r>
        <w:rPr>
          <w:rStyle w:val="FootnoteAnchor"/>
          <w:rtl w:val="true"/>
        </w:rPr>
        <w:footnoteReference w:id="420"/>
      </w:r>
      <w:r>
        <w:rPr>
          <w:rFonts w:ascii="Amiri" w:hAnsi="Amiri" w:eastAsia="Amiri" w:cs="Amiri"/>
          <w:color w:val="111111"/>
          <w:sz w:val="28"/>
          <w:sz w:val="28"/>
          <w:szCs w:val="28"/>
          <w:rtl w:val="true"/>
          <w:lang w:bidi="ar-SA"/>
        </w:rPr>
        <w:t xml:space="preserve">والمحاربي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بلا وجوب السياق ، وهو المحكيّ عن المفيد والإسكافي والمحقّق </w:t>
      </w:r>
      <w:r>
        <w:rPr>
          <w:rStyle w:val="FootnoteAnchor"/>
          <w:rtl w:val="true"/>
        </w:rPr>
        <w:footnoteReference w:id="422"/>
      </w:r>
      <w:r>
        <w:rPr>
          <w:rFonts w:ascii="Amiri" w:hAnsi="Amiri" w:eastAsia="Amiri" w:cs="Amiri"/>
          <w:color w:val="111111"/>
          <w:sz w:val="28"/>
          <w:sz w:val="28"/>
          <w:szCs w:val="28"/>
          <w:rtl w:val="true"/>
          <w:lang w:bidi="ar-SA"/>
        </w:rPr>
        <w:t xml:space="preserve">، لصحيحة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يمشي إلى بيت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تعب ركب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فإنّ السكوت عن سياق الهدي في مقام البيان يقتضي عدم وجوبه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في ابن لي إن عافاه اللّه أن أحجّ ماشيا ، فمشيت حتى بلغت العقبة ، فاشتكيت فركبت ، ثم وجدت راحة فمشيت ، فسألت أبا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 إن كنت موسرا أن تذبح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نفقة ولو شئت أن أذبح لفعلت وعليّ دين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 إن كنت موسرا أن تذبح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واجب أفعله؟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من جعل اللّه شيئا واجبا فبلغ جهده فليس عليه شي‌ء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المكنة مع الإطلاق والركوب مع التعيين أو اليأس ، حكي عن المختلف </w:t>
      </w:r>
      <w:r>
        <w:rPr>
          <w:rStyle w:val="FootnoteAnchor"/>
          <w:rtl w:val="true"/>
        </w:rPr>
        <w:footnoteReference w:id="425"/>
      </w:r>
      <w:r>
        <w:rPr>
          <w:rFonts w:ascii="Amiri" w:hAnsi="Amiri" w:eastAsia="Amiri" w:cs="Amiri"/>
          <w:color w:val="111111"/>
          <w:sz w:val="28"/>
          <w:sz w:val="28"/>
          <w:szCs w:val="28"/>
          <w:rtl w:val="true"/>
          <w:lang w:bidi="ar-SA"/>
        </w:rPr>
        <w:t xml:space="preserve">، واختاره في التنقيح والروضة والمسالك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يجعل قول الأخيرين غير الأولين ، باعتبار عدم تعرّض الأولين لليأس وتعرّض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 إذ لا يكون اليأس داخلا في توقّع المكنة قطعا ، أمّا الأول فظاهر ، وأمّا الثاني فلأنّ العجز عن الصفة لا يوجب سقوط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المكنة مع الإطلاق ، والركوب والإتمام إن حصل العجز بعد التلبّس بالإحرام مطلقا ، والسقوط إن حصل قبله ، حكي عن بعض المتأخّرين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النصوص المذكورة لكان المصير إلى القول الأول متعيّنا ، بضميمة ما مرّ سابقا من إبطال الاستدلال بعدم إيجاب العجز عن الصفة سقوط الموصوف ، ولكن مع تلك النصوص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بالركوب عند العجز على الإطلاق سواء كان نذرا مطلقا أو معينا إمّا مع سياق الهدي أو بدونه الموافقة لعمل جمع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القول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بالنسبة إلى 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أنّ الأمر بتوقّع المكنة بعد طريان العجز ربّما يؤدّي إلى العسر والحرج المنفيّين ، سيّما وأن يكون بعد التلبّس بالإحرام ، سيّما مع الأمر بإكمال الحجّ والعمرة حينئذ</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ومخافة الخروج عن المجمع عليه في صورة الإطلاق ، حيث إنّ </w:t>
      </w:r>
    </w:p>
    <w:p>
      <w:pPr>
        <w:pStyle w:val="BookText"/>
        <w:rPr/>
      </w:pPr>
      <w:r>
        <w:rPr>
          <w:rFonts w:ascii="Amiri" w:hAnsi="Amiri" w:eastAsia="Amiri" w:cs="Amiri"/>
          <w:color w:val="111111"/>
          <w:sz w:val="28"/>
          <w:sz w:val="28"/>
          <w:szCs w:val="28"/>
          <w:rtl w:val="true"/>
          <w:lang w:bidi="ar-SA"/>
        </w:rPr>
        <w:t xml:space="preserve">المستفاد من كلام فخر المحققين </w:t>
      </w:r>
      <w:r>
        <w:rPr>
          <w:rStyle w:val="FootnoteAnchor"/>
          <w:rtl w:val="true"/>
        </w:rPr>
        <w:footnoteReference w:id="430"/>
      </w:r>
      <w:r>
        <w:rPr>
          <w:rFonts w:ascii="Amiri" w:hAnsi="Amiri" w:eastAsia="Amiri" w:cs="Amiri"/>
          <w:color w:val="111111"/>
          <w:sz w:val="28"/>
          <w:sz w:val="28"/>
          <w:szCs w:val="28"/>
          <w:rtl w:val="true"/>
          <w:lang w:bidi="ar-SA"/>
        </w:rPr>
        <w:t xml:space="preserve">وغيره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إنّما هو في المعيّن ، وأمّا المطلق فلا خلاف فيه في وجوب توقّع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في موقعها ، إذ ظاهر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والنافع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الخلاف في الصورتين ، فالأخذ بمقتضى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الركوب عند العجز مع أحد الأمرين من السياق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 والأصول المقتضية للقول الأول بها تندفع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النصوص بعدم صراحتها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نذر الحجّ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أحدهما مشروطا بالآخر ، لأنّ مورد صحيحتي الحلبي ورفاعة نذر المشي إلى بيت اللّه ، وهو لا يستلزم نذر الحجّ ، فلعلّ إيجابه إنّما هو لإيجابه عليه مضيّقا سابقا بالاستطاعة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الآخرين وإن كان المفروض ، إلاّ أنّه يحتمل أن يكون المراد نذر المشي خاصّة منضمّا إلى الحجّ الواجب مضيّقا سابقا ، وحينئذ فيخرجان عن المورد أيضا إلاّ من جهة الإطلاق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رفع اليد عن الأصول وتخصيصها بمجرّدهما إشكال ، بل يمكن العكس ، بصرفهما إلى نذر المشي خاصّة في سنة الوجوب مضيّقا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 إرادة نذر الحجّ ماشيا من نذر المشي إلى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الخبرين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أحدهما الصحيح </w:t>
      </w:r>
      <w:r>
        <w:rPr>
          <w:rStyle w:val="FootnoteAnchor"/>
          <w:rtl w:val="true"/>
        </w:rPr>
        <w:footnoteReference w:id="433"/>
      </w:r>
      <w:r>
        <w:rPr>
          <w:rFonts w:ascii="Amiri" w:hAnsi="Amiri" w:eastAsia="Amiri" w:cs="Amiri"/>
          <w:color w:val="111111"/>
          <w:sz w:val="28"/>
          <w:sz w:val="28"/>
          <w:szCs w:val="28"/>
          <w:rtl w:val="true"/>
          <w:lang w:bidi="ar-SA"/>
        </w:rPr>
        <w:t xml:space="preserve">، والآخر أيضا حجة على الصحيح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عمومهما كاف في دفع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سلّمنا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مؤسّسا أيضا من العموم أو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ذلك ، ومقتضاه الرجوع إلى أصالة عدم وجوب توقّع المكنة أيضا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صرف النصوص إلى الأصول أولى ، لكونها مقطوعا بها ، بخلاف النصوص ، فإنّها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 ، لأنّ الآحاد بعد حجّيتها تكون قطعيّة ، مع أنّ مأخذ تلك الأصول أيضا لا يخرج عن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هل يجب سياق الهدي ، كما هو القول الثاني ومقتضى الصحيحين الأولين </w:t>
      </w:r>
      <w:r>
        <w:rPr>
          <w:rStyle w:val="FootnoteAnchor"/>
          <w:rtl w:val="true"/>
        </w:rPr>
        <w:footnoteReference w:id="4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يستحبّ ، كما هو القول الثالث ومقتضى الرواية </w:t>
      </w:r>
      <w:r>
        <w:rPr>
          <w:rStyle w:val="FootnoteAnchor"/>
          <w:rtl w:val="true"/>
        </w:rPr>
        <w:footnoteReference w:id="436"/>
      </w:r>
      <w:r>
        <w:rPr>
          <w:rFonts w:ascii="Amiri" w:hAnsi="Amiri" w:eastAsia="Amiri" w:cs="Amiri"/>
          <w:color w:val="111111"/>
          <w:sz w:val="28"/>
          <w:sz w:val="28"/>
          <w:szCs w:val="28"/>
          <w:rtl w:val="true"/>
          <w:lang w:bidi="ar-SA"/>
        </w:rPr>
        <w:t xml:space="preserve">المعتضدة بظاهر الصحيحة </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لا الرواية لكان المصير إلى الوجوب معيّنا ، ولكن معها لا يبقى ظهور للصحيحين في الوجوب ، لتصريحها بعدمه والاستحباب ، فتكون قرينة على إرادته منهما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بضعف الرواية مع وجودها في الأصول المعتبرة عندي ضعيف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الأصحّ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 وعليه الفتوى</w:t>
      </w:r>
      <w:r>
        <w:rPr>
          <w:rFonts w:eastAsia="Amiri" w:cs="Amiri" w:ascii="Amiri" w:hAnsi="Amiri"/>
          <w:color w:val="111111"/>
          <w:sz w:val="28"/>
          <w:szCs w:val="28"/>
          <w:rtl w:val="true"/>
          <w:lang w:bidi="ar-SA"/>
        </w:rPr>
        <w:t xml:space="preserve">. </w:t>
      </w:r>
      <w:bookmarkStart w:id="76" w:name="pg11651_107708"/>
    </w:p>
    <w:p>
      <w:pPr>
        <w:pStyle w:val="Heading6"/>
        <w:numPr>
          <w:ilvl w:val="5"/>
          <w:numId w:val="1"/>
        </w:numPr>
        <w:rPr/>
      </w:pPr>
      <w:bookmarkStart w:id="77" w:name="__RefHeading___Toc6171964_73709187"/>
      <w:bookmarkStart w:id="78" w:name="_Toc29"/>
      <w:bookmarkEnd w:id="76"/>
      <w:bookmarkEnd w:id="77"/>
      <w:r>
        <w:rPr>
          <w:rtl w:val="true"/>
        </w:rPr>
        <w:t xml:space="preserve">الفصل الثاني </w:t>
      </w:r>
      <w:r>
        <w:rPr>
          <w:rtl w:val="true"/>
        </w:rPr>
        <w:t xml:space="preserve">: </w:t>
      </w:r>
      <w:r>
        <w:rPr>
          <w:rtl w:val="true"/>
        </w:rPr>
        <w:t>في الواجب بالنيابة والإجارة</w:t>
      </w:r>
      <w:bookmarkEnd w:id="78"/>
    </w:p>
    <w:p>
      <w:pPr>
        <w:pStyle w:val="Heading6"/>
        <w:numPr>
          <w:ilvl w:val="5"/>
          <w:numId w:val="1"/>
        </w:numPr>
        <w:rPr/>
      </w:pPr>
      <w:bookmarkStart w:id="79" w:name="__RefHeading___Toc6171966_73709187"/>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وهي ثابتة في الحجّ في الجملة ، بالإجماع ، بل الضرورة ، والأخبار المتواترة </w:t>
      </w:r>
      <w:r>
        <w:rPr>
          <w:rStyle w:val="FootnoteAnchor"/>
          <w:rtl w:val="true"/>
        </w:rPr>
        <w:footnoteReference w:id="438"/>
      </w:r>
      <w:r>
        <w:rPr>
          <w:rFonts w:ascii="Amiri" w:hAnsi="Amiri" w:eastAsia="Amiri" w:cs="Amiri"/>
          <w:color w:val="111111"/>
          <w:sz w:val="28"/>
          <w:sz w:val="28"/>
          <w:szCs w:val="28"/>
          <w:rtl w:val="true"/>
          <w:lang w:bidi="ar-SA"/>
        </w:rPr>
        <w:t>الواردة في أحكام النيابة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النائب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تصحّ نيابة المجنون والطفل الغير المميّز بالإجماع المحقّق والمحكي </w:t>
      </w:r>
      <w:r>
        <w:rPr>
          <w:rStyle w:val="FootnoteAnchor"/>
          <w:rtl w:val="true"/>
        </w:rPr>
        <w:footnoteReference w:id="439"/>
      </w:r>
      <w:r>
        <w:rPr>
          <w:rFonts w:ascii="IRNazanin" w:hAnsi="IRNazanin" w:eastAsia="IRNazanin"/>
          <w:color w:val="111111"/>
          <w:sz w:val="28"/>
          <w:sz w:val="28"/>
          <w:szCs w:val="28"/>
          <w:rtl w:val="true"/>
          <w:lang w:bidi="fa-IR"/>
        </w:rPr>
        <w:t>، له ، ولارتفاع تحقّق القصد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تصحّ نيابة غير البالغ ولو كان مميّزا على المشهور ، كما صرّح به جماعة </w:t>
      </w:r>
      <w:r>
        <w:rPr>
          <w:rStyle w:val="FootnoteAnchor"/>
          <w:rtl w:val="true"/>
        </w:rPr>
        <w:footnoteReference w:id="440"/>
      </w:r>
      <w:r>
        <w:rPr>
          <w:rFonts w:ascii="Amiri" w:hAnsi="Amiri" w:eastAsia="Amiri" w:cs="Amiri"/>
          <w:color w:val="111111"/>
          <w:sz w:val="28"/>
          <w:sz w:val="28"/>
          <w:szCs w:val="28"/>
          <w:rtl w:val="true"/>
          <w:lang w:bidi="ar-SA"/>
        </w:rPr>
        <w:t xml:space="preserve">، وجعله في المدارك المعروف من مذهب الأصحاب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بالأصل ، لكون كفاية حجّ الغير عن آخر مخالفة له قطعا ، فيقتصر فيها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وبخروج عباداته عن الشرعيّة الموجبة للثواب وإنّما هي تمرينيّة ، فلا تجزئ عمّن تجب عليه أو تندب ، لأنّ التمرينيّة ليست بواجبة ولا مندوبة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وبأنّه ليس بمكلّف فلا تصحّ عبادته ، لأنّها موافقة المكلّف به ، والحجّ </w:t>
      </w:r>
    </w:p>
    <w:p>
      <w:pPr>
        <w:pStyle w:val="BookText"/>
        <w:rPr/>
      </w:pPr>
      <w:r>
        <w:rPr>
          <w:rFonts w:ascii="Amiri" w:hAnsi="Amiri" w:eastAsia="Amiri" w:cs="Amiri"/>
          <w:color w:val="111111"/>
          <w:sz w:val="28"/>
          <w:sz w:val="28"/>
          <w:szCs w:val="28"/>
          <w:rtl w:val="true"/>
          <w:lang w:bidi="ar-SA"/>
        </w:rPr>
        <w:t>بالنيابة أيضا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علمه بعدم المؤاخذة بأفعاله موجب لعدم الركون إلى إخباره ، واحتمال أن يفعل بعض المناسك لا على الوجه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فللزوم الخروج عن الأصل بالدليل ولو كان إطلاقا أو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أخبار المقام وإن تضمّن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الصرورة الذي لا مال له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المراد منه البالغ ، إذ غيره لا يحتاج إلى القيد ، أو الأمر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فليقض عنه وليّه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المخصوص بالمكلّفين ، أو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ويقضي عنه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الغير المتعرّض </w:t>
      </w:r>
      <w:r>
        <w:rPr>
          <w:rStyle w:val="FootnoteAnchor"/>
          <w:rtl w:val="true"/>
        </w:rPr>
        <w:footnoteReference w:id="445"/>
      </w:r>
      <w:r>
        <w:rPr>
          <w:rFonts w:ascii="Amiri" w:hAnsi="Amiri" w:eastAsia="Amiri" w:cs="Amiri"/>
          <w:color w:val="111111"/>
          <w:sz w:val="28"/>
          <w:sz w:val="28"/>
          <w:szCs w:val="28"/>
          <w:rtl w:val="true"/>
          <w:lang w:bidi="ar-SA"/>
        </w:rPr>
        <w:t>للقاضي ولو من جهة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الأخبار ما يشمل غير المميّز بالإطلاق ، كرواية عامر بن عمير الصحيح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مات ولم يحجّ حجّة الإسلام فحجّ عنه بعض أهله أجزأ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الصرورة يجزئ عنه وعمّن حجّ عنه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يحجّ الصرورة عن الصرورة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 فلمنع خروج عبادات الصبيّ عن الشرعيّة بإطلاقها ، وإنّما هي خارجة عن الواجبة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التمرينيّة ، لكنّه مخصوصة بأوامر اللّه سبحانه لا ما يستأجر للغير ، ولا نسلّم ما رتّبه على تمرينيّة عباداته من عدم إجزائه عمّن تجب عليه أو تندب ، ولا يلزم من عدم وجوبها أو ندبها على نفسه عدم إجزائها عمّن تجب عليه أو تندب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واجبة ولا مندوبة فلا تكون مأمورا بها ، فلا تكون صحيحة ، لأنّ الصحّة موافقة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الصحّة فيما يستأجر للغير موافقته للمأمور به للأجير ، بل هي الموافقة للمأمور به لمن استؤجر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ما في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 فلعدم إيجاب العلم بعدم المؤاخذة لعدم الركون بأفعاله ، إذ قد يكون الشخص في نفسه ثقة لا يرضى بالخيانة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ولكن عدم المؤاخذة عنه إنّما هو في حال الصغر ، ولكنّه يعلم بكونه مؤاخذا بعد البلوغ بغرامة ما يتلفه في حال الصغر عن حقّ الغير ، وذلك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ضعف جميع تلك الأدلّة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ذهب جمع من المتأخّرين إلى جواز نيابة المميّز ، كالمحقّق </w:t>
      </w:r>
    </w:p>
    <w:p>
      <w:pPr>
        <w:pStyle w:val="BookText"/>
        <w:rPr/>
      </w:pPr>
      <w:r>
        <w:rPr>
          <w:rFonts w:ascii="Amiri" w:hAnsi="Amiri" w:eastAsia="Amiri" w:cs="Amiri"/>
          <w:color w:val="111111"/>
          <w:sz w:val="28"/>
          <w:sz w:val="28"/>
          <w:szCs w:val="28"/>
          <w:rtl w:val="true"/>
          <w:lang w:bidi="ar-SA"/>
        </w:rPr>
        <w:t xml:space="preserve">الأردبيلي والمدارك والمفاتيح وشرحه </w:t>
      </w:r>
      <w:r>
        <w:rPr>
          <w:rStyle w:val="FootnoteAnchor"/>
          <w:rtl w:val="true"/>
        </w:rPr>
        <w:footnoteReference w:id="449"/>
      </w:r>
      <w:r>
        <w:rPr>
          <w:rFonts w:ascii="Amiri" w:hAnsi="Amiri" w:eastAsia="Amiri" w:cs="Amiri"/>
          <w:color w:val="111111"/>
          <w:sz w:val="28"/>
          <w:sz w:val="28"/>
          <w:szCs w:val="28"/>
          <w:rtl w:val="true"/>
          <w:lang w:bidi="ar-SA"/>
        </w:rPr>
        <w:t xml:space="preserve">، ومال إليه في الذخيرة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الفقيه عن بشير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توفّيت ولم تحجّ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عنها رجل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أحبّ إليك؟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أحبّ إليّ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المستفيضة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فيما لم يطق الحجّ ببدنه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فليجهّز رجلا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ولا شكّ أنّ الرجل لا يصدق على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بالأول يتمّ عند من يقول بإفادة الجملة الخبريّة للوجوب ، وبالثاني عند من يوجب على من لم يطق تجهيز الغير ، وقد عرفت أنّ الأظهر عدمه ، فلا يتمّان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الاستدلال على عدم الجواز برواية عمّار الواردة في استئجار الصلاة والصوم المتقدّمة في كتاب الصلاة </w:t>
      </w:r>
      <w:r>
        <w:rPr>
          <w:rStyle w:val="FootnoteAnchor"/>
          <w:rtl w:val="true"/>
        </w:rPr>
        <w:footnoteReference w:id="453"/>
      </w:r>
      <w:r>
        <w:rPr>
          <w:rFonts w:ascii="Amiri" w:hAnsi="Amiri" w:eastAsia="Amiri" w:cs="Amiri"/>
          <w:color w:val="111111"/>
          <w:sz w:val="28"/>
          <w:sz w:val="28"/>
          <w:szCs w:val="28"/>
          <w:rtl w:val="true"/>
          <w:lang w:bidi="ar-SA"/>
        </w:rPr>
        <w:t xml:space="preserve">، إمّا من جهة الإجماع المركّب وعدم الفصل بينهما وبين الحجّ ، أو من جهة اشتمال أفعال الحجّ على الصلاة أيضا ، المؤيّدين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أنّ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إجارة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فلا تصحّ نيابة الكافر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استدلّوا به من عدم تأتّي نيّة القربة منه ، لمنعه أولا ، فإنّه يمكن تأتّيها من جهة زعمه اشتغال ذمّته بفعل الغير ، وعدم اشتراط القربة في </w:t>
      </w:r>
    </w:p>
    <w:p>
      <w:pPr>
        <w:pStyle w:val="BookText"/>
        <w:rPr/>
      </w:pPr>
      <w:r>
        <w:rPr>
          <w:rFonts w:ascii="Amiri" w:hAnsi="Amiri" w:eastAsia="Amiri" w:cs="Amiri"/>
          <w:color w:val="111111"/>
          <w:sz w:val="28"/>
          <w:sz w:val="28"/>
          <w:szCs w:val="28"/>
          <w:rtl w:val="true"/>
          <w:lang w:bidi="ar-SA"/>
        </w:rPr>
        <w:t>عمل الأجير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للإجماع ، ولكون الكافر نجسا لا يجوز له دخول مسجد الحرام المتوقّف بعض أعمال الحجّ عليه ، ولروايتي مصادف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أتحجّ المرأة عن الرجل؟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كانت فقيهة مسلمة وكانت قد حجّت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في الاشتراط شرط كونها قد حجّت مع أنّه غير شرط ، لأنّه قرينة على أنّ المراد المرأة المستطيعة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اشترطه بعضهم </w:t>
      </w:r>
      <w:r>
        <w:rPr>
          <w:rStyle w:val="FootnoteAnchor"/>
          <w:rtl w:val="true"/>
        </w:rPr>
        <w:footnoteReference w:id="457"/>
      </w:r>
      <w:r>
        <w:rPr>
          <w:rFonts w:ascii="Amiri" w:hAnsi="Amiri" w:eastAsia="Amiri" w:cs="Amiri"/>
          <w:color w:val="111111"/>
          <w:sz w:val="28"/>
          <w:sz w:val="28"/>
          <w:szCs w:val="28"/>
          <w:rtl w:val="true"/>
          <w:lang w:bidi="ar-SA"/>
        </w:rPr>
        <w:t>، لعدم صحّة عبادة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فإنّما هو في عبادات نفسه ، وأمّا ما ينوب فيه لغيره فلا دليل على عدم صحّته ، التي هي الموافقة لتكليف المنوب عنه ، والأخبار الواردة في عدم صحّة عباداته ظاهرة في عبادات نفسه ، ولذا ذهب جمع إلى الصحة </w:t>
      </w:r>
      <w:r>
        <w:rPr>
          <w:rStyle w:val="FootnoteAnchor"/>
          <w:rtl w:val="true"/>
        </w:rPr>
        <w:footnoteReference w:id="458"/>
      </w:r>
      <w:r>
        <w:rPr>
          <w:rFonts w:ascii="Amiri" w:hAnsi="Amiri" w:eastAsia="Amiri" w:cs="Amiri"/>
          <w:color w:val="111111"/>
          <w:sz w:val="28"/>
          <w:sz w:val="28"/>
          <w:szCs w:val="28"/>
          <w:rtl w:val="true"/>
          <w:lang w:bidi="ar-SA"/>
        </w:rPr>
        <w:t>، بل هو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عدم الصحّة برواية عمّار المشار إليها في نيابة المميّز ، المتقدّمة في بحث الصلاة بالتقريب المتقدّم في المميز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وقد اعتبرها المتأخّرون في الحجّ الواجب ، كما في المدارك والذخيرة والمفاتيح </w:t>
      </w:r>
      <w:r>
        <w:rPr>
          <w:rStyle w:val="FootnoteAnchor"/>
          <w:rtl w:val="true"/>
        </w:rPr>
        <w:footnoteReference w:id="460"/>
      </w:r>
      <w:r>
        <w:rPr>
          <w:rFonts w:ascii="Amiri" w:hAnsi="Amiri" w:eastAsia="Amiri" w:cs="Amiri"/>
          <w:color w:val="111111"/>
          <w:sz w:val="28"/>
          <w:sz w:val="28"/>
          <w:szCs w:val="28"/>
          <w:rtl w:val="true"/>
          <w:lang w:bidi="ar-SA"/>
        </w:rPr>
        <w:t xml:space="preserve">، أو في الحجّ مطلقا ، كما في بعض شروح المفاتيح ، وهو ظاهر المفيد في باب مختصر المسائل والجوابات من كتاب الأركان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للإنسان مانع عن الحجّ وكان ظاهر العدالة فله أن يحجّ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المتأخّرون إلى أنّ الإتيان بالحجّ الصحيح إنّما يعلم بإخباره </w:t>
      </w:r>
      <w:r>
        <w:rPr>
          <w:rStyle w:val="FootnoteAnchor"/>
          <w:rtl w:val="true"/>
        </w:rPr>
        <w:footnoteReference w:id="461"/>
      </w:r>
      <w:r>
        <w:rPr>
          <w:rFonts w:ascii="Amiri" w:hAnsi="Amiri" w:eastAsia="Amiri" w:cs="Amiri"/>
          <w:color w:val="111111"/>
          <w:sz w:val="28"/>
          <w:sz w:val="28"/>
          <w:szCs w:val="28"/>
          <w:rtl w:val="true"/>
          <w:lang w:bidi="ar-SA"/>
        </w:rPr>
        <w:t xml:space="preserve">، والفاسق لا تعويل على إخباره ، لآية التثبّت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بعضهم بكونه ممّن يظنّ صدقه ويحصل الوثوق بإخباره ، واستحسنه جماعة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يرد على مستندهم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إن كان هو العلم فلا يحصل من خبر العادل أيضا ، وإن كان الظنّ فهو قد يحصل بخبر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كونه مقبول الخبر ، والفاسق ليس كذلك ،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حينئذ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الآية قبول خبر الفاسق مع التثبّت ، فقد يعلم من حاله أنّه لا يكذب ، أو أنّه يأتي بما استؤجر له ، أو تدلّ قرائن على أحدهما ، فلا تكون العدالة شرطا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نمنع أصل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مقبول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المأمور به هو الاستنابة مطلقا ، كما في الأخبار ، وأمّا أنّه يجب أن يستفسر عنه أنّه هل أتى بما استنيب له أم لا ، وأنّه يجب أن يكون مقبول القول في ذلك ، </w:t>
      </w:r>
    </w:p>
    <w:p>
      <w:pPr>
        <w:pStyle w:val="BookText"/>
        <w:rPr/>
      </w:pPr>
      <w:r>
        <w:rPr>
          <w:rFonts w:ascii="Amiri" w:hAnsi="Amiri" w:eastAsia="Amiri" w:cs="Amiri"/>
          <w:color w:val="111111"/>
          <w:sz w:val="28"/>
          <w:sz w:val="28"/>
          <w:szCs w:val="28"/>
          <w:rtl w:val="true"/>
          <w:lang w:bidi="ar-SA"/>
        </w:rPr>
        <w:t xml:space="preserve">فلا دليل عليه ، والأصل ينفيه ، بل المصرّح به في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بالاستنابة تبرأ ذمّة المنوب عنه ، أتى النائب بالأفعال أم لا ، كان في حجّه نقص أم لا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حكم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أخذ من رجل مالا ولم يحجّ عنه ومات ولم يخلّف شيئا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حجّ الأجير أخذت حجّته ودفعت إلى صاحب المال ، وإن لم يكن حجّ كتب لصاحب المال ثواب الحجّ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يأخذ الحجّة من الرجل فيموت فلا يترك شيئا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أجزأت عن الميّت ، وإن كانت له عند اللّه حجّة أثبتت لصاحبه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إسحاق الصحيحة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يحجّ عن آخر فاجترح في حجّه شيئا يلزمه فيه الحجّ من قابل أو كفّارة؟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للأول تامّة ، وعلى هذا ما اجترح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ابتلي بشي‌ء يفسد عليه حجّه حتى يصير عليه الحجّ من قابل ، أيجزئ عن 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الأجير ضامن للحجّ؟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أعطاه رجل مالا يحجّ عنه فحجّ عن نفسه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عن صاحب المال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أبي علي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دفعت إلى ستّة أنفس مائة دينار وخمسين دينارا ليحجّوا بها ، فرجعوا ولم يشخص بعضهم ، وأتاني بعض وذكر أنّه قد أنفق بعض الدنانير وبقيت بقيّة وأنّه يردّ عليّ ما بقي ، وإنّي قد رمت مطالبة من لم يأتني بما دفعت إليه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تعرض لمن لم يأتك ولا تأخذ ممّن أتاك شيئا ممّا يأتيك به ، والأجر قد وقع على اللّه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ناطقة بأنّه يثبت الحجّ للمنوب عنه بعد الاستنابة مطلقا ، فأيّ حاجة إلى كون الأجير مقبول القول أو لا حتى تشترط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اشتراطها ، ولا كونه مظنون الصدق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المستنيب وصيّا أو وكيلا ودلّت القرائن على إرادة الموصي أو الموكّل لاستنابة العدل أو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استنابته ، كما مرّ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فقيها حال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عارفا بما يلزم عليه من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 لروايتي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ولتوقّف الإتيان بها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علم المستنيب بفقاهته ، أو عدم علمه بعدمها ، أو لا يشترط شي‌ء منهما؟ </w:t>
      </w:r>
    </w:p>
    <w:p>
      <w:pPr>
        <w:pStyle w:val="BookText"/>
        <w:rPr/>
      </w:pPr>
      <w:r>
        <w:rPr>
          <w:rFonts w:ascii="Amiri" w:hAnsi="Amiri" w:eastAsia="Amiri" w:cs="Amiri"/>
          <w:color w:val="111111"/>
          <w:sz w:val="28"/>
          <w:sz w:val="28"/>
          <w:szCs w:val="28"/>
          <w:rtl w:val="true"/>
          <w:lang w:bidi="ar-SA"/>
        </w:rPr>
        <w:t xml:space="preserve">مقتضى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فهو المعمول وإن لم نقل به في استئجار الصلاة ، لأنّ الصلاة واجبة على كلّ أحد ، ومقتضى معاملة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الحجج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الناس اكتفاؤهم في حقّهم في تكاليفهم بعدم العلم بالعدم ، وبناؤهم معهم على كونهم عالمين بأحكامهم ، وإن أمكن الخدش في الصلاة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معرفته هو العلم بما يجب عليه الإتيان به من أعمال الحجّ ، دون ما يمكن أن يحتاج إليه من مسائل الشكّ ، والسهو ، وقدر الكفّارات ، والأحكام المفروضة احتياجه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اللازم هو المعرفة حال كلّ فعل ، فلو لم يعلم الجميع مفصّلا أولا ولكن كان معه أصل يرجع إليه عند كلّ عمل كان كافيا ، ولو كان بتعليم مرشد عادل يحجّ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احتمله الشهيد في الدروس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العلم الإجمالي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أفهم حقيقته ، فإنّه إن أراد حال الإجازة أو قبل الأعمال فلا يشترط العلم مطلقا ، لا التفصيلي ولا الإجمالي ، وإن كان حال الفعل فلا معنى لكفاية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السير والإتيان بمناسك الحج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المنوب عنه أو عجزه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يجوز التبرّع بحجّ التطوّع لغيرهما كما يأتي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ذمّته من حجّ واجب عليه في عام النيابة بالأصالة أو بالاستئجار أو بالإفساد أو بغير ذلك ، فلو وجب عليه حجّ في ذلك العام لم يجز </w:t>
      </w:r>
    </w:p>
    <w:p>
      <w:pPr>
        <w:pStyle w:val="BookText"/>
        <w:rPr/>
      </w:pPr>
      <w:r>
        <w:rPr>
          <w:rFonts w:ascii="Amiri" w:hAnsi="Amiri" w:eastAsia="Amiri" w:cs="Amiri"/>
          <w:color w:val="111111"/>
          <w:sz w:val="28"/>
          <w:sz w:val="28"/>
          <w:szCs w:val="28"/>
          <w:rtl w:val="true"/>
          <w:lang w:bidi="ar-SA"/>
        </w:rPr>
        <w:t xml:space="preserve">له أن ينوب عن غيره بالإجماع ، للنهي عن الضدّ الموجب للفساد ، وللأخبار المستفيضة من الصحاح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الصرورة يحجّ عن الميّت؟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لم يجد الصرورة ما يحجّ به عن نفسه ، فإنّ كان له ما يحجّ به عن نفسه فليس يجزئ عنه حتى يحجّ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73"/>
      </w:r>
      <w:r>
        <w:rPr>
          <w:rFonts w:ascii="Amiri" w:hAnsi="Amiri" w:eastAsia="Amiri" w:cs="Amiri"/>
          <w:color w:val="111111"/>
          <w:sz w:val="28"/>
          <w:sz w:val="28"/>
          <w:szCs w:val="28"/>
          <w:rtl w:val="true"/>
          <w:lang w:bidi="ar-SA"/>
        </w:rPr>
        <w:t xml:space="preserve">، وغيرها من الأخبار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شغلت ذمّته بواجب موسّع أو مقيّد بالعام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أو استؤجر لأن يحجّ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له النيابة قبل عام الوجوب ،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استقرّ في ذمّته الحجّ في عام وعجز عن أدائه فيه ولو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كالمستقرّ من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له الاستنابة إذا تمكّن من الركوب حينئذ بمال الإجارة ، بشرط ضيق الوقت بحيث لا يحتمل تجدّد الاستطاعة ، لأنّ العجز يمنع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بعضهم </w:t>
      </w:r>
      <w:r>
        <w:rPr>
          <w:rStyle w:val="FootnoteAnchor"/>
          <w:rtl w:val="true"/>
        </w:rPr>
        <w:footnoteReference w:id="475"/>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صار نائبا في عام وتجدّدت بعد النيابة له الاستطاعة في ذلك العام تصحّ النيابة ويحجّ للنيابة ، لأنّ المانع الشرعي كالعقلي ، ويحجّ لنفسه في العام القابل بشرط بقاء الاستطاعة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تجوز النيابة لو لم يكن مستطيعا وعلم حصول الاستطاعة قبل المسافرة ، لعدم الوجوب قبل الحصول ، فتجوز له النيابة ، وبعدها لا يحصل </w:t>
      </w:r>
    </w:p>
    <w:p>
      <w:pPr>
        <w:pStyle w:val="BookText"/>
        <w:rPr/>
      </w:pPr>
      <w:r>
        <w:rPr>
          <w:rFonts w:ascii="Amiri" w:hAnsi="Amiri" w:eastAsia="Amiri" w:cs="Amiri"/>
          <w:color w:val="111111"/>
          <w:sz w:val="28"/>
          <w:sz w:val="28"/>
          <w:szCs w:val="28"/>
          <w:rtl w:val="true"/>
          <w:lang w:bidi="ar-SA"/>
        </w:rPr>
        <w:t>تمام الاستطاعة للمانع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أوصى أحد بولده نيابة الحجّ بنفسه لوالده أول عام وفاته ، ولم يكن للولد مال بنفسه ، ولكن يستطيع بالميراث بعد فوت أبيه ، يجوز له قبول الوصيّة ، وبعده لا يكون مستطيعا في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مال قبل فوت أبيه يجوز له قبول الوصيّة مقيّدا بحجّة لنفسه قبل فوت أبيه ، فلو لم يحجّ قبله لا يجوز له الحجّ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تمكّنه من الحجّ لنفسه قبل وفاة أبيه ، فقبل الوصيّة ، فلم يتمكّن أو مات أبوه في ذلك العام ، بطلت الوصيّة وعاد المال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المولى إن كان النائب عبدا ، فلا يصحّ بدون إذنه ، ووجهه واضح ، ومعه يصحّ بإجماعنا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النيابة عن الكافر ، للإجماع ،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ما قيل من أنّه يستحقّ في الآخرة العقاب دون الثواب ، وهو من لوازم صحّة الفعل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لمنع كون ثواب الآخرة من لوازم صحّة الفعل ، لجواز ترتّب الأجر الدنيوي كما ورد في كثير من الأفعال ، أو تخفيف عقاب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استحقاق الكافر لهما ممنوع ، كما ورد في بعض الموثقات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يحجّ فيجعل حجّته أو عمرته أو بعض أفعاله لبعض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ناصبا ينفعه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يخفّف عنه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ولمنع كون نيابة الحجّ استغفارا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الاستنابة أيضا سعيا من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أيضا عن المسلم الناصب إلاّ أن يكون أبا للنائب ، لمكاتبة ابن مهزيار </w:t>
      </w:r>
      <w:r>
        <w:rPr>
          <w:rStyle w:val="FootnoteAnchor"/>
          <w:rtl w:val="true"/>
        </w:rPr>
        <w:footnoteReference w:id="480"/>
      </w:r>
      <w:r>
        <w:rPr>
          <w:rFonts w:ascii="Amiri" w:hAnsi="Amiri" w:eastAsia="Amiri" w:cs="Amiri"/>
          <w:color w:val="111111"/>
          <w:sz w:val="28"/>
          <w:sz w:val="28"/>
          <w:szCs w:val="28"/>
          <w:rtl w:val="true"/>
          <w:lang w:bidi="ar-SA"/>
        </w:rPr>
        <w:t xml:space="preserve">وصحيحة ابن عبد ربّه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غير الناصب من المخالفين فتصحّ عنه على الأظهر ، وفاقا لجماعة </w:t>
      </w:r>
      <w:r>
        <w:rPr>
          <w:rStyle w:val="FootnoteAnchor"/>
          <w:rtl w:val="true"/>
        </w:rPr>
        <w:footnoteReference w:id="482"/>
      </w:r>
      <w:r>
        <w:rPr>
          <w:rFonts w:ascii="Amiri" w:hAnsi="Amiri" w:eastAsia="Amiri" w:cs="Amiri"/>
          <w:color w:val="111111"/>
          <w:sz w:val="28"/>
          <w:sz w:val="28"/>
          <w:szCs w:val="28"/>
          <w:rtl w:val="true"/>
          <w:lang w:bidi="ar-SA"/>
        </w:rPr>
        <w:t>، للأصل والإطلاقات ، إلاّ إذا استناب لفعل لا يجوز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جماعة </w:t>
      </w:r>
      <w:r>
        <w:rPr>
          <w:rStyle w:val="FootnoteAnchor"/>
          <w:rtl w:val="true"/>
        </w:rPr>
        <w:footnoteReference w:id="483"/>
      </w:r>
      <w:r>
        <w:rPr>
          <w:rFonts w:ascii="Amiri" w:hAnsi="Amiri" w:eastAsia="Amiri" w:cs="Amiri"/>
          <w:color w:val="111111"/>
          <w:sz w:val="28"/>
          <w:sz w:val="28"/>
          <w:szCs w:val="28"/>
          <w:rtl w:val="true"/>
          <w:lang w:bidi="ar-SA"/>
        </w:rPr>
        <w:t>مطلقا ، لعدم انتفاعه بشي‌ء من الأعمال ، واستحقاقه العقاب الدائم ، وكونه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عدم انتفاعه الأخروي ، فلعلّه يؤجر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يرد على الثاني أيضا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 ولكنّ المستند في عدم </w:t>
      </w:r>
    </w:p>
    <w:p>
      <w:pPr>
        <w:pStyle w:val="BookText"/>
        <w:rPr/>
      </w:pPr>
      <w:r>
        <w:rPr>
          <w:rFonts w:ascii="Amiri" w:hAnsi="Amiri" w:eastAsia="Amiri" w:cs="Amiri"/>
          <w:color w:val="111111"/>
          <w:sz w:val="28"/>
          <w:sz w:val="28"/>
          <w:szCs w:val="28"/>
          <w:rtl w:val="true"/>
          <w:lang w:bidi="ar-SA"/>
        </w:rPr>
        <w:t>الصحّة عنه الإجماع المنتفي في ذلك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نيّة النيابة وتعيين المنوب عنه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مقطوع به في كلامهم </w:t>
      </w:r>
      <w:r>
        <w:rPr>
          <w:rStyle w:val="FootnoteAnchor"/>
          <w:rtl w:val="true"/>
        </w:rPr>
        <w:footnoteReference w:id="484"/>
      </w:r>
      <w:r>
        <w:rPr>
          <w:rFonts w:ascii="Amiri" w:hAnsi="Amiri" w:eastAsia="Amiri" w:cs="Amiri"/>
          <w:color w:val="111111"/>
          <w:sz w:val="28"/>
          <w:sz w:val="28"/>
          <w:szCs w:val="28"/>
          <w:rtl w:val="true"/>
          <w:lang w:bidi="ar-SA"/>
        </w:rPr>
        <w:t xml:space="preserve">، ونسبه بعض شرّاح المفاتيح إلى المشهور المنبئ عن الخلاف ، واستدلّ له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 وأنّ لكلّ امرئ ما نوى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الأعمال التي تتحمّل الاشتراك ويمكن وقوعه على وجوه عديدة ، فلا بدّ فيه من قصد المميّز ، وأمّا ما لا يمكن وقوعه إلاّ على وجه واحد فلا يحتاج إلى مميّز ، كما مرّ مستوفى في بحيث النيّة من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يتّجه القول بعدم لزوم قصد النيابة ، لوقوع الفعل للمنوب عنه قهرا ولو قصد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أبي حمزة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مالا يحجّ عنه فحجّ عن نفسه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عن صاحب المال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ونحوها مرفوعة محمّد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 وقت النيابة موسّعا أو كان الحجّ للغير تبرّعا يجوز التخلّف ، فوقوعه عن النيابة يتوقّف على قصدها ، وعلى هذا وردت </w:t>
      </w:r>
    </w:p>
    <w:p>
      <w:pPr>
        <w:pStyle w:val="BookText"/>
        <w:rPr/>
      </w:pPr>
      <w:r>
        <w:rPr>
          <w:rFonts w:ascii="Amiri" w:hAnsi="Amiri" w:eastAsia="Amiri" w:cs="Amiri"/>
          <w:color w:val="111111"/>
          <w:sz w:val="28"/>
          <w:sz w:val="28"/>
          <w:szCs w:val="28"/>
          <w:rtl w:val="true"/>
          <w:lang w:bidi="ar-SA"/>
        </w:rPr>
        <w:t xml:space="preserve">الروايات المفيدة لقصد الحجّ عن شخص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المنوب عنه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ينوب عن اثنين في عامين بدون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المنوب عنه أيضا ، ولا يجب تسمية المنوب عنه باللفظ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يستحبّ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نيابة كلّ من الرجل والمرأة عن الآخر ، بالإجماع مطلقا في الأول ، وفي غير الصرورة من الثاني ، للمستفيضة من الأخبار الصحيحة وغيرها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والروايتان المنافيتان </w:t>
      </w:r>
      <w:r>
        <w:rPr>
          <w:rStyle w:val="FootnoteAnchor"/>
          <w:rtl w:val="true"/>
        </w:rPr>
        <w:footnoteReference w:id="490"/>
      </w:r>
      <w:r>
        <w:rPr>
          <w:rFonts w:ascii="Amiri" w:hAnsi="Amiri" w:eastAsia="Amiri" w:cs="Amiri"/>
          <w:color w:val="111111"/>
          <w:sz w:val="28"/>
          <w:sz w:val="28"/>
          <w:szCs w:val="28"/>
          <w:rtl w:val="true"/>
          <w:lang w:bidi="ar-SA"/>
        </w:rPr>
        <w:t xml:space="preserve">بظاهرهما لذلك الحكم شاذّتان مطروحتان ، مع أنّهما في الحقيقة غير منافيتين ، لعمومهما بالنسبة إلى الصرورة الذي له مال والذي لا مال له ، واختصاص المجوّزات بمن لا مال له ، فيجب التخصيص ، مع أنّ مدلول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حجّة عن حجّتين ، لا عدم إجزاء حجّ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الحقّ المشهور في الصرورة منه أيضا ، للمستفيضة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الأخبار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لعدم حجّ المرأة الصرورة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ناهض لإثبات الزائد عن الكراهة ، بل في بعضها دلالة عليها دلالة واضحة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النائب قبل إتمام المناسك ، فإن كان قبل الإحرام لم يجزئ عنه إجماعا ، للأصل ، والإجماع ، وبه تخصّص الأخبار </w:t>
      </w:r>
    </w:p>
    <w:p>
      <w:pPr>
        <w:pStyle w:val="BookText"/>
        <w:rPr/>
      </w:pPr>
      <w:r>
        <w:rPr>
          <w:rFonts w:ascii="Amiri" w:hAnsi="Amiri" w:eastAsia="Amiri" w:cs="Amiri"/>
          <w:color w:val="111111"/>
          <w:sz w:val="28"/>
          <w:sz w:val="28"/>
          <w:szCs w:val="28"/>
          <w:rtl w:val="true"/>
          <w:lang w:bidi="ar-SA"/>
        </w:rPr>
        <w:t>الآتية المصرّحة بالإجزاء مع الموت في الطريق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 الإحرام ودخول الحرم أجزأ حجّة عمّن حجّ عنه وبرئت ذمّته عن فرضه ، ولا حاجة إلى الاستنابة له ثانيا ، بلا خلاف يوجد ، بل بلا خلاف على الظاهر المصرّح به في التنقيح والمفاتيح وشرحه والحدائق </w:t>
      </w:r>
      <w:r>
        <w:rPr>
          <w:rStyle w:val="FootnoteAnchor"/>
          <w:rtl w:val="true"/>
        </w:rPr>
        <w:footnoteReference w:id="492"/>
      </w:r>
      <w:r>
        <w:rPr>
          <w:rFonts w:ascii="Amiri" w:hAnsi="Amiri" w:eastAsia="Amiri" w:cs="Amiri"/>
          <w:color w:val="111111"/>
          <w:sz w:val="28"/>
          <w:sz w:val="28"/>
          <w:szCs w:val="28"/>
          <w:rtl w:val="true"/>
          <w:lang w:bidi="ar-SA"/>
        </w:rPr>
        <w:t xml:space="preserve">، بل الوفاق كما في الذخيرة </w:t>
      </w:r>
      <w:r>
        <w:rPr>
          <w:rStyle w:val="FootnoteAnchor"/>
          <w:rtl w:val="true"/>
        </w:rPr>
        <w:footnoteReference w:id="493"/>
      </w:r>
      <w:r>
        <w:rPr>
          <w:rFonts w:ascii="Amiri" w:hAnsi="Amiri" w:eastAsia="Amiri" w:cs="Amiri"/>
          <w:color w:val="111111"/>
          <w:sz w:val="28"/>
          <w:sz w:val="28"/>
          <w:szCs w:val="28"/>
          <w:rtl w:val="true"/>
          <w:lang w:bidi="ar-SA"/>
        </w:rPr>
        <w:t xml:space="preserve">، بل بالإجماع كما في المسالك والمنتهى </w:t>
      </w:r>
      <w:r>
        <w:rPr>
          <w:rStyle w:val="FootnoteAnchor"/>
          <w:rtl w:val="true"/>
        </w:rPr>
        <w:footnoteReference w:id="494"/>
      </w:r>
      <w:r>
        <w:rPr>
          <w:rFonts w:ascii="Amiri" w:hAnsi="Amiri" w:eastAsia="Amiri" w:cs="Amiri"/>
          <w:color w:val="111111"/>
          <w:sz w:val="28"/>
          <w:sz w:val="28"/>
          <w:szCs w:val="28"/>
          <w:rtl w:val="true"/>
          <w:lang w:bidi="ar-SA"/>
        </w:rPr>
        <w:t xml:space="preserve">وجماعة </w:t>
      </w:r>
      <w:r>
        <w:rPr>
          <w:rStyle w:val="FootnoteAnchor"/>
          <w:rtl w:val="true"/>
        </w:rPr>
        <w:footnoteReference w:id="495"/>
      </w:r>
      <w:r>
        <w:rPr>
          <w:rFonts w:ascii="IRNazanin" w:hAnsi="IRNazanin" w:eastAsia="IRNazanin"/>
          <w:color w:val="111111"/>
          <w:sz w:val="28"/>
          <w:sz w:val="28"/>
          <w:szCs w:val="28"/>
          <w:rtl w:val="true"/>
          <w:lang w:bidi="fa-IR"/>
        </w:rPr>
        <w:t>، بل بالإجماع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للإجماع المنقول ، أو ثبوته في المنوب عنه بالإجماع ، أو صحيحتي ضريس </w:t>
      </w:r>
      <w:r>
        <w:rPr>
          <w:rStyle w:val="FootnoteAnchor"/>
          <w:rtl w:val="true"/>
        </w:rPr>
        <w:footnoteReference w:id="496"/>
      </w:r>
      <w:r>
        <w:rPr>
          <w:rFonts w:ascii="Amiri" w:hAnsi="Amiri" w:eastAsia="Amiri" w:cs="Amiri"/>
          <w:color w:val="111111"/>
          <w:sz w:val="28"/>
          <w:sz w:val="28"/>
          <w:szCs w:val="28"/>
          <w:rtl w:val="true"/>
          <w:lang w:bidi="ar-SA"/>
        </w:rPr>
        <w:t xml:space="preserve">والعجلي </w:t>
      </w:r>
      <w:r>
        <w:rPr>
          <w:rStyle w:val="FootnoteAnchor"/>
          <w:rtl w:val="true"/>
        </w:rPr>
        <w:footnoteReference w:id="497"/>
      </w:r>
      <w:r>
        <w:rPr>
          <w:rFonts w:ascii="Amiri" w:hAnsi="Amiri" w:eastAsia="Amiri" w:cs="Amiri"/>
          <w:color w:val="111111"/>
          <w:sz w:val="28"/>
          <w:sz w:val="28"/>
          <w:szCs w:val="28"/>
          <w:rtl w:val="true"/>
          <w:lang w:bidi="ar-SA"/>
        </w:rPr>
        <w:t>المتقدّمتين في مسألة موت الحاجّ لنفسه ، لعدم حجّية الأول ، وكون الثانيين قياسا ، وعدم ثبوت الإجماع المركّب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للإجماع المحقّق ، وموثّقة إسحاق الصحيحة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فيوصي بحجّة ، فيعطي رجل دراهم يحجّ بها عنه ، فيموت قبل أن يحجّ ، ثم أعطى الدراهم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في الطريق أو بمكّة قبل أن يقضي مناسكه فإنّه يجزئ عن الأول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الحسين بن عثمان الصحيحة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ما يحجّه ، فحدث بالرجل حدث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خرج فأصابه في بعض الطريق فقد أجزأت عن الأول وإلاّ فلا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دلّت على الإجزاء في الطريق مطلقا ، خرج عنها قبل الإحرام بالإجماع ،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تخصيص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حال بلد السؤال الذي هو المدينة ، فإنّ محلّ الإحرام فيها قريبة منها معدودة من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لم يصل إلى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المنزل عرفا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وجودها في الأصول المعتبرة وصحّتها عمّن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تعارضها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حجّ عن آخر ومات في الطريق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أجره على اللّه ولكن يوصي ، فإن قدر على رجل يركب في رحله ويأكل زاده فعل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صراحتها في الوصيّة بالحجّ للمنوب عنه أولا ، بل يحتمل أن يراد الوصيّة بما بقي من الأجرة ليستعاد ، كما هو أحد القولين كما يأتي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على الاستحباب ، ولعدم صراحتها في </w:t>
      </w:r>
    </w:p>
    <w:p>
      <w:pPr>
        <w:pStyle w:val="BookText"/>
        <w:rPr/>
      </w:pPr>
      <w:r>
        <w:rPr>
          <w:rFonts w:ascii="Amiri" w:hAnsi="Amiri" w:eastAsia="Amiri" w:cs="Amiri"/>
          <w:color w:val="111111"/>
          <w:sz w:val="28"/>
          <w:sz w:val="28"/>
          <w:szCs w:val="28"/>
          <w:rtl w:val="true"/>
          <w:lang w:bidi="ar-SA"/>
        </w:rPr>
        <w:t>الوجوب ثانيا ، فلعلّه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مات بعد الإحرام وقبل دخول الحرم أجزأ أيضا على الأظهر ، وفاقا للشيخ في المبسوط والخلاف </w:t>
      </w:r>
      <w:r>
        <w:rPr>
          <w:rStyle w:val="FootnoteAnchor"/>
          <w:rtl w:val="true"/>
        </w:rPr>
        <w:footnoteReference w:id="502"/>
      </w:r>
      <w:r>
        <w:rPr>
          <w:rFonts w:ascii="Amiri" w:hAnsi="Amiri" w:eastAsia="Amiri" w:cs="Amiri"/>
          <w:color w:val="111111"/>
          <w:sz w:val="28"/>
          <w:sz w:val="28"/>
          <w:szCs w:val="28"/>
          <w:rtl w:val="true"/>
          <w:lang w:bidi="ar-SA"/>
        </w:rPr>
        <w:t xml:space="preserve">والحلّي في السرائر </w:t>
      </w:r>
      <w:r>
        <w:rPr>
          <w:rStyle w:val="FootnoteAnchor"/>
          <w:rtl w:val="true"/>
        </w:rPr>
        <w:footnoteReference w:id="503"/>
      </w:r>
      <w:r>
        <w:rPr>
          <w:rFonts w:ascii="Amiri" w:hAnsi="Amiri" w:eastAsia="Amiri" w:cs="Amiri"/>
          <w:color w:val="111111"/>
          <w:sz w:val="28"/>
          <w:sz w:val="28"/>
          <w:szCs w:val="28"/>
          <w:rtl w:val="true"/>
          <w:lang w:bidi="ar-SA"/>
        </w:rPr>
        <w:t xml:space="preserve">، بل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لا يختلفون في ذلك ، للأخبار المذكورة </w:t>
      </w:r>
      <w:r>
        <w:rPr>
          <w:rStyle w:val="FootnoteAnchor"/>
          <w:rtl w:val="true"/>
        </w:rPr>
        <w:footnoteReference w:id="504"/>
      </w:r>
      <w:r>
        <w:rPr>
          <w:rFonts w:ascii="Amiri" w:hAnsi="Amiri" w:eastAsia="Amiri" w:cs="Amiri"/>
          <w:color w:val="111111"/>
          <w:sz w:val="28"/>
          <w:sz w:val="28"/>
          <w:szCs w:val="28"/>
          <w:rtl w:val="true"/>
          <w:lang w:bidi="ar-SA"/>
        </w:rPr>
        <w:t>بالتقريب المذكور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النائب ، فإمّا يكون قبل العمل المبرئ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الإحرام أو مع دخول الحرم 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يكون قبل الإتيان بجميع المناسك أو بعده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قبل الشروع في العود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الاستئجار لأفعال الحجّ أو الحجّ </w:t>
      </w:r>
      <w:r>
        <w:rPr>
          <w:rStyle w:val="FootnoteAnchor"/>
          <w:rtl w:val="true"/>
        </w:rPr>
        <w:footnoteReference w:id="505"/>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 على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من الأجرة شيئا واستعيد الجميع لو أخذها قولا واحدا ، والوجه واضح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للحجّ مطلقا من غير تنصيص بالخصوصيّة فكذلك على الأظهر الأشهر ، وفاقا للإصباح والمبسوط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إيّاه مقتضى أصول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والمختلف والتذكرة والمسالك والروضة والمدارك والذخيرة </w:t>
      </w:r>
      <w:r>
        <w:rPr>
          <w:rStyle w:val="FootnoteAnchor"/>
          <w:rtl w:val="true"/>
        </w:rPr>
        <w:footnoteReference w:id="506"/>
      </w:r>
      <w:r>
        <w:rPr>
          <w:rFonts w:ascii="Amiri" w:hAnsi="Amiri" w:eastAsia="Amiri" w:cs="Amiri"/>
          <w:color w:val="111111"/>
          <w:sz w:val="28"/>
          <w:sz w:val="28"/>
          <w:szCs w:val="28"/>
          <w:rtl w:val="true"/>
          <w:lang w:bidi="ar-SA"/>
        </w:rPr>
        <w:t xml:space="preserve">، وغيرهم من المتأخّرين </w:t>
      </w:r>
      <w:r>
        <w:rPr>
          <w:rStyle w:val="FootnoteAnchor"/>
          <w:rtl w:val="true"/>
        </w:rPr>
        <w:footnoteReference w:id="507"/>
      </w:r>
      <w:r>
        <w:rPr>
          <w:rFonts w:ascii="Amiri" w:hAnsi="Amiri" w:eastAsia="Amiri" w:cs="Amiri"/>
          <w:color w:val="111111"/>
          <w:sz w:val="28"/>
          <w:sz w:val="28"/>
          <w:szCs w:val="28"/>
          <w:rtl w:val="true"/>
          <w:lang w:bidi="ar-SA"/>
        </w:rPr>
        <w:t xml:space="preserve">، لأنّ الحجّ اسم للأفعال </w:t>
      </w:r>
    </w:p>
    <w:p>
      <w:pPr>
        <w:pStyle w:val="BookText"/>
        <w:rPr/>
      </w:pPr>
      <w:r>
        <w:rPr>
          <w:rFonts w:ascii="Amiri" w:hAnsi="Amiri" w:eastAsia="Amiri" w:cs="Amiri"/>
          <w:color w:val="111111"/>
          <w:sz w:val="28"/>
          <w:sz w:val="28"/>
          <w:szCs w:val="28"/>
          <w:rtl w:val="true"/>
          <w:lang w:bidi="ar-SA"/>
        </w:rPr>
        <w:t>المخصوصة ، ومفهومه لا يتناول غيره أصلا ، ولم يأت الأجير بشي‌ء ممّا تعلّقت الإجارة به وإن أتى بمقدّماته ، ووجه الأجرة إنّما يوزّع على أجزاء الفعل المستأجر عليه ، والمقدّمات خارجة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النهاية والكافي والمقنعة والمهذّب والغنية </w:t>
      </w:r>
      <w:r>
        <w:rPr>
          <w:rStyle w:val="FootnoteAnchor"/>
          <w:rtl w:val="true"/>
        </w:rPr>
        <w:footnoteReference w:id="508"/>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يستحقّ مع الإطلاق بنسبة ما فعل من الذهاب إلى المجموع منه ومن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والقواعد والإرشاد </w:t>
      </w:r>
      <w:r>
        <w:rPr>
          <w:rStyle w:val="FootnoteAnchor"/>
          <w:rtl w:val="true"/>
        </w:rPr>
        <w:footnoteReference w:id="509"/>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فبنسبته إلى ما ذكر مع العود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ممّا ذكر ، سيّما بالنسبة إلى العود الذي لا مدخل له في الحقيقة ولا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 إطلاقهم على ما إذا شهدت قرائن العرف والعادة بدخول قطع المسافة في الإجارة وإن لم يذكر في صيغتها ، فيكون اللفظ متناولا لها بالالتزام ، ولهذا يعطى الأجير من الأجرة الكثيرة ما لا يعطى من يحجّ من الميقات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بدخول قطع المسافة في الإجارة كونه مرادا من لفظ الحجّ مجازا حتى يكون اللفظ مستعملا فيه وفي الأفعال ، فتصحّ النسبة حينئذ ، ولكن يكون مذكورا في الصيغة ، لأنّ المجاز مع القرينة كالحقيقة في كونه مذكورا ، ولا معنى لتناول اللفظ حينئذ بالالتزام أيضا ، بل يكون مستعملا فيه ، ومع ذلك تنزيل الإطلاق عليه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إعطاء </w:t>
      </w:r>
    </w:p>
    <w:p>
      <w:pPr>
        <w:pStyle w:val="BookText"/>
        <w:rPr/>
      </w:pPr>
      <w:r>
        <w:rPr>
          <w:rFonts w:ascii="Amiri" w:hAnsi="Amiri" w:eastAsia="Amiri" w:cs="Amiri"/>
          <w:color w:val="111111"/>
          <w:sz w:val="28"/>
          <w:sz w:val="28"/>
          <w:szCs w:val="28"/>
          <w:rtl w:val="true"/>
          <w:lang w:bidi="ar-SA"/>
        </w:rPr>
        <w:t>الأجرة الكثيرة قرينة عليه فاسد ، لعدم دلالته على التجوّز في لفظ الحجّ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لكون الحجّ المحتاج إلى المقدمات الصعبة والمئونة الكثيرة أشقّ يعطى الأجرة عليه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إرادة الإتيان به للتوصّل إلى المعنى الحقيقي للحجّ فهو كذلك ، ولكن كلّما كان بين الأجير والميقات مسافة يراد قطعها ، ولا معنى للتخصيص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 ولا تنزيل الإطلاق ، ومع ذلك لا يكون داخلا فيما استؤجر له لا صريحا ولا التزاما ، فإنّ كلّ من يستأجر بنّاء لبناء داره يريد خروجه من بيته ومجيئه إلى موضع العمل ، وليس ذلك ممّا استؤجر له قطعا لا عرفا ولا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فإن كان مراده من تناول اللفظ لها بالالتزام استلزامه لإرادة المستأجر الإتيان به فمسلّم ، ولكن لا يدخل بذلك فيما استؤجر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استلزام الإجارة للحجّ للإجارة لقطع المسافة فممنوع ، ولذا لو آجر نفسه لأحد لأن يحجّ عنه في العام القابل بالإطلاق ، ثم آجر نفسه لآخر لأن يقطع المسافة ويحجّ عنه في العام الحاضر ، فقطعها له ومكث في مكّة إلى القابل وحجّ عن الأول ،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الإجارة للحجّ ينصرف إلى مجرّد الأفعال ، إلاّ أن تكون قرينة على وقوع الإجارة على قطع المسافة أيضا ، فيكون من القسم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الاستئجار على الحجّ وعلى الذهاب أو عليهما وعلى العود أيضا استحقّ منها بنسبة ما قطع من المسافة إلى ما بقي من المستأجر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يستحقّ الجميع ولا يستعاد منه شي‌ء ، </w:t>
      </w:r>
    </w:p>
    <w:p>
      <w:pPr>
        <w:pStyle w:val="BookText"/>
        <w:rPr/>
      </w:pP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عندنا </w:t>
      </w:r>
      <w:r>
        <w:rPr>
          <w:rStyle w:val="FootnoteAnchor"/>
          <w:rtl w:val="true"/>
        </w:rPr>
        <w:footnoteReference w:id="511"/>
      </w:r>
      <w:r>
        <w:rPr>
          <w:rFonts w:ascii="Amiri" w:hAnsi="Amiri" w:eastAsia="Amiri" w:cs="Amiri"/>
          <w:color w:val="111111"/>
          <w:sz w:val="28"/>
          <w:sz w:val="28"/>
          <w:szCs w:val="28"/>
          <w:rtl w:val="true"/>
          <w:lang w:bidi="ar-SA"/>
        </w:rPr>
        <w:t xml:space="preserve">،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أصحابنا عليه ، لأنّه قد فعل ما أبرأ ذمّة المنوب عنه ، فكان كما لو أكمل الحجّ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إذا تعلّق الاستئجار بالحجّ المبرئ للذمّة ، أمّا لو تعلّق بالمعهود أو الأفعال المخصوصة لا وجه لاستحقاقه لجميع الأجرة وإن كان ما أتى به مبرئا للذمّة ، لعدم الإتيان بالفعل المستأجر عليه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واستحسنه في الذخيرة </w:t>
      </w:r>
      <w:r>
        <w:rPr>
          <w:rStyle w:val="FootnoteAnchor"/>
          <w:rtl w:val="true"/>
        </w:rPr>
        <w:footnoteReference w:id="514"/>
      </w:r>
      <w:r>
        <w:rPr>
          <w:rFonts w:ascii="Amiri" w:hAnsi="Amiri" w:eastAsia="Amiri" w:cs="Amiri"/>
          <w:color w:val="111111"/>
          <w:sz w:val="28"/>
          <w:sz w:val="28"/>
          <w:szCs w:val="28"/>
          <w:rtl w:val="true"/>
          <w:lang w:bidi="ar-SA"/>
        </w:rPr>
        <w:t>، وكذا بعض آخر إن لم يثبت نصّ أو إجماع على استحقاق الجميع ، وإذ لم يثبت عندنا والمنقول منه ليس بحجّة فالأظهر أنّه كالأول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مع الاستئجار للحجّ مخصوصا أو مطلقا يستحقّ من الأجرة بنسبة ما أتى به من أفعاله إلى جميعها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إطلاق الحجّ أو التخصيص به أو ضمّ الذهاب أيضا يستحقّ الجميع ولا يستعاد منه شي‌ء ، ولو ضمّ العود أيضا فبنسبة الذهاب والأفعال إلى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فكالثالث ، إلاّ أنّه يدخل في ما فعل ما أتى به من العود أيضا ، والدليل على كلّ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النسبة والاستعادة بحسبها فيما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 وأنّ الأجير إنّما يستحقّ بقدر ما فعل من الفعل المستأجر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عقد الإجارة تملّك الأجير لمال الإجارة بمجرّد </w:t>
      </w:r>
      <w:bookmarkStart w:id="81" w:name="pg11651_107728"/>
    </w:p>
    <w:p>
      <w:pPr>
        <w:pStyle w:val="BookText"/>
        <w:rPr/>
      </w:pPr>
      <w:bookmarkEnd w:id="81"/>
      <w:r>
        <w:rPr>
          <w:rFonts w:ascii="Amiri" w:hAnsi="Amiri" w:eastAsia="Amiri" w:cs="Amiri"/>
          <w:color w:val="111111"/>
          <w:sz w:val="28"/>
          <w:sz w:val="28"/>
          <w:szCs w:val="28"/>
          <w:rtl w:val="true"/>
          <w:lang w:bidi="ar-SA"/>
        </w:rPr>
        <w:t xml:space="preserve">العقد ، وصرّح به في موثّقة الساباطي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الحجّة فالدراهم له يصنع بها ما أحبّ وعليه حجّة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فالاستعادة مخالفة للأصل ، يجب الاقتصار فيها على موضع الإجماع في جميع ما ذكر ، ومنه ما إذا أحرم أو دخل الحرم ، فيجب عدم استرداد شي‌ء ، لأنّه موضع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هنا الإجماع الواقع على أنّ الأجير لا يستحقّ ما لم يفعله من المستأجر له ، وهذا الإجماع مسلّم ، وعليه بناء الاستدلال ، ولا حاجة إليه في كلّ جزئيّ جزئي ، ولذا لا يحسبون الذهاب في صورة الإطلاق</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6171968_73709187"/>
      <w:bookmarkStart w:id="83" w:name="_Toc31"/>
      <w:bookmarkEnd w:id="82"/>
      <w:r>
        <w:rPr>
          <w:rtl w:val="true"/>
        </w:rPr>
        <w:t xml:space="preserve">فرعان </w:t>
      </w:r>
      <w:r>
        <w:rPr>
          <w:rtl w:val="true"/>
        </w:rPr>
        <w:t>:</w:t>
      </w:r>
      <w:bookmarkEnd w:id="8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كيفية الاستئجار من الإطلاق والتقييد ، فالظاهر العمل بأصالة عدم التقييد وجعل المستأجر له الحجّ مطلقا ، وبه يخرج عن أصل عدم التسلّط على استعادة الزائد عن القدر المتيقّن ، لكون الأول مزيلا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ادّعى ورثة الأجير دخول الذهاب أيضا وأنكره المستأجر يكون عليهم الإثبات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الاستعادة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يستعلم إجارة كلّ فعل فعل بخصوصه عن أهل العرف وينسب إلى مجموع مال الإجارة ، فيستعلم أجرة من ذهب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مدينة أو الميقات وأجرة من حجّ من الميقات وأجرة من عاد من مكّة إلى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كلّ إلى مجموع </w:t>
      </w:r>
    </w:p>
    <w:p>
      <w:pPr>
        <w:pStyle w:val="BookText"/>
        <w:rPr/>
      </w:pPr>
      <w:r>
        <w:rPr>
          <w:rFonts w:ascii="Amiri" w:hAnsi="Amiri" w:eastAsia="Amiri" w:cs="Amiri"/>
          <w:color w:val="111111"/>
          <w:sz w:val="28"/>
          <w:sz w:val="28"/>
          <w:szCs w:val="28"/>
          <w:rtl w:val="true"/>
          <w:lang w:bidi="ar-SA"/>
        </w:rPr>
        <w:t>مال الإجارة ويعمل فيه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يلاحظ في أجرة الذهاب والعود أنّ المقصود والأهمّ هو الحجّ حتى لا يقابلهما إلاّ أقلّ قليل ، بل الملحوظ نفس قطع المسافة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شغل من العراق إلى المدينة أو من المدينة إلى العراق فبكم يستأجر؟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أنّه يعتبر في صحّة الإجارة تعيين النوع الذي يريده المستأجر ولو بالقرائن الحاليّة ، لاختلافها في الكيفيّة والأحكام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بظاهره ينافي ما ذكروه في مسألة جواز العدول إلى التمتّع من أنّه إذا علم أنّ قصد المستأجر التخيير ، وقد ذكره هو أيضا بعد ذلك بقليل من تخصيص الحكم بجواز العدول من الإفراد إلى التمتّع بما إذا كان المستأجر مخيّرا بين الأنواع ، فإنّ مقتضى ذلك جواز التخيير وصحّة الإجارة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تقع تارة على منافع الشخص في الزمان المعيّن وإن كان مراد المستأجر استيفاء نفع خاصّ منه ، وأخرى على العمل إمّا في زمان معيّن أو مطلقا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على الطريق الأول يتحمّل التخيير ، فيستأجر الشخص في سنة معيّنة مطلقا لأن يحجّ بما يأمره أو بما يشاء الأجير ، فالمنتقل إلى المستأجر منفعة الشخص ، وله أن يخيّره في كيفيّة إيجاد المنفعة ، ومن هذا القبيل إجارة الشخص لمعونة السفر أو الخدمة ، مع أنّ أنواعهما غير 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وقعت على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يستأجره للحجّ خاصّة ، أي تنتقل إليه هذه المنفعة منه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اشتراط التعيين ، لاختلاف العمل والكيفيّة وزمان كلّ منهما ، فلا يتحمّل التخيير ، للزوم تعيين المنتقل إليه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وقعت الإجارة على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منافعه وإن كان ذلك لأجل العمل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تعيين النوع ، وإن وقعت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الشخص لأجل العمل ، أي على منفعة مخصوصة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التعيين ، لعدم جواز نقل منفعة غير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إجارة الشخص لمعونة السفر أو للتجارة أو للمسافرة بأمره أو للخدمة ، فإنّها تصحّ مع عدم تعيين نوع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إجارته لسفر غير معيّن أو خدمة غير معيّنة ، فإنّها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الإجارة على العمل المعيّن لا يجوز العدول عنه إلى غيره ، بلا خلاف إذا كان الغير مرجوحا ، لقاعدة الإجارة السالمة عن المعارض بالمرّة ، ولو كان راجحا ففيه خلاف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العدول مع تعيين المرجوح على المستأجر والاستئجار له أو احتمال تعلّق غرض له بفعل المرجوح ، للقاعدة ، ولرواية عليّ المتضمّنة للسرّاد 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رجلا دراهم يحجّ بها حجّة مفردة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يتمتّع بالعمرة إلى الحجّ ، لا يخالف صاحب الدراهم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تنافيهما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حجّة مفردة ، فيجوز له أن يتمتّع بالعمرة إلى 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خالف إلى الفضل والخيرة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للمنوب عنه لا مطلقا ، ولا شكّ أنّه مخصوص بما إذا لم يستأجر لما تعيّن عليه من المرجوح ، وإلاّ لم يكن فضلا له ، بل يكون حراما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سياق التعليل مفهم لكون الفضيلة موجبة لرضا المستأجر ولو احتمل تعلّق غرض له بفعل المرجوح لا يعلم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وجوازه في غير الصورتين ، للصحيحة المذكورة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التعليل بالتقريب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 من الرواية المتقدّمة ، فتخصّص بها وبشهادة الحال برضا المستأجر وإذنه في العدول ، وأنّ ما ذكر في العقد للرخصة إلى الأدنى ، ولا شكّ أنّ مع علمه بالإذن في العدول يجوز له ذلك ، لأنّه أمر منوط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عدل إلى غيره ، ففي صورة عدم الجواز يقع العمل للمنوب عنه لقصد النيابة ، ولا يستحقّ الأجير شيئا من الأجرة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الجواز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تمام الأجرة ، إذ يكون العدول حينئذ معلوما من قصده ، فكان كالمنطوق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نظر ، إذ جواز العدول لا يستلزم استحقاق الأجرة ، وذلك لأنّ من الأمور ما يكفي فيه العلم برضا المالك ولو بشاهد الحال ، كالتصرّف في ملكه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لا يكفي فيه ذلك ، بل يتوقّف على ثبوت التوقيف من </w:t>
      </w:r>
    </w:p>
    <w:p>
      <w:pPr>
        <w:pStyle w:val="BookText"/>
        <w:rPr/>
      </w:pPr>
      <w:r>
        <w:rPr>
          <w:rFonts w:ascii="Amiri" w:hAnsi="Amiri" w:eastAsia="Amiri" w:cs="Amiri"/>
          <w:color w:val="111111"/>
          <w:sz w:val="28"/>
          <w:sz w:val="28"/>
          <w:szCs w:val="28"/>
          <w:rtl w:val="true"/>
          <w:lang w:bidi="ar-SA"/>
        </w:rPr>
        <w:t>الشرع ، كبيع ماله بعنوان اللزوم ، فإنّ من اشترى متاعا بعشرة للتجارة وعلم غاية رضاه ببيعه بخمسة عشر فباعه أحد بعشرين لم يرتكب محرّما ، إلاّ أنّه لا يلزم البيع ، لتوقّفه على بيع المالك أو وليّه أو وكيله المصرّح بتوكيله أو إجازته بعد الفضولي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العدول من الأول ، واستحقاق الأجرة من الثاني ، إذ لم يثبت من جواز الإتيان بعمل لشخص استحقاق الأجرة عليه ، بل هو يتوقّف على ذكر العمل في متن العقد ، ولا يكفي مجرّد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دلّت قرينة على أنّ المراد من المرجوح الأعمّ منه ومن الراجح مجازا يكون في 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للحجّ من طريق معيّن ، ففي جواز العدول عنه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والقاضي والحلّي والجامع والإرشاد </w:t>
      </w:r>
      <w:r>
        <w:rPr>
          <w:rStyle w:val="FootnoteAnchor"/>
          <w:rtl w:val="true"/>
        </w:rPr>
        <w:footnoteReference w:id="520"/>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مع العلم بتعلّق غرض بذلك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w:t>
      </w:r>
      <w:r>
        <w:rPr>
          <w:rStyle w:val="FootnoteAnchor"/>
          <w:rtl w:val="true"/>
        </w:rPr>
        <w:footnoteReference w:id="521"/>
      </w:r>
      <w:r>
        <w:rPr>
          <w:rFonts w:ascii="Amiri" w:hAnsi="Amiri" w:eastAsia="Amiri" w:cs="Amiri"/>
          <w:color w:val="111111"/>
          <w:sz w:val="28"/>
          <w:sz w:val="28"/>
          <w:szCs w:val="28"/>
          <w:rtl w:val="true"/>
          <w:lang w:bidi="ar-SA"/>
        </w:rPr>
        <w:t xml:space="preserve">، بل أكثر المتأخرين كما قيل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جوازه إلاّ مع العلم بانتفاء الغرض في ذلك الطريق ، كبعضهم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للقاعدة المتقدّمة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رجلا حجّة يحجّ عنه من الكوفة فحجّ عنه من البصرة؟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قضى جميع مناسكه فقد تمّ حجّه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دليل الثاني أيضا بتقيد الصحيحة بالقيد المذكور ، لظهورها في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بإجمال دلالتها وقصورها عن إفادة الجواز مطلقا ، إمّا لاحتمال تعلّق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السؤال لتجويز الإعطاء من الكوفة موجبا لتوهّم وجوب الحجّ منه ، كما في الذخيرة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كونه 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المدارك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وقوع الشرط خارج العقد وعدم الاعتبار بمثله عند الفقهاء ، كما ذكره السيّد نعمة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 الدفع على وجه الرزق لا الإجارة ، كما في المنتقى </w:t>
      </w:r>
      <w:r>
        <w:rPr>
          <w:rStyle w:val="FootnoteAnchor"/>
          <w:rtl w:val="true"/>
        </w:rPr>
        <w:footnoteReference w:id="527"/>
      </w:r>
      <w:r>
        <w:rPr>
          <w:rFonts w:ascii="Amiri" w:hAnsi="Amiri" w:eastAsia="Amiri" w:cs="Amiri"/>
          <w:color w:val="111111"/>
          <w:sz w:val="28"/>
          <w:sz w:val="28"/>
          <w:szCs w:val="28"/>
          <w:rtl w:val="true"/>
          <w:lang w:bidi="ar-SA"/>
        </w:rPr>
        <w:t>، وهو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 المراد حصول الإجزاء بذلك ، ونفي البأس عنه للمستأجر بعد وقوع الفعل ، لا جواز ذلك للأجير ، كما في الذخيرة </w:t>
      </w:r>
      <w:r>
        <w:rPr>
          <w:rStyle w:val="FootnoteAnchor"/>
          <w:rtl w:val="true"/>
        </w:rPr>
        <w:footnoteReference w:id="5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الأول والأخيرين بعيدا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خالف الشرط وحجّ من الغير يصحّ حجّه وإن تعلّق الغرض بالطريق المعيّن ، لأنّه بعض العمل المستأجر عليه وقد امتثل بفعله ، والأصل عدم ارتباطه بالطريق ، إلاّ أن يصرّح بالارتباط والاشتراط فلم تبرأ ذمّة النائب عن الحجّ أيضا ، وأمّا الأجرة فالظاهر توزيعها على الحجّ والطريق المشترك مع الطريق المخالف فيه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الارتباط لا يستحقّ شيئا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لحجّ التمتّع وسافر الأجير وضاق وقته عن التمتّع ، فهل يجوز له العدول إلى الإفراد للمنوب عنه ويجزئ عنه كما يجوز ويجزئ للحاجّ لنفسه ، أم لا؟</w:t>
      </w:r>
    </w:p>
    <w:p>
      <w:pPr>
        <w:pStyle w:val="BookText"/>
        <w:rPr/>
      </w:pPr>
      <w:r>
        <w:rPr>
          <w:rFonts w:ascii="Amiri" w:hAnsi="Amiri" w:eastAsia="Amiri" w:cs="Amiri"/>
          <w:color w:val="111111"/>
          <w:sz w:val="28"/>
          <w:sz w:val="28"/>
          <w:szCs w:val="28"/>
          <w:rtl w:val="true"/>
          <w:lang w:bidi="ar-SA"/>
        </w:rPr>
        <w:t>لم أعثر على مصرّح من الفقهاء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عندي الثاني ، للأصل والقاعدة المتقدّمة كما بيّنتهما ، وذكرت الجواب عن عمومات عدول المعذور إلى ما تيسّر له في باب إجارة الصلاة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عمومات عدول المتمتّع إلى الإفراد مع العذر لا تفيد أزيد من جوازه أو لزومه عليه وعدم ترتّب إثم أو شي‌ء آخر عليه من هذه الحيثيّة ، وهو مسلّم ، ولا يدلّ ذلك على براءته عمّا لزم عليه من جهة الإجارة واستحقاقه لمال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لو أوصى أحد باستئجار واحد للتمتّع لا يجوز للوصيّ شرط العدول مع العذر ، لعدم استفادة الإذن فيه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أذن له الموصي جاز ويجزئ أيضا عمّا يجب عليه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حصل للأجير العذر وعدل مع عدم الشرط المجوّز للعدول ، فإن وسع عام إجارته يؤخّر الحجّ الاستئجاري إلى العام القابل ، وإلاّ فيكون كمن لم يتمكّن من الحجّ أصلا ، فيعمل في الأجرة بالتوزيع على الطريق والحجّ إن كانت بإزائهما ، ولا يستحقّ منها شيئا إن كانت بإزاء الحجّ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للأجير أن يؤجّر نفسه ثانيا في السنة التي استؤجر لها قطعا ، ووجهه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 غيرها مطلقا وإن كانت الإجارة الثانية في العام المتأخّر ، لعدم دليل على وجوب اتّصال مدّة الاستئجار بزمان العقد ، ولا على فوريّة </w:t>
      </w:r>
    </w:p>
    <w:p>
      <w:pPr>
        <w:pStyle w:val="BookText"/>
        <w:rPr/>
      </w:pPr>
      <w:r>
        <w:rPr>
          <w:rFonts w:ascii="Amiri" w:hAnsi="Amiri" w:eastAsia="Amiri" w:cs="Amiri"/>
          <w:color w:val="111111"/>
          <w:sz w:val="28"/>
          <w:sz w:val="28"/>
          <w:szCs w:val="28"/>
          <w:rtl w:val="true"/>
          <w:lang w:bidi="ar-SA"/>
        </w:rPr>
        <w:t xml:space="preserve">الحجّ الاستئجاري ولو كان فوريّا على المستأجر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الإجارة الأولى مطلقة ولم تكن قرينة على إرادة التعجيل تصحّ الثانية مطلقة ومعيّنة في العام الأول وفي غيره ، للأصل ، وعدم دليل على بطلان نوع منها ، وعدم اقتضاء الإطلاق الخالي عن القرينة للتعجيل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استنابة غيره إلاّ مع الإذن له صريحا فيها ممّن يجوز له الإذن فيها ، أو إيقاع العقد مقيّدا بالإطلاق ، لا إيقاعه مطلقا ، فإنّه يقتضي المباشرة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بتقييده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يستأجره ليحجّ عنه مطلقا بنفسه أو بغيره ، أو بما يدلّ عليه ، كأن يستأجره لتحصيل الحجّ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وبإيقاعه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يستأجره ليحجّ عنه ، فإنّ هذا الإطلاق يقتضي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للأصول المقرّرة ، وبها أفتى جماعة </w:t>
      </w:r>
      <w:r>
        <w:rPr>
          <w:rStyle w:val="FootnoteAnchor"/>
          <w:rtl w:val="true"/>
        </w:rPr>
        <w:footnoteReference w:id="530"/>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يعطى الحجّة فيدفعها إلى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فلا دلالة فيها على الاستئجار بوجه ، بل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ما يحجّ به لأجل الحجّ ، فيحتمل التوكيل أيضا ، بل هو الظاهر ،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أعطى رجل وجه حجّة لغيره هل يجب على الغير مباشرته بنفسه ، أو يجوز له الدفع إلى الغير؟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الأجير قبل إكمال العمل المستأجر </w:t>
      </w:r>
    </w:p>
    <w:p>
      <w:pPr>
        <w:pStyle w:val="BookText"/>
        <w:rPr/>
      </w:pPr>
      <w:r>
        <w:rPr>
          <w:rFonts w:ascii="Amiri" w:hAnsi="Amiri" w:eastAsia="Amiri" w:cs="Amiri"/>
          <w:color w:val="111111"/>
          <w:sz w:val="28"/>
          <w:sz w:val="28"/>
          <w:szCs w:val="28"/>
          <w:rtl w:val="true"/>
          <w:lang w:bidi="ar-SA"/>
        </w:rPr>
        <w:t>عليه حجّا كان أو مع الذهاب أو الإياب أيضا ، استعيد منه بنسبة المتخلّف منه من العمل إن كانت الإجارة مقيّدة بسنة الصدّ ، لانفساخها بفوات الزمان الذي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المستأجر إجابته لو التمس عدم الاستعادة وضمن الحجّ من قابل ، للأصل ، وعدم تناول العقد لغير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ظاهر السرائر والنهاية والمبسوط والقواعد والحلبي </w:t>
      </w:r>
      <w:r>
        <w:rPr>
          <w:rStyle w:val="FootnoteAnchor"/>
          <w:rtl w:val="true"/>
        </w:rPr>
        <w:footnoteReference w:id="532"/>
      </w:r>
      <w:r>
        <w:rPr>
          <w:rFonts w:ascii="Amiri" w:hAnsi="Amiri" w:eastAsia="Amiri" w:cs="Amiri"/>
          <w:color w:val="111111"/>
          <w:sz w:val="28"/>
          <w:sz w:val="28"/>
          <w:szCs w:val="28"/>
          <w:rtl w:val="true"/>
          <w:lang w:bidi="ar-SA"/>
        </w:rPr>
        <w:t xml:space="preserve">، فيلزم ، ومستنده غير واضح ، مع احتمال أن يكون مرادهم الجواز برضا المستأجر كما قيل </w:t>
      </w:r>
      <w:r>
        <w:rPr>
          <w:rStyle w:val="FootnoteAnchor"/>
          <w:rtl w:val="true"/>
        </w:rPr>
        <w:footnoteReference w:id="533"/>
      </w:r>
      <w:r>
        <w:rPr>
          <w:rFonts w:ascii="Amiri" w:hAnsi="Amiri" w:eastAsia="Amiri" w:cs="Amiri"/>
          <w:color w:val="111111"/>
          <w:sz w:val="28"/>
          <w:sz w:val="28"/>
          <w:szCs w:val="28"/>
          <w:rtl w:val="true"/>
          <w:lang w:bidi="ar-SA"/>
        </w:rPr>
        <w:t>، ولا كلام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يقع الصدّ قبل الإحرام ودخول الحرم ، أو بعدهما ، أو بينهما ، لعموم ما دلّ على استعادة ما بإزاء المتخلّف من العمل ، وإلحاقه بالموت قياس مع الفارق ، لعدم الإجزاء مع الصدّ بعد الإحرام ودخول الحرم عن نفسه ، فكيف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لبعضهم ، فألحقه بالموت </w:t>
      </w:r>
      <w:r>
        <w:rPr>
          <w:rStyle w:val="FootnoteAnchor"/>
          <w:rtl w:val="true"/>
        </w:rPr>
        <w:footnoteReference w:id="534"/>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الإجارة مطلقة وجب على الأجير الإتيان بالحجّ بعد الصدّ ، لعدم انفساخها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للمستأجر أو الأجير الفسخ؟</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الفسخ ، له أجرة ما فعل واستعيد بنسبة ما 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انفسخت الإجارة استؤجر من موضع الصدّ مع الإمكان ، إلاّ أن يكون عن مكّة فمن الميقات ، لوجوب إنشاء الحجّ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ينوب عن اثنين في عام ، لأنّ الحجّة الواحدة لا تقع عن اثنين إجماعا ، هذا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المندوب ، فقد دلّت الأخبار الكثيرة </w:t>
      </w:r>
      <w:r>
        <w:rPr>
          <w:rStyle w:val="FootnoteAnchor"/>
          <w:rtl w:val="true"/>
        </w:rPr>
        <w:footnoteReference w:id="536"/>
      </w:r>
      <w:r>
        <w:rPr>
          <w:rFonts w:ascii="Amiri" w:hAnsi="Amiri" w:eastAsia="Amiri" w:cs="Amiri"/>
          <w:color w:val="111111"/>
          <w:sz w:val="28"/>
          <w:sz w:val="28"/>
          <w:szCs w:val="28"/>
          <w:rtl w:val="true"/>
          <w:lang w:bidi="ar-SA"/>
        </w:rPr>
        <w:t>على جواز الاشتراك فيه ، فتجوز الاستنابة فيه على هذا الوجه ، بأن يستأجره اثنان أو أكثر بعقد واحد لأن يحجّ تطوّعا لهم ، لا بأن يؤجّر نفسه لاثنين أو أكثر بعقود متعدّدة ، فإنّ كلّ عقد يقتضي الاستقلال ، فلا يجوز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النيابة في الطواف الواجب عن المتمكّن الحاضر ، وتجوز مع العذر ، وسيجي‌ء تحقيقه في بحث الأفعال والأعذار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وجب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 برئت ذمّته وصحّ ، سواء ترك الميّت مالا أو لا ، وسواء كان المتبرّع وليّا أم لا ، بالإجماع المحقّق ، والمحكي مستفيضا </w:t>
      </w:r>
      <w:r>
        <w:rPr>
          <w:rStyle w:val="FootnoteAnchor"/>
          <w:rtl w:val="true"/>
        </w:rPr>
        <w:footnoteReference w:id="537"/>
      </w:r>
      <w:r>
        <w:rPr>
          <w:rFonts w:ascii="Amiri" w:hAnsi="Amiri" w:eastAsia="Amiri" w:cs="Amiri"/>
          <w:color w:val="111111"/>
          <w:sz w:val="28"/>
          <w:sz w:val="28"/>
          <w:szCs w:val="28"/>
          <w:rtl w:val="true"/>
          <w:lang w:bidi="ar-SA"/>
        </w:rPr>
        <w:t xml:space="preserve">، والمستفيضة من الصحاح وغيرها الخالية عن المعارض بالمرّة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يجوز التبرّع عن الميّت والحيّ بالتطوّع ، بالإجماعين </w:t>
      </w:r>
      <w:r>
        <w:rPr>
          <w:rStyle w:val="FootnoteAnchor"/>
          <w:rtl w:val="true"/>
        </w:rPr>
        <w:footnoteReference w:id="539"/>
      </w:r>
      <w:r>
        <w:rPr>
          <w:rFonts w:ascii="Amiri" w:hAnsi="Amiri" w:eastAsia="Amiri" w:cs="Amiri"/>
          <w:color w:val="111111"/>
          <w:sz w:val="28"/>
          <w:sz w:val="28"/>
          <w:szCs w:val="28"/>
          <w:rtl w:val="true"/>
          <w:lang w:bidi="ar-SA"/>
        </w:rPr>
        <w:t xml:space="preserve">والأخبار المستفيضة القريبة من التواتر </w:t>
      </w:r>
      <w:r>
        <w:rPr>
          <w:rStyle w:val="FootnoteAnchor"/>
          <w:rtl w:val="true"/>
        </w:rPr>
        <w:footnoteReference w:id="540"/>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متواترة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التبرّع عن الحيّ بالواجب فيما إذا كان له العذر المسوّغ للاستنابة وكفايته عنه ، وجهان ، 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إذ الأخبار المتضمّنة لاستنابته صريحة في أمره بالتجهيز من ماله ، فلعلّ هذا العمل واجب عليه مقام الحجّ بنفسه ، وكفاية فعل الغير موقوفة على الدليل ، وهو في المقام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العذر المسوّغ فلا يجوز التبرّع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الأجير من كفارات الجنايات في إحرامه فهو من ماله ، بلا خلاف يعرف كما قيل </w:t>
      </w:r>
      <w:r>
        <w:rPr>
          <w:rStyle w:val="FootnoteAnchor"/>
          <w:rtl w:val="true"/>
        </w:rPr>
        <w:footnoteReference w:id="542"/>
      </w:r>
      <w:r>
        <w:rPr>
          <w:rFonts w:ascii="Amiri" w:hAnsi="Amiri" w:eastAsia="Amiri" w:cs="Amiri"/>
          <w:color w:val="111111"/>
          <w:sz w:val="28"/>
          <w:sz w:val="28"/>
          <w:szCs w:val="28"/>
          <w:rtl w:val="true"/>
          <w:lang w:bidi="ar-SA"/>
        </w:rPr>
        <w:t xml:space="preserve">، بل بالإجماع كما عن الغنية </w:t>
      </w:r>
      <w:r>
        <w:rPr>
          <w:rStyle w:val="FootnoteAnchor"/>
          <w:rtl w:val="true"/>
        </w:rPr>
        <w:footnoteReference w:id="543"/>
      </w:r>
      <w:r>
        <w:rPr>
          <w:rFonts w:ascii="Amiri" w:hAnsi="Amiri" w:eastAsia="Amiri" w:cs="Amiri"/>
          <w:color w:val="111111"/>
          <w:sz w:val="28"/>
          <w:sz w:val="28"/>
          <w:szCs w:val="28"/>
          <w:rtl w:val="true"/>
          <w:lang w:bidi="ar-SA"/>
        </w:rPr>
        <w:t>، لأنّها عقوبة جناية صدرت عنه أو ضمان في مقابلة إتلاف وقع منه ، لتوجّه الخطابات بها إلى الجاني ، فيكون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الأجير حجّة يجب عليه إتمامه وقضاؤه من قابل ، ويجزئ عن المستأجر مطلقا ، معيّنة كانت الإجارة أو مطلقة ، وفاقا للدروس </w:t>
      </w:r>
      <w:r>
        <w:rPr>
          <w:rStyle w:val="FootnoteAnchor"/>
          <w:rtl w:val="true"/>
        </w:rPr>
        <w:footnoteReference w:id="544"/>
      </w:r>
      <w:r>
        <w:rPr>
          <w:rFonts w:ascii="Amiri" w:hAnsi="Amiri" w:eastAsia="Amiri" w:cs="Amiri"/>
          <w:color w:val="111111"/>
          <w:sz w:val="28"/>
          <w:sz w:val="28"/>
          <w:szCs w:val="28"/>
          <w:rtl w:val="true"/>
          <w:lang w:bidi="ar-SA"/>
        </w:rPr>
        <w:t xml:space="preserve">، ولا يستعاد الأجرة منه شيئا ، لموثّقتي ابن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يحجّ عن آخر فاجترح في حجّه شيئا ، يلزمه فيه الحجّ من قابل أو كفّارة؟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للأول تامّة ، وعلى هذا ما اجترح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ابتلي بشي‌ء يفسد عليه حجّه من قابل أيجزئ عن 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الأجير ضامن للحجّ؟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قال بانفساخ الإجارة بالإفساد في المعيّنة واستعادة الأجرة </w:t>
      </w:r>
      <w:r>
        <w:rPr>
          <w:rStyle w:val="FootnoteAnchor"/>
          <w:rtl w:val="true"/>
        </w:rPr>
        <w:footnoteReference w:id="547"/>
      </w:r>
      <w:r>
        <w:rPr>
          <w:rFonts w:ascii="Amiri" w:hAnsi="Amiri" w:eastAsia="Amiri" w:cs="Amiri"/>
          <w:color w:val="111111"/>
          <w:sz w:val="28"/>
          <w:sz w:val="28"/>
          <w:szCs w:val="28"/>
          <w:rtl w:val="true"/>
          <w:lang w:bidi="ar-SA"/>
        </w:rPr>
        <w:t xml:space="preserve">، ومنهم من أوجب عليه في المطلقة حجّة ثالثة غير الفاسدة وقضاءها </w:t>
      </w:r>
      <w:r>
        <w:rPr>
          <w:rStyle w:val="FootnoteAnchor"/>
          <w:rtl w:val="true"/>
        </w:rPr>
        <w:footnoteReference w:id="548"/>
      </w:r>
      <w:r>
        <w:rPr>
          <w:rFonts w:ascii="Amiri" w:hAnsi="Amiri" w:eastAsia="Amiri" w:cs="Amiri"/>
          <w:color w:val="111111"/>
          <w:sz w:val="28"/>
          <w:sz w:val="28"/>
          <w:szCs w:val="28"/>
          <w:rtl w:val="true"/>
          <w:lang w:bidi="ar-SA"/>
        </w:rPr>
        <w:t>، لوجوه كلّها اجتهادات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حجّان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كحجّة الإسلام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مانع ، جاز أن يستأجر أجيرين لهما في عام واحد ، على المعروف من مذهب الأصحاب كما في المدارك </w:t>
      </w:r>
      <w:r>
        <w:rPr>
          <w:rStyle w:val="FootnoteAnchor"/>
          <w:rtl w:val="true"/>
        </w:rPr>
        <w:footnoteReference w:id="549"/>
      </w:r>
      <w:r>
        <w:rPr>
          <w:rFonts w:ascii="Amiri" w:hAnsi="Amiri" w:eastAsia="Amiri" w:cs="Amiri"/>
          <w:color w:val="111111"/>
          <w:sz w:val="28"/>
          <w:sz w:val="28"/>
          <w:szCs w:val="28"/>
          <w:rtl w:val="true"/>
          <w:lang w:bidi="ar-SA"/>
        </w:rPr>
        <w:t xml:space="preserve">، وباتّفاق علمائنا كما عن التذكرة </w:t>
      </w:r>
      <w:r>
        <w:rPr>
          <w:rStyle w:val="FootnoteAnchor"/>
          <w:rtl w:val="true"/>
        </w:rPr>
        <w:footnoteReference w:id="550"/>
      </w:r>
      <w:r>
        <w:rPr>
          <w:rFonts w:ascii="Amiri" w:hAnsi="Amiri" w:eastAsia="Amiri" w:cs="Amiri"/>
          <w:color w:val="111111"/>
          <w:sz w:val="28"/>
          <w:sz w:val="28"/>
          <w:szCs w:val="28"/>
          <w:rtl w:val="true"/>
          <w:lang w:bidi="ar-SA"/>
        </w:rPr>
        <w:t>، لثبوت جواز الاستنابة فيهما ، وعدم دليل على لزوم اختلاف العام ، وأصالة عدم وجوب الترتيب ، وتحقّقه في المنوب عنه لم يكن لوجوب الترتيب ، بل لعدم إمكان صدور الحجّتين منه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للنائب أن يذكر المنوب عنه باسمه في المواطن وعند كلّ فعل من أفعال الحجّ ، بلا خلاف كما في المفاتيح وعن المنتهى </w:t>
      </w:r>
      <w:r>
        <w:rPr>
          <w:rStyle w:val="FootnoteAnchor"/>
          <w:rtl w:val="true"/>
        </w:rPr>
        <w:footnoteReference w:id="551"/>
      </w:r>
      <w:r>
        <w:rPr>
          <w:rFonts w:ascii="Amiri" w:hAnsi="Amiri" w:eastAsia="Amiri" w:cs="Amiri"/>
          <w:color w:val="111111"/>
          <w:sz w:val="28"/>
          <w:sz w:val="28"/>
          <w:szCs w:val="28"/>
          <w:rtl w:val="true"/>
          <w:lang w:bidi="ar-SA"/>
        </w:rPr>
        <w:t xml:space="preserve">، وعلى مذهب الأصحاب كما في المدارك </w:t>
      </w:r>
      <w:r>
        <w:rPr>
          <w:rStyle w:val="FootnoteAnchor"/>
          <w:rtl w:val="true"/>
        </w:rPr>
        <w:footnoteReference w:id="552"/>
      </w:r>
      <w:r>
        <w:rPr>
          <w:rFonts w:ascii="Amiri" w:hAnsi="Amiri" w:eastAsia="Amiri" w:cs="Amiri"/>
          <w:color w:val="111111"/>
          <w:sz w:val="28"/>
          <w:sz w:val="28"/>
          <w:szCs w:val="28"/>
          <w:rtl w:val="true"/>
          <w:lang w:bidi="ar-SA"/>
        </w:rPr>
        <w:t>، واتّفاقا كما في شرح المفاتيح ، وهو الحجّة فيه ، لأنّه مقام التسامح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صحيحة محمّد في المواطن والمواقف </w:t>
      </w:r>
      <w:r>
        <w:rPr>
          <w:rStyle w:val="FootnoteAnchor"/>
          <w:rtl w:val="true"/>
        </w:rPr>
        <w:footnoteReference w:id="553"/>
      </w:r>
      <w:r>
        <w:rPr>
          <w:rFonts w:ascii="Amiri" w:hAnsi="Amiri" w:eastAsia="Amiri" w:cs="Amiri"/>
          <w:color w:val="111111"/>
          <w:sz w:val="28"/>
          <w:sz w:val="28"/>
          <w:szCs w:val="28"/>
          <w:rtl w:val="true"/>
          <w:lang w:bidi="ar-SA"/>
        </w:rPr>
        <w:t xml:space="preserve">، ورواية الحلبي </w:t>
      </w:r>
    </w:p>
    <w:p>
      <w:pPr>
        <w:pStyle w:val="BookText"/>
        <w:rPr/>
      </w:pPr>
      <w:r>
        <w:rPr>
          <w:rFonts w:ascii="Amiri" w:hAnsi="Amiri" w:eastAsia="Amiri" w:cs="Amiri"/>
          <w:color w:val="111111"/>
          <w:sz w:val="28"/>
          <w:sz w:val="28"/>
          <w:szCs w:val="28"/>
          <w:rtl w:val="true"/>
          <w:lang w:bidi="ar-SA"/>
        </w:rPr>
        <w:t xml:space="preserve">فيما بعد ما يحرم </w:t>
      </w:r>
      <w:r>
        <w:rPr>
          <w:rStyle w:val="FootnoteAnchor"/>
          <w:rtl w:val="true"/>
        </w:rPr>
        <w:footnoteReference w:id="554"/>
      </w:r>
      <w:r>
        <w:rPr>
          <w:rFonts w:ascii="Amiri" w:hAnsi="Amiri" w:eastAsia="Amiri" w:cs="Amiri"/>
          <w:color w:val="111111"/>
          <w:sz w:val="28"/>
          <w:sz w:val="28"/>
          <w:szCs w:val="28"/>
          <w:rtl w:val="true"/>
          <w:lang w:bidi="ar-SA"/>
        </w:rPr>
        <w:t xml:space="preserve">، وصحيحة ابن عمّار عند الإحرام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دلالة بعضها على الوجوب ضعيف ، لخلوّها عن الدالّ عليه رأسا ، مع أنّه لو كان لوجب الحمل على الاستحباب ، للاتّفاق على عدم الوجوب ، ودلالة الأخبار عليه ، كمرسلة الفقيه </w:t>
      </w:r>
      <w:r>
        <w:rPr>
          <w:rStyle w:val="FootnoteAnchor"/>
          <w:rtl w:val="true"/>
        </w:rPr>
        <w:footnoteReference w:id="556"/>
      </w:r>
      <w:r>
        <w:rPr>
          <w:rFonts w:ascii="Amiri" w:hAnsi="Amiri" w:eastAsia="Amiri" w:cs="Amiri"/>
          <w:color w:val="111111"/>
          <w:sz w:val="28"/>
          <w:sz w:val="28"/>
          <w:szCs w:val="28"/>
          <w:rtl w:val="true"/>
          <w:lang w:bidi="ar-SA"/>
        </w:rPr>
        <w:t xml:space="preserve">، وروايتي البزنطي </w:t>
      </w:r>
      <w:r>
        <w:rPr>
          <w:rStyle w:val="FootnoteAnchor"/>
          <w:rtl w:val="true"/>
        </w:rPr>
        <w:footnoteReference w:id="557"/>
      </w:r>
      <w:r>
        <w:rPr>
          <w:rFonts w:ascii="Amiri" w:hAnsi="Amiri" w:eastAsia="Amiri" w:cs="Amiri"/>
          <w:color w:val="111111"/>
          <w:sz w:val="28"/>
          <w:sz w:val="28"/>
          <w:szCs w:val="28"/>
          <w:rtl w:val="true"/>
          <w:lang w:bidi="ar-SA"/>
        </w:rPr>
        <w:t xml:space="preserve">ومثنّى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يعيد فاضل الأجرة بعد الحجّ إن لم يقتر على نفسه ، للشهرة الكافية في المقام ، ولرواية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رجلا دراهم يحجّ بها عنّي ففضل منها شي‌ء فلم يردّه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له ، لعلّه ضيّق على نفسه في النفقة لحاجته إلى النفقة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دلّ التعليل أنّه لو لا الضيق على النفس لكان الردّ أولى ، إذ لولاه لم يحسن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فضل ممّا أخذه فإنّه يردّه إن كانت نفقته واسعة ، وإن كان قتّر على نفسه لم يردّه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وجه القيد من الروايتين ، مضافا إلى رواية محمّد 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يعطى الحجّة يحجّ بها ويوسّع على نفسه ففضل منها ، </w:t>
      </w:r>
    </w:p>
    <w:p>
      <w:pPr>
        <w:pStyle w:val="BookText"/>
        <w:rPr/>
      </w:pPr>
      <w:r>
        <w:rPr>
          <w:rFonts w:ascii="Amiri" w:hAnsi="Amiri" w:eastAsia="Amiri" w:cs="Amiri"/>
          <w:color w:val="111111"/>
          <w:sz w:val="28"/>
          <w:sz w:val="28"/>
          <w:szCs w:val="28"/>
          <w:rtl w:val="true"/>
          <w:lang w:bidi="ar-SA"/>
        </w:rPr>
        <w:t xml:space="preserve">أيردّها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هو له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استحباب الردّ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الدراهم يحجّ بها ، هل يجوز له أن ينفق منها في غير 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الحجّ فالدراهم له فصنع بها ما أحبّ وعليه حجّة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إذ غايتها جواز عدم الردّ ، وهو غير مناف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للمستأجر أن يتمّم للأجير لو أعوز به الأجرة ، لفتوى الأصحاب </w:t>
      </w:r>
      <w:r>
        <w:rPr>
          <w:rStyle w:val="FootnoteAnchor"/>
          <w:rtl w:val="true"/>
        </w:rPr>
        <w:footnoteReference w:id="563"/>
      </w:r>
      <w:r>
        <w:rPr>
          <w:rFonts w:ascii="Amiri" w:hAnsi="Amiri" w:eastAsia="Amiri" w:cs="Amiri"/>
          <w:color w:val="111111"/>
          <w:sz w:val="28"/>
          <w:sz w:val="28"/>
          <w:szCs w:val="28"/>
          <w:rtl w:val="true"/>
          <w:lang w:bidi="ar-SA"/>
        </w:rPr>
        <w:t>، ولما فيه من المساعدة للمؤمن والرفق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تنوب المرأة إذا كانت صرورة ، لرواية صالح </w:t>
      </w:r>
      <w:r>
        <w:rPr>
          <w:rStyle w:val="FootnoteAnchor"/>
          <w:rtl w:val="true"/>
        </w:rPr>
        <w:footnoteReference w:id="564"/>
      </w:r>
      <w:r>
        <w:rPr>
          <w:rFonts w:ascii="Amiri" w:hAnsi="Amiri" w:eastAsia="Amiri" w:cs="Amiri"/>
          <w:color w:val="111111"/>
          <w:sz w:val="28"/>
          <w:sz w:val="28"/>
          <w:szCs w:val="28"/>
          <w:rtl w:val="true"/>
          <w:lang w:bidi="ar-SA"/>
        </w:rPr>
        <w:t xml:space="preserve">والشحّام </w:t>
      </w:r>
      <w:r>
        <w:rPr>
          <w:rStyle w:val="FootnoteAnchor"/>
          <w:rtl w:val="true"/>
        </w:rPr>
        <w:footnoteReference w:id="565"/>
      </w:r>
      <w:r>
        <w:rPr>
          <w:rFonts w:ascii="Amiri" w:hAnsi="Amiri" w:eastAsia="Amiri" w:cs="Amiri"/>
          <w:color w:val="111111"/>
          <w:sz w:val="28"/>
          <w:sz w:val="28"/>
          <w:szCs w:val="28"/>
          <w:rtl w:val="true"/>
          <w:lang w:bidi="ar-SA"/>
        </w:rPr>
        <w:t xml:space="preserve">، القاصرتين عن إفادة الحرمة ، لاحتمال الجملة الخبريّة ، فالقول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بل تكره نيابة المرأة مطلقا ، لروايتي عبيد بن زرارة </w:t>
      </w:r>
      <w:r>
        <w:rPr>
          <w:rStyle w:val="FootnoteAnchor"/>
          <w:rtl w:val="true"/>
        </w:rPr>
        <w:footnoteReference w:id="567"/>
      </w:r>
      <w:r>
        <w:rPr>
          <w:rFonts w:ascii="Amiri" w:hAnsi="Amiri" w:eastAsia="Amiri" w:cs="Amiri"/>
          <w:color w:val="111111"/>
          <w:sz w:val="28"/>
          <w:sz w:val="28"/>
          <w:szCs w:val="28"/>
          <w:rtl w:val="true"/>
          <w:lang w:bidi="ar-SA"/>
        </w:rPr>
        <w:t xml:space="preserve">والنبّال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الإحدى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بحجّة تنصرف إلى الميقاتي ، للأصل ، إلاّ مع التصريح أو شهادة 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لم يعيّن القدر يؤخذ أجرة المثل ، لتوقّف الحجّ عليه ووجوب ما يتوقّف عليه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وجد من يأخذ بأقلّ من أجرة المثل وجب الاقتصار عليه إذا لم يرض الوارث بالزائد ، لعدم التوقّف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للأول بأنّ أجرة المثل كالمنطوق به ، والحكم بوجوب الاقتصار على الأقلّ لو وجد من يأخذه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الفحص عنه لو احتمل وجدانه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يوص من يجب الحجّ عنه ، وأخذ الأجرة من صلب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المأخوذ يكون من أصل المال إن كان حجّة الإسلام ، ومن الثلث إن كان غيرها ، بلا خلاف يعرف ، لصحيحتي معاوية بن عمّار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وجوب الحجّ وشرائطه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عيّن القدر ، فإن لم يكن زائدا عن أجرة المثل كان كما سبق ، إلاّ في الاقتصار على الأقلّ مع وجدان من يأخذه ، فإنّه لا يجب حينئذ ، بل يؤخذ الأقلّ من الأصل حينئذ والزائد من الثلث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زائدا على أجرة المثل فتؤخذ الأجرة من الأصل والزائد من الثلث مع كون الحجّ حجّة الإسلام ، والكلّ من الثلث إن كان غيرها ، </w:t>
      </w:r>
    </w:p>
    <w:p>
      <w:pPr>
        <w:pStyle w:val="BookText"/>
        <w:rPr/>
      </w:pPr>
      <w:r>
        <w:rPr>
          <w:rFonts w:ascii="Amiri" w:hAnsi="Amiri" w:eastAsia="Amiri" w:cs="Amiri"/>
          <w:color w:val="111111"/>
          <w:sz w:val="28"/>
          <w:sz w:val="28"/>
          <w:szCs w:val="28"/>
          <w:rtl w:val="true"/>
          <w:lang w:bidi="ar-SA"/>
        </w:rPr>
        <w:t>والأجرة المأخوذة من الأصل هي الأجرة الميقاتيّة ، كما يأتي بيانه في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أحد أن يحجّ عنه ندبا ، فإن علم مراده من المرّة أو التكرار على وجه خاص يعمل به ، وإن لم يعلم شي‌ء منهما أو علم التكرار ولم يعلم وجهه فمقتضى روايتي محمد بن الحسين التكرار إلى أن يستوفى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أن يحجّ عنه مبهما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ما بقي من ثلثه شي‌ء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 مبهما ، ولم يسمّ شيئا ، كيف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ما دام له مال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متأخري الأصحاب حملوهما على فهم قصد التكرار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يفهم منه ذلك اكتفى بالمرّة ، وإن فهم التكرار على وجه خاص اقتصر عليه ، وإلاّ فبالمرّتين ، وإن فهم التكرار بقدر الثلث أو أزيد عمل بمضمون الخبرين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طرح لهما رأسا وعمل بمقتضى القواعد ، ولا وجه له مع عدم ظهور رادّ لهما من المتقدّمين سوى شاذّ ، وقد أفتى بمضمونهما في التهذيب </w:t>
      </w:r>
      <w:r>
        <w:rPr>
          <w:rStyle w:val="FootnoteAnchor"/>
          <w:rtl w:val="true"/>
        </w:rPr>
        <w:footnoteReference w:id="574"/>
      </w:r>
      <w:r>
        <w:rPr>
          <w:rFonts w:ascii="Amiri" w:hAnsi="Amiri" w:eastAsia="Amiri" w:cs="Amiri"/>
          <w:color w:val="111111"/>
          <w:sz w:val="28"/>
          <w:sz w:val="28"/>
          <w:szCs w:val="28"/>
          <w:rtl w:val="true"/>
          <w:lang w:bidi="ar-SA"/>
        </w:rPr>
        <w:t xml:space="preserve">، إلاّ عند من لا يعمل بغير الصحاح ونحوها ، وأمّا نحن ففي </w:t>
      </w:r>
    </w:p>
    <w:p>
      <w:pPr>
        <w:pStyle w:val="BookText"/>
        <w:rPr/>
      </w:pPr>
      <w:r>
        <w:rPr>
          <w:rFonts w:ascii="Amiri" w:hAnsi="Amiri" w:eastAsia="Amiri" w:cs="Amiri"/>
          <w:color w:val="111111"/>
          <w:sz w:val="28"/>
          <w:sz w:val="28"/>
          <w:szCs w:val="28"/>
          <w:rtl w:val="true"/>
          <w:lang w:bidi="ar-SA"/>
        </w:rPr>
        <w:t>توسعة من ذلك ، فالوجه العمل بمضمونهما ومتابعة قصده إن كان مفهوما ، والتكرار إلى تمام الثلث إن كان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أن يحجّ عنه سنين متعددة ، وعيّن لكلّ سنة قدرا معيّنا تفصيلا أو إجمالا ، فقصر ما لكلّ سنة عن حجّتها ، جمع من نصيب سائر السنين ما يمكن به الاستئجار لحجّة فصاعدا ويستأجر به الحجّة ، لمكاتبتي إبراهيم بن مهزيار وعليّ بن محمّد الحضيني ، المنجبر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كون الحكم مقطوعا به في كلام الأصحاب كما في المدارك وشرح التهذيب للجزائري وشرح الروضة للهندي والحدائق </w:t>
      </w:r>
      <w:r>
        <w:rPr>
          <w:rStyle w:val="FootnoteAnchor"/>
          <w:rtl w:val="true"/>
        </w:rPr>
        <w:footnoteReference w:id="575"/>
      </w:r>
      <w:r>
        <w:rPr>
          <w:rFonts w:ascii="Amiri" w:hAnsi="Amiri" w:eastAsia="Amiri" w:cs="Amiri"/>
          <w:color w:val="111111"/>
          <w:sz w:val="28"/>
          <w:sz w:val="28"/>
          <w:szCs w:val="28"/>
          <w:rtl w:val="true"/>
          <w:lang w:bidi="ar-SA"/>
        </w:rPr>
        <w:t xml:space="preserve">، بل بدعوى عمل الأصحاب كافّة كما قيل </w:t>
      </w:r>
      <w:r>
        <w:rPr>
          <w:rStyle w:val="FootnoteAnchor"/>
          <w:rtl w:val="true"/>
        </w:rPr>
        <w:footnoteReference w:id="576"/>
      </w:r>
      <w:r>
        <w:rPr>
          <w:rFonts w:ascii="Amiri" w:hAnsi="Amiri" w:eastAsia="Amiri" w:cs="Amiri"/>
          <w:color w:val="111111"/>
          <w:sz w:val="28"/>
          <w:sz w:val="28"/>
          <w:szCs w:val="28"/>
          <w:rtl w:val="true"/>
          <w:lang w:bidi="ar-SA"/>
        </w:rPr>
        <w:t>، وبالشهرة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عليّ بن مهزيار أوصى أن يحجّ عنه من ضيعة صير ربعها لك في كلّ سنة حجّة بعشرين دينارا ، وأنّه منذ انقطع طريق البصرة تضاعف المؤن على الناس ، فليس يكتفون بعشرين دينارا ، وكذلك أوصى عدّة من مواليك حجّتهم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ثلاث حجج حجّتين إن شاء اللّه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أوصى أن يحجّ عنه بخمسة عشر دينارا في كلّ سنة ، فليس يكفي ، فما تأمر في ذلك؟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حجّتين حجّة ، إنّ اللّه عالم بذلك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يستدلّ له أيضا بخروج المال عن الإرث ، ووجوب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 وكونه بقدر مخصوص ، فإذا تعذّر الثاني لم يسقط الأول ، ومرجعه إلى قاعدة الميسور لا يسقط بالمعسور ، وهي عندي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الأجير مال الإجارة بالعقد ، لأنّه مقتضى صحّة المعاوضة ، ولروايات مسمع ومحمّد بن عبد اللّه القمّي وموثّقة الساباطي ، المتقدّمة جميعا في المسألة العشرين </w:t>
      </w:r>
      <w:r>
        <w:rPr>
          <w:rStyle w:val="FootnoteAnchor"/>
          <w:rtl w:val="true"/>
        </w:rPr>
        <w:footnoteReference w:id="579"/>
      </w:r>
      <w:r>
        <w:rPr>
          <w:rFonts w:ascii="Amiri" w:hAnsi="Amiri" w:eastAsia="Amiri" w:cs="Amiri"/>
          <w:color w:val="111111"/>
          <w:sz w:val="28"/>
          <w:sz w:val="28"/>
          <w:szCs w:val="28"/>
          <w:rtl w:val="true"/>
          <w:lang w:bidi="ar-SA"/>
        </w:rPr>
        <w:t>، وعلى هذا فلو كانت عينا فزادت أو نمت بعد العقد فهما للأجير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تسليمها إلاّ بعد العمل كما في مطلق الإجارة ، وعلى هذا فليس للوصيّ التسليم قبله ، ولو سلّم كان ضامنا ، إلاّ مع الإذن من الموصي المستفاد من اللفظ أو اطّراد العادة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الدليل ، ولا يسلّم ذلك في مطلق الإجارة ، حتى في الحجّ الذي دلّت المستفيضة المتقدّمة عند ذكر اشتراط العدالة على براءة ذمّة المنوب عنه بعد الإجارة ، ووردت أخبار أخر </w:t>
      </w:r>
      <w:r>
        <w:rPr>
          <w:rStyle w:val="FootnoteAnchor"/>
          <w:rtl w:val="true"/>
        </w:rPr>
        <w:footnoteReference w:id="581"/>
      </w:r>
      <w:r>
        <w:rPr>
          <w:rFonts w:ascii="Amiri" w:hAnsi="Amiri" w:eastAsia="Amiri" w:cs="Amiri"/>
          <w:color w:val="111111"/>
          <w:sz w:val="28"/>
          <w:sz w:val="28"/>
          <w:szCs w:val="28"/>
          <w:rtl w:val="true"/>
          <w:lang w:bidi="ar-SA"/>
        </w:rPr>
        <w:t xml:space="preserve">فيمن أنفق مال إجارة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مات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ولم يترك شيئا ، ولم يحكم في شي‌ء منهما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إشكال ، والاحتياط للوصيّ ونحوه أن يشترط عدم التسليم أو إلاّ بوثيقة في ضمن العقد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عند شخص وديعة ومات </w:t>
      </w:r>
    </w:p>
    <w:p>
      <w:pPr>
        <w:pStyle w:val="BookText"/>
        <w:rPr/>
      </w:pPr>
      <w:r>
        <w:rPr>
          <w:rFonts w:ascii="Amiri" w:hAnsi="Amiri" w:eastAsia="Amiri" w:cs="Amiri"/>
          <w:color w:val="111111"/>
          <w:sz w:val="28"/>
          <w:sz w:val="28"/>
          <w:szCs w:val="28"/>
          <w:rtl w:val="true"/>
          <w:lang w:bidi="ar-SA"/>
        </w:rPr>
        <w:t xml:space="preserve">صاحبها وعليه حجّة الإسلام ، كان له أن يقتطع قدر أجرة الحجّ منها فيستأجره به ، ويردّ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 ،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لصحيحتي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استودعني مالا فهلك وليس لوارثه شي‌ء ولم يحجّ حجّة الإسلام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فضل فأعطهم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عمومها الحاصل بترك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 سواء أذن الورثة فيه أو لا ، وسواء علم أنّ الورثة لا يؤدّون الحجّ عنه أو ظنّ ذلك ، أو لم يعلم ذلك ولم يظنّ ، بل علم الأداء أو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الأكثر قيّدوه بما إذا علم أنّهم لا يؤدّونه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والشرائع والإرشاد </w:t>
      </w:r>
      <w:r>
        <w:rPr>
          <w:rStyle w:val="FootnoteAnchor"/>
          <w:rtl w:val="true"/>
        </w:rPr>
        <w:footnoteReference w:id="584"/>
      </w:r>
      <w:r>
        <w:rPr>
          <w:rFonts w:ascii="Amiri" w:hAnsi="Amiri" w:eastAsia="Amiri" w:cs="Amiri"/>
          <w:color w:val="111111"/>
          <w:sz w:val="28"/>
          <w:sz w:val="28"/>
          <w:szCs w:val="28"/>
          <w:rtl w:val="true"/>
          <w:lang w:bidi="ar-SA"/>
        </w:rPr>
        <w:t xml:space="preserve">وغيرها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إذا 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كالسرائر </w:t>
      </w:r>
      <w:r>
        <w:rPr>
          <w:rStyle w:val="FootnoteAnchor"/>
          <w:rtl w:val="true"/>
        </w:rPr>
        <w:footnoteReference w:id="586"/>
      </w:r>
      <w:r>
        <w:rPr>
          <w:rFonts w:ascii="Amiri" w:hAnsi="Amiri" w:eastAsia="Amiri" w:cs="Amiri"/>
          <w:color w:val="111111"/>
          <w:sz w:val="28"/>
          <w:sz w:val="28"/>
          <w:szCs w:val="28"/>
          <w:rtl w:val="true"/>
          <w:lang w:bidi="ar-SA"/>
        </w:rPr>
        <w:t xml:space="preserve">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فبدونها يجب استئذانهم ، لأنّ مقدار أجرة الحجّ وإن كان خارجا عن الميراث إلاّ أنّ الوارث مخيّر في جهات القضاء ، وله الحجّ بنفسه والاستقلال بالتركة والاستئجار بدون أجرة المثل ، فيقتصر في منعه من التركة على موضع الوفاق </w:t>
      </w:r>
      <w:r>
        <w:rPr>
          <w:rStyle w:val="FootnoteAnchor"/>
          <w:rtl w:val="true"/>
        </w:rPr>
        <w:footnoteReference w:id="587"/>
      </w:r>
      <w:r>
        <w:rPr>
          <w:rFonts w:ascii="Amiri" w:hAnsi="Amiri" w:eastAsia="Amiri" w:cs="Amiri"/>
          <w:color w:val="111111"/>
          <w:sz w:val="28"/>
          <w:sz w:val="28"/>
          <w:szCs w:val="28"/>
          <w:rtl w:val="true"/>
          <w:lang w:bidi="ar-SA"/>
        </w:rPr>
        <w:t xml:space="preserve">، وربّما يستأنس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للورثة 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إذا علم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 ظنّا مقبولا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الورثة قد أدّوه ، ليس له ذلك ، لبراءة ذمّة الميّت وعدم وجوب حجّ عنه ، </w:t>
      </w:r>
      <w:bookmarkStart w:id="84" w:name="pg11651_107747"/>
    </w:p>
    <w:p>
      <w:pPr>
        <w:pStyle w:val="BookText"/>
        <w:rPr/>
      </w:pPr>
      <w:bookmarkEnd w:id="84"/>
      <w:r>
        <w:rPr>
          <w:rFonts w:ascii="Amiri" w:hAnsi="Amiri" w:eastAsia="Amiri" w:cs="Amiri"/>
          <w:color w:val="111111"/>
          <w:sz w:val="28"/>
          <w:sz w:val="28"/>
          <w:szCs w:val="28"/>
          <w:rtl w:val="true"/>
          <w:lang w:bidi="ar-SA"/>
        </w:rPr>
        <w:t xml:space="preserve">وأمّا قبل أدائهم فلا شكّ أنّ مقدار الأجرة لم ينتقل إليهم ، لأنّ الإرث بعد الدين الذي منه الحجّ ، كما صرّح به في النصوص </w:t>
      </w:r>
      <w:r>
        <w:rPr>
          <w:rStyle w:val="FootnoteAnchor"/>
          <w:rtl w:val="true"/>
        </w:rPr>
        <w:footnoteReference w:id="588"/>
      </w:r>
      <w:r>
        <w:rPr>
          <w:rFonts w:ascii="Amiri" w:hAnsi="Amiri" w:eastAsia="Amiri" w:cs="Amiri"/>
          <w:color w:val="111111"/>
          <w:sz w:val="28"/>
          <w:sz w:val="28"/>
          <w:szCs w:val="28"/>
          <w:rtl w:val="true"/>
          <w:lang w:bidi="ar-SA"/>
        </w:rPr>
        <w:t xml:space="preserve">، ونسبة الوارث وغيره في وجوب صرف ذلك في الحجّ وجوبا كفائيّا مشروطا بعدم العلم ببراءة ذمّة الميّت من طريق آخر بتبرّع أو مال غيره أو أقلّ من أجرة على السواء ، فما دام عدم العلم بالبراءة وتحقّق الشرط يكون الاقتطاع واجبا كفائيا على المستودع ، وما لم يعلم أداءهم لا يجوز له تركه ، بل يجب عليه عينا ، كما هو شأن الواجبات الكفائيّة ، ووجوب استئذان الوارث فيه يحتاج إلى دليل ، وكونه مخيّرا في جهات القضاء لا يدلّ عليه ، لأنّ المسلّم منه أنّ ما دام بقاء المال وعدم صرفه في الاستئجار يتخيّر هو في الجهات ، وهو مسلّم ، لكون وجوب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بعدم الأداء من جهة أخرى ، فتخييره أيضا مشروط بالبقاء ، وأمّا التخيير على الإطلاق فلا نسلّمه حتى في المقام المتضمّن للنصّ المنافي بعمومه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أنّ الوارث مخيّر بشرط بقاء المال وعدم صرفه في الحجّ ، وللمستودع الاستئجار بشرط عدم أداء الوارث أو غيره من هذه الجهة أو جهة أخرى ، فيعمل بعموم الصحيح ، ويحكم بوجوب استئجار المستودع مطلقا ، إلاّ ما خرج عنه بالإجماع ، وهو ما إذا علم أداء الحجّ ، وعليه الفتوى</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171970_73709187"/>
      <w:bookmarkStart w:id="86" w:name="_Toc32"/>
      <w:bookmarkEnd w:id="85"/>
      <w:r>
        <w:rPr>
          <w:rtl w:val="true"/>
        </w:rPr>
        <w:t xml:space="preserve">فروع </w:t>
      </w:r>
      <w:r>
        <w:rPr>
          <w:rtl w:val="true"/>
        </w:rPr>
        <w:t>:</w:t>
      </w:r>
      <w:bookmarkEnd w:id="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الاستئجار واجب على المستودع ، لظاهر الأمر المفيد له ، وتعبير </w:t>
      </w:r>
    </w:p>
    <w:p>
      <w:pPr>
        <w:pStyle w:val="BookText"/>
        <w:rPr/>
      </w:pPr>
      <w:r>
        <w:rPr>
          <w:rFonts w:ascii="IRNazanin" w:hAnsi="IRNazanin" w:eastAsia="IRNazanin"/>
          <w:color w:val="111111"/>
          <w:sz w:val="28"/>
          <w:sz w:val="28"/>
          <w:szCs w:val="28"/>
          <w:rtl w:val="true"/>
          <w:lang w:bidi="fa-IR"/>
        </w:rPr>
        <w:t xml:space="preserve">بعض الأصحاب بالجواز </w:t>
      </w:r>
      <w:r>
        <w:rPr>
          <w:rStyle w:val="FootnoteAnchor"/>
          <w:rtl w:val="true"/>
        </w:rPr>
        <w:footnoteReference w:id="589"/>
      </w:r>
      <w:r>
        <w:rPr>
          <w:rFonts w:ascii="Amiri" w:hAnsi="Amiri" w:eastAsia="Amiri" w:cs="Amiri"/>
          <w:color w:val="111111"/>
          <w:sz w:val="28"/>
          <w:sz w:val="28"/>
          <w:szCs w:val="28"/>
          <w:rtl w:val="true"/>
          <w:lang w:bidi="ar-SA"/>
        </w:rPr>
        <w:t xml:space="preserve">إمّا بإرادة معناه الأعمّ المجامع للوجوب كما قيل </w:t>
      </w:r>
      <w:r>
        <w:rPr>
          <w:rStyle w:val="FootnoteAnchor"/>
          <w:rtl w:val="true"/>
        </w:rPr>
        <w:footnoteReference w:id="590"/>
      </w:r>
      <w:r>
        <w:rPr>
          <w:rFonts w:ascii="Amiri" w:hAnsi="Amiri" w:eastAsia="Amiri" w:cs="Amiri"/>
          <w:color w:val="111111"/>
          <w:sz w:val="28"/>
          <w:sz w:val="28"/>
          <w:szCs w:val="28"/>
          <w:rtl w:val="true"/>
          <w:lang w:bidi="ar-SA"/>
        </w:rPr>
        <w:t>، أو باعتبار ما ذكرنا من كونه مشروطا بعدم العلم بأداء الوارث من جهة أخرى ، فللمستودع إعلام الوارث وأدائهم من جهة أخرى ، وله الأخذ من الوديعة ، فيكون الأخذ جائزا وإن كان أحد فردي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إمّا يعلم بالوديعة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يعلم بها فللمستودع الاستئجار بدون إعلام الوارث ، وله إعلامهم إن علم عدم امتناعهم عن الاستئجار أو الأداء من جهة أخرى ، أو عدم تمكّنهم من الامتناع ، وإلاّ فلا يجوز الإعلام ، لكونه سببا لتفويت الواجب ، وسبب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بها ، فإن أمكن للمستودع إثبات وجوب الحجّ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باعتراف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الاستئجار لو استأجر ، وجب عليه الاستئجار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لم يمكن له ذلك ولكن لم يكن للوارث تسلّط عليه ، وإلاّ فلا يجب عليه ، لاستلزامه الضرر المنفيّ شرعا ، فتعارض أدلّة انتفائه الصحيحة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إن أمكن له ذلك ولكن علم عدم وقوف الوارث على حكم الشرع وتضرّره بذلك ، ولذا اعتبر في التذكرة </w:t>
      </w:r>
      <w:r>
        <w:rPr>
          <w:rStyle w:val="FootnoteAnchor"/>
          <w:rtl w:val="true"/>
        </w:rPr>
        <w:footnoteReference w:id="592"/>
      </w:r>
      <w:r>
        <w:rPr>
          <w:rFonts w:ascii="Amiri" w:hAnsi="Amiri" w:eastAsia="Amiri" w:cs="Amiri"/>
          <w:color w:val="111111"/>
          <w:sz w:val="28"/>
          <w:sz w:val="28"/>
          <w:szCs w:val="28"/>
          <w:rtl w:val="true"/>
          <w:lang w:bidi="ar-SA"/>
        </w:rPr>
        <w:t xml:space="preserve">وغيره </w:t>
      </w:r>
      <w:r>
        <w:rPr>
          <w:rStyle w:val="FootnoteAnchor"/>
          <w:rtl w:val="true"/>
        </w:rPr>
        <w:footnoteReference w:id="593"/>
      </w:r>
      <w:r>
        <w:rPr>
          <w:rFonts w:ascii="Amiri" w:hAnsi="Amiri" w:eastAsia="Amiri" w:cs="Amiri"/>
          <w:color w:val="111111"/>
          <w:sz w:val="28"/>
          <w:sz w:val="28"/>
          <w:szCs w:val="28"/>
          <w:rtl w:val="true"/>
          <w:lang w:bidi="ar-SA"/>
        </w:rPr>
        <w:t>أمن المستودع من الضرر ، وهو في موقعه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بعضهم في ذلك استئذان الحاكم ، إمّا 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كبعضهم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كآخر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ما خالف الأصل على المتّفق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واستبعده بعضهم </w:t>
      </w:r>
      <w:r>
        <w:rPr>
          <w:rStyle w:val="FootnoteAnchor"/>
          <w:rtl w:val="true"/>
        </w:rPr>
        <w:footnoteReference w:id="596"/>
      </w:r>
      <w:r>
        <w:rPr>
          <w:rFonts w:ascii="IRNazanin" w:hAnsi="IRNazanin" w:eastAsia="IRNazanin"/>
          <w:color w:val="111111"/>
          <w:sz w:val="28"/>
          <w:sz w:val="28"/>
          <w:szCs w:val="28"/>
          <w:rtl w:val="true"/>
          <w:lang w:bidi="fa-IR"/>
        </w:rPr>
        <w:t xml:space="preserve">، لإطلاق النصّ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آخر بتضمّنه لأمر الإمام ، وهو منه إذن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أنّ كونه إذنا منه موقوف على أمر زائد على صدور الأمر الشرعيّ المساوي فيه كلّ مكلّف ، وهو ملاحظة جهة الإذنية له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ولكن كلّ من الأمرين محتمل ، أي كونه من جهة حكم الشرع أو من جهة الإذنيّة ، فاللازم حينئذ ملاحظة أنّ استئجار المستودع خلاف الأصل حتى يقتصر فيه على موضع اليقين ، أو هو الأصل حتى يتوقّف الخروج عنه على اليقين ، مقتضى الأخبار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معنى ، المصرّحة بوجوب قضاء الحجّ عن الميّت عن أصل ماله من غير خطاب إلى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على كلّ مكلّف كفاية ، وهو يجعل وجوب الكفائي للمستودع أصلا ثابتا ، فالتوقّف على الإذن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لو كان هذا الأمر من الإمام عليه السلام إذنا أيضا لا بدّ في التوقّف عليه من ثبوت أنّ أمره لجهة حصول الإذن ، وهو غير معلوم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مختصّ بالوديعة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 عليه جماعة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لاختصاص النصّ ، أو يتعدّى إلى سائر الحقوق الماليّة من الغصب والدين وغيرهما ، كما اختاره آخرون </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ما ذكرنا من كون استئجار المستودع مخالفا للأصل ، وموافقا له ، فعلى الأول يحكم بالاقتصار ، وعلى الثاني بالتعدّي ، وعلى ما ذكرنا 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النص حجّ الودعيّ بنفسه </w:t>
      </w:r>
      <w:r>
        <w:rPr>
          <w:rStyle w:val="FootnoteAnchor"/>
          <w:rtl w:val="true"/>
        </w:rPr>
        <w:footnoteReference w:id="601"/>
      </w:r>
      <w:r>
        <w:rPr>
          <w:rFonts w:ascii="Amiri" w:hAnsi="Amiri" w:eastAsia="Amiri" w:cs="Amiri"/>
          <w:color w:val="111111"/>
          <w:sz w:val="28"/>
          <w:sz w:val="28"/>
          <w:szCs w:val="28"/>
          <w:rtl w:val="true"/>
          <w:lang w:bidi="ar-SA"/>
        </w:rPr>
        <w:t xml:space="preserve">، ولكن الأصحاب جوّزوا له الاستئجار </w:t>
      </w:r>
      <w:r>
        <w:rPr>
          <w:rStyle w:val="FootnoteAnchor"/>
          <w:rtl w:val="true"/>
        </w:rPr>
        <w:footnoteReference w:id="602"/>
      </w:r>
      <w:r>
        <w:rPr>
          <w:rFonts w:ascii="Amiri" w:hAnsi="Amiri" w:eastAsia="Amiri" w:cs="Amiri"/>
          <w:color w:val="111111"/>
          <w:sz w:val="28"/>
          <w:sz w:val="28"/>
          <w:szCs w:val="28"/>
          <w:rtl w:val="true"/>
          <w:lang w:bidi="ar-SA"/>
        </w:rPr>
        <w:t>، بل ربّما جعلوه أولى ، خصوصا إذا كان ذلك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بعضهم في ذلك إلى تنقيح المناط القطعي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 مع أنّ إرادة الحجّ بنفسه من اللفظ في هذا المقام محلّ تأمّل ، وعلى ما ذكرنا من الأصل يصير جواز الاستئجار أظهر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المستودع ، ثم علم الوارث وأنكر أحد الأمرين من وجوب الحجّ أو الاستئجار ، كان على المستودع الإثبات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النصّ على قبول قوله ، لأنّ حكمه إنّما هو في حقّ شخص خاصّ ، ولأنّه إنّما هو بعد فرض أنّ عليه الحجّ ، وحكمه عليه السلام أنّه إن كان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عنه ، كما هو المراد في جميع السؤالات والجوابات الواردة في </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ما نقله في المنتقى </w:t>
      </w:r>
      <w:r>
        <w:rPr>
          <w:rStyle w:val="FootnoteAnchor"/>
          <w:rtl w:val="true"/>
        </w:rPr>
        <w:footnoteReference w:id="604"/>
      </w:r>
      <w:r>
        <w:rPr>
          <w:rFonts w:ascii="Amiri" w:hAnsi="Amiri" w:eastAsia="Amiri" w:cs="Amiri"/>
          <w:color w:val="111111"/>
          <w:sz w:val="28"/>
          <w:sz w:val="28"/>
          <w:szCs w:val="28"/>
          <w:rtl w:val="true"/>
          <w:lang w:bidi="ar-SA"/>
        </w:rPr>
        <w:t>عن بعض المتأخّرين من كون مقتضى الحديث نفوذ إقرار المستودع في حقّ الوراث ، ولا حاجة إلى ما أجاب به صاحب المنتقى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من عنده الوديعة وعلموا بالحقّ ، جاز لكلّ منهم الإخراج والاستئجار ، بل وجب كفاية ، ويجوز لهم توازع الأجرة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بعضهم بالحقّ تعيّن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حجّوا جميعا مع علم بعضهم ببعض صحّ السابق خاصّة وضمن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انتفى العلم فلا ضمان مع الاجتهاد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الكلّ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أن يحجّ عنه شخص معيّن فإمّا يعيّن الأجرة أو لا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الحجّ واجبا ، أو ندبا ، فهذه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عيّن الأجرة وكان واجبا تخرج الأجرة المعيّنة من الأصل إن كانت مقدار أجرة المثل من الميقات أو أقلّ ، وإن زادت عنها أخرج الزائد من الثلث إن لم يجز الورثة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امتنع الموصى له من الحجّ بطلت الوصيّة ، لتعلّقها بشخص معيّن ، ويجب استئجار غيره بأقلّ ما يوجد من يحجّ عنه ، لا للوصيّة ، بل لوجوب قضاء الحجّ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امتنع من أخذ المعيّن وطلب الأزيد لم تجب إجابته وإن لم يزد عن أجرة المثل ، لأنّه يخرج حينئذ عن الوصيّة ويساوي الأجنبي ، فيجوز استئجاره بالأزيد لو لم يوجد من يأخذ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ندبا تخرج الأجرة المعيّنة من الثلث ، إلاّ مع إجازة الورثة ، فتنفذ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الموصى له من الحجّ فالظاهر بطلان الوصيّة وسقوط الحجّ ، لما مرّ من تعلّق الوصيّة بشخص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ترك الميسور بالمعسور مع احتمال ارتباط أحدهما بالآخر ممنوع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تعلّق غرض الموصي بالحجّ مطلقا وجب إخراجه ، لأنّ الوصيّة على هذا التقدير تكون في قوّة شيئين ، فلا يبطل أحدهما بفوات الآخر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فيه نظر ، لأنّ الوصيّة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كالتوكيل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يتوقّف ثبوتها على الإنشاء اللفظي ، ولا يتحقّق بشاهد الحال بل ولا الفحوى ، لأنّها أمور توقيفيّة لم يثبت التوقيف في غير المذكور ، فلا يفيد في وجوب العمل بالوصيّة العلم بتعلّق غرض الموصي بشي‌ء ، إلاّ أن يعلم إرادة هذا الغرض من اللفظ مجازا بالقرينة دون معناه الحقيقي ، وما نحن فيه ليس كذلك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يعيّن الأجرة وكان واجبا فتجب إجابة الموصى له فيما يرضى بأن يحجّ به وإن كان زائدا عن الأجرة ، إلاّ أنّ الزائد يخرج من الثلث ، ولو زاد عن الثلث أيضا ولم يرض بما يفي به ولم يجز الورثة بطلت الوصيّة ، </w:t>
      </w:r>
    </w:p>
    <w:p>
      <w:pPr>
        <w:pStyle w:val="BookText"/>
        <w:rPr/>
      </w:pPr>
      <w:r>
        <w:rPr>
          <w:rFonts w:ascii="Amiri" w:hAnsi="Amiri" w:eastAsia="Amiri" w:cs="Amiri"/>
          <w:color w:val="111111"/>
          <w:sz w:val="28"/>
          <w:sz w:val="28"/>
          <w:szCs w:val="28"/>
          <w:rtl w:val="true"/>
          <w:lang w:bidi="ar-SA"/>
        </w:rPr>
        <w:t>ويستأجر غيره بأقلّ ما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استئجاره بأقلّ ما يوجد من يحجّ عنه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وجوب إعطاء أجرة مثله إن اتّسع الثلث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هذين القولين تبطل الوصيّة لو لم يرض الموصى له بالأقلّ أو الأجرة ،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الموصى له من الحجّ مطلقا تبطل الوصيّة ، ويستأجر من يحجّ بالأقلّ ، لأجل وجوب القضاء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ندبا تجب إجابة الموصى له بما يرضى من الثلث مطلقا ، وإن زاد عن الثلث ولم يجز الورثة أو امتنع الموصى له من الحجّ بطلت الوصيّة رأسا ، ولا يجب استئجاره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في جميع هذه الصور من الميقات ، إلاّ أن تدلّ قرينة على إرادة الموصي من البلد ، فيستأجر منه ، ويخرج غير أجرة المثل للميقاتي في الواجب منه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الثلث عن الاستئجار عن البلد ولم يجز الورثة فالحق بطلان الوصيّة وعدم وجوب الاستئجار بحسب الإمكان ، لأنّ الموصى به هو الحجّ البلدي ، وهو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يستأجر للميقاتي من الأصل مع وجوب الموصى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بالواجب المحكوم باستئجاره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بطلان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الإسلام دون غيره ، بل هو في حكم المندوب كما مرّ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الموصي الأجرة ، وكانت بقدر لا يرغب فيها أجير أصلا ، بطلت الوصيّة بالحجّ قطعا ، لبطلان التكليف بغير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تبقى الوصيّة بالقدر المعيّن من المال بحالها مطلقا ، فيكون كمجهول المالك ، فيصرف في وجوه البرّ ، كما اختاره في الشرائع والمنتهى </w:t>
      </w:r>
      <w:r>
        <w:rPr>
          <w:rStyle w:val="FootnoteAnchor"/>
          <w:rtl w:val="true"/>
        </w:rPr>
        <w:footnoteReference w:id="608"/>
      </w:r>
      <w:r>
        <w:rPr>
          <w:rFonts w:ascii="Amiri" w:hAnsi="Amiri" w:eastAsia="Amiri" w:cs="Amiri"/>
          <w:color w:val="111111"/>
          <w:sz w:val="28"/>
          <w:sz w:val="28"/>
          <w:szCs w:val="28"/>
          <w:rtl w:val="true"/>
          <w:lang w:bidi="ar-SA"/>
        </w:rPr>
        <w:t xml:space="preserve">، بل جعله في المدارك المشهور بين الأصحاب </w:t>
      </w:r>
      <w:r>
        <w:rPr>
          <w:rStyle w:val="FootnoteAnchor"/>
          <w:rtl w:val="true"/>
        </w:rPr>
        <w:footnoteReference w:id="6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يعود ميراثا مطلقا ، كما اختاره في المدارك </w:t>
      </w:r>
      <w:r>
        <w:rPr>
          <w:rStyle w:val="FootnoteAnchor"/>
          <w:rtl w:val="true"/>
        </w:rPr>
        <w:footnoteReference w:id="6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الأول إن طرأ القصور لعارض ، والثاني إن قصرت الأجرة ابتداء ، كما حكي عن المحقّق الثاني </w:t>
      </w:r>
      <w:r>
        <w:rPr>
          <w:rStyle w:val="FootnoteAnchor"/>
          <w:rtl w:val="true"/>
        </w:rPr>
        <w:footnoteReference w:id="611"/>
      </w:r>
      <w:r>
        <w:rPr>
          <w:rFonts w:ascii="Amiri" w:hAnsi="Amiri" w:eastAsia="Amiri" w:cs="Amiri"/>
          <w:color w:val="111111"/>
          <w:sz w:val="28"/>
          <w:sz w:val="28"/>
          <w:szCs w:val="28"/>
          <w:rtl w:val="true"/>
          <w:lang w:bidi="ar-SA"/>
        </w:rPr>
        <w:t xml:space="preserve">، واستوجهه ثاني الشهيدين أيضا </w:t>
      </w:r>
      <w:r>
        <w:rPr>
          <w:rStyle w:val="FootnoteAnchor"/>
          <w:rtl w:val="true"/>
        </w:rPr>
        <w:footnoteReference w:id="6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أوسطها ، لأنّ الأصل في مال الميّت الثابت بالعمومات والإطلاقات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الوارث ، إلاّ ما تعلّق به دين أو وصيّة ، والوصيّة قد بطلت هناك بعدم إمكان الإتيان بها ، فلا وجه لعدم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القدر من المال قد خرج عن ملك الورثة بالوصيّة النافذة ، ولا يمكن صرفها في الطاعة التي عيّنها الموصي ، فيصرف إلى غيرها من الطاعات ، لدخوله في الوصيّة ضمنا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تحقق الوصيّة النافذة ، لأنّ النفوذ فرع الإمكان ، وإذ ليس فليس ، وإمكان الطاعة الأخرى لا يفيد ، لعدم كونها موصى بها ، </w:t>
      </w:r>
    </w:p>
    <w:p>
      <w:pPr>
        <w:pStyle w:val="BookText"/>
        <w:rPr/>
      </w:pPr>
      <w:r>
        <w:rPr>
          <w:rFonts w:ascii="Amiri" w:hAnsi="Amiri" w:eastAsia="Amiri" w:cs="Amiri"/>
          <w:color w:val="111111"/>
          <w:sz w:val="28"/>
          <w:sz w:val="28"/>
          <w:szCs w:val="28"/>
          <w:rtl w:val="true"/>
          <w:lang w:bidi="ar-SA"/>
        </w:rPr>
        <w:t>ودخولها ضمنا إنّما يتمّ على قاعدة من لا يترك الميسور بالمعسور ، وقد بيّنا بطلانها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الوصيّة ابتداء ، فخرج عن الوارث لنفوذ الوصيّة المعيّنة ، فلا يعود إليه إلاّ بدليل ، ولم يثبت ، غاية الأمر أنّه قد تعذّر صرفه في الوجه المعيّن ، فيكون كمجهول المالك ، فيصرف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دليل على عوده إلى الوارث لا يوجب صرفه في وجوه البرّ أيضا ، لعدم الدليل عليه أيضا ، ومجهول المالك الذي يصرف فيها إنّما هو غير ذلك ، بل هو على النحو المعهود ، وقياس ذلك عليه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الموصى به على هذا الوجه إنّما هو مثل المبيع بشرط الخيار ، أو المبيع الذي يثبت فيه خيار الغبن للمشتري ، أو المؤجر به الذي ثبت للمستأجر خيار الفسخ بعد فوت المؤجر ، لحصول نقصان في منفعته أو عينه ، فإنّ العين في الأولين والمنفعة في الأخير لم تنتقل بالموت إلى الوارث ، ولكن كان للميّت في العين والمنفعة المذكورتين حقّ ، هو كونه بحيث لو فسخ العقد ينتقل إليه ، وهذا الحقّ قد انتقل إلى الوارث ، لانتقال جميع حقوق مورّثه إليه ولازم ذلك انتقال العين أو المنفعة إليه بعد الفسخ ، فكذا فيما نحن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الموصى به إنّما هو بحيث لو بطلت الوصيّة فيه ابتداء أو لعارض لصار كما كان ملكا للموصي ، وهذا حقّ له ينتقل إلى الوارث ، ويلزمه انتقال الموصى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ثبوت هذا الحقّ للموصي حتى ينتقل إلى الوارث؟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الموصى به كان ملكا له فالأصل بقاؤه عليه ، إلاّ بقدر علم </w:t>
      </w:r>
      <w:bookmarkStart w:id="87" w:name="pg11651_107756"/>
    </w:p>
    <w:p>
      <w:pPr>
        <w:pStyle w:val="BookText"/>
        <w:rPr/>
      </w:pPr>
      <w:bookmarkEnd w:id="87"/>
      <w:r>
        <w:rPr>
          <w:rFonts w:ascii="Amiri" w:hAnsi="Amiri" w:eastAsia="Amiri" w:cs="Amiri"/>
          <w:color w:val="111111"/>
          <w:sz w:val="28"/>
          <w:sz w:val="28"/>
          <w:szCs w:val="28"/>
          <w:rtl w:val="true"/>
          <w:lang w:bidi="ar-SA"/>
        </w:rPr>
        <w:t xml:space="preserve">خروجه منه ، ولم يعلم إلاّ هذا القدر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خرج عن ملكه ما دامت الوصيّة واجب العمل بها ، وأمّا الزائد عنه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خرج عن ملكه ، فيستصحب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صار واجب الصرف في الوصيّة ولزمه الخروج عن ملكه ، فإذا انتفى الملزوم لا يمكن استصحاب اللازم</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171972_73709187"/>
      <w:bookmarkStart w:id="89" w:name="_Toc33"/>
      <w:bookmarkEnd w:id="88"/>
      <w:r>
        <w:rPr>
          <w:rtl w:val="true"/>
        </w:rPr>
        <w:t xml:space="preserve">فروع </w:t>
      </w:r>
      <w:r>
        <w:rPr>
          <w:rtl w:val="true"/>
        </w:rPr>
        <w:t>:</w:t>
      </w:r>
      <w:bookmarkEnd w:id="8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رغبة الأجير في بعض الأعوام الآتية ، فإن كان عام الوصيّة معيّنا ولم يرغب فيه أجير لم يلزم الانتظار وبطلت الوصيّة ، ولو كان مطلقا وجب انتظاره ما لم يحصل اليأس ، لاستصحاب وجوب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العود إلى الوارث إنّما هو في الحجّ المندوب والزائد من الحجّة الميقاتيّة في الواجب ، وأمّا أجرة الميقاتيّة فيه فلا تعود إليه إلاّ إذا كان المال بقدر لا يفي بها أيضا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القدر المعيّن بقدر لا يرغب فيه أجير أصلا ، ولكن كان له نماء بعد حصوله يمكن وفاؤهما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كدكّان له منفعة وافية مع الأصل بالحجّ بعد مدّة ، أو أمكن استنماء المال بالتجارة وصرفه في الحجّ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العمل بالوصيّة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لأنّ الوصيّة إنّما تعلّقت بالأصل دون النماء ، ولعدم وفائه بالوصيّة تبطل الوصيّة ويعود ميراثا ، فلا يكون عليه نماؤه إلاّ للوارث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أوصى بالأصل والنماء يجب العمل بها</w:t>
      </w:r>
      <w:r>
        <w:rPr>
          <w:rFonts w:eastAsia="Amiri" w:cs="Amiri" w:ascii="Amiri" w:hAnsi="Amiri"/>
          <w:color w:val="111111"/>
          <w:sz w:val="28"/>
          <w:szCs w:val="28"/>
          <w:rtl w:val="true"/>
          <w:lang w:bidi="ar-SA"/>
        </w:rPr>
        <w:t xml:space="preserve">. </w:t>
      </w:r>
      <w:bookmarkStart w:id="90" w:name="pg11651_107757"/>
    </w:p>
    <w:p>
      <w:pPr>
        <w:pStyle w:val="Heading4"/>
        <w:numPr>
          <w:ilvl w:val="3"/>
          <w:numId w:val="1"/>
        </w:numPr>
        <w:rPr/>
      </w:pPr>
      <w:bookmarkStart w:id="91" w:name="__RefHeading___Toc6171974_73709187"/>
      <w:bookmarkStart w:id="92" w:name="_Toc34"/>
      <w:bookmarkEnd w:id="90"/>
      <w:bookmarkEnd w:id="91"/>
      <w:r>
        <w:rPr>
          <w:rtl w:val="true"/>
        </w:rPr>
        <w:t xml:space="preserve">الباب الثاني </w:t>
      </w:r>
      <w:r>
        <w:rPr>
          <w:rtl w:val="true"/>
        </w:rPr>
        <w:t xml:space="preserve">: </w:t>
      </w:r>
      <w:r>
        <w:rPr>
          <w:rtl w:val="true"/>
        </w:rPr>
        <w:t>في الحج المندوب</w:t>
      </w:r>
      <w:bookmarkEnd w:id="92"/>
    </w:p>
    <w:p>
      <w:pPr>
        <w:pStyle w:val="BookText"/>
        <w:rPr/>
      </w:pPr>
      <w:r>
        <w:rPr>
          <w:rFonts w:ascii="Amiri" w:hAnsi="Amiri" w:eastAsia="Amiri" w:cs="Amiri"/>
          <w:color w:val="111111"/>
          <w:sz w:val="28"/>
          <w:sz w:val="28"/>
          <w:szCs w:val="28"/>
          <w:rtl w:val="true"/>
          <w:lang w:bidi="ar-SA"/>
        </w:rPr>
        <w:t xml:space="preserve">اعلم أنّه يستحبّ الحجّ لفاقد الشرائط الخالي عن الموانع ، ومنه العبد المأذون والفقير والصبيّ المميّز ، للإجماع ، وعمومات الترغيب فيه ، وكذا يستحبّ لمن حجّ تكراره استحبابا مؤكّدا كما نطقت به الأخبار </w:t>
      </w:r>
      <w:r>
        <w:rPr>
          <w:rStyle w:val="FootnoteAnchor"/>
          <w:rtl w:val="true"/>
        </w:rPr>
        <w:footnoteReference w:id="614"/>
      </w:r>
      <w:r>
        <w:rPr>
          <w:rFonts w:ascii="Amiri" w:hAnsi="Amiri" w:eastAsia="Amiri" w:cs="Amiri"/>
          <w:color w:val="111111"/>
          <w:sz w:val="28"/>
          <w:sz w:val="28"/>
          <w:szCs w:val="28"/>
          <w:rtl w:val="true"/>
          <w:lang w:bidi="ar-SA"/>
        </w:rPr>
        <w:t xml:space="preserve">، وصرّح به العلماء الأخيار </w:t>
      </w:r>
      <w:r>
        <w:rPr>
          <w:rStyle w:val="FootnoteAnchor"/>
          <w:rtl w:val="true"/>
        </w:rPr>
        <w:footnoteReference w:id="615"/>
      </w:r>
      <w:r>
        <w:rPr>
          <w:rFonts w:ascii="Amiri" w:hAnsi="Amiri" w:eastAsia="Amiri" w:cs="Amiri"/>
          <w:color w:val="111111"/>
          <w:sz w:val="28"/>
          <w:sz w:val="28"/>
          <w:szCs w:val="28"/>
          <w:rtl w:val="true"/>
          <w:lang w:bidi="ar-SA"/>
        </w:rPr>
        <w:t xml:space="preserve">، 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حجّ ثلاث حجّات لم يصبه فقر أبدا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للموسر ترك الحجّ خمس سنين متوالية ، كما صرّح به في روايتي ذريح </w:t>
      </w:r>
      <w:r>
        <w:rPr>
          <w:rStyle w:val="FootnoteAnchor"/>
          <w:rtl w:val="true"/>
        </w:rPr>
        <w:footnoteReference w:id="617"/>
      </w:r>
      <w:r>
        <w:rPr>
          <w:rFonts w:ascii="IRNazanin" w:hAnsi="IRNazanin" w:eastAsia="IRNazanin"/>
          <w:color w:val="111111"/>
          <w:sz w:val="28"/>
          <w:sz w:val="28"/>
          <w:szCs w:val="28"/>
          <w:rtl w:val="true"/>
          <w:lang w:bidi="fa-IR"/>
        </w:rPr>
        <w:t xml:space="preserve">وحمران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حجّ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Style w:val="FootnoteAnchor"/>
          <w:rtl w:val="true"/>
        </w:rPr>
        <w:footnoteReference w:id="619"/>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خلافا في ذلك </w:t>
      </w:r>
      <w:r>
        <w:rPr>
          <w:rStyle w:val="FootnoteAnchor"/>
          <w:rtl w:val="true"/>
        </w:rPr>
        <w:footnoteReference w:id="620"/>
      </w:r>
      <w:r>
        <w:rPr>
          <w:rFonts w:ascii="Amiri" w:hAnsi="Amiri" w:eastAsia="Amiri" w:cs="Amiri"/>
          <w:color w:val="111111"/>
          <w:sz w:val="28"/>
          <w:sz w:val="28"/>
          <w:szCs w:val="28"/>
          <w:rtl w:val="true"/>
          <w:lang w:bidi="ar-SA"/>
        </w:rPr>
        <w:t>، والظاهر أنّ المراد اشتراطه في الصحّة دون الاستحباب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عليه حجّ واجب فورا ، لمنافاته </w:t>
      </w:r>
    </w:p>
    <w:p>
      <w:pPr>
        <w:pStyle w:val="BookText"/>
        <w:rPr/>
      </w:pPr>
      <w:r>
        <w:rPr>
          <w:rFonts w:ascii="Amiri" w:hAnsi="Amiri" w:eastAsia="Amiri" w:cs="Amiri"/>
          <w:color w:val="111111"/>
          <w:sz w:val="28"/>
          <w:sz w:val="28"/>
          <w:szCs w:val="28"/>
          <w:rtl w:val="true"/>
          <w:lang w:bidi="ar-SA"/>
        </w:rPr>
        <w:t>للواجب المضيّق ، فيكون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متعلّق بأمر خارج ، فلا يلزمه فساد الحجّ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ووقوعه عن حجّة الإسلام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تطوّعا وبقاء حجّة الإسلام في ذمّته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الزوج والمولى ، كما مرّ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البلوغ ، وقد مرّ أيضا</w:t>
      </w:r>
      <w:r>
        <w:rPr>
          <w:rFonts w:eastAsia="Amiri" w:cs="Amiri" w:ascii="Amiri" w:hAnsi="Amiri"/>
          <w:color w:val="111111"/>
          <w:sz w:val="28"/>
          <w:szCs w:val="28"/>
          <w:rtl w:val="true"/>
          <w:lang w:bidi="ar-SA"/>
        </w:rPr>
        <w:t xml:space="preserve">. </w:t>
      </w:r>
      <w:bookmarkStart w:id="93" w:name="pg11651_107759"/>
    </w:p>
    <w:p>
      <w:pPr>
        <w:pStyle w:val="Heading4"/>
        <w:numPr>
          <w:ilvl w:val="3"/>
          <w:numId w:val="1"/>
        </w:numPr>
        <w:rPr/>
      </w:pPr>
      <w:bookmarkStart w:id="94" w:name="__RefHeading___Toc6171976_73709187"/>
      <w:bookmarkStart w:id="95" w:name="_Toc35"/>
      <w:bookmarkEnd w:id="93"/>
      <w:bookmarkEnd w:id="94"/>
      <w:r>
        <w:rPr>
          <w:rtl w:val="true"/>
        </w:rPr>
        <w:t xml:space="preserve">الباب الثالث </w:t>
      </w:r>
      <w:r>
        <w:rPr>
          <w:rtl w:val="true"/>
        </w:rPr>
        <w:t xml:space="preserve">: </w:t>
      </w:r>
      <w:r>
        <w:rPr>
          <w:rtl w:val="true"/>
        </w:rPr>
        <w:t>في أقسام العمرة بحسب الحكم</w:t>
      </w:r>
      <w:bookmarkEnd w:id="95"/>
    </w:p>
    <w:p>
      <w:pPr>
        <w:pStyle w:val="BookText"/>
        <w:rPr/>
      </w:pPr>
      <w:r>
        <w:rPr>
          <w:rFonts w:ascii="Amiri" w:hAnsi="Amiri" w:eastAsia="Amiri" w:cs="Amiri"/>
          <w:color w:val="111111"/>
          <w:sz w:val="28"/>
          <w:sz w:val="28"/>
          <w:szCs w:val="28"/>
          <w:rtl w:val="true"/>
          <w:lang w:bidi="ar-SA"/>
        </w:rPr>
        <w:t xml:space="preserve">وهي أيضا كالحجّ تنقسم إلى واجب أصليّ ، أو عارضيّ ومندوب ، نذكر بعض أحكامها بحسب هذه القسمة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العمرة على الفور في العمر مرّة بأصل الشرع على كلّ مكلّف ، بالشرائط المعتبرة في الحجّ ، بالكتاب </w:t>
      </w:r>
      <w:r>
        <w:rPr>
          <w:rStyle w:val="FootnoteAnchor"/>
          <w:rtl w:val="true"/>
        </w:rPr>
        <w:footnoteReference w:id="624"/>
      </w:r>
      <w:r>
        <w:rPr>
          <w:rFonts w:ascii="Amiri" w:hAnsi="Amiri" w:eastAsia="Amiri" w:cs="Amiri"/>
          <w:color w:val="111111"/>
          <w:sz w:val="28"/>
          <w:sz w:val="28"/>
          <w:szCs w:val="28"/>
          <w:rtl w:val="true"/>
          <w:lang w:bidi="ar-SA"/>
        </w:rPr>
        <w:t xml:space="preserve">، والسنّة ، والإجماع المحقّق والمنقول مستفيضا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واجبة على الخلق بمنزلة الحجّ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مفروضان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إلى غير ذلك من الأخبار الغير العديدة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العمرة عند تحقّق استطاعتها وعدم توقّفه على تحقّق الاستطاعة للحجّ ، بل لو استطاع لها خاصّة وجبت ، كما أنّه لو استطاع للحجّ خاصّة وجب دون العمرة ، لإطلاق الأوامر ، وعدم وجدان دليل يدلّ على ارتباط أحدهما بالآخر في الوجوب ، كما صرّح به </w:t>
      </w:r>
    </w:p>
    <w:p>
      <w:pPr>
        <w:pStyle w:val="BookText"/>
        <w:rPr/>
      </w:pPr>
      <w:r>
        <w:rPr>
          <w:rFonts w:ascii="Amiri" w:hAnsi="Amiri" w:eastAsia="Amiri" w:cs="Amiri"/>
          <w:color w:val="111111"/>
          <w:sz w:val="28"/>
          <w:sz w:val="28"/>
          <w:szCs w:val="28"/>
          <w:rtl w:val="true"/>
          <w:lang w:bidi="ar-SA"/>
        </w:rPr>
        <w:t xml:space="preserve">غير واحد أيضا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المسألة قولان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لا يجب إلاّ عند الاستطاعة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يجب عند استطاعته دون العمرة ، فإنّه لا يجب إلاّ عند الاستطاعة للحجّ ، ونقل ذلك عن الدروس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عمرة التمتّع ، فلا ريب في توقّف وجوبها على الاستطاعة للحجّ ، لدخولها فيه وارتباطها به وكونها بمنزلة الجزء منه ، وهو موضع وفاق ومدلول عليه بالأخبار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المتمتّع بها تجزئ عن العمرة المفردة المفروضة ، إجماعا فتوى محقّقا ومنقولا </w:t>
      </w:r>
      <w:r>
        <w:rPr>
          <w:rStyle w:val="FootnoteAnchor"/>
          <w:rtl w:val="true"/>
        </w:rPr>
        <w:footnoteReference w:id="632"/>
      </w:r>
      <w:r>
        <w:rPr>
          <w:rFonts w:ascii="Amiri" w:hAnsi="Amiri" w:eastAsia="Amiri" w:cs="Amiri"/>
          <w:color w:val="111111"/>
          <w:sz w:val="28"/>
          <w:sz w:val="28"/>
          <w:szCs w:val="28"/>
          <w:rtl w:val="true"/>
          <w:lang w:bidi="ar-SA"/>
        </w:rPr>
        <w:t>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تمتّع الرجل بالعمرة فقد قضى ما عليه من فريضة العمرة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صحيحة يعقوب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الرجل إذا تمتّع بالعمرة إلى الحجّ مكان تلك العمرة المفردة؟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أمر رسول اللّه صلی اللّه عليه وآله أصحابه </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العمرة واجبة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يجزئ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أدّى المتعة فقد أدّى العمرة المفروضة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تجب العمرة بنذر أو عهد أو يمين ، وبالاستئجار ، وبالإفساد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أفسد عمرة يجب عليه فعلها ثانيا وإن كانت مندوبة ، كالحجّ على ما قطع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وبفوات الحجّ ، فإنّه يجب التحلّل منه بعمرة مفردة ، كما يأتي في مسائل فوات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أيضا لمن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يستثنى ، كما يأتي في آخر كتاب الحجّ في بحث خصائص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بالوجوب في ذلك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الشرطي دون الشرعي ، فإنّ الإثم والمؤاخذة مترتّب على الدخول بغير إحرام ، والمطلوب هو عدم الدخول بدون الإحرام ، دون الإحرام والدخول ، ولا إثم على تركها لو دخل بدونه ، وهو له كالطهارة لصلاة النافلة ، إلاّ إذا وجب الدخول ، فإنّه يجب الإحرام حينئذ أيضا ، لوجوب مقدّمة الواجب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المراد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دون المعيّن ، لتخيّر الداخل بين إحرامه بالحجّ وبالعمرة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ما ذكر مندوب ، ولا خلاف في استحبابها تمتّعا كلّما يستحبّ حجّ التمتّع ، وإفرادا لغير المتمتّع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الخلاف في المدّة التي تستحبّ فيها العمرة المفردة بعد عمرة </w:t>
      </w:r>
    </w:p>
    <w:p>
      <w:pPr>
        <w:pStyle w:val="BookText"/>
        <w:rPr/>
      </w:pPr>
      <w:r>
        <w:rPr>
          <w:rFonts w:ascii="Amiri" w:hAnsi="Amiri" w:eastAsia="Amiri" w:cs="Amiri"/>
          <w:color w:val="111111"/>
          <w:sz w:val="28"/>
          <w:sz w:val="28"/>
          <w:szCs w:val="28"/>
          <w:rtl w:val="true"/>
          <w:lang w:bidi="ar-SA"/>
        </w:rPr>
        <w:t>أخرى ، أي في الزمان الذي يصحّ فيه تتابع العمرتين المفردتين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لم يقدّر بينهما حدّا ، بل جوّز الاعتمار في كلّ يوم مرّة فصاعدا ، حكي ذلك عن السيّد والحلّي والديلمي </w:t>
      </w:r>
      <w:r>
        <w:rPr>
          <w:rStyle w:val="FootnoteAnchor"/>
          <w:rtl w:val="true"/>
        </w:rPr>
        <w:footnoteReference w:id="637"/>
      </w:r>
      <w:r>
        <w:rPr>
          <w:rFonts w:ascii="Amiri" w:hAnsi="Amiri" w:eastAsia="Amiri" w:cs="Amiri"/>
          <w:color w:val="111111"/>
          <w:sz w:val="28"/>
          <w:sz w:val="28"/>
          <w:szCs w:val="28"/>
          <w:rtl w:val="true"/>
          <w:lang w:bidi="ar-SA"/>
        </w:rPr>
        <w:t xml:space="preserve">وكثير من المتأخّرين </w:t>
      </w:r>
      <w:r>
        <w:rPr>
          <w:rStyle w:val="FootnoteAnchor"/>
          <w:rtl w:val="true"/>
        </w:rPr>
        <w:footnoteReference w:id="638"/>
      </w:r>
      <w:r>
        <w:rPr>
          <w:rFonts w:ascii="Amiri" w:hAnsi="Amiri" w:eastAsia="Amiri" w:cs="Amiri"/>
          <w:color w:val="111111"/>
          <w:sz w:val="28"/>
          <w:sz w:val="28"/>
          <w:szCs w:val="28"/>
          <w:rtl w:val="true"/>
          <w:lang w:bidi="ar-SA"/>
        </w:rPr>
        <w:t xml:space="preserve">، وعن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أصحابنا مؤذنا بدعوى الإجماع عليه </w:t>
      </w:r>
      <w:r>
        <w:rPr>
          <w:rStyle w:val="FootnoteAnchor"/>
          <w:rtl w:val="true"/>
        </w:rPr>
        <w:footnoteReference w:id="639"/>
      </w:r>
      <w:r>
        <w:rPr>
          <w:rFonts w:ascii="IRNazanin" w:hAnsi="IRNazanin" w:eastAsia="IRNazanin"/>
          <w:color w:val="111111"/>
          <w:sz w:val="28"/>
          <w:sz w:val="28"/>
          <w:szCs w:val="28"/>
          <w:rtl w:val="true"/>
          <w:lang w:bidi="fa-IR"/>
        </w:rPr>
        <w:t xml:space="preserve">، لإطلاقات الأمر بالاعتمار </w:t>
      </w:r>
      <w:r>
        <w:rPr>
          <w:rStyle w:val="FootnoteAnchor"/>
          <w:rtl w:val="true"/>
        </w:rPr>
        <w:footnoteReference w:id="640"/>
      </w:r>
      <w:r>
        <w:rPr>
          <w:rFonts w:ascii="Amiri" w:hAnsi="Amiri" w:eastAsia="Amiri" w:cs="Amiri"/>
          <w:color w:val="111111"/>
          <w:sz w:val="28"/>
          <w:sz w:val="28"/>
          <w:szCs w:val="28"/>
          <w:rtl w:val="true"/>
          <w:lang w:bidi="ar-SA"/>
        </w:rPr>
        <w:t>، فلا يتقيّد بوقت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ما يكون بينهما عشرة أيّام ، وهو منقول عن الإسكافي والشيخ في أحد قوليه والمهذّب والجامع والإصباح والتحرير والتذكرة والمنتهى والإرشاد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عليّ بن أبي حمزة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لكلّ عشرة أيّام عمرة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أقلّه شهر ، وهو القول الآخر للشيخ وابن حمزة والحلبي وابن زهرة والنافع والمختلف </w:t>
      </w:r>
      <w:r>
        <w:rPr>
          <w:rStyle w:val="FootnoteAnchor"/>
          <w:rtl w:val="true"/>
        </w:rPr>
        <w:footnoteReference w:id="643"/>
      </w:r>
      <w:r>
        <w:rPr>
          <w:rFonts w:ascii="Amiri" w:hAnsi="Amiri" w:eastAsia="Amiri" w:cs="Amiri"/>
          <w:color w:val="111111"/>
          <w:sz w:val="28"/>
          <w:sz w:val="28"/>
          <w:szCs w:val="28"/>
          <w:rtl w:val="true"/>
          <w:lang w:bidi="ar-SA"/>
        </w:rPr>
        <w:t xml:space="preserve">، وإن احتمل كلام الأخيرين </w:t>
      </w:r>
    </w:p>
    <w:p>
      <w:pPr>
        <w:pStyle w:val="BookText"/>
        <w:rPr/>
      </w:pPr>
      <w:r>
        <w:rPr>
          <w:rFonts w:ascii="Amiri" w:hAnsi="Amiri" w:eastAsia="Amiri" w:cs="Amiri"/>
          <w:color w:val="111111"/>
          <w:sz w:val="28"/>
          <w:sz w:val="28"/>
          <w:szCs w:val="28"/>
          <w:rtl w:val="true"/>
          <w:lang w:bidi="ar-SA"/>
        </w:rPr>
        <w:t>للتوقّف وللتردّد بين الشهر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لصحيحتي الحلبي </w:t>
      </w:r>
      <w:r>
        <w:rPr>
          <w:rStyle w:val="FootnoteAnchor"/>
          <w:rtl w:val="true"/>
        </w:rPr>
        <w:footnoteReference w:id="644"/>
      </w:r>
      <w:r>
        <w:rPr>
          <w:rFonts w:ascii="Amiri" w:hAnsi="Amiri" w:eastAsia="Amiri" w:cs="Amiri"/>
          <w:color w:val="111111"/>
          <w:sz w:val="28"/>
          <w:sz w:val="28"/>
          <w:szCs w:val="28"/>
          <w:rtl w:val="true"/>
          <w:lang w:bidi="ar-SA"/>
        </w:rPr>
        <w:t xml:space="preserve">وابن عمّار </w:t>
      </w:r>
      <w:r>
        <w:rPr>
          <w:rStyle w:val="FootnoteAnchor"/>
          <w:rtl w:val="true"/>
        </w:rPr>
        <w:footnoteReference w:id="645"/>
      </w:r>
      <w:r>
        <w:rPr>
          <w:rFonts w:ascii="Amiri" w:hAnsi="Amiri" w:eastAsia="Amiri" w:cs="Amiri"/>
          <w:color w:val="111111"/>
          <w:sz w:val="28"/>
          <w:sz w:val="28"/>
          <w:szCs w:val="28"/>
          <w:rtl w:val="true"/>
          <w:lang w:bidi="ar-SA"/>
        </w:rPr>
        <w:t xml:space="preserve">، وموثّقتي يونس </w:t>
      </w:r>
      <w:r>
        <w:rPr>
          <w:rStyle w:val="FootnoteAnchor"/>
          <w:rtl w:val="true"/>
        </w:rPr>
        <w:footnoteReference w:id="646"/>
      </w:r>
      <w:r>
        <w:rPr>
          <w:rFonts w:ascii="IRNazanin" w:hAnsi="IRNazanin" w:eastAsia="IRNazanin"/>
          <w:color w:val="111111"/>
          <w:sz w:val="28"/>
          <w:sz w:val="28"/>
          <w:szCs w:val="28"/>
          <w:rtl w:val="true"/>
          <w:lang w:bidi="fa-IR"/>
        </w:rPr>
        <w:t xml:space="preserve">وإسحاق </w:t>
      </w:r>
      <w:r>
        <w:rPr>
          <w:rStyle w:val="FootnoteAnchor"/>
          <w:rtl w:val="true"/>
        </w:rPr>
        <w:footnoteReference w:id="647"/>
      </w:r>
      <w:r>
        <w:rPr>
          <w:rFonts w:ascii="Amiri" w:hAnsi="Amiri" w:eastAsia="Amiri" w:cs="Amiri"/>
          <w:color w:val="111111"/>
          <w:sz w:val="28"/>
          <w:sz w:val="28"/>
          <w:szCs w:val="28"/>
          <w:rtl w:val="true"/>
          <w:lang w:bidi="ar-SA"/>
        </w:rPr>
        <w:t xml:space="preserve">، ورواية عليّ بن أبي حمزة ، المتضمّنة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في السنة إلاّ عمرة واحدة ، فأقلّ ما يكون بينهما السنة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لصحيحتي الحلبي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عمرتان في سنة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كما في إحداهما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في كلّ سنة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كما في الأخرى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ضعف القول الأخير وإن صحّت روايتاه ، لشذوذهما ، كما صرّح به غير واحد </w:t>
      </w:r>
      <w:r>
        <w:rPr>
          <w:rStyle w:val="FootnoteAnchor"/>
          <w:rtl w:val="true"/>
        </w:rPr>
        <w:footnoteReference w:id="651"/>
      </w:r>
      <w:r>
        <w:rPr>
          <w:rFonts w:ascii="Amiri" w:hAnsi="Amiri" w:eastAsia="Amiri" w:cs="Amiri"/>
          <w:color w:val="111111"/>
          <w:sz w:val="28"/>
          <w:sz w:val="28"/>
          <w:szCs w:val="28"/>
          <w:rtl w:val="true"/>
          <w:lang w:bidi="ar-SA"/>
        </w:rPr>
        <w:t xml:space="preserve">، مضافا إلى ضعف دلالة الأخيرة على المنع عن الزائد ، واحتمالهما التقيّة ، لموافقتهما لبعض العامّة كما قيل </w:t>
      </w:r>
      <w:r>
        <w:rPr>
          <w:rStyle w:val="FootnoteAnchor"/>
          <w:rtl w:val="true"/>
        </w:rPr>
        <w:footnoteReference w:id="6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وعمومهما بالنسبة إلى المتمتّع بها والمفرد ، واختصاص معارضتهما بالأخيرة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ما ذكر يظهر جواب أدلّة القول الثالث أيضا ، فإنّها غير دالّة على المنع عن الزائد ، بل غايتها الدلالة على جواز الاعتمار في كلّ شهر وأنّ لكلّ شهر عمرة ، وهو لا يدلّ على النهي عن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من المتأخّرين جماعة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يؤكّد عدم الدلالة رواية عليّ بن أبي حمزة المتقدّمة ، فلا معارض لذيل هذه الرواية المجوّزة لها في كلّ عشرة ، وضعف سندها غير ضائر بعد وجودها في الكتب المعتبرة ، فلا وجه لردّها بالمرّة ، وهو دليل القول الثاني ، ولكن في دلالتها على ما هو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من الزائد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المنع ، وسبيلها سبيل الأخبار السابقة ، واقتضاء سوق السؤال له ممنوع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دليل القول الأول ، وهو في غاية الجودة والمتانة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الإطلاقات بالنسبة إلى تحديد المدّة بينهما مجملة غير واضحة الدلالة ، وإنّما هي مسوقة لبيان الفضيلة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مردود بكفاية الفضيلة ، لحسنها في كلّ مرّة ، ولا يحتاج إلى تحديد المدّة ، مع أنّ المقام مقام الاستحباب المتحمّل للمسامحة ، فتكفي فيه فتوى الأجلّة وظاهر الإجماع المحكيّ </w:t>
      </w:r>
      <w:r>
        <w:rPr>
          <w:rStyle w:val="FootnoteAnchor"/>
          <w:rtl w:val="true"/>
        </w:rPr>
        <w:footnoteReference w:id="654"/>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96" w:name="pg11651_107765"/>
    </w:p>
    <w:p>
      <w:pPr>
        <w:pStyle w:val="Heading3"/>
        <w:numPr>
          <w:ilvl w:val="2"/>
          <w:numId w:val="1"/>
        </w:numPr>
        <w:rPr/>
      </w:pPr>
      <w:bookmarkStart w:id="97" w:name="__RefHeading___Toc6171978_73709187"/>
      <w:bookmarkStart w:id="98" w:name="_Toc36"/>
      <w:bookmarkEnd w:id="96"/>
      <w:bookmarkEnd w:id="97"/>
      <w:r>
        <w:rPr>
          <w:rtl w:val="true"/>
        </w:rPr>
        <w:t xml:space="preserve">المقصد الثاني </w:t>
      </w:r>
      <w:r>
        <w:rPr>
          <w:rtl w:val="true"/>
        </w:rPr>
        <w:t xml:space="preserve">: </w:t>
      </w:r>
      <w:r>
        <w:rPr>
          <w:rtl w:val="true"/>
        </w:rPr>
        <w:t>في بيان المواقيت وأحكامها</w:t>
      </w:r>
      <w:bookmarkEnd w:id="98"/>
    </w:p>
    <w:p>
      <w:pPr>
        <w:pStyle w:val="Heading4"/>
        <w:numPr>
          <w:ilvl w:val="3"/>
          <w:numId w:val="1"/>
        </w:numPr>
        <w:rPr/>
      </w:pPr>
      <w:bookmarkStart w:id="99" w:name="__RefHeading___Toc6171980_73709187"/>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وهي جمع الميقات ، 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المعيّنة شرعا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أفعال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إيقاعه في موضع معيّن ، وقد قرّر الشارع لكلّ طائفة موضعا خاصّا يجب عليه إحرامه منه ، وباعتبار تعدّد تلك الطوائف تكثّرت المواقيت ، فمنهم من جعلها خمسة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ستّة ، ومنهم من حصرها في سبعة ، ومنهم في عشرة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تلك الاختلافات باعتبار الاختلاف في جواز الإحرام من الجميع وعدمه ، لأنّ الجميع ممّا جوّزوا بل أوجبوا إحرام أهله منه ، بل لكلّ نكتة في تعيين العدد بحسب نظره ، كما أنّ من ذكر الخمسة نظر إلى ذكرها بخصوصها في بعض الأحاديث </w:t>
      </w:r>
      <w:r>
        <w:rPr>
          <w:rStyle w:val="FootnoteAnchor"/>
          <w:rtl w:val="true"/>
        </w:rPr>
        <w:footnoteReference w:id="655"/>
      </w:r>
      <w:r>
        <w:rPr>
          <w:rFonts w:ascii="Amiri" w:hAnsi="Amiri" w:eastAsia="Amiri" w:cs="Amiri"/>
          <w:color w:val="111111"/>
          <w:sz w:val="28"/>
          <w:sz w:val="28"/>
          <w:szCs w:val="28"/>
          <w:rtl w:val="true"/>
          <w:lang w:bidi="ar-SA"/>
        </w:rPr>
        <w:t xml:space="preserve">، أو إلى أنّها ممّا خصّها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 w:name="pg11651_107766"/>
    </w:p>
    <w:p>
      <w:pPr>
        <w:pStyle w:val="BookText"/>
        <w:rPr/>
      </w:pPr>
      <w:bookmarkEnd w:id="101"/>
      <w:r>
        <w:rPr>
          <w:rFonts w:ascii="Amiri" w:hAnsi="Amiri" w:eastAsia="Amiri" w:cs="Amiri"/>
          <w:color w:val="111111"/>
          <w:sz w:val="28"/>
          <w:sz w:val="28"/>
          <w:szCs w:val="28"/>
          <w:rtl w:val="true"/>
          <w:lang w:bidi="ar-SA"/>
        </w:rPr>
        <w:t xml:space="preserve">بذلك الحكم </w:t>
      </w:r>
      <w:r>
        <w:rPr>
          <w:rStyle w:val="FootnoteAnchor"/>
          <w:rtl w:val="true"/>
        </w:rPr>
        <w:footnoteReference w:id="656"/>
      </w:r>
      <w:r>
        <w:rPr>
          <w:rFonts w:ascii="Amiri" w:hAnsi="Amiri" w:eastAsia="Amiri" w:cs="Amiri"/>
          <w:color w:val="111111"/>
          <w:sz w:val="28"/>
          <w:sz w:val="28"/>
          <w:szCs w:val="28"/>
          <w:rtl w:val="true"/>
          <w:lang w:bidi="ar-SA"/>
        </w:rPr>
        <w:t>، وبذلك عرف ، ولا حكم له غير ذلك ، وكما أنّ من لم يذكر الفخّ لأنّه ليس ميقاتا لحجّ واجب أو عمرة واجبة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مجموع المواقيت التي يتحقّق فيها الإحرام عشرة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171982_73709187"/>
      <w:bookmarkStart w:id="103" w:name="_Toc38"/>
      <w:bookmarkEnd w:id="102"/>
      <w:r>
        <w:rPr>
          <w:rtl w:val="true"/>
        </w:rPr>
        <w:t xml:space="preserve">الأول </w:t>
      </w:r>
      <w:r>
        <w:rPr>
          <w:rtl w:val="true"/>
        </w:rPr>
        <w:t xml:space="preserve">: </w:t>
      </w:r>
      <w:r>
        <w:rPr>
          <w:rtl w:val="true"/>
        </w:rPr>
        <w:t>العقيق</w:t>
      </w:r>
      <w:bookmarkEnd w:id="103"/>
    </w:p>
    <w:p>
      <w:pPr>
        <w:pStyle w:val="BookText"/>
        <w:rPr/>
      </w:pPr>
      <w:r>
        <w:rPr>
          <w:rFonts w:ascii="Amiri" w:hAnsi="Amiri" w:eastAsia="Amiri" w:cs="Amiri"/>
          <w:color w:val="111111"/>
          <w:sz w:val="28"/>
          <w:sz w:val="28"/>
          <w:szCs w:val="28"/>
          <w:rtl w:val="true"/>
          <w:lang w:bidi="ar-SA"/>
        </w:rPr>
        <w:t xml:space="preserve">وهو ميقات العراقيين والنجديين ومن والاهم ، وهو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واد عقّه السيل ، أي شقّه فأنهره ووسّعه </w:t>
      </w:r>
      <w:r>
        <w:rPr>
          <w:rStyle w:val="FootnoteAnchor"/>
          <w:rtl w:val="true"/>
        </w:rPr>
        <w:footnoteReference w:id="657"/>
      </w:r>
      <w:r>
        <w:rPr>
          <w:rFonts w:ascii="Amiri" w:hAnsi="Amiri" w:eastAsia="Amiri" w:cs="Amiri"/>
          <w:color w:val="111111"/>
          <w:sz w:val="28"/>
          <w:sz w:val="28"/>
          <w:szCs w:val="28"/>
          <w:rtl w:val="true"/>
          <w:lang w:bidi="ar-SA"/>
        </w:rPr>
        <w:t xml:space="preserve">، وسمّيت به أربعة أودية في بلاد العرب ، أحدها الميقات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يندفق سيله في غوري تهامة ، كما حكي عن تهذيب اللغة </w:t>
      </w:r>
      <w:r>
        <w:rPr>
          <w:rStyle w:val="FootnoteAnchor"/>
          <w:rtl w:val="true"/>
        </w:rPr>
        <w:footnoteReference w:id="658"/>
      </w:r>
      <w:r>
        <w:rPr>
          <w:rFonts w:ascii="IRNazanin" w:hAnsi="IRNazanin" w:eastAsia="IRNazanin"/>
          <w:color w:val="111111"/>
          <w:sz w:val="28"/>
          <w:sz w:val="28"/>
          <w:szCs w:val="28"/>
          <w:rtl w:val="true"/>
          <w:lang w:bidi="fa-IR"/>
        </w:rPr>
        <w:t>، وله طرفان ووسط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المسلح ، بفتح الميم وكسرها ، كما في السرائر </w:t>
      </w:r>
      <w:r>
        <w:rPr>
          <w:rStyle w:val="FootnoteAnchor"/>
          <w:rtl w:val="true"/>
        </w:rPr>
        <w:footnoteReference w:id="659"/>
      </w:r>
      <w:r>
        <w:rPr>
          <w:rFonts w:ascii="Amiri" w:hAnsi="Amiri" w:eastAsia="Amiri" w:cs="Amiri"/>
          <w:color w:val="111111"/>
          <w:sz w:val="28"/>
          <w:sz w:val="28"/>
          <w:szCs w:val="28"/>
          <w:rtl w:val="true"/>
          <w:lang w:bidi="ar-SA"/>
        </w:rPr>
        <w:t xml:space="preserve">، ثم بالمهملتين ، كما عن فخر المحقّقين والتنقيح </w:t>
      </w:r>
      <w:r>
        <w:rPr>
          <w:rStyle w:val="FootnoteAnchor"/>
          <w:rtl w:val="true"/>
        </w:rPr>
        <w:footnoteReference w:id="660"/>
      </w:r>
      <w:r>
        <w:rPr>
          <w:rFonts w:ascii="Amiri" w:hAnsi="Amiri" w:eastAsia="Amiri" w:cs="Amiri"/>
          <w:color w:val="111111"/>
          <w:sz w:val="28"/>
          <w:sz w:val="28"/>
          <w:szCs w:val="28"/>
          <w:rtl w:val="true"/>
          <w:lang w:bidi="ar-SA"/>
        </w:rPr>
        <w:t>، أي الموضع العالي ، أو مكان أخذ السلاح ولبس لامة الحرب ، ويناسبه تسميته ببريد البعث أيضا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بالخاء المعجمة ، كما حكاه الشهيد الثاني عن بعض الفقهاء </w:t>
      </w:r>
      <w:r>
        <w:rPr>
          <w:rStyle w:val="FootnoteAnchor"/>
          <w:rtl w:val="true"/>
        </w:rPr>
        <w:footnoteReference w:id="661"/>
      </w:r>
      <w:r>
        <w:rPr>
          <w:rFonts w:ascii="Amiri" w:hAnsi="Amiri" w:eastAsia="Amiri" w:cs="Amiri"/>
          <w:color w:val="111111"/>
          <w:sz w:val="28"/>
          <w:sz w:val="28"/>
          <w:szCs w:val="28"/>
          <w:rtl w:val="true"/>
          <w:lang w:bidi="ar-SA"/>
        </w:rPr>
        <w:t>، أي موضع النزع ، سمّي به لأنّه تنزع فيه الثياب للإحرام ، ومقتضى ذلك تأخير التسمية عن وضعه ميقاتا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 ثم الميم الساكنة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 ثم </w:t>
      </w:r>
    </w:p>
    <w:p>
      <w:pPr>
        <w:pStyle w:val="BookText"/>
        <w:rPr/>
      </w:pPr>
      <w:r>
        <w:rPr>
          <w:rFonts w:ascii="Amiri" w:hAnsi="Amiri" w:eastAsia="Amiri" w:cs="Amiri"/>
          <w:color w:val="111111"/>
          <w:sz w:val="28"/>
          <w:sz w:val="28"/>
          <w:szCs w:val="28"/>
          <w:rtl w:val="true"/>
          <w:lang w:bidi="ar-SA"/>
        </w:rPr>
        <w:t xml:space="preserve">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منهلة من مناهل طريق مكّة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 نجد وتهامة ، كما عن الأزهري </w:t>
      </w:r>
      <w:r>
        <w:rPr>
          <w:rStyle w:val="FootnoteAnchor"/>
          <w:rtl w:val="true"/>
        </w:rPr>
        <w:footnoteReference w:id="662"/>
      </w:r>
      <w:r>
        <w:rPr>
          <w:rFonts w:ascii="IRNazanin" w:hAnsi="IRNazanin" w:eastAsia="IRNazanin"/>
          <w:color w:val="111111"/>
          <w:sz w:val="28"/>
          <w:sz w:val="28"/>
          <w:szCs w:val="28"/>
          <w:rtl w:val="true"/>
          <w:lang w:bidi="fa-IR"/>
        </w:rPr>
        <w:t xml:space="preserve">والقاموس </w:t>
      </w:r>
      <w:r>
        <w:rPr>
          <w:rStyle w:val="FootnoteAnchor"/>
          <w:rtl w:val="true"/>
        </w:rPr>
        <w:footnoteReference w:id="663"/>
      </w:r>
      <w:r>
        <w:rPr>
          <w:rFonts w:ascii="Amiri" w:hAnsi="Amiri" w:eastAsia="Amiri" w:cs="Amiri"/>
          <w:color w:val="111111"/>
          <w:sz w:val="28"/>
          <w:sz w:val="28"/>
          <w:szCs w:val="28"/>
          <w:rtl w:val="true"/>
          <w:lang w:bidi="ar-SA"/>
        </w:rPr>
        <w:t>، سمّيت بها لزحمة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 بالمهملة المكسورة ، ثم المهملة الساكنة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الصغير ، سمّيت بها لأنّه كان بها عرق من الماء ، أي قليل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قرية فخربت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كون العقيق ميقاتا لمن ذكر ممّا لا خلاف فيه ، بل نقل عليه الإجماع مستفيضا </w:t>
      </w:r>
      <w:r>
        <w:rPr>
          <w:rStyle w:val="FootnoteAnchor"/>
          <w:rtl w:val="true"/>
        </w:rPr>
        <w:footnoteReference w:id="665"/>
      </w:r>
      <w:r>
        <w:rPr>
          <w:rFonts w:ascii="Amiri" w:hAnsi="Amiri" w:eastAsia="Amiri" w:cs="Amiri"/>
          <w:color w:val="111111"/>
          <w:sz w:val="28"/>
          <w:sz w:val="28"/>
          <w:szCs w:val="28"/>
          <w:rtl w:val="true"/>
          <w:lang w:bidi="ar-SA"/>
        </w:rPr>
        <w:t xml:space="preserve">، وتدلّ عليه الأخبار المستفيضة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الحجّ والعمرة أن تحرم من المواقيت التي وقّتها رسول اللّه صلی اللّه عليه وآله ، لا تجاوزها إلاّ وأنت محرم ، فإنّه 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يومئذ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العقيق من قبل أهل العراق ، ووقّت لأهل اليمن يلملم ، ووقّت لأهل الطائف قرن المنازل ، ووقت لأهل المغرب الجحفة ، وهي مهيعة ، ووقّت لأهل المدينة ذا الحليفة ، ومن كان منزله خلف هذه المواقيت ممّا يلي مكّة فوقته منزله </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 من مواقيت خمسة ، وقّتها رسول اللّه صلی اللّه عليه وآله ، لا ينبغي لحاج ولا لمعتمر أن يحرم قبلها ولا بعدها ، وقّت لأهل المدينة ذا الحليفة ، وهو مسجد الشجرة يصلّى فيه ويفرض الحجّ ، ووقّت لأهل الشام الجحفة ، ووقّت لأهل نجد العقيق ، ووقّت لأهل الطائف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قرن المنازل ، ووقّت لأهل اليمن يلملم ، ولا ينبغي لأحد أن يرغب عن مواقيت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الأخرى لعبيد اللّه بن عليّ الحلبي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ويفرض 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خرج من المسجد وسار واستوت به البيداء حين يحاذي الميل الأول أحرم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العقيق أوقت وقّته رسول اللّه صلی اللّه عليه وآله أو شي‌ء صنعه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وقّت لأهل المدينة ذا الحليفة ، ووقّت لأهل المغرب الجحفة ، وهي عندنا مكتوبة مهيعة ، ووقّت لأهل اليمن يلملم ، ووقّت لأهل الطائف قرن المنازل ، ووقّت لأهل نجد العقيق وما أنجدت </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أرض نجد ، أي وقّته لمن دخل أرض 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صلی اللّه عليه وآله العقيق لأهل نجد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وقت لما أنجدت الأرض وأنتم منهم ، ووقّت لأهل الشام الجحفة ،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المهيعة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ممّن دخل أرض 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إحرام أهل الكوفة وخراسان وما يليهم وأهل الشام ومصر ، من أين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أهل الكوفة وخراسان وما يليهم فمن العقيق ، وأهل المدينة من ذي الحليفة والجحفة ، وأهل الشام ومصر من الجحفة ، وأهل اليمن من يلملم ، وأهل السند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أهل البصرة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صلی اللّه عليه وآله لأهل المشرق العقيق نحوا من بريدين ما بين بريد البعث إلى غمرة ، ووقّت لأهل المدينة ذا الحليفة ، ولأهل نجد قرن المنازل ، ولأهل الشام الجحفة ، ولأهل اليمن يلملم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ثم المهملة ثم 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العقيق ، وهو بمعنى الجيش ، كأنّه بعث الجيش من هناك ، ولم نجده في اللغة اسما لموضع ، كذلك ضبطه من يعتمد عليه من أصحابنا ، فما يوجد في بعض النسخ على غير ذلك لعلّه مصحّف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صلی اللّه عليه وآله لأهل العراق العقيق ، وأوله المسلخ ، ووسطه غمرة ، وآخره ذات عرق ، وأوله أفضل </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ونحوها الرضوي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صحيحة عمر بن يزيد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الميقات لأهل </w:t>
      </w:r>
    </w:p>
    <w:p>
      <w:pPr>
        <w:pStyle w:val="BookText"/>
        <w:rPr/>
      </w:pPr>
      <w:r>
        <w:rPr>
          <w:rFonts w:ascii="Amiri" w:hAnsi="Amiri" w:eastAsia="Amiri" w:cs="Amiri"/>
          <w:color w:val="111111"/>
          <w:sz w:val="28"/>
          <w:sz w:val="28"/>
          <w:szCs w:val="28"/>
          <w:rtl w:val="true"/>
          <w:lang w:bidi="ar-SA"/>
        </w:rPr>
        <w:t xml:space="preserve">نجد 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فسّره بعضهم بأهل الموضع المرتفع ، وأريد الطائف </w:t>
      </w:r>
      <w:r>
        <w:rPr>
          <w:rStyle w:val="FootnoteAnchor"/>
          <w:rtl w:val="true"/>
        </w:rPr>
        <w:footnoteReference w:id="67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لنجد طريقين ، لكلّ طريق ميقات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حدّ العقيق من المسلخ إلى ذات عرق فتدلّ عليه المرسلة والرضويّ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العقيق أوله المسلخ وآخره ذات عرق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مبدئه أيضا رواية أخرى عن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العقيق ما بين المسلخ إلى عقبة غمرة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خلاف في ذلك التحديد وكون ما ذكره عقيقا وأنّه ليس غيره بعقيق 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العقيق بريد البعث ، وهو دون المسلخ بستّة أميال ممّا يلي العراق ، وبينه وبين غمرة أربعة وعشرون ميلا ، بريدان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ومقتضاها تقديم مبدأ العقيق على المسلخ بستّة أميال ، ولكنّها شاذّة ، 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ما اتّفقت عليه كلمة الأصحاب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بأنّ المراد في الصحيحة مطلق العقيق ، وفي باقي الأخبار الميقات من العقيق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الستّة أميال وإن كانت من العقيق ولكنّها خارجة عن </w:t>
      </w:r>
    </w:p>
    <w:p>
      <w:pPr>
        <w:pStyle w:val="BookText"/>
        <w:rPr/>
      </w:pPr>
      <w:r>
        <w:rPr>
          <w:rFonts w:ascii="Amiri" w:hAnsi="Amiri" w:eastAsia="Amiri" w:cs="Amiri"/>
          <w:color w:val="111111"/>
          <w:sz w:val="28"/>
          <w:sz w:val="28"/>
          <w:szCs w:val="28"/>
          <w:rtl w:val="true"/>
          <w:lang w:bidi="ar-SA"/>
        </w:rPr>
        <w:t xml:space="preserve">بطنه الذي هو الميقات ، كما نصّ عليه في صحيحة ابن عمّار الأولى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فلا يجوز تقديم الإحرام على المسلخ ، وكأنّه لا خلاف فيه ، بل الظاهر أنّه إجماعي ، وادّعى بعضهم الاتّفاق عليه أيضا </w:t>
      </w:r>
      <w:r>
        <w:rPr>
          <w:rStyle w:val="FootnoteAnchor"/>
          <w:rtl w:val="true"/>
        </w:rPr>
        <w:footnoteReference w:id="682"/>
      </w:r>
      <w:r>
        <w:rPr>
          <w:rFonts w:ascii="Amiri" w:hAnsi="Amiri" w:eastAsia="Amiri" w:cs="Amiri"/>
          <w:color w:val="111111"/>
          <w:sz w:val="28"/>
          <w:sz w:val="28"/>
          <w:szCs w:val="28"/>
          <w:rtl w:val="true"/>
          <w:lang w:bidi="ar-SA"/>
        </w:rPr>
        <w:t>، وتدلّ عليه الأخبار الثلاثة المذكورة ، ولا تضرّ معارضة الصحيحة ، إذ غايتها حصول الإجمال المقتضي لاستصحاب الاشتغال إلى أن تعلم البراءة الغير المعلوم إلاّ بالتأخير إلى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تأخيره عن ذات عرق ، وهو أيضا إجماعيّ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التأخير إلى ذات عرق ، كما هو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683"/>
      </w:r>
      <w:r>
        <w:rPr>
          <w:rFonts w:ascii="Amiri" w:hAnsi="Amiri" w:eastAsia="Amiri" w:cs="Amiri"/>
          <w:color w:val="111111"/>
          <w:sz w:val="28"/>
          <w:sz w:val="28"/>
          <w:szCs w:val="28"/>
          <w:rtl w:val="true"/>
          <w:lang w:bidi="ar-SA"/>
        </w:rPr>
        <w:t xml:space="preserve">، بل نسبه جماعة إلى الأصحاب وإلى المعروف بينهم مشعرين بدعوى الإجماع عليه ، بل عن الخلاف والناصريّات والغنية الإجماع عليه </w:t>
      </w:r>
      <w:r>
        <w:rPr>
          <w:rStyle w:val="FootnoteAnchor"/>
          <w:rtl w:val="true"/>
        </w:rPr>
        <w:footnoteReference w:id="6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يجوز التأخير عن الغمرة إلاّ لمرض أو تقيّة ، كما عن الشيخ في النهاية ووالد الصدوق ، بل عن الصدوق في المقنع والهداية ، وتبعهما الشهيد في الدروس </w:t>
      </w:r>
      <w:r>
        <w:rPr>
          <w:rStyle w:val="FootnoteAnchor"/>
          <w:rtl w:val="true"/>
        </w:rPr>
        <w:footnoteReference w:id="685"/>
      </w:r>
      <w:r>
        <w:rPr>
          <w:rFonts w:ascii="Amiri" w:hAnsi="Amiri" w:eastAsia="Amiri" w:cs="Amiri"/>
          <w:color w:val="111111"/>
          <w:sz w:val="28"/>
          <w:sz w:val="28"/>
          <w:szCs w:val="28"/>
          <w:rtl w:val="true"/>
          <w:lang w:bidi="ar-SA"/>
        </w:rPr>
        <w:t xml:space="preserve">، ومال إليه بعض متأخري المتأخّرين </w:t>
      </w:r>
      <w:r>
        <w:rPr>
          <w:rStyle w:val="FootnoteAnchor"/>
          <w:rtl w:val="true"/>
        </w:rPr>
        <w:footnoteReference w:id="686"/>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 والرضوي ، وإحدى روايتي أبي بصير </w:t>
      </w:r>
    </w:p>
    <w:p>
      <w:pPr>
        <w:pStyle w:val="BookText"/>
        <w:rPr/>
      </w:pPr>
      <w:r>
        <w:rPr>
          <w:rFonts w:ascii="Amiri" w:hAnsi="Amiri" w:eastAsia="Amiri" w:cs="Amiri"/>
          <w:color w:val="111111"/>
          <w:sz w:val="28"/>
          <w:sz w:val="28"/>
          <w:szCs w:val="28"/>
          <w:rtl w:val="true"/>
          <w:lang w:bidi="ar-SA"/>
        </w:rPr>
        <w:t xml:space="preserve">المتقدّمة ، المؤيّدة برواية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منزل الرجل دون ذات عرق من مكّة فليحرم من منزله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المنجبرة بما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 ، والرواية الأخرى لأبي بصير ، وصحيحة ابن عمّار الأخيرة الراجحة على ما تقدّم بصحّة السند وموافقة أصل الاشتغال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عليه الصحيحة المرويّة في الإحتجاج عن صاحب الأمر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 بعض هؤلاء ويكون متّصلا بهم ، يحجّ ويأخذ عن الجادّة ولا يحرم هؤلاء من المسلخ؟ فكتب إليه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ميقاته ، ثم يلبس الثياب ويلبّي في نفسه ، فإذا بلغ إلى ميقاتهم أظهره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عنها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تكافئها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للمرسلة وأخويها ، لشهرة المرسلة وشذوذ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دلالة الصحيحة الثانية على خروج ذات العرق بل شي‌ء بالكلّية ، وتضمّنها ما لم يقل به أحد من أنّ أول العقيق ما دون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الأخريين على خروج الغمرة أيضا ، لخروج الغاية عن المغيّا ، بل دلالة الرواية على خروج المسلخ أيضا لمثل ذلك ، وهما باطلان اتّفاقا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وجه مرجوحيّة لرواية أبي بصير الثانية ، لموافقتها من هذه الجهة للعامّة ، ووجه راجحيّة للمرسلة وأخويها ، لمخالفتها العامّة من تلك الجهة ، ومن جهة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العقيق من المواقيت المنصوصة عن </w:t>
      </w:r>
    </w:p>
    <w:p>
      <w:pPr>
        <w:pStyle w:val="BookText"/>
        <w:rPr/>
      </w:pPr>
      <w:r>
        <w:rPr>
          <w:rFonts w:ascii="IRNazanin" w:hAnsi="IRNazanin" w:eastAsia="IRNazanin"/>
          <w:color w:val="111111"/>
          <w:sz w:val="28"/>
          <w:sz w:val="28"/>
          <w:szCs w:val="28"/>
          <w:rtl w:val="true"/>
          <w:lang w:bidi="fa-IR"/>
        </w:rPr>
        <w:t>رسول اللّه صلی اللّه عليه وآله ، وهو أيضا ممّا لا يقول به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 فتعيّن الجمع بحمل الصحيحتين والرواية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عرق وإن كانت من العقيق ، إلاّ أنّها لمّا كانت ميقات العامّة وكان الفضل فيما تقدّم عليها فالتأخير إليها وترك الفضل إنّما يكون لعلّة وعذر أو تقيّة ، كما يشير إليه كلام الحلّي في السرائر </w:t>
      </w:r>
      <w:r>
        <w:rPr>
          <w:rStyle w:val="FootnoteAnchor"/>
          <w:rtl w:val="true"/>
        </w:rPr>
        <w:footnoteReference w:id="690"/>
      </w:r>
      <w:r>
        <w:rPr>
          <w:rFonts w:ascii="Amiri" w:hAnsi="Amiri" w:eastAsia="Amiri" w:cs="Amiri"/>
          <w:color w:val="111111"/>
          <w:sz w:val="28"/>
          <w:sz w:val="28"/>
          <w:szCs w:val="28"/>
          <w:rtl w:val="true"/>
          <w:lang w:bidi="ar-SA"/>
        </w:rPr>
        <w:t xml:space="preserve">، بل يحتمله كلام المخالفين في المسألة أيضا ، ولعلّه لذلك لم يجعلهم الفاضل والشهيد مخالفين صريحا ، بل نسباهما بالإشعار والظهور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وإن كان كذلك ، إلاّ أنّ الشذوذ المخرج عن الحجّية غير ثابت بعد فتوى مثل الصدوقين والشيخ والشهيد ، بل الكليني أيضا </w:t>
      </w:r>
      <w:r>
        <w:rPr>
          <w:rStyle w:val="FootnoteAnchor"/>
          <w:rtl w:val="true"/>
        </w:rPr>
        <w:footnoteReference w:id="692"/>
      </w:r>
      <w:r>
        <w:rPr>
          <w:rFonts w:ascii="Amiri" w:hAnsi="Amiri" w:eastAsia="Amiri" w:cs="Amiri"/>
          <w:color w:val="111111"/>
          <w:sz w:val="28"/>
          <w:sz w:val="28"/>
          <w:szCs w:val="28"/>
          <w:rtl w:val="true"/>
          <w:lang w:bidi="ar-SA"/>
        </w:rPr>
        <w:t>، حيث اقتصر في التحديد على رواية أبي بصير الثانية وصحيحة ابن عمّار ، فيبقى دليلا الطرفين متكافئين ، فيجب الرجوع إلى أصل الاشتغال ، ولذا لم يجترئ أكثر المتأخّرين المرجّحين لأدلّة المشهور على الفتوى به ، وجعلوا الأخير أحوط ، وهو كذلك لو لم يكن أظهر ، مع أنّه الأظهر أيضا ، لما مرّ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أنّ المسلخ أفضل من الغمرة ، وهي من ذات عرق على دخولها في العقيق ، وهو كذلك ، لفتوى الأصحاب الكافية في مقام التسامح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في الأول إلى المرسلة ، والرضوي ، 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أيّ العقيق أفضل أن أحرم؟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أوله فهو أفضل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104" w:name="pg11651_107774"/>
    </w:p>
    <w:p>
      <w:pPr>
        <w:pStyle w:val="BookText"/>
        <w:rPr/>
      </w:pPr>
      <w:bookmarkEnd w:id="104"/>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الإحرام من غمرة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أن يحرم منها ، وكان بريد العقيق أحبّ إليّ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البريد الذي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إلى 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المسلخ فأحرم عند أول بريد يستقبلك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بريد بعد المسلخ هو بريد غمرة ، كما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مواضع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الشريف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مربّعة في يمين من يذهب من العراق إلى مكّة ، في حواليها أشجار الشوك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تلك الأفضليّة ، واحتمل بعضهم أن يكون ذلك مبنيّا على أفضليّة أول كلّ من المسلخ والغمرة وذات العرق وكونها في أول المسلخ ، ولكن لم يظهر لي ذلك بعد الفحص</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171984_73709187"/>
      <w:bookmarkStart w:id="106" w:name="_Toc39"/>
      <w:bookmarkEnd w:id="105"/>
      <w:r>
        <w:rPr>
          <w:rtl w:val="true"/>
        </w:rPr>
        <w:t xml:space="preserve">والثاني </w:t>
      </w:r>
      <w:r>
        <w:rPr>
          <w:rtl w:val="true"/>
        </w:rPr>
        <w:t xml:space="preserve">: </w:t>
      </w:r>
      <w:r>
        <w:rPr>
          <w:rtl w:val="true"/>
        </w:rPr>
        <w:t>مسجد الشجرة</w:t>
      </w:r>
      <w:bookmarkEnd w:id="1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ميقات أهل المدينة ، كما صرّح به في المقنعة والناصريّات وجمل العلم والعمل والنافع والشرائع والإرشاد والقواعد والكافي والإشارة والغنية والسرائر والمعتبر والمنتهى والتحرير والمهذّب والمبسوط والخلاف والنهاية ، بل جميع كتب الشيخ ، والصدوق والقاضي والديلمي والتذكرة </w:t>
      </w:r>
      <w:r>
        <w:rPr>
          <w:rStyle w:val="FootnoteAnchor"/>
          <w:rtl w:val="true"/>
        </w:rPr>
        <w:footnoteReference w:id="6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بالنصوص المعتبرة المتواترة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ابن عمّار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رسول اللّه صلی اللّه عليه وآله في أربع بقين من ذي القعدة ، فلمّا انتهى إلى ذي الحليفة فزالت الشمس اغتسل ، ثم خرج حتى أتى المسجد الذي هو عند الشجرة فصلّى فيه الظهر ، ثم عزم على الحجّ مفردا ، وخرج حتى انتهى إلى البيداء عند الميل الأول ، فصفّ الناس له سماطين ، فلبّى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سنان الواردة في حجّ رسول صلی اللّه عليه وآله أيضا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نزل الشجرة أمر الناس بنتف الإبط وحلق العانة والغسل والتجرّد في إزار ورداء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التهيّؤ للإحرام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 بالمدينة وتجهّز بكلّ ما تريد واغتسل ، وإن شئت استمتعت بقميصك حتى تأتي مسجد الشجرة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الشجرة ثم يأخذ من أيّ طريق شاء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رباح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كما يقولون لم يتمتّع رسول 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بثيابه إلى الشجرة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 ونحوها رواية أبي بصير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مسجد الشجرة فصلّى وأحرم ، ثم خرج من المسجد فبدا له قبل أن يلبّي أن ينقض ذلك بمواقعة النساء ، أله ذلك؟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وقريبة منها مرسلة جميل </w:t>
      </w:r>
      <w:r>
        <w:rPr>
          <w:rStyle w:val="FootnoteAnchor"/>
          <w:rtl w:val="true"/>
        </w:rPr>
        <w:footnoteReference w:id="704"/>
      </w:r>
      <w:r>
        <w:rPr>
          <w:rFonts w:ascii="Amiri" w:hAnsi="Amiri" w:eastAsia="Amiri" w:cs="Amiri"/>
          <w:color w:val="111111"/>
          <w:sz w:val="28"/>
          <w:sz w:val="28"/>
          <w:szCs w:val="28"/>
          <w:rtl w:val="true"/>
          <w:lang w:bidi="ar-SA"/>
        </w:rPr>
        <w:t xml:space="preserve">، ورواية عليّ بن عبد العزيز </w:t>
      </w:r>
      <w:r>
        <w:rPr>
          <w:rStyle w:val="FootnoteAnchor"/>
          <w:rtl w:val="true"/>
        </w:rPr>
        <w:footnoteReference w:id="705"/>
      </w:r>
      <w:r>
        <w:rPr>
          <w:rFonts w:ascii="Amiri" w:hAnsi="Amiri" w:eastAsia="Amiri" w:cs="Amiri"/>
          <w:color w:val="111111"/>
          <w:sz w:val="28"/>
          <w:sz w:val="28"/>
          <w:szCs w:val="28"/>
          <w:rtl w:val="true"/>
          <w:lang w:bidi="ar-SA"/>
        </w:rPr>
        <w:t xml:space="preserve">، وصحيحتا ابن عمّار </w:t>
      </w:r>
      <w:r>
        <w:rPr>
          <w:rStyle w:val="FootnoteAnchor"/>
          <w:rtl w:val="true"/>
        </w:rPr>
        <w:footnoteReference w:id="706"/>
      </w:r>
      <w:r>
        <w:rPr>
          <w:rFonts w:ascii="Amiri" w:hAnsi="Amiri" w:eastAsia="Amiri" w:cs="Amiri"/>
          <w:color w:val="111111"/>
          <w:sz w:val="28"/>
          <w:sz w:val="28"/>
          <w:szCs w:val="28"/>
          <w:rtl w:val="true"/>
          <w:lang w:bidi="ar-SA"/>
        </w:rPr>
        <w:t xml:space="preserve">والبجلي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في مسجد الشجرة فقل وأنت قاعد في دبر الصلاة قبل أن تقوم ما يقول المحرم ، ثم قم فامش حتى تبلغ الميل وتستوي بك البيداء ، فإذا استوت بك فلبّه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من مسجد الشجرة فإن كنت ماشيا لبّيت من مكانك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ولأهل المدينة ومن يليها الشجرة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أحرم رسول اللّه من مسجد الشجرة ولم يحرم من موضع دونه؟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لما أسري به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 تلك الأخبار المستفيضة من الصحاح وغيرها المتقدّمة أكثرها الجاعلة لميقات أهل المدينة ذا الحليفة </w:t>
      </w:r>
      <w:r>
        <w:rPr>
          <w:rStyle w:val="FootnoteAnchor"/>
          <w:rtl w:val="true"/>
        </w:rPr>
        <w:footnoteReference w:id="712"/>
      </w:r>
      <w:r>
        <w:rPr>
          <w:rFonts w:ascii="Amiri" w:hAnsi="Amiri" w:eastAsia="Amiri" w:cs="Amiri"/>
          <w:color w:val="111111"/>
          <w:sz w:val="28"/>
          <w:sz w:val="28"/>
          <w:szCs w:val="28"/>
          <w:rtl w:val="true"/>
          <w:lang w:bidi="ar-SA"/>
        </w:rPr>
        <w:t xml:space="preserve">، لأنّه مسجد الشجرة كما صرّح به في الإشارة </w:t>
      </w:r>
      <w:r>
        <w:rPr>
          <w:rStyle w:val="FootnoteAnchor"/>
          <w:rtl w:val="true"/>
        </w:rPr>
        <w:footnoteReference w:id="713"/>
      </w:r>
      <w:r>
        <w:rPr>
          <w:rFonts w:ascii="Amiri" w:hAnsi="Amiri" w:eastAsia="Amiri" w:cs="Amiri"/>
          <w:color w:val="111111"/>
          <w:sz w:val="28"/>
          <w:sz w:val="28"/>
          <w:szCs w:val="28"/>
          <w:rtl w:val="true"/>
          <w:lang w:bidi="ar-SA"/>
        </w:rPr>
        <w:t xml:space="preserve">، ومن تأخّر ذكره عنه من الكتب المتقدّمة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صحيحتا الحلبيّين السابقتين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المواقيت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لأهل المدينة ذا الحليفة ، وهي الشجرة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ومسجد ذي الحليفة الذي كان خارجا من السقائف عن صحن المسجد ، ثم اليوم ليس شي‌ء من السقائف منه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يجمع بين الأخبار ، وكذلك بين فتاوى من أطلق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المتقدّمة على الإشارة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 الحليفة ، كما عن الدروس واللمعة والوسيلة والمحقّق الثاني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بعض هؤلاء صرّح بأفضليّة المسجد وأحوطيّته </w:t>
      </w:r>
      <w:r>
        <w:rPr>
          <w:rStyle w:val="FootnoteAnchor"/>
          <w:rtl w:val="true"/>
        </w:rPr>
        <w:footnoteReference w:id="719"/>
      </w:r>
      <w:r>
        <w:rPr>
          <w:rFonts w:ascii="Amiri" w:hAnsi="Amiri" w:eastAsia="Amiri" w:cs="Amiri"/>
          <w:color w:val="111111"/>
          <w:sz w:val="28"/>
          <w:sz w:val="28"/>
          <w:szCs w:val="28"/>
          <w:rtl w:val="true"/>
          <w:lang w:bidi="ar-SA"/>
        </w:rPr>
        <w:t xml:space="preserve">، وظاهرها عدم تعيّن المسجد ، وصرّح الأخير بأنّ جواز الإحرام من الموضع كلّه ممّا لا يكاد يدفع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ويدفعه ما سبق ذكره من تصريح الصحيحين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ذا الحليفة هو مسجد الشجرة ، والأمر في طائفة من الأخبار المتقدّمة بالإحرام منها ، وأنّها التي وقّتها رسول اللّه صلی اللّه عليه وآله ، المؤيّدة بعمل الأكثر ، بل الإجماع المحكيّ عن الناصريّات والغنية </w:t>
      </w:r>
      <w:r>
        <w:rPr>
          <w:rStyle w:val="FootnoteAnchor"/>
          <w:rtl w:val="true"/>
        </w:rPr>
        <w:footnoteReference w:id="721"/>
      </w:r>
      <w:r>
        <w:rPr>
          <w:rFonts w:ascii="Amiri" w:hAnsi="Amiri" w:eastAsia="Amiri" w:cs="Amiri"/>
          <w:color w:val="111111"/>
          <w:sz w:val="28"/>
          <w:sz w:val="28"/>
          <w:szCs w:val="28"/>
          <w:rtl w:val="true"/>
          <w:lang w:bidi="ar-SA"/>
        </w:rPr>
        <w:t xml:space="preserve">، وبروايات غير ما ذكر أيضا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أو نحوه ، ثم بدا له أن يخرج في غير طريق المدينة ، فإذا كان حذاء الشجرة والبيداء مسيرة ستّة أميال فليحرم منها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وقريبة منها صحيحته الأخرى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تنافي ما ذكرناه صحيحة عبيد اللّه الحلبي المتقدّمة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من المسجد وسار واستوت به البيداء حين يحاذي الميل الأول أحرم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ظاهرها جواز الإحرام من خارج المسجد ، كما فهمه صاحب الذخيرة </w:t>
      </w:r>
      <w:r>
        <w:rPr>
          <w:rStyle w:val="FootnoteAnchor"/>
          <w:rtl w:val="true"/>
        </w:rPr>
        <w:footnoteReference w:id="725"/>
      </w:r>
      <w:r>
        <w:rPr>
          <w:rFonts w:ascii="Amiri" w:hAnsi="Amiri" w:eastAsia="Amiri" w:cs="Amiri"/>
          <w:color w:val="111111"/>
          <w:sz w:val="28"/>
          <w:sz w:val="28"/>
          <w:szCs w:val="28"/>
          <w:rtl w:val="true"/>
          <w:lang w:bidi="ar-SA"/>
        </w:rPr>
        <w:t xml:space="preserve">، لأنّ هذا إنّما هو إذا أريد من الإحرام معناه الحقيقي ، </w:t>
      </w:r>
    </w:p>
    <w:p>
      <w:pPr>
        <w:pStyle w:val="BookText"/>
        <w:rPr/>
      </w:pPr>
      <w:r>
        <w:rPr>
          <w:rFonts w:ascii="Amiri" w:hAnsi="Amiri" w:eastAsia="Amiri" w:cs="Amiri"/>
          <w:color w:val="111111"/>
          <w:sz w:val="28"/>
          <w:sz w:val="28"/>
          <w:szCs w:val="28"/>
          <w:rtl w:val="true"/>
          <w:lang w:bidi="ar-SA"/>
        </w:rPr>
        <w:t>وليس كذلك قطعا ، لمنافاته لصدرها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التلبية ، كما تدلّ عليه صحيحة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التهيّؤ للإحرام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مسجد الشجرة ، فقد صلّى فيه رسول اللّه صلی اللّه عليه وآله ، وقد ترى ناسا يحرمون فلا تفعل حتى تنتهي إلى البيداء جنب الميل ، فتحرمون كما أنتم في محاملكم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Style w:val="FootnoteAnchor"/>
          <w:rtl w:val="true"/>
        </w:rPr>
        <w:footnoteReference w:id="726"/>
      </w:r>
      <w:r>
        <w:rPr>
          <w:rFonts w:ascii="Amiri" w:hAnsi="Amiri" w:eastAsia="Amiri" w:cs="Amiri"/>
          <w:color w:val="111111"/>
          <w:sz w:val="28"/>
          <w:sz w:val="28"/>
          <w:szCs w:val="28"/>
          <w:rtl w:val="true"/>
          <w:lang w:bidi="ar-SA"/>
        </w:rPr>
        <w:t>إلى آخره ، حيث جعل الإحرام هو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للمتمتّع بالعمرة إلى الحجّ أن يظهر التلبية في مسجد الشجرة؟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لبّى رسول اللّه صلی اللّه عليه وآله على البيداء ، لأنّ الناس لم يكونوا يعرفون التلبية فأحبّ أن يعلّمهم كيفيّة التلبية </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صحيحته 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لم يكن يلبّي حتى يأتي البيداء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عند الشجرة فلا تلبّي حتى تأتي البيداء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عليه صحيحة ابن عمّار ومرسلة النضر وصحيحة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73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يجوز إحرام أهل المدينة أيضا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ثم المهملة الساكنة ثم الفاء المفتوحة 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 مراحل من المدينة وثلاث من مكّة ، كما عن بعض أهل اللغة ،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بينها وبين البحر نحو ستّة أميال ،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تناقض ، لاختلاف البحر باختلاف الأزمنة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مدينة فخربت ، سمّيت بها لإجحاف السيل بها ، أي ذهابه بها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مهيعة ، بفتح الميم وسكون الهاء وفتح الياء المثنّاة التحتانيّة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قرية جامعة على اثنين وثمانين ميلا من مكّة تسمّى مهيعة ، فنزل بها بنو عبيد وهم إخوة عاد ، وكان أخرجهم العماليق من يثرب ، فجاءهم سيل فاجتحفهم فسمّيت جحفة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بين مكّة والمدينة قريب من رابغ بين بدر وخليص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وجواز إحرامهم منها ممّا لا خلاف فيه ، كما صرّح به جماعة </w:t>
      </w:r>
      <w:r>
        <w:rPr>
          <w:rStyle w:val="FootnoteAnchor"/>
          <w:rtl w:val="true"/>
        </w:rPr>
        <w:footnoteReference w:id="736"/>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نقل بعضهم عليه الإجماع </w:t>
      </w:r>
      <w:r>
        <w:rPr>
          <w:rStyle w:val="FootnoteAnchor"/>
          <w:rtl w:val="true"/>
        </w:rPr>
        <w:footnoteReference w:id="737"/>
      </w:r>
      <w:r>
        <w:rPr>
          <w:rFonts w:ascii="Amiri" w:hAnsi="Amiri" w:eastAsia="Amiri" w:cs="Amiri"/>
          <w:color w:val="111111"/>
          <w:sz w:val="28"/>
          <w:sz w:val="28"/>
          <w:szCs w:val="28"/>
          <w:rtl w:val="true"/>
          <w:lang w:bidi="ar-SA"/>
        </w:rPr>
        <w:t>، وتدلّ عليه المستفيضة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عليّ المتقدّمة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المدينة من ذي الحليفة والجحفة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المدينة أحرم من الجحفة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يحرم الرجل إذا جاوز الشجرة؟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الجحفة ، ولا يجاوز الجحفة إلاّ محرما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عابها عليك أهل مكّة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من الجحفة ورسول اللّه صلی اللّه عليه وآله أحرم من الشجرة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الجحفة أحد الوقتين فأخذت بأدناهما وكنت عليلا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الحضرمي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رخّص رسول اللّه صلی اللّه عليه وآله لمن كان منكم مريضا أو ضعيفا أن يحرم من الجحفة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جواز الإحرام منها مقيّد بحال الضرورة ، أي المشقّة التي يعسر تحمّلها ، كما فعله الأصحاب من غير خلاف ظاهر إلاّ من نادر ، عملا بالأدلّة الدالة على توقيت الشجرة الظاهرة في عدم جواز العدول عنها بالمرّة ، خرجت عنها حال الضرورة بالإجماع والمعتبرة ، فبقي الباقي تحتها مندرجة؟ </w:t>
      </w:r>
    </w:p>
    <w:p>
      <w:pPr>
        <w:pStyle w:val="BookText"/>
        <w:rPr/>
      </w:pPr>
      <w:r>
        <w:rPr>
          <w:rFonts w:ascii="Amiri" w:hAnsi="Amiri" w:eastAsia="Amiri" w:cs="Amiri"/>
          <w:color w:val="111111"/>
          <w:sz w:val="28"/>
          <w:sz w:val="28"/>
          <w:szCs w:val="28"/>
          <w:rtl w:val="true"/>
          <w:lang w:bidi="ar-SA"/>
        </w:rPr>
        <w:t xml:space="preserve">أو مطلق ، كما عن الجعفي والوسيلة </w:t>
      </w:r>
      <w:r>
        <w:rPr>
          <w:rStyle w:val="FootnoteAnchor"/>
          <w:rtl w:val="true"/>
        </w:rPr>
        <w:footnoteReference w:id="743"/>
      </w:r>
      <w:r>
        <w:rPr>
          <w:rFonts w:ascii="Amiri" w:hAnsi="Amiri" w:eastAsia="Amiri" w:cs="Amiri"/>
          <w:color w:val="111111"/>
          <w:sz w:val="28"/>
          <w:sz w:val="28"/>
          <w:szCs w:val="28"/>
          <w:rtl w:val="true"/>
          <w:lang w:bidi="ar-SA"/>
        </w:rPr>
        <w:t>، لإطلاق الصحاح الثلاثة؟</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لأنّ الصحاح وإن كانت مطلقة ، إلاّ أنّها من هذه الحيثيّة شاذّة ، للحجّية غير صالحة ، ومع ذلك يجب تقييدها بالرواية الأخيرة ، لأنّها لمعنى الشرط متضمّنة ، فتدلّ بالمفهوم على اختصاص الرخصة بالمريض والضعيف ، ومثلهما في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ما في الصحاح من قصور الدلالة على العموم ، سيّما الأولى ، إذ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يحرمون من الموضعين ، كما هو مقتضى حقيقة اللفظ ، فمجازه يمكن أن يكون التوقيت في الجملة ولو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الثانية ، لجواز أن يكون السؤال عن 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طريق الشام ، وكأنّ السائل توهّم أنّ الشجرة ميقات أهل المدينة مطلقا وإن مرّ على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الثالثة ، إذ لا شك أنّ بعد التجاوز عن الشجرة يكون العود إليها والإحرام منها مشقّة وضرورة ، سيّما مع إيجابه التخلّف عن الرفقة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 من تقييد جواز التأخير بحال الضرورة ، فهل يجوز سلوك طريق لا يؤدّيه إلى الشجرة اختيارا فيحرم من الجحفة ، كما اختاره في الدروس والمدارك </w:t>
      </w:r>
      <w:r>
        <w:rPr>
          <w:rStyle w:val="FootnoteAnchor"/>
          <w:rtl w:val="true"/>
        </w:rPr>
        <w:footnoteReference w:id="744"/>
      </w:r>
      <w:r>
        <w:rPr>
          <w:rFonts w:ascii="Amiri" w:hAnsi="Amiri" w:eastAsia="Amiri" w:cs="Amiri"/>
          <w:color w:val="111111"/>
          <w:sz w:val="28"/>
          <w:sz w:val="28"/>
          <w:szCs w:val="28"/>
          <w:rtl w:val="true"/>
          <w:lang w:bidi="ar-SA"/>
        </w:rPr>
        <w:t xml:space="preserve">وغيرهما </w:t>
      </w:r>
      <w:r>
        <w:rPr>
          <w:rStyle w:val="FootnoteAnchor"/>
          <w:rtl w:val="true"/>
        </w:rPr>
        <w:footnoteReference w:id="745"/>
      </w:r>
      <w:r>
        <w:rPr>
          <w:rFonts w:ascii="Amiri" w:hAnsi="Amiri" w:eastAsia="Amiri" w:cs="Amiri"/>
          <w:color w:val="111111"/>
          <w:sz w:val="28"/>
          <w:sz w:val="28"/>
          <w:szCs w:val="28"/>
          <w:rtl w:val="true"/>
          <w:lang w:bidi="ar-SA"/>
        </w:rPr>
        <w:t xml:space="preserve">، للأصل وعموم جواز الإحرام من أيّ ميقات اتّفق المرور عليه ولو لغير أهله ، وكون المراد بأهل كلّ ميقات من يمرّ عليه؟ </w:t>
      </w:r>
      <w:bookmarkStart w:id="107" w:name="pg11651_107783"/>
    </w:p>
    <w:p>
      <w:pPr>
        <w:pStyle w:val="BookText"/>
        <w:rPr/>
      </w:pPr>
      <w:bookmarkEnd w:id="107"/>
      <w:r>
        <w:rPr>
          <w:rFonts w:ascii="Amiri" w:hAnsi="Amiri" w:eastAsia="Amiri" w:cs="Amiri"/>
          <w:color w:val="111111"/>
          <w:sz w:val="28"/>
          <w:sz w:val="28"/>
          <w:szCs w:val="28"/>
          <w:rtl w:val="true"/>
          <w:lang w:bidi="ar-SA"/>
        </w:rPr>
        <w:t xml:space="preserve">وأيضا على ما ذكرنا ، لو عصى من لا ضرورة له وترك الإحرام من الشجرة ، هل يصحّ له الإحرام حينئذ من الجحفة ، كما عن الدروس والمدارك؟ أو لا ، كما يظهر من بعض </w:t>
      </w:r>
      <w:r>
        <w:rPr>
          <w:rStyle w:val="FootnoteAnchor"/>
          <w:rtl w:val="true"/>
        </w:rPr>
        <w:footnoteReference w:id="7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بالإمكان وعدم المشقّة فلا يصحّ ، وإلاّ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تعيّن الإحرام من مسجد الشجرة ، فلو كان المحرم جنبا أو حائضا أحرما فيه مجتازين ، لحرمة اللبث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تعذّر بدونه ، فهل يحرمان من خارجه ، كما صرّح به الشهيد الثاني والمدارك والذخيرة </w:t>
      </w:r>
      <w:r>
        <w:rPr>
          <w:rStyle w:val="FootnoteAnchor"/>
          <w:rtl w:val="true"/>
        </w:rPr>
        <w:footnoteReference w:id="747"/>
      </w:r>
      <w:r>
        <w:rPr>
          <w:rFonts w:ascii="Amiri" w:hAnsi="Amiri" w:eastAsia="Amiri" w:cs="Amiri"/>
          <w:color w:val="111111"/>
          <w:sz w:val="28"/>
          <w:sz w:val="28"/>
          <w:szCs w:val="28"/>
          <w:rtl w:val="true"/>
          <w:lang w:bidi="ar-SA"/>
        </w:rPr>
        <w:t>، لوجوب قطع المسافة من المسجد إلى مكّة محرما؟</w:t>
      </w:r>
    </w:p>
    <w:p>
      <w:pPr>
        <w:pStyle w:val="BookText"/>
        <w:rPr/>
      </w:pPr>
      <w:r>
        <w:rPr>
          <w:rFonts w:ascii="Amiri" w:hAnsi="Amiri" w:eastAsia="Amiri" w:cs="Amiri"/>
          <w:color w:val="111111"/>
          <w:sz w:val="28"/>
          <w:sz w:val="28"/>
          <w:szCs w:val="28"/>
          <w:rtl w:val="true"/>
          <w:lang w:bidi="ar-SA"/>
        </w:rPr>
        <w:t>أم يؤخّرانه إلى الجحفة ، لكون العذر ضرورة مبيحة للتأخير؟</w:t>
      </w:r>
    </w:p>
    <w:p>
      <w:pPr>
        <w:pStyle w:val="BookText"/>
        <w:rPr/>
      </w:pP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منهما وإن كان الأظهر الثاني ، لما ذكر ، ولعدم دليل على توقيت الخارج لمثلهما ، ومنع وجوب قطع المسافة محرما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وتمثيل الضرورة في الأخبار بالعلّة والمرض والضعف لا يوجب التخصيص بعد اتّحاد العلّة قطعا وعدم القول بالفصل ظاهرا ، فتدبّر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171986_73709187"/>
      <w:bookmarkStart w:id="109" w:name="_Toc40"/>
      <w:bookmarkEnd w:id="108"/>
      <w:r>
        <w:rPr>
          <w:rtl w:val="true"/>
        </w:rPr>
        <w:t xml:space="preserve">الثالث </w:t>
      </w:r>
      <w:r>
        <w:rPr>
          <w:rtl w:val="true"/>
        </w:rPr>
        <w:t xml:space="preserve">: </w:t>
      </w:r>
      <w:r>
        <w:rPr>
          <w:rtl w:val="true"/>
        </w:rPr>
        <w:t>الجحفة</w:t>
      </w:r>
      <w:bookmarkEnd w:id="109"/>
    </w:p>
    <w:p>
      <w:pPr>
        <w:pStyle w:val="BookText"/>
        <w:rPr/>
      </w:pPr>
      <w:r>
        <w:rPr>
          <w:rFonts w:ascii="Amiri" w:hAnsi="Amiri" w:eastAsia="Amiri" w:cs="Amiri"/>
          <w:color w:val="111111"/>
          <w:sz w:val="28"/>
          <w:sz w:val="28"/>
          <w:szCs w:val="28"/>
          <w:rtl w:val="true"/>
          <w:lang w:bidi="ar-SA"/>
        </w:rPr>
        <w:t xml:space="preserve">وهو ميقات أهل الشام بلا خلاف يوجد ، لصحاح الحلبيّين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المواقيت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ورفاعة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0" w:name="pg11651_107784"/>
    </w:p>
    <w:p>
      <w:pPr>
        <w:pStyle w:val="BookText"/>
        <w:rPr/>
      </w:pPr>
      <w:bookmarkEnd w:id="110"/>
      <w:r>
        <w:rPr>
          <w:rFonts w:ascii="Amiri" w:hAnsi="Amiri" w:eastAsia="Amiri" w:cs="Amiri"/>
          <w:color w:val="111111"/>
          <w:sz w:val="28"/>
          <w:sz w:val="28"/>
          <w:szCs w:val="28"/>
          <w:rtl w:val="true"/>
          <w:lang w:bidi="ar-SA"/>
        </w:rPr>
        <w:t xml:space="preserve">وعليّ </w:t>
      </w:r>
      <w:r>
        <w:rPr>
          <w:rStyle w:val="FootnoteAnchor"/>
          <w:rtl w:val="true"/>
        </w:rPr>
        <w:footnoteReference w:id="749"/>
      </w:r>
      <w:r>
        <w:rPr>
          <w:rFonts w:ascii="Amiri" w:hAnsi="Amiri" w:eastAsia="Amiri" w:cs="Amiri"/>
          <w:color w:val="111111"/>
          <w:sz w:val="28"/>
          <w:sz w:val="28"/>
          <w:szCs w:val="28"/>
          <w:rtl w:val="true"/>
          <w:lang w:bidi="ar-SA"/>
        </w:rPr>
        <w:t xml:space="preserve">وعمر بن يزيد </w:t>
      </w:r>
      <w:r>
        <w:rPr>
          <w:rStyle w:val="FootnoteAnchor"/>
          <w:rtl w:val="true"/>
        </w:rPr>
        <w:footnoteReference w:id="750"/>
      </w:r>
      <w:r>
        <w:rPr>
          <w:rFonts w:ascii="Amiri" w:hAnsi="Amiri" w:eastAsia="Amiri" w:cs="Amiri"/>
          <w:color w:val="111111"/>
          <w:sz w:val="28"/>
          <w:sz w:val="28"/>
          <w:szCs w:val="28"/>
          <w:rtl w:val="true"/>
          <w:lang w:bidi="ar-SA"/>
        </w:rPr>
        <w:t xml:space="preserve">المتقدّمة ، وهي أيضا ميقات أهل مصر والمغرب ، كما صرّح به في صحاح ابن عمّار </w:t>
      </w:r>
      <w:r>
        <w:rPr>
          <w:rStyle w:val="FootnoteAnchor"/>
          <w:rtl w:val="true"/>
        </w:rPr>
        <w:footnoteReference w:id="751"/>
      </w:r>
      <w:r>
        <w:rPr>
          <w:rFonts w:ascii="Amiri" w:hAnsi="Amiri" w:eastAsia="Amiri" w:cs="Amiri"/>
          <w:color w:val="111111"/>
          <w:sz w:val="28"/>
          <w:sz w:val="28"/>
          <w:szCs w:val="28"/>
          <w:rtl w:val="true"/>
          <w:lang w:bidi="ar-SA"/>
        </w:rPr>
        <w:t xml:space="preserve">والخزّاز </w:t>
      </w:r>
      <w:r>
        <w:rPr>
          <w:rStyle w:val="FootnoteAnchor"/>
          <w:rtl w:val="true"/>
        </w:rPr>
        <w:footnoteReference w:id="752"/>
      </w:r>
      <w:r>
        <w:rPr>
          <w:rFonts w:ascii="Amiri" w:hAnsi="Amiri" w:eastAsia="Amiri" w:cs="Amiri"/>
          <w:color w:val="111111"/>
          <w:sz w:val="28"/>
          <w:sz w:val="28"/>
          <w:szCs w:val="28"/>
          <w:rtl w:val="true"/>
          <w:lang w:bidi="ar-SA"/>
        </w:rPr>
        <w:t>وعليّ السابقة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171988_73709187"/>
      <w:bookmarkStart w:id="112" w:name="_Toc41"/>
      <w:bookmarkEnd w:id="111"/>
      <w:r>
        <w:rPr>
          <w:rtl w:val="true"/>
        </w:rPr>
        <w:t xml:space="preserve">الرابع </w:t>
      </w:r>
      <w:r>
        <w:rPr>
          <w:rtl w:val="true"/>
        </w:rPr>
        <w:t xml:space="preserve">: - </w:t>
      </w:r>
      <w:r>
        <w:rPr>
          <w:rtl w:val="true"/>
        </w:rPr>
        <w:t xml:space="preserve">وهو ميقات أهل اليمن </w:t>
      </w:r>
      <w:r>
        <w:rPr>
          <w:rtl w:val="true"/>
        </w:rPr>
        <w:t xml:space="preserve">- </w:t>
      </w:r>
      <w:r>
        <w:rPr>
          <w:rtl w:val="true"/>
        </w:rPr>
        <w:t>يلملم</w:t>
      </w:r>
      <w:bookmarkEnd w:id="112"/>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ألملم ويرمرم ، جبل على مرحلتين من مكّة ، وكونه ميقاتا ممّا لا خلاف فيه أيضا ، ووقع التصريح به في الصحاح المستفيضة المتقدّمة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171990_73709187"/>
      <w:bookmarkStart w:id="114" w:name="_Toc42"/>
      <w:bookmarkEnd w:id="113"/>
      <w:r>
        <w:rPr>
          <w:rtl w:val="true"/>
        </w:rPr>
        <w:t xml:space="preserve">الخامس </w:t>
      </w:r>
      <w:r>
        <w:rPr>
          <w:rtl w:val="true"/>
        </w:rPr>
        <w:t xml:space="preserve">: </w:t>
      </w:r>
      <w:r>
        <w:rPr>
          <w:rtl w:val="true"/>
        </w:rPr>
        <w:t>قرن المنازل</w:t>
      </w:r>
      <w:bookmarkEnd w:id="114"/>
    </w:p>
    <w:p>
      <w:pPr>
        <w:pStyle w:val="BookText"/>
        <w:rPr/>
      </w:pPr>
      <w:r>
        <w:rPr>
          <w:rFonts w:ascii="Amiri" w:hAnsi="Amiri" w:eastAsia="Amiri" w:cs="Amiri"/>
          <w:color w:val="111111"/>
          <w:sz w:val="28"/>
          <w:sz w:val="28"/>
          <w:szCs w:val="28"/>
          <w:rtl w:val="true"/>
          <w:lang w:bidi="ar-SA"/>
        </w:rPr>
        <w:t xml:space="preserve">بفتح القاف وسكون الراء ، وهو ميقات أهل الطائف ، وهو قرية عند الطائف ، أو اسم الوادي كلّه ، قاله في القاموس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الجوهري في تحريكه وفي نسبة أويس القرني إليه ، لأنّه منسوب إلى قرن بن ردمان بن ناجية بن مراد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في تغليطه فيهما ، وإنّما أويس من بني قرن بطن من مراد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لم يصرّح بالتحريك ولا بنسبة أويس إليه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حيّ من اليمن ومنه أويس القرني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15" w:name="pg11651_107785"/>
    </w:p>
    <w:p>
      <w:pPr>
        <w:pStyle w:val="BookText"/>
        <w:rPr/>
      </w:pPr>
      <w:bookmarkEnd w:id="115"/>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كونه ميقاتا ، وبه صرّح كثير من الصحاح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تلك المواقيت ذو الحليفة ، وهو على عشر مراحل من مكّة على ميل من المدينة ، ويليه في البعد الجحفة ، والمواقيت الثلاثة الباقية على مسافة واحدة ، بينها وبين مكّة ليلتان قاصدتان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6171992_73709187"/>
      <w:bookmarkStart w:id="117" w:name="_Toc43"/>
      <w:bookmarkEnd w:id="116"/>
      <w:r>
        <w:rPr>
          <w:rtl w:val="true"/>
        </w:rPr>
        <w:t xml:space="preserve">السادس </w:t>
      </w:r>
      <w:r>
        <w:rPr>
          <w:rtl w:val="true"/>
        </w:rPr>
        <w:t xml:space="preserve">: </w:t>
      </w:r>
      <w:r>
        <w:rPr>
          <w:rtl w:val="true"/>
        </w:rPr>
        <w:t>مكّة</w:t>
      </w:r>
      <w:bookmarkEnd w:id="117"/>
    </w:p>
    <w:p>
      <w:pPr>
        <w:pStyle w:val="BookText"/>
        <w:rPr/>
      </w:pPr>
      <w:r>
        <w:rPr>
          <w:rFonts w:ascii="Amiri" w:hAnsi="Amiri" w:eastAsia="Amiri" w:cs="Amiri"/>
          <w:color w:val="111111"/>
          <w:sz w:val="28"/>
          <w:sz w:val="28"/>
          <w:szCs w:val="28"/>
          <w:rtl w:val="true"/>
          <w:lang w:bidi="ar-SA"/>
        </w:rPr>
        <w:t>وهو ميقات حجّ المتمتّعين في حجّهم خاصّة ،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من كان منزله أقرب من المواقيت الخمسة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ميقاته دويرة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كما في الذخيرة </w:t>
      </w:r>
      <w:r>
        <w:rPr>
          <w:rStyle w:val="FootnoteAnchor"/>
          <w:rtl w:val="true"/>
        </w:rPr>
        <w:footnoteReference w:id="757"/>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مجمع عليه بين الأصحاب </w:t>
      </w:r>
      <w:r>
        <w:rPr>
          <w:rStyle w:val="FootnoteAnchor"/>
          <w:rtl w:val="true"/>
        </w:rPr>
        <w:footnoteReference w:id="758"/>
      </w:r>
      <w:r>
        <w:rPr>
          <w:rFonts w:ascii="Amiri" w:hAnsi="Amiri" w:eastAsia="Amiri" w:cs="Amiri"/>
          <w:color w:val="111111"/>
          <w:sz w:val="28"/>
          <w:sz w:val="28"/>
          <w:szCs w:val="28"/>
          <w:rtl w:val="true"/>
          <w:lang w:bidi="ar-SA"/>
        </w:rPr>
        <w:t xml:space="preserve">،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أهل العلم كافّة إلاّ مجاهد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المستفيضة من الصحاح وغيرها ، كصحيحة ابن عمّار المتقدّمة في الميقات الأول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منزله دون الوقت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منزله دون الميقات إلى </w:t>
      </w:r>
    </w:p>
    <w:p>
      <w:pPr>
        <w:pStyle w:val="BookText"/>
        <w:rPr/>
      </w:pPr>
      <w:r>
        <w:rPr>
          <w:rFonts w:ascii="Amiri" w:hAnsi="Amiri" w:eastAsia="Amiri" w:cs="Amiri"/>
          <w:color w:val="111111"/>
          <w:sz w:val="28"/>
          <w:sz w:val="28"/>
          <w:szCs w:val="28"/>
          <w:rtl w:val="true"/>
          <w:lang w:bidi="ar-SA"/>
        </w:rPr>
        <w:t xml:space="preserve">مكّة فليحرم من دويرة أهله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منزل الرجل دون ذات عرق إلى مكّة فليحرم من منزله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كان منزله دون الجحفة إلى 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منه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عمّا روي عن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من تمام حجّك إحرامك من دويرة أهلك ، وإنّما معنى دويرة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أهله وراء الميقات إلى مكّة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منزله خلف الجحفة من أين يحرم؟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منزله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منزله دون المواقيت ما بينها وبين مكّة فعليه أن يحرم من منزله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القرب إلى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الحكم يعمّ أهل مكّة أيضا على المشهور بين الأصحاب ، بل نفى بعضهم الخلاف فيه </w:t>
      </w:r>
      <w:r>
        <w:rPr>
          <w:rStyle w:val="FootnoteAnchor"/>
          <w:rtl w:val="true"/>
        </w:rPr>
        <w:footnoteReference w:id="769"/>
      </w:r>
      <w:r>
        <w:rPr>
          <w:rFonts w:ascii="Amiri" w:hAnsi="Amiri" w:eastAsia="Amiri" w:cs="Amiri"/>
          <w:color w:val="111111"/>
          <w:sz w:val="28"/>
          <w:sz w:val="28"/>
          <w:szCs w:val="28"/>
          <w:rtl w:val="true"/>
          <w:lang w:bidi="ar-SA"/>
        </w:rPr>
        <w:t xml:space="preserve">، وتدلّ عليه مرسلة الصدوق المتقدّمة ، وما روي عن </w:t>
      </w:r>
      <w:bookmarkStart w:id="118" w:name="pg11651_107787"/>
    </w:p>
    <w:p>
      <w:pPr>
        <w:pStyle w:val="BookText"/>
        <w:rPr/>
      </w:pPr>
      <w:bookmarkEnd w:id="118"/>
      <w:r>
        <w:rPr>
          <w:rFonts w:ascii="IRNazanin" w:hAnsi="IRNazanin" w:eastAsia="IRNazanin"/>
          <w:color w:val="111111"/>
          <w:sz w:val="28"/>
          <w:sz w:val="28"/>
          <w:szCs w:val="28"/>
          <w:rtl w:val="true"/>
          <w:lang w:bidi="fa-IR"/>
        </w:rPr>
        <w:t xml:space="preserve">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دونهنّ فمهلّه من أهله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الاستدلال عليه بصحيحة ابن عمّار المشار إليها أيضا ، إذ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منزله خلف هذه المواقيت من طرف مكّة ، ولا شكّ أنّ أهل مكّة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الاستدلال بجميع الأخبار المتقدّمة سوى المرسلة الأخيرة ، بأن يفسّر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منزله دون الميقات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في جميع ذلك الموضع المبتدأ بدون الميقات المنتهي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بعضهم فيهم من جهة أنّ الأقربيّة إلى مكّة تقتضي المغايرة ، ومن جهة الصحيحين الواردين في المجاور أنّه يحرم من الجعرانة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سماعة بن مهران ،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أقسام الحج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سواء انتقل فرضه إلى أهله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الأقرب إنّما ورد في كلام الأصحاب دون أخبار الأطياب ، والصحيحان واردان في حكم المجاور ، فلعلّ هذا مختص به ، مع أنّه يأتي شذوذ تلك الأخبار أيضا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171994_73709187"/>
      <w:bookmarkStart w:id="120" w:name="_Toc44"/>
      <w:bookmarkEnd w:id="119"/>
      <w:r>
        <w:rPr>
          <w:rtl w:val="true"/>
        </w:rPr>
        <w:t xml:space="preserve">الثامن </w:t>
      </w:r>
      <w:r>
        <w:rPr>
          <w:rtl w:val="true"/>
        </w:rPr>
        <w:t xml:space="preserve">: </w:t>
      </w:r>
      <w:r>
        <w:rPr>
          <w:rtl w:val="true"/>
        </w:rPr>
        <w:t>محاذاة الميقات</w:t>
      </w:r>
      <w:bookmarkEnd w:id="1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ميقات من حجّ على طريق لا يفضي إلى أحد المواقيت ، ومنه طريق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ميقاتا لمن ذكر مشهور بين الأصحاب ، بل نسبه </w:t>
      </w:r>
    </w:p>
    <w:p>
      <w:pPr>
        <w:pStyle w:val="BookText"/>
        <w:rPr/>
      </w:pPr>
      <w:r>
        <w:rPr>
          <w:rFonts w:ascii="Amiri" w:hAnsi="Amiri" w:eastAsia="Amiri" w:cs="Amiri"/>
          <w:color w:val="111111"/>
          <w:sz w:val="28"/>
          <w:sz w:val="28"/>
          <w:szCs w:val="28"/>
          <w:rtl w:val="true"/>
          <w:lang w:bidi="ar-SA"/>
        </w:rPr>
        <w:t xml:space="preserve">بعضهم إلى الشهرة العظيمة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أو نحوه ثم بدا له أن يخرج في غير طريق المدينة ، فإذا كان حذاء الشجرة والبيداء مسيرة ستّة أميال فليحرم منها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إحرامه من مسيرة ستّة أميال ، فيكون حذاء الشجرة من البيداء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ويتعدّى إلى سائر المواقيت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تعارضها 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الشجرة ثم يأخذ من أيّ طريق شاء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لعدم دلالتها على الوجوب أولا ، وشذوذها ثانيا ، وإيجابه الحرج في بعض الأحيان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يحرم ذلك من محاذاته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الميقات الأقرب إلى الطريق ، كما هو مذهب الأكثر ، وإليه ذهب الفاضل في المنتهى والتذكرة </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إلى مكّة ، كما عن القواعد </w:t>
      </w:r>
      <w:r>
        <w:rPr>
          <w:rStyle w:val="FootnoteAnchor"/>
          <w:rtl w:val="true"/>
        </w:rPr>
        <w:footnoteReference w:id="777"/>
      </w:r>
      <w:r>
        <w:rPr>
          <w:rFonts w:ascii="Amiri" w:hAnsi="Amiri" w:eastAsia="Amiri" w:cs="Amiri"/>
          <w:color w:val="111111"/>
          <w:sz w:val="28"/>
          <w:sz w:val="28"/>
          <w:szCs w:val="28"/>
          <w:rtl w:val="true"/>
          <w:lang w:bidi="ar-SA"/>
        </w:rPr>
        <w:t xml:space="preserve">وغيره </w:t>
      </w:r>
      <w:r>
        <w:rPr>
          <w:rStyle w:val="FootnoteAnchor"/>
          <w:rtl w:val="true"/>
        </w:rPr>
        <w:footnoteReference w:id="778"/>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أيّ ميقات كان ، كما عن الإسكافي والحلّي </w:t>
      </w:r>
      <w:r>
        <w:rPr>
          <w:rStyle w:val="FootnoteAnchor"/>
          <w:rtl w:val="true"/>
        </w:rPr>
        <w:footnoteReference w:id="779"/>
      </w:r>
      <w:r>
        <w:rPr>
          <w:rFonts w:ascii="Amiri" w:hAnsi="Amiri" w:eastAsia="Amiri" w:cs="Amiri"/>
          <w:color w:val="111111"/>
          <w:sz w:val="28"/>
          <w:sz w:val="28"/>
          <w:szCs w:val="28"/>
          <w:rtl w:val="true"/>
          <w:lang w:bidi="ar-SA"/>
        </w:rPr>
        <w:t xml:space="preserve">، واختاره في </w:t>
      </w:r>
      <w:bookmarkStart w:id="121" w:name="pg11651_107789"/>
    </w:p>
    <w:p>
      <w:pPr>
        <w:pStyle w:val="BookText"/>
        <w:rPr/>
      </w:pPr>
      <w:bookmarkEnd w:id="121"/>
      <w:r>
        <w:rPr>
          <w:rFonts w:ascii="IRNazanin" w:hAnsi="IRNazanin" w:eastAsia="IRNazanin"/>
          <w:color w:val="111111"/>
          <w:sz w:val="28"/>
          <w:sz w:val="28"/>
          <w:szCs w:val="28"/>
          <w:rtl w:val="true"/>
          <w:lang w:bidi="fa-IR"/>
        </w:rPr>
        <w:t xml:space="preserve">الإرشاد </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فهو المختار في العمل ، وتكفي المحاذاة التقريبيّة ، لعدم إمكان التحقيق غالبا ، ولأنّها المتحقّقة في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الظنّ بالمحاذاة ، لعدم حصول غير الظنّ إمّا مطلقا أو غالبا ، فلا يكون متعلّق التكليف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له سبيل إلى الظنّ أيضا يحرم من أول موضع يحتمل المحاذاة ، ويجدّد النيّة إلى آخر موضع كذلك ، ولا حرج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تقديم الإحرام على الميقات إنّما هو لا فيما كان بنيّة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حكم من سلك طريقا لا يحاذي شيئا منها ، وهو خلاف لا فائدة فيه ، إذ المواقيت محيطة بالحرم من الجوانب ، ولو فرض إمكان فالمختار الإحرام من أدنى الحلّ ، لأصالة البراءة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بذلك فيمن لا سبيل له إلى الظنّ أيضا ، لما ذكر ، بضميمة أنّ المتبادر من الصحيحة غير ذلك الشخص</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171996_73709187"/>
      <w:bookmarkStart w:id="123" w:name="_Toc45"/>
      <w:bookmarkEnd w:id="122"/>
      <w:r>
        <w:rPr>
          <w:rtl w:val="true"/>
        </w:rPr>
        <w:t xml:space="preserve">التاسع </w:t>
      </w:r>
      <w:r>
        <w:rPr>
          <w:rtl w:val="true"/>
        </w:rPr>
        <w:t xml:space="preserve">: </w:t>
      </w:r>
      <w:r>
        <w:rPr>
          <w:rtl w:val="true"/>
        </w:rPr>
        <w:t>أدنى الحلّ</w:t>
      </w:r>
      <w:bookmarkEnd w:id="123"/>
    </w:p>
    <w:p>
      <w:pPr>
        <w:pStyle w:val="Heading5"/>
        <w:numPr>
          <w:ilvl w:val="4"/>
          <w:numId w:val="1"/>
        </w:numPr>
        <w:rPr/>
      </w:pPr>
      <w:bookmarkStart w:id="124" w:name="__RefHeading___Toc6171998_73709187"/>
      <w:bookmarkStart w:id="125" w:name="_Toc46"/>
      <w:bookmarkEnd w:id="124"/>
      <w:r>
        <w:rPr>
          <w:rtl w:val="true"/>
        </w:rPr>
        <w:t>اشارة</w:t>
      </w:r>
      <w:bookmarkEnd w:id="1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ميقات العمرة المفردة الواقعة بعد حجّ الإفراد والقران ، فإنّ المفرد والقارن إذا أرادا الاعتمار بعد الحجّ لزمهما الخروج إلى أدنى الحلّ ، فيحرمان منه ثم يعودان إلى مكّة للطواف والسعي ، بلا خلاف فيه كما صرّح به في المنتهى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26" w:name="pg11651_107790"/>
    </w:p>
    <w:p>
      <w:pPr>
        <w:pStyle w:val="BookText"/>
        <w:rPr/>
      </w:pPr>
      <w:bookmarkEnd w:id="126"/>
      <w:r>
        <w:rPr>
          <w:rFonts w:ascii="Amiri" w:hAnsi="Amiri" w:eastAsia="Amiri" w:cs="Amiri"/>
          <w:color w:val="111111"/>
          <w:sz w:val="28"/>
          <w:sz w:val="28"/>
          <w:szCs w:val="28"/>
          <w:rtl w:val="true"/>
          <w:lang w:bidi="ar-SA"/>
        </w:rPr>
        <w:t xml:space="preserve">وتدلّ عليه 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يخرج من مكّة ليعتمر أحرم من الجعرانة أو الحديبيّة أو ما أشبههما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 وغير ذلك من الأخبار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وإطلاقها يشمل كلّ من أراد العمرة المفردة من مكّة أيضا وإن لم يكن مفردا أو قارنا ، بل أراد التقرّب بالعمرة والتحلّل من الحجّ الفاسد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 وهو ميقات الصبيان في غير حجّ التمتّع عند جماعة </w:t>
      </w:r>
      <w:r>
        <w:rPr>
          <w:rStyle w:val="FootnoteAnchor"/>
          <w:rtl w:val="true"/>
        </w:rPr>
        <w:footnoteReference w:id="784"/>
      </w:r>
      <w:r>
        <w:rPr>
          <w:rFonts w:ascii="Amiri" w:hAnsi="Amiri" w:eastAsia="Amiri" w:cs="Amiri"/>
          <w:color w:val="111111"/>
          <w:sz w:val="28"/>
          <w:sz w:val="28"/>
          <w:szCs w:val="28"/>
          <w:rtl w:val="true"/>
          <w:lang w:bidi="ar-SA"/>
        </w:rPr>
        <w:t xml:space="preserve">، وجعله آخرون موضع التجريد وإن كان موضع إحرامهم كغيرهم </w:t>
      </w:r>
      <w:r>
        <w:rPr>
          <w:rStyle w:val="FootnoteAnchor"/>
          <w:rtl w:val="true"/>
        </w:rPr>
        <w:footnoteReference w:id="785"/>
      </w:r>
      <w:r>
        <w:rPr>
          <w:rFonts w:ascii="Amiri" w:hAnsi="Amiri" w:eastAsia="Amiri" w:cs="Amiri"/>
          <w:color w:val="111111"/>
          <w:sz w:val="28"/>
          <w:sz w:val="28"/>
          <w:szCs w:val="28"/>
          <w:rtl w:val="true"/>
          <w:lang w:bidi="ar-SA"/>
        </w:rPr>
        <w:t>، ويأتي تحقيقه في المسألة الثانية من بحث أحكام الإحرام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172000_73709187"/>
      <w:bookmarkStart w:id="128" w:name="_Toc47"/>
      <w:bookmarkEnd w:id="127"/>
      <w:r>
        <w:rPr>
          <w:rtl w:val="true"/>
        </w:rPr>
        <w:t xml:space="preserve">وها هنا مسائل </w:t>
      </w:r>
      <w:r>
        <w:rPr>
          <w:rtl w:val="true"/>
        </w:rPr>
        <w:t>:</w:t>
      </w:r>
      <w:bookmarkEnd w:id="128"/>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متساويان في المواقيت المذكورة ، فمن قدم إلى مكّة حاجّا أو معتمرا ومرّ بها يجب عليه الإحرام منها ، سواء كانت العمرة عمرة تمتّع أو إفراد ، وسواء كان الحجّ قرانا أو إفرادا ، إلاّ حجّ التمتّع فميقاته مكّة ، والعمرة المفردة لمن أرادها من مكّة فميقاتها أدنى الحلّ كما مرّ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حجّ أو اعتمر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كالعراقي يمرّ بمسجد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فميقاته ميقات أهل ذلك الطريق ، بغير خلاف فيه يوجد </w:t>
      </w:r>
    </w:p>
    <w:p>
      <w:pPr>
        <w:pStyle w:val="BookText"/>
        <w:rPr/>
      </w:pP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786"/>
      </w:r>
      <w:r>
        <w:rPr>
          <w:rFonts w:ascii="Amiri" w:hAnsi="Amiri" w:eastAsia="Amiri" w:cs="Amiri"/>
          <w:color w:val="111111"/>
          <w:sz w:val="28"/>
          <w:sz w:val="28"/>
          <w:szCs w:val="28"/>
          <w:rtl w:val="true"/>
          <w:lang w:bidi="ar-SA"/>
        </w:rPr>
        <w:t xml:space="preserve">، بل عن جماعة دعوى الإجماع عليه </w:t>
      </w:r>
      <w:r>
        <w:rPr>
          <w:rStyle w:val="FootnoteAnchor"/>
          <w:rtl w:val="true"/>
        </w:rPr>
        <w:footnoteReference w:id="787"/>
      </w:r>
      <w:r>
        <w:rPr>
          <w:rFonts w:ascii="Amiri" w:hAnsi="Amiri" w:eastAsia="Amiri" w:cs="Amiri"/>
          <w:color w:val="111111"/>
          <w:sz w:val="28"/>
          <w:sz w:val="28"/>
          <w:szCs w:val="28"/>
          <w:rtl w:val="true"/>
          <w:lang w:bidi="ar-SA"/>
        </w:rPr>
        <w:t>، بل هو إجماع محقّق أيضا ،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انتفاء العسر والحرج في الشريعة ،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لهنّ ولمن أتى عليهنّ من غير أهلهنّ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صفوان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عليه وآله وقّت المواقيت لأهلها ومن أتى عليها من غير أهلها ، وفيها رخصة لمن كانت به علّة ، فلا يجاوز الميقات إلاّ من علّة </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قبل الميقات لم ينعقد إحرامه بالإجماع ، كما حكي عن جماعة منهم المنتهى </w:t>
      </w:r>
      <w:r>
        <w:rPr>
          <w:rStyle w:val="FootnoteAnchor"/>
          <w:rtl w:val="true"/>
        </w:rPr>
        <w:footnoteReference w:id="790"/>
      </w:r>
      <w:r>
        <w:rPr>
          <w:rFonts w:ascii="Amiri" w:hAnsi="Amiri" w:eastAsia="Amiri" w:cs="Amiri"/>
          <w:color w:val="111111"/>
          <w:sz w:val="28"/>
          <w:sz w:val="28"/>
          <w:szCs w:val="28"/>
          <w:rtl w:val="true"/>
          <w:lang w:bidi="ar-SA"/>
        </w:rPr>
        <w:t>، وتدلّ عليه الأخبار المستفيضة جدّا من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المتقدّمة </w:t>
      </w:r>
      <w:r>
        <w:rPr>
          <w:rStyle w:val="FootnoteAnchor"/>
          <w:rtl w:val="true"/>
        </w:rPr>
        <w:footnoteReference w:id="791"/>
      </w:r>
      <w:r>
        <w:rPr>
          <w:rFonts w:ascii="Amiri" w:hAnsi="Amiri" w:eastAsia="Amiri" w:cs="Amiri"/>
          <w:color w:val="111111"/>
          <w:sz w:val="28"/>
          <w:sz w:val="28"/>
          <w:szCs w:val="28"/>
          <w:rtl w:val="true"/>
          <w:lang w:bidi="ar-SA"/>
        </w:rPr>
        <w:t xml:space="preserve">في الميقات الأول ، وصحيحة ابن أذينة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دون الميقات فلا إحرام له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لأحد أن يحرم قبل الوقت الذي وقّت رسول اللّه صلی اللّه عليه وآله ، وإنّما مثل ذلك مثل من صلّى في السفر أربعا </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إبراهيم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أحرم بحجّة في غير أشهر الحجّ دون الميقات الذي وقّته رسول صلی اللّه عليه وآله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إحرامه بشي‌ء ، فإن أحبّ أن يرجع إلى أهله فليرجع ، فإنّي لا أرى عليه شيئا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الإحرام دون الميقات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واستثنيت من ذلك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الإحرام من موضع معيّن قبل أحد هذه المواقيت فيصحّ ، بشرط أن يقع في أشهر الحجّ لو كان للحجّ أو عمرة يتمتّع بها ، ومطلقا للعمرة المفردة على الأقوى ، وفاقا للشيخ في النهاية والمبسوط والخلاف والتهذيبين والمفيد والديلمي والقاضي وابن حمزة </w:t>
      </w:r>
      <w:r>
        <w:rPr>
          <w:rStyle w:val="FootnoteAnchor"/>
          <w:rtl w:val="true"/>
        </w:rPr>
        <w:footnoteReference w:id="796"/>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797"/>
      </w:r>
      <w:r>
        <w:rPr>
          <w:rFonts w:ascii="Amiri" w:hAnsi="Amiri" w:eastAsia="Amiri" w:cs="Amiri"/>
          <w:color w:val="111111"/>
          <w:sz w:val="28"/>
          <w:sz w:val="28"/>
          <w:szCs w:val="28"/>
          <w:rtl w:val="true"/>
          <w:lang w:bidi="ar-SA"/>
        </w:rPr>
        <w:t xml:space="preserve">، بل الأكثر مطلقا كما قيل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الحلبي </w:t>
      </w:r>
      <w:r>
        <w:rPr>
          <w:rStyle w:val="FootnoteAnchor"/>
          <w:rtl w:val="true"/>
        </w:rPr>
        <w:footnoteReference w:id="799"/>
      </w:r>
      <w:r>
        <w:rPr>
          <w:rFonts w:ascii="Amiri" w:hAnsi="Amiri" w:eastAsia="Amiri" w:cs="Amiri"/>
          <w:color w:val="111111"/>
          <w:sz w:val="28"/>
          <w:sz w:val="28"/>
          <w:szCs w:val="28"/>
          <w:rtl w:val="true"/>
          <w:lang w:bidi="ar-SA"/>
        </w:rPr>
        <w:t xml:space="preserve">، وموثّقة أبي بصير </w:t>
      </w:r>
      <w:r>
        <w:rPr>
          <w:rStyle w:val="FootnoteAnchor"/>
          <w:rtl w:val="true"/>
        </w:rPr>
        <w:footnoteReference w:id="800"/>
      </w:r>
      <w:r>
        <w:rPr>
          <w:rFonts w:ascii="Amiri" w:hAnsi="Amiri" w:eastAsia="Amiri" w:cs="Amiri"/>
          <w:color w:val="111111"/>
          <w:sz w:val="28"/>
          <w:sz w:val="28"/>
          <w:szCs w:val="28"/>
          <w:rtl w:val="true"/>
          <w:lang w:bidi="ar-SA"/>
        </w:rPr>
        <w:t xml:space="preserve">، ورواية عليّ بن أبي </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801"/>
      </w:r>
      <w:r>
        <w:rPr>
          <w:rFonts w:ascii="Amiri" w:hAnsi="Amiri" w:eastAsia="Amiri" w:cs="Amiri"/>
          <w:color w:val="111111"/>
          <w:sz w:val="28"/>
          <w:sz w:val="28"/>
          <w:szCs w:val="28"/>
          <w:rtl w:val="true"/>
          <w:lang w:bidi="ar-SA"/>
        </w:rPr>
        <w:t xml:space="preserve">، المنجبرة ضعف بعضها أو الجميع على ما قيل </w:t>
      </w:r>
      <w:r>
        <w:rPr>
          <w:rStyle w:val="FootnoteAnchor"/>
          <w:rtl w:val="true"/>
        </w:rPr>
        <w:footnoteReference w:id="802"/>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للحلّي والمختلف ، فمنعا عن الاستثناء ، لأنّه نذر غير مشروع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شرّع بالنصوص المذكورة ، وإبداء بعض الاحتمالات البعيدة فيها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احتاط بالجمع بين الإحرام عن الموضع المنذور والميقات المقرّر كان أولى وأفضل ، وحكم باستحباب الجمع بعضهم </w:t>
      </w:r>
      <w:r>
        <w:rPr>
          <w:rStyle w:val="FootnoteAnchor"/>
          <w:rtl w:val="true"/>
        </w:rPr>
        <w:footnoteReference w:id="804"/>
      </w:r>
      <w:r>
        <w:rPr>
          <w:rFonts w:ascii="Amiri" w:hAnsi="Amiri" w:eastAsia="Amiri" w:cs="Amiri"/>
          <w:color w:val="111111"/>
          <w:sz w:val="28"/>
          <w:sz w:val="28"/>
          <w:szCs w:val="28"/>
          <w:rtl w:val="true"/>
          <w:lang w:bidi="ar-SA"/>
        </w:rPr>
        <w:t xml:space="preserve">، ومنهم من أوجبه إذا كان النذر في الإحرام الواجب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يعتمر في شهر رجب إذا خاف خروجه قبل الوصول إلى أحد المواقيت ، فإنّه يجوز له الإحرام قبل الميقات ليدرك فضل الشهر ، بلا خلاف فيه يعرف ، واتّفاقهم عليه منقول في كلامهم ، وتدلّ عليه صحيحة ابن عمّار </w:t>
      </w:r>
      <w:r>
        <w:rPr>
          <w:rStyle w:val="FootnoteAnchor"/>
          <w:rtl w:val="true"/>
        </w:rPr>
        <w:footnoteReference w:id="806"/>
      </w:r>
      <w:r>
        <w:rPr>
          <w:rFonts w:ascii="Amiri" w:hAnsi="Amiri" w:eastAsia="Amiri" w:cs="Amiri"/>
          <w:color w:val="111111"/>
          <w:sz w:val="28"/>
          <w:sz w:val="28"/>
          <w:szCs w:val="28"/>
          <w:rtl w:val="true"/>
          <w:lang w:bidi="ar-SA"/>
        </w:rPr>
        <w:t xml:space="preserve">، وموثّقة إسحاق </w:t>
      </w:r>
      <w:r>
        <w:rPr>
          <w:rStyle w:val="FootnoteAnchor"/>
          <w:rtl w:val="true"/>
        </w:rPr>
        <w:footnoteReference w:id="807"/>
      </w:r>
      <w:r>
        <w:rPr>
          <w:rFonts w:ascii="Amiri" w:hAnsi="Amiri" w:eastAsia="Amiri" w:cs="Amiri"/>
          <w:color w:val="111111"/>
          <w:sz w:val="28"/>
          <w:sz w:val="28"/>
          <w:szCs w:val="28"/>
          <w:rtl w:val="true"/>
          <w:lang w:bidi="ar-SA"/>
        </w:rPr>
        <w:t>، والاحتياط فيه أيضا تجديد الإحرام من الميقات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لمريد النسك تأخير الإحرام عن الميقات ، إجماعا فتوى ونصّا ، لأنّ ذلك مقتضى التوقيت ، مضافا إلى التصريح به في جملة من النصوص المعتبرة ، كصحيحة صفوان المتقدّمة في المسألة </w:t>
      </w:r>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808"/>
      </w:r>
      <w:r>
        <w:rPr>
          <w:rFonts w:ascii="Amiri" w:hAnsi="Amiri" w:eastAsia="Amiri" w:cs="Amiri"/>
          <w:color w:val="111111"/>
          <w:sz w:val="28"/>
          <w:sz w:val="28"/>
          <w:szCs w:val="28"/>
          <w:rtl w:val="true"/>
          <w:lang w:bidi="ar-SA"/>
        </w:rPr>
        <w:t xml:space="preserve">، وصحيحة ابن أذينة </w:t>
      </w:r>
      <w:r>
        <w:rPr>
          <w:rStyle w:val="FootnoteAnchor"/>
          <w:rtl w:val="true"/>
        </w:rPr>
        <w:footnoteReference w:id="809"/>
      </w:r>
      <w:r>
        <w:rPr>
          <w:rFonts w:ascii="Amiri" w:hAnsi="Amiri" w:eastAsia="Amiri" w:cs="Amiri"/>
          <w:color w:val="111111"/>
          <w:sz w:val="28"/>
          <w:sz w:val="28"/>
          <w:szCs w:val="28"/>
          <w:rtl w:val="true"/>
          <w:lang w:bidi="ar-SA"/>
        </w:rPr>
        <w:t xml:space="preserve">، والمرويّ في العلل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الفضيل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إذا انتهى إلى الوقت فليحرم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قدموا المدينة فخافوا كثرة البرد وكثرة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الإحرام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أن يأخذوا منها إلى ذات عرق فيحرموا منها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المدينة فليس له أن يحرم إلاّ من المدينة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الحجّ والعمرة أن تحرم من الميقات الذي وقّته رسول اللّه صلی اللّه عليه وآله ، لا تجاوزها إلاّ وأنت محرم </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يجاوز الجحفة إلاّ محرما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عذر يمنع من الإحرام في الميقات ، فعن الشيخ </w:t>
      </w:r>
      <w:r>
        <w:rPr>
          <w:rStyle w:val="FootnoteAnchor"/>
          <w:rtl w:val="true"/>
        </w:rPr>
        <w:footnoteReference w:id="816"/>
      </w:r>
      <w:r>
        <w:rPr>
          <w:rFonts w:ascii="Amiri" w:hAnsi="Amiri" w:eastAsia="Amiri" w:cs="Amiri"/>
          <w:color w:val="111111"/>
          <w:sz w:val="28"/>
          <w:sz w:val="28"/>
          <w:szCs w:val="28"/>
          <w:rtl w:val="true"/>
          <w:lang w:bidi="ar-SA"/>
        </w:rPr>
        <w:t xml:space="preserve">وجماعة </w:t>
      </w:r>
      <w:r>
        <w:rPr>
          <w:rStyle w:val="FootnoteAnchor"/>
          <w:rtl w:val="true"/>
        </w:rPr>
        <w:footnoteReference w:id="817"/>
      </w:r>
      <w:r>
        <w:rPr>
          <w:rFonts w:ascii="Amiri" w:hAnsi="Amiri" w:eastAsia="Amiri" w:cs="Amiri"/>
          <w:color w:val="111111"/>
          <w:sz w:val="28"/>
          <w:sz w:val="28"/>
          <w:szCs w:val="28"/>
          <w:rtl w:val="true"/>
          <w:lang w:bidi="ar-SA"/>
        </w:rPr>
        <w:t xml:space="preserve">تجويز التأخير ، وتدلّ عليه صحيحة صفوان المتقدّمة ، ومرسلة المحاملي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خاف الرجل على نفسه أخّر إحرامه إلى </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ومنعه الحلّي والفاضل في جملة من كتبه </w:t>
      </w:r>
      <w:r>
        <w:rPr>
          <w:rStyle w:val="FootnoteAnchor"/>
          <w:rtl w:val="true"/>
        </w:rPr>
        <w:footnoteReference w:id="819"/>
      </w:r>
      <w:r>
        <w:rPr>
          <w:rFonts w:ascii="Amiri" w:hAnsi="Amiri" w:eastAsia="Amiri" w:cs="Amiri"/>
          <w:color w:val="111111"/>
          <w:sz w:val="28"/>
          <w:sz w:val="28"/>
          <w:szCs w:val="28"/>
          <w:rtl w:val="true"/>
          <w:lang w:bidi="ar-SA"/>
        </w:rPr>
        <w:t xml:space="preserve">، وحملوا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تجويز تأخير صورة الإحرام وإظهاره ، من التعرّي ولبس الثوبين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 والتقيّة لا يمنعان النيّة والتلبية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ذلك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وببعض الحديث المتضمّن لحكم من مرّ على المسلخ مع العامّة بأنّه يحرم من الميقات من غير تلبّس الثياب وإظهار له ، ثم يظهره من ميقاتهم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المسلخ فغير ما نحن فيه ، لتصريح بالإحرام خفيّا ، ولكنّه يلبس الثياب بعده ، وهذا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الاستدلال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 موضعه ، فلا معارض للصحيح والمرسل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بلفظيّة النزاع ، لأنّ مرادنا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يتمكّن من الإحرام أصلا ، ومرادهما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تمكّن منه باطنا وإن لم يتمكّن من استدامته أو إظهاره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فرضا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 ولو تمكّن باطنا يجب الإتيان به ويؤخّر الإظهار ، وإن تمكّن من بعض واجباته دون بعض فالأولى الإتيان بما أمكن ، بل الظاهر الوجوب ، لعدم ثبوت الارتباط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لمانع أو سهو أو جهل بالحكم أو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الرجوع إليه والإحرام منه مع الإمكان ، بلا خلاف فيه بين العلماء كما عن المنتهى </w:t>
      </w:r>
      <w:r>
        <w:rPr>
          <w:rStyle w:val="FootnoteAnchor"/>
          <w:rtl w:val="true"/>
        </w:rPr>
        <w:footnoteReference w:id="823"/>
      </w:r>
      <w:r>
        <w:rPr>
          <w:rFonts w:ascii="Amiri" w:hAnsi="Amiri" w:eastAsia="Amiri" w:cs="Amiri"/>
          <w:color w:val="111111"/>
          <w:sz w:val="28"/>
          <w:sz w:val="28"/>
          <w:szCs w:val="28"/>
          <w:rtl w:val="true"/>
          <w:lang w:bidi="ar-SA"/>
        </w:rPr>
        <w:t xml:space="preserve">، لتوقّف الواجب عليه ، والمستفيضة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الإحرام حتى دخل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ميقات أهل بلاده الذي يحرمون منه فيحرم ، وإن خشي أن يفوته الحجّ فليحرم من مكانه ، فإن استطاع أن يخرج من الحرم فليخرج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يحرم حتى دخل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يخرج إلى ميقات أهل أرضه ، فإن خشي أن يفوته الحجّ أحرم من مكانه ، وإن استطاع أن يخرج من الحرم فليخرج ثم ليحرم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 قوم فطمثت فأرسلت إليهم فسألتهم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أعليك إحرام أم لا وأنت حائض؟ فتركوها حتى دخلت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عليها مهلة فلترجع إلى الوقت فلتحرم منه ، وإن لم يكن عليها وقت فلترجع إلى ما قدرت عليه بعد ما تخرج من الحرم بقدر ما لا يفوتها الحجّ فتحرم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طائفة من الأخبار في الجاهل والناسي ، من الأمر بالخروج </w:t>
      </w:r>
    </w:p>
    <w:p>
      <w:pPr>
        <w:pStyle w:val="BookText"/>
        <w:rPr/>
      </w:pPr>
      <w:r>
        <w:rPr>
          <w:rFonts w:ascii="Amiri" w:hAnsi="Amiri" w:eastAsia="Amiri" w:cs="Amiri"/>
          <w:color w:val="111111"/>
          <w:sz w:val="28"/>
          <w:sz w:val="28"/>
          <w:szCs w:val="28"/>
          <w:rtl w:val="true"/>
          <w:lang w:bidi="ar-SA"/>
        </w:rPr>
        <w:t xml:space="preserve">إلى خارج الحرم بقول مطلق ، كصحيحة ابن سنان </w:t>
      </w:r>
      <w:r>
        <w:rPr>
          <w:rStyle w:val="FootnoteAnchor"/>
          <w:rtl w:val="true"/>
        </w:rPr>
        <w:footnoteReference w:id="827"/>
      </w:r>
      <w:r>
        <w:rPr>
          <w:rFonts w:ascii="Amiri" w:hAnsi="Amiri" w:eastAsia="Amiri" w:cs="Amiri"/>
          <w:color w:val="111111"/>
          <w:sz w:val="28"/>
          <w:sz w:val="28"/>
          <w:szCs w:val="28"/>
          <w:rtl w:val="true"/>
          <w:lang w:bidi="ar-SA"/>
        </w:rPr>
        <w:t xml:space="preserve">، ورواية الكناني </w:t>
      </w:r>
      <w:r>
        <w:rPr>
          <w:rStyle w:val="FootnoteAnchor"/>
          <w:rtl w:val="true"/>
        </w:rPr>
        <w:footnoteReference w:id="828"/>
      </w:r>
      <w:r>
        <w:rPr>
          <w:rFonts w:ascii="Amiri" w:hAnsi="Amiri" w:eastAsia="Amiri" w:cs="Amiri"/>
          <w:color w:val="111111"/>
          <w:sz w:val="28"/>
          <w:sz w:val="28"/>
          <w:szCs w:val="28"/>
          <w:rtl w:val="true"/>
          <w:lang w:bidi="ar-SA"/>
        </w:rPr>
        <w:t xml:space="preserve">، أو بالإحرام من مكانه أو مكّة أو المسجد كذلك ، كموثّقة زرارة </w:t>
      </w:r>
      <w:r>
        <w:rPr>
          <w:rStyle w:val="FootnoteAnchor"/>
          <w:rtl w:val="true"/>
        </w:rPr>
        <w:footnoteReference w:id="829"/>
      </w:r>
      <w:r>
        <w:rPr>
          <w:rFonts w:ascii="Amiri" w:hAnsi="Amiri" w:eastAsia="Amiri" w:cs="Amiri"/>
          <w:color w:val="111111"/>
          <w:sz w:val="28"/>
          <w:sz w:val="28"/>
          <w:szCs w:val="28"/>
          <w:rtl w:val="true"/>
          <w:lang w:bidi="ar-SA"/>
        </w:rPr>
        <w:t xml:space="preserve">، وموثّقة سورة بن كليب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حملها على صورة عدم التمكّن من الخروج إلى الميقات كما هو الغالب ، فيحمل الإطلاق عليه حملا للمطلق على المقيّد ، واقتصارا في الإطلاق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المرويّ عن قرب الإسناد </w:t>
      </w:r>
      <w:r>
        <w:rPr>
          <w:rStyle w:val="FootnoteAnchor"/>
          <w:rtl w:val="true"/>
        </w:rPr>
        <w:footnoteReference w:id="831"/>
      </w:r>
      <w:r>
        <w:rPr>
          <w:rFonts w:ascii="Amiri" w:hAnsi="Amiri" w:eastAsia="Amiri" w:cs="Amiri"/>
          <w:color w:val="111111"/>
          <w:sz w:val="28"/>
          <w:sz w:val="28"/>
          <w:szCs w:val="28"/>
          <w:rtl w:val="true"/>
          <w:lang w:bidi="ar-SA"/>
        </w:rPr>
        <w:t xml:space="preserve">ما لا يمكن الحمل عليه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لشذوذه مع عدم وضوح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يكافئ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رجوع الناسي أو الجاهل إلى الميقات فليرجع إلى قرب الميقات بقدر الإمكان ، وفاقا للشهيد </w:t>
      </w:r>
      <w:r>
        <w:rPr>
          <w:rStyle w:val="FootnoteAnchor"/>
          <w:rtl w:val="true"/>
        </w:rPr>
        <w:footnoteReference w:id="832"/>
      </w:r>
      <w:r>
        <w:rPr>
          <w:rFonts w:ascii="IRNazanin" w:hAnsi="IRNazanin" w:eastAsia="IRNazanin"/>
          <w:color w:val="111111"/>
          <w:sz w:val="28"/>
          <w:sz w:val="28"/>
          <w:szCs w:val="28"/>
          <w:rtl w:val="true"/>
          <w:lang w:bidi="fa-IR"/>
        </w:rPr>
        <w:t xml:space="preserve">وبعض آخر </w:t>
      </w:r>
      <w:r>
        <w:rPr>
          <w:rStyle w:val="FootnoteAnchor"/>
          <w:rtl w:val="true"/>
        </w:rPr>
        <w:footnoteReference w:id="833"/>
      </w:r>
      <w:r>
        <w:rPr>
          <w:rFonts w:ascii="Amiri" w:hAnsi="Amiri" w:eastAsia="Amiri" w:cs="Amiri"/>
          <w:color w:val="111111"/>
          <w:sz w:val="28"/>
          <w:sz w:val="28"/>
          <w:szCs w:val="28"/>
          <w:rtl w:val="true"/>
          <w:lang w:bidi="ar-SA"/>
        </w:rPr>
        <w:t xml:space="preserve">، لصحيحة ابن عمّار المتقدّمة </w:t>
      </w:r>
      <w:r>
        <w:rPr>
          <w:rStyle w:val="FootnoteAnchor"/>
          <w:rtl w:val="true"/>
        </w:rPr>
        <w:footnoteReference w:id="834"/>
      </w:r>
      <w:r>
        <w:rPr>
          <w:rFonts w:ascii="Amiri" w:hAnsi="Amiri" w:eastAsia="Amiri" w:cs="Amiri"/>
          <w:color w:val="111111"/>
          <w:sz w:val="28"/>
          <w:sz w:val="28"/>
          <w:szCs w:val="28"/>
          <w:rtl w:val="true"/>
          <w:lang w:bidi="ar-SA"/>
        </w:rPr>
        <w:t>، واختصاصها بالجاهل غير ضائر ، لعدم القول بالفصل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يمكن حملها على الاستحباب ، لعدم وجوب ذلك على الناسي والجاهل مع الاشتراك في </w:t>
      </w:r>
    </w:p>
    <w:p>
      <w:pPr>
        <w:pStyle w:val="BookText"/>
        <w:rPr/>
      </w:pPr>
      <w:r>
        <w:rPr>
          <w:rFonts w:ascii="Amiri" w:hAnsi="Amiri" w:eastAsia="Amiri" w:cs="Amiri"/>
          <w:color w:val="111111"/>
          <w:sz w:val="28"/>
          <w:sz w:val="28"/>
          <w:szCs w:val="28"/>
          <w:rtl w:val="true"/>
          <w:lang w:bidi="ar-SA"/>
        </w:rPr>
        <w:t xml:space="preserve">العذر ، ولموثّقة زرارة المشار إليها ، الواردة في حكم مثل المرأة المذكورة ، الحاكمة بأنّها تحرم من مكانها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يدلّ على إجماعيّة عدم وجوب الرجوع على الجاهل والناسي ، وهي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الموثقة أعمّ مطلقا من الصحيحة ، فيجب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القرب ، فإن كان خارج الحرم فليحرم من موضعه ، بلا خلاف فيه يوجد كما قيل </w:t>
      </w:r>
      <w:r>
        <w:rPr>
          <w:rStyle w:val="FootnoteAnchor"/>
          <w:rtl w:val="true"/>
        </w:rPr>
        <w:footnoteReference w:id="836"/>
      </w:r>
      <w:r>
        <w:rPr>
          <w:rFonts w:ascii="Amiri" w:hAnsi="Amiri" w:eastAsia="Amiri" w:cs="Amiri"/>
          <w:color w:val="111111"/>
          <w:sz w:val="28"/>
          <w:sz w:val="28"/>
          <w:szCs w:val="28"/>
          <w:rtl w:val="true"/>
          <w:lang w:bidi="ar-SA"/>
        </w:rPr>
        <w:t xml:space="preserve">، لصحيحتي الحلبي المتقدّمتين ، اللاّزم تقييد 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داخل الحرم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داخل الحرم ، فإن أمكن الخروج إلى أدنى الحلّ خرج وجوبا وأحرم منه ، لذيل صحيحتي الحلبي ،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 على الوقت الذي أحرم منه الناس ، فنسي أو جهل فلم يحرم حتى أتى مكّة ، فخاف إن يرجع إلى الوقت أن يفوته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الحرم ويحرم ويجزئه ذلك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وقريبة منها رواية الكناني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وبتلك الأخبار تقيّد مطلقات الإحرام من مكانه أو من مكّة أو المسجد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الخروج من الحرم أحرم في موضعه ، لما مرّ من الأخبار ، مضافا إلى رواية سورة بن كليب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المانع من الإحرام في الميقات في الحرم كالناسي والجاهل في الأحكام المذكورة ، لإطلاق صحيحة الحلبي الأولى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من لا يريد النسك أولا ممّن لا يريد دخول مكّة ، أو جاز له دخول مكّة بغير إحرام ، كالمتكرّر مثلا إذا قصد النسك بعد مروره على الميقات ، أو تجدّد له قصد دخول مكّة بعد المرور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تارك الإحرام عمدا عصيانا ، فإنّه كمن ذكر في جميع الأحكام ، أمّا في الرجوع إلى الميقات والإحرام منه فبالإجماع ، ووجهه ظاهر ، وأمّا في باقي الأحكام فوفاقا للمحكيّ عن المبسوط والمصباح ومختصره </w:t>
      </w:r>
      <w:r>
        <w:rPr>
          <w:rStyle w:val="FootnoteAnchor"/>
          <w:rtl w:val="true"/>
        </w:rPr>
        <w:footnoteReference w:id="839"/>
      </w:r>
      <w:r>
        <w:rPr>
          <w:rFonts w:ascii="Amiri" w:hAnsi="Amiri" w:eastAsia="Amiri" w:cs="Amiri"/>
          <w:color w:val="111111"/>
          <w:sz w:val="28"/>
          <w:sz w:val="28"/>
          <w:szCs w:val="28"/>
          <w:rtl w:val="true"/>
          <w:lang w:bidi="ar-SA"/>
        </w:rPr>
        <w:t xml:space="preserve">، وجماعة من متأخّري المتأخّرين </w:t>
      </w:r>
      <w:r>
        <w:rPr>
          <w:rStyle w:val="FootnoteAnchor"/>
          <w:rtl w:val="true"/>
        </w:rPr>
        <w:footnoteReference w:id="840"/>
      </w:r>
      <w:r>
        <w:rPr>
          <w:rFonts w:ascii="Amiri" w:hAnsi="Amiri" w:eastAsia="Amiri" w:cs="Amiri"/>
          <w:color w:val="111111"/>
          <w:sz w:val="28"/>
          <w:sz w:val="28"/>
          <w:szCs w:val="28"/>
          <w:rtl w:val="true"/>
          <w:lang w:bidi="ar-SA"/>
        </w:rPr>
        <w:t>، لإطلاق صحيحة الحلبي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انصرافه إلى العامد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للأكثر ، فحكموا بفوات الحجّ عنه ، لعدم ثبوت الإذن له من الشارع ، وللإطلاقات المتقدّمة النافية للإحرام عمّن أحرم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بثبوت الإذن بما مرّ ، وشمول الإطلاقات لما قبل الميقات أيضا ، فتكون أعمّ مطلقا ، فيجب تخصيصها بما مرّ قطعا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كان منزله دون الميقات في مجاوزة منزله إلى ما يلي الحرم حكم المجاوز للميقات في الأحوال السابقة ، لأنّ منزله ميقاته ، فهو في حقّه كأحد المواقيت الخمسة في حق الآفاقي ، كذا ذكره في المدارك </w:t>
      </w:r>
      <w:r>
        <w:rPr>
          <w:rStyle w:val="FootnoteAnchor"/>
          <w:rtl w:val="true"/>
        </w:rPr>
        <w:footnoteReference w:id="841"/>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الإحرام أو جهله حتى قضى المناسك كلّها ، يجزئه ولا قضاء عليه ، وفاقا للتهذيبين والنهاية والمبسوط والجمل والعقود والإقتصاد والوسيلة والمهذّب والجامع والمعتبر والقواعد والتحرير والمنتهى والتنقيح والنكت والمسالك </w:t>
      </w:r>
      <w:r>
        <w:rPr>
          <w:rStyle w:val="FootnoteAnchor"/>
          <w:rtl w:val="true"/>
        </w:rPr>
        <w:footnoteReference w:id="842"/>
      </w:r>
      <w:r>
        <w:rPr>
          <w:rFonts w:ascii="Amiri" w:hAnsi="Amiri" w:eastAsia="Amiri" w:cs="Amiri"/>
          <w:color w:val="111111"/>
          <w:sz w:val="28"/>
          <w:sz w:val="28"/>
          <w:szCs w:val="28"/>
          <w:rtl w:val="true"/>
          <w:lang w:bidi="ar-SA"/>
        </w:rPr>
        <w:t xml:space="preserve">وغيرها </w:t>
      </w:r>
      <w:r>
        <w:rPr>
          <w:rStyle w:val="FootnoteAnchor"/>
          <w:rtl w:val="true"/>
        </w:rPr>
        <w:footnoteReference w:id="843"/>
      </w:r>
      <w:r>
        <w:rPr>
          <w:rFonts w:ascii="Amiri" w:hAnsi="Amiri" w:eastAsia="Amiri" w:cs="Amiri"/>
          <w:color w:val="111111"/>
          <w:sz w:val="28"/>
          <w:sz w:val="28"/>
          <w:szCs w:val="28"/>
          <w:rtl w:val="true"/>
          <w:lang w:bidi="ar-SA"/>
        </w:rPr>
        <w:t xml:space="preserve">، بل الأكثر كما قيل </w:t>
      </w:r>
      <w:r>
        <w:rPr>
          <w:rStyle w:val="FootnoteAnchor"/>
          <w:rtl w:val="true"/>
        </w:rPr>
        <w:footnoteReference w:id="844"/>
      </w:r>
      <w:r>
        <w:rPr>
          <w:rFonts w:ascii="Amiri" w:hAnsi="Amiri" w:eastAsia="Amiri" w:cs="Amiri"/>
          <w:color w:val="111111"/>
          <w:sz w:val="28"/>
          <w:sz w:val="28"/>
          <w:szCs w:val="28"/>
          <w:rtl w:val="true"/>
          <w:lang w:bidi="ar-SA"/>
        </w:rPr>
        <w:t xml:space="preserve">، 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فتوى المعظم ،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فتوى الأصحاب عدا الحلّي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متمتّعا خرج إلى عرفات وجهل أن يحرم يوم التروية بالحجّ حتى يرجع إلى بلده ، ما حاله؟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المناسك كلّها فقد تمّ حجّه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الإحرام بالحجّ فذكره وهو بعرفات ، ما حاله؟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على كتابك وسنّة نبيّك ، فقد تمّ إحرامه ، فإن جهل أن يحرم يوم التروية بالحجّ حتى يرجع إلى بلده إن كان قضى مناسكه كلّها فقد تمّ حجّه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يحرم أو جهل وقد شهد المناسك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وسعى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تجزئه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نوى ذلك فقد تمّ حجه </w:t>
      </w:r>
    </w:p>
    <w:p>
      <w:pPr>
        <w:pStyle w:val="BookText"/>
        <w:rPr/>
      </w:pPr>
      <w:r>
        <w:rPr>
          <w:rFonts w:ascii="Amiri" w:hAnsi="Amiri" w:eastAsia="Amiri" w:cs="Amiri"/>
          <w:color w:val="111111"/>
          <w:sz w:val="28"/>
          <w:sz w:val="28"/>
          <w:szCs w:val="28"/>
          <w:rtl w:val="true"/>
          <w:lang w:bidi="ar-SA"/>
        </w:rPr>
        <w:t xml:space="preserve">وإن لم يهلّ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المناسك على الظاهر ، أو الحجّ بجميع أجزائه جملة كما ذكره في المدارك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المراد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المتقدّم على الإحرام كما ذكره الشيخ </w:t>
      </w:r>
      <w:r>
        <w:rPr>
          <w:rStyle w:val="FootnoteAnchor"/>
          <w:rtl w:val="true"/>
        </w:rPr>
        <w:footnoteReference w:id="850"/>
      </w:r>
      <w:r>
        <w:rPr>
          <w:rFonts w:ascii="Amiri" w:hAnsi="Amiri" w:eastAsia="Amiri" w:cs="Amiri"/>
          <w:color w:val="111111"/>
          <w:sz w:val="28"/>
          <w:sz w:val="28"/>
          <w:szCs w:val="28"/>
          <w:rtl w:val="true"/>
          <w:lang w:bidi="ar-SA"/>
        </w:rPr>
        <w:t>، وليس المراد منه نيّة الإحرام ، لأنّ نيّته من الجاهل به والناسي له غير متعقّل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واختصاص الصحيحين بإحرام الحجّ غير ضائر ، لأنّ الظاهر عدم الفاصل ، وكذا اختصاصها بالجاهل ، لأنّ الظاهر شمول معناه الحقيقي اللغوي للناسي أيضا كما صرّح به بعضهم </w:t>
      </w:r>
      <w:r>
        <w:rPr>
          <w:rStyle w:val="FootnoteAnchor"/>
          <w:rtl w:val="true"/>
        </w:rPr>
        <w:footnoteReference w:id="851"/>
      </w:r>
      <w:r>
        <w:rPr>
          <w:rFonts w:ascii="Amiri" w:hAnsi="Amiri" w:eastAsia="Amiri" w:cs="Amiri"/>
          <w:color w:val="111111"/>
          <w:sz w:val="28"/>
          <w:sz w:val="28"/>
          <w:szCs w:val="28"/>
          <w:rtl w:val="true"/>
          <w:lang w:bidi="ar-SA"/>
        </w:rPr>
        <w:t xml:space="preserve">، وللتصريح بالناسي أيضا في المرسلة ، 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وبصحّتها عن جميل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الحلّي ، فأوجب القضاء </w:t>
      </w:r>
      <w:r>
        <w:rPr>
          <w:rStyle w:val="FootnoteAnchor"/>
          <w:rtl w:val="true"/>
        </w:rPr>
        <w:footnoteReference w:id="852"/>
      </w:r>
      <w:r>
        <w:rPr>
          <w:rFonts w:ascii="Amiri" w:hAnsi="Amiri" w:eastAsia="Amiri" w:cs="Amiri"/>
          <w:color w:val="111111"/>
          <w:sz w:val="28"/>
          <w:sz w:val="28"/>
          <w:szCs w:val="28"/>
          <w:rtl w:val="true"/>
          <w:lang w:bidi="ar-SA"/>
        </w:rPr>
        <w:t xml:space="preserve">، لوجوه ضعيفة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بالمأمور به على وجهه ، وهو حسن لو لا الروايتان ، وأمّا معهما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الإجمال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قد نوى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تخرج الروايتان عن الحجّية ، لتخصيصها بالمجمل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الصحيحة تكون مخصّصة بالمنفصل ، وهو لا يخرج عن الحجّيّة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إجمال كما عرفت</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إذا بعد عن مكّة ثم حجّ على ميقات من المواقيت الخمسة الآفاقيّة أحرم منها وجوبا ، بغير خلاف يعرف كما صرّح به غير واحد </w:t>
      </w:r>
      <w:r>
        <w:rPr>
          <w:rStyle w:val="FootnoteAnchor"/>
          <w:rtl w:val="true"/>
        </w:rPr>
        <w:footnoteReference w:id="853"/>
      </w:r>
      <w:r>
        <w:rPr>
          <w:rFonts w:ascii="Amiri" w:hAnsi="Amiri" w:eastAsia="Amiri" w:cs="Amiri"/>
          <w:color w:val="111111"/>
          <w:sz w:val="28"/>
          <w:sz w:val="28"/>
          <w:szCs w:val="28"/>
          <w:rtl w:val="true"/>
          <w:lang w:bidi="ar-SA"/>
        </w:rPr>
        <w:t xml:space="preserve">، إذ لا يجوز لقاصد مكّة مجاوزة الميقات بغير إحرام ، وقد صار هذا ميقاتا له باعتبار وروده عليه وإن كان ميقاته في الأصل غير ذلك ، وتدلّ عليه النصوص الكثيرة </w:t>
      </w:r>
      <w:r>
        <w:rPr>
          <w:rStyle w:val="FootnoteAnchor"/>
          <w:rtl w:val="true"/>
        </w:rPr>
        <w:footnoteReference w:id="85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29" w:name="pg11651_1078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6172002_73709187"/>
      <w:bookmarkStart w:id="131" w:name="_Toc48"/>
      <w:bookmarkEnd w:id="129"/>
      <w:bookmarkEnd w:id="130"/>
      <w:r>
        <w:rPr>
          <w:rtl w:val="true"/>
        </w:rPr>
        <w:t xml:space="preserve">المقصد الثالث </w:t>
      </w:r>
      <w:r>
        <w:rPr>
          <w:rtl w:val="true"/>
        </w:rPr>
        <w:t xml:space="preserve">: </w:t>
      </w:r>
      <w:r>
        <w:rPr>
          <w:rtl w:val="true"/>
        </w:rPr>
        <w:t>في بيان أقسام الحجّ والعمرة بحسب الكيفيّة ، وكيفيّة كلّ منهما إجمالا</w:t>
      </w:r>
      <w:bookmarkEnd w:id="1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الحجّ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يحرم في موضعه ويتلبّس بما يلزم الإحرام ويتعلّق به ، من لبس ثوبيه والتلبية أو ما يقوم مقامها ، والاجتناب عن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بعده إلى عرفات ويقف بها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يفيض منها إلى المشعر ويمكث عنده إلى الوقت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منى يوم العيد ويرمي الجمرة العقبة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يذبح هديه فيها إن كان معه بالسياق أو كان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يحلق رأسه أو يقصّر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إلى مكّة فيطوف للحجّ ، ثم يصلّي ركعتيه في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البيت فيطوف للنساء ويصلّي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منى للمبيت بها ليالي التشريق ورمي الجمرات الثلاث في كلّ يوم منها ، وبها تمّ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العمرة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ويتلبّس بما يلزمه ويتعلّق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البيت ويطوف به ، ثمّ يصلّي ركعتيه في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يقصّر أو يحلق في بعض أفراد العمرة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يطوف طواف النساء ويصلّي ركعتيه في بعضها كما يأتي ، </w:t>
      </w:r>
    </w:p>
    <w:p>
      <w:pPr>
        <w:pStyle w:val="BookText"/>
        <w:rPr/>
      </w:pPr>
      <w:r>
        <w:rPr>
          <w:rFonts w:ascii="Amiri" w:hAnsi="Amiri" w:eastAsia="Amiri" w:cs="Amiri"/>
          <w:color w:val="111111"/>
          <w:sz w:val="28"/>
          <w:sz w:val="28"/>
          <w:szCs w:val="28"/>
          <w:rtl w:val="true"/>
          <w:lang w:bidi="ar-SA"/>
        </w:rPr>
        <w:t>وبذلك تتمّ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فيهما بالإجماع ، بل الضرورة في أكثرها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متفرّقات الأخبار الواردة في أبواب الحجّ ، وأخبار حجّ الأنبياء وحجّ نبيّنا صلی اللّه عليه وآله ، كروايتي أبي إبراهيم </w:t>
      </w:r>
      <w:r>
        <w:rPr>
          <w:rStyle w:val="FootnoteAnchor"/>
          <w:rtl w:val="true"/>
        </w:rPr>
        <w:footnoteReference w:id="855"/>
      </w:r>
      <w:r>
        <w:rPr>
          <w:rFonts w:ascii="Amiri" w:hAnsi="Amiri" w:eastAsia="Amiri" w:cs="Amiri"/>
          <w:color w:val="111111"/>
          <w:sz w:val="28"/>
          <w:sz w:val="28"/>
          <w:szCs w:val="28"/>
          <w:rtl w:val="true"/>
          <w:lang w:bidi="ar-SA"/>
        </w:rPr>
        <w:t xml:space="preserve">وعبد الرحمن بن كثير الهاشمي </w:t>
      </w:r>
      <w:r>
        <w:rPr>
          <w:rStyle w:val="FootnoteAnchor"/>
          <w:rtl w:val="true"/>
        </w:rPr>
        <w:footnoteReference w:id="856"/>
      </w:r>
      <w:r>
        <w:rPr>
          <w:rFonts w:ascii="Amiri" w:hAnsi="Amiri" w:eastAsia="Amiri" w:cs="Amiri"/>
          <w:color w:val="111111"/>
          <w:sz w:val="28"/>
          <w:sz w:val="28"/>
          <w:szCs w:val="28"/>
          <w:rtl w:val="true"/>
          <w:lang w:bidi="ar-SA"/>
        </w:rPr>
        <w:t xml:space="preserve">الواردتين في حجّ أبينا آدم عليه السلام ، وصحيحتي ابني عمّار </w:t>
      </w:r>
      <w:r>
        <w:rPr>
          <w:rStyle w:val="FootnoteAnchor"/>
          <w:rtl w:val="true"/>
        </w:rPr>
        <w:footnoteReference w:id="857"/>
      </w:r>
      <w:r>
        <w:rPr>
          <w:rFonts w:ascii="IRNazanin" w:hAnsi="IRNazanin" w:eastAsia="IRNazanin"/>
          <w:color w:val="111111"/>
          <w:sz w:val="28"/>
          <w:sz w:val="28"/>
          <w:szCs w:val="28"/>
          <w:rtl w:val="true"/>
          <w:lang w:bidi="fa-IR"/>
        </w:rPr>
        <w:t xml:space="preserve">وسنان </w:t>
      </w:r>
      <w:r>
        <w:rPr>
          <w:rStyle w:val="FootnoteAnchor"/>
          <w:rtl w:val="true"/>
        </w:rPr>
        <w:footnoteReference w:id="858"/>
      </w:r>
      <w:r>
        <w:rPr>
          <w:rFonts w:ascii="IRNazanin" w:hAnsi="IRNazanin" w:eastAsia="IRNazanin"/>
          <w:color w:val="111111"/>
          <w:sz w:val="28"/>
          <w:sz w:val="28"/>
          <w:szCs w:val="28"/>
          <w:rtl w:val="true"/>
          <w:lang w:bidi="fa-IR"/>
        </w:rPr>
        <w:t>الواردتين في حجّ نبيّنا صلی اللّه عليه وآله وعمرته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الحجّ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 وقران ، وإفراد ، بالإجماع المحقّق ، والمحكيّ مستفيضا في كلام جماعة </w:t>
      </w:r>
      <w:r>
        <w:rPr>
          <w:rStyle w:val="FootnoteAnchor"/>
          <w:rtl w:val="true"/>
        </w:rPr>
        <w:footnoteReference w:id="859"/>
      </w:r>
      <w:r>
        <w:rPr>
          <w:rFonts w:ascii="Amiri" w:hAnsi="Amiri" w:eastAsia="Amiri" w:cs="Amiri"/>
          <w:color w:val="111111"/>
          <w:sz w:val="28"/>
          <w:sz w:val="28"/>
          <w:szCs w:val="28"/>
          <w:rtl w:val="true"/>
          <w:lang w:bidi="ar-SA"/>
        </w:rPr>
        <w:t>، والمستفيضة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عمّار على الأصحّ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مفرد ، وقران ، وتمتع بالعمرة إلى الحجّ ، وبها أمر رسول اللّه صلی اللّه عليه وآله ، والفضل فيها ، ولا نأمر الناس إلاّ بها </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عندنا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متمتّع ، وحاجّ مقرن سائق الهدي ، وحاجّ مفرد للحجّ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تقدّمت العمرة عليه وارتبطت به ، فيعتمر أولا ثم يحلّ منها ، ثم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الميقات بالعمرة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إلى مكّة ويطوف سبعا بالبيت ، ثم 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أحلّ من كلّ شي‌ء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ينشئ إحراما آخر للحجّ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عرفات فيقف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يفيض إلى المشعر ويقف به إلى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منى فيحلق ويهدي ويرمي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بمكّة فيطوف ويصلّي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يطوف طواف النساء ويصلّي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منى فيبيت بها ليالي التشريق ويرمي في أيّامها الجمار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هذه العمرة بالعمرة المتمتّع بها إلى الحجّ ، وهذا الحجّ حجّ التمتّع ، لأنّ معنى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والتلذّذ ، وهذا الحاجّ يتحلّل بين عمرته وحجّه ، فيجوز له الانتفاع والتلذّذ بما كان قد حرّمه الإحرام مع ارتباط عمرته بحجّه ، حتى إنّهما كالشي‌ء الواحد شرعا ، فإذا حصل بينهما ذلك فكأنّه حصل في الحجّ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وصورة 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بالحجّ من حيث يصحّ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يمضي إلى عرفات فيقف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بمناسك حجّه كما مرّ في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بعض أفراده أن يأتي بعمرة مفردة عن الحجّ بعده ، وبعد الإحلال منه في أيّ وقت شاء يأتي بها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إفرادا لانفصاله عن العمرة وعدم ارتباطه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القران كالإفراد ، إلاّ أنّه يضيف إلى إحرامه سياق الهدي ، ولذلك سمّي بالقران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كما مرّ ، والمفردة ، 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ميقاتها ، ثم يطوف ، ثم يصلّي ، ثم يسعى ، ثم يحلق أو يقصّر ، ثم يطوف طواف النساء ، ثم 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كلّه الإجماع القطعي ، بل الضرورة ، والأخبار الواردة في الموارد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المبيّنة للتمتّع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يتمتّع؟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الوقت فيلبّي بالحجّ ، وإذا أتى مكّة طاف وسعى وأحلّ من كلّ شي‌ء وهو محتبس ، وليس له أن يخرج من مكّة حتى يحجّ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Style w:val="FootnoteAnchor"/>
          <w:rtl w:val="true"/>
        </w:rPr>
        <w:footnoteReference w:id="863"/>
      </w:r>
      <w:r>
        <w:rPr>
          <w:rFonts w:ascii="IRNazanin" w:hAnsi="IRNazanin" w:eastAsia="IRNazanin"/>
          <w:color w:val="111111"/>
          <w:sz w:val="28"/>
          <w:sz w:val="28"/>
          <w:szCs w:val="28"/>
          <w:rtl w:val="true"/>
          <w:lang w:bidi="fa-IR"/>
        </w:rPr>
        <w:t xml:space="preserve">الواردة في إحرام رسول اللّه صلی اللّه عليه وآله مع الناس بالحجّ ، ثم أمرهم بعد الفراغ عن السعي بجعله عمرة والإحلال ، ثم الإحرام بالحجّ والإتيان بمناسكه ، وقوله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استقبلت من أمري ما استدبرت لفعلت ما فعل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والتصريح بأنّ ذلك حجّ التمتّع ، كما في صحيحة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أنواع الحجّ أفضل؟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التمتّع ، وكيف يكون شي‌ء أفضل منه ورسول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أمري ما استدبرت لفعلت ما فعل الناس؟</w:t>
      </w:r>
      <w:r>
        <w:rPr>
          <w:rFonts w:eastAsia="IRNazanin" w:cs="IRNazanin"/>
          <w:color w:val="111111"/>
          <w:sz w:val="28"/>
          <w:szCs w:val="28"/>
          <w:rtl w:val="true"/>
          <w:lang w:bidi="fa-IR"/>
        </w:rPr>
        <w:t xml:space="preserve">! »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المتمتّع بالعمرة إلى الحجّ ثلاثة أطواف بالبيت وسعيان بين الصفا والمروة ، فعليه إذا قدم مكّة طواف بالبيت وركعتان عند مقام إبراهيم وسعي بين الصفا والمروة ، ثم يقصّر وقد أحلّ ، هذا للعمرة ، وعليه للحجّ طوافان وسعي بين الصفا والمروة ، ويصلّي عند كلّ طواف بالبيت ركعتين عند مقام إبراهيم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عليه ثلاثة أطواف بالبيت ، وطوافان بين الصفا والمروة ، وقطع التلبية من متعته إذا نظر إلى بيوت مكّة ، ويحرم بالحجّ يوم التروية ، ويقطع التلبية يوم عرفة حين تزول الشمس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المتمتّع بالعمرة إلى الحجّ ثلاثة أطواف بالبيت ، ويصلّي لكلّ طواف ركعتين ، وسعيان بين الصفا والمروة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المتعة؟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 بالحجّ في أشهر </w:t>
      </w:r>
    </w:p>
    <w:p>
      <w:pPr>
        <w:pStyle w:val="BookText"/>
        <w:rPr/>
      </w:pPr>
      <w:r>
        <w:rPr>
          <w:rFonts w:ascii="Amiri" w:hAnsi="Amiri" w:eastAsia="Amiri" w:cs="Amiri"/>
          <w:color w:val="111111"/>
          <w:sz w:val="28"/>
          <w:sz w:val="28"/>
          <w:szCs w:val="28"/>
          <w:rtl w:val="true"/>
          <w:lang w:bidi="ar-SA"/>
        </w:rPr>
        <w:t xml:space="preserve">الحجّ ، فإذا طاف بالبيت وصلّى الركعتين وسعى بين الصفا والمروة قصّر وأحلّ ، فإذا كان يوم التروية أهلّ بالحجّ ونسك المناسك وعليه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أخرى لابن عمّار في القارن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قران إلاّ بسياق الهدي ، وعليه طواف بالبيت ، وركعتان عند مقام إبراهيم ، وسعي بين الصفا والمروة ، وطواف بعد الحجّ ، وهو طواف النساء ، وأمّا المتمتّع بالعمرة إلى الحجّ فعليه ثلاثة أطواف بالبيت ، وسعيان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المتمتّع إذا قدم مكّة طواف بالبيت ، وركعتان عند مقام إبراهيم ، وسعي بين الصفا والمروة ، ثم يقصّر وقد أحلّ ، هذا للعمرة ، وعليه للحج طوافان ، وسعي بين الصفا والمروة ، ويصلّي عند كلّ طواف بالبيت ركعتين عند مقام إبراهيم ، وأمّا المفرد للحجّ فعليه طواف بالبيت وركعتان عند مقام إبراهيم ، وسعي بين الصفا والمروة ، وطواف الزيارة ، وهو طواف النساء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نسك الذي يقرن بين الصفا والمروة مثل نسك المفرد ليس بأفضل منه إلاّ بسياق الهدي ، وعليه طواف بالبيت ، وصلاة ركعتين خلف المقام ، وسعي واحد بين الصفا والمروة ، وطواف بالبيت 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لابن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القارن قارنا إلاّ بسياق الهدي ، وعليه طوافان بالبيت ، وسعي بين الصفا والمروة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القارن الذي يسوق الهدي عليه طوافان بالبيت ، وسعي واحد بين الصفا والمروة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لابن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 للحجّ عليه طواف بالبيت وركعتان عند مقام إبراهيم ، وسعي بين الصفا والمروة ، وطواف الزيارة وهو طواف النساء ، وليس عليه هدي ولا أضحية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المبتولة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وبالصفا والمروة ثم يحلّ ، فإن شاء أن يرتحل من ساعته ارتحل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بالعمرة المبتولة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المتكثّرة الواردة في الموارد المختلفة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بعض روايات الباب في بعض أحكام القارن والمفرد ، وكذا وقع الخلاف في بعض مواردهما كما يأتي بيانه ، وتحقيق الحال فيه في بيان أحكام هذه الأقسام وعند ذكر الأفعال ، واللّه هو الموفّق للصواب في جميع الأحوال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1651_107813"/>
      <w:bookmarkStart w:id="133" w:name="pg11651_107813"/>
      <w:bookmarkEnd w:id="133"/>
    </w:p>
    <w:p>
      <w:pPr>
        <w:pStyle w:val="Heading3"/>
        <w:numPr>
          <w:ilvl w:val="2"/>
          <w:numId w:val="1"/>
        </w:numPr>
        <w:rPr/>
      </w:pPr>
      <w:bookmarkStart w:id="134" w:name="pg11651_107813"/>
      <w:bookmarkStart w:id="135" w:name="__RefHeading___Toc6172004_73709187"/>
      <w:bookmarkStart w:id="136" w:name="_Toc49"/>
      <w:bookmarkEnd w:id="134"/>
      <w:bookmarkEnd w:id="135"/>
      <w:r>
        <w:rPr>
          <w:rtl w:val="true"/>
        </w:rPr>
        <w:t xml:space="preserve">المقصد الرابع </w:t>
      </w:r>
      <w:r>
        <w:rPr>
          <w:rtl w:val="true"/>
        </w:rPr>
        <w:t xml:space="preserve">: </w:t>
      </w:r>
      <w:r>
        <w:rPr>
          <w:rtl w:val="true"/>
        </w:rPr>
        <w:t>في تفصيل أحكام كلّ من هذه الأقسام وشرائطه وأفعاله</w:t>
      </w:r>
      <w:bookmarkEnd w:id="136"/>
    </w:p>
    <w:p>
      <w:pPr>
        <w:pStyle w:val="Heading4"/>
        <w:numPr>
          <w:ilvl w:val="3"/>
          <w:numId w:val="1"/>
        </w:numPr>
        <w:rPr/>
      </w:pPr>
      <w:bookmarkStart w:id="137" w:name="__RefHeading___Toc6172006_73709187"/>
      <w:bookmarkStart w:id="138" w:name="_Toc50"/>
      <w:bookmarkEnd w:id="137"/>
      <w:r>
        <w:rPr>
          <w:rtl w:val="true"/>
        </w:rPr>
        <w:t>اشارة</w:t>
      </w:r>
      <w:bookmarkEnd w:id="13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بابان </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1651_107815"/>
      <w:bookmarkStart w:id="140" w:name="pg11651_107815"/>
      <w:bookmarkEnd w:id="140"/>
    </w:p>
    <w:p>
      <w:pPr>
        <w:pStyle w:val="Heading4"/>
        <w:numPr>
          <w:ilvl w:val="3"/>
          <w:numId w:val="1"/>
        </w:numPr>
        <w:rPr/>
      </w:pPr>
      <w:bookmarkStart w:id="141" w:name="pg11651_107815"/>
      <w:bookmarkStart w:id="142" w:name="__RefHeading___Toc6172008_73709187"/>
      <w:bookmarkStart w:id="143" w:name="_Toc51"/>
      <w:bookmarkEnd w:id="141"/>
      <w:bookmarkEnd w:id="142"/>
      <w:r>
        <w:rPr>
          <w:rtl w:val="true"/>
        </w:rPr>
        <w:t xml:space="preserve">الباب الأول </w:t>
      </w:r>
      <w:r>
        <w:rPr>
          <w:rtl w:val="true"/>
        </w:rPr>
        <w:t xml:space="preserve">: </w:t>
      </w:r>
      <w:r>
        <w:rPr>
          <w:rtl w:val="true"/>
        </w:rPr>
        <w:t>في شرائط حجّ التمتّع وأحكامه وتفصيل أفعاله</w:t>
      </w:r>
      <w:bookmarkEnd w:id="143"/>
    </w:p>
    <w:p>
      <w:pPr>
        <w:pStyle w:val="Heading5"/>
        <w:numPr>
          <w:ilvl w:val="4"/>
          <w:numId w:val="1"/>
        </w:numPr>
        <w:rPr/>
      </w:pPr>
      <w:bookmarkStart w:id="144" w:name="__RefHeading___Toc6172010_73709187"/>
      <w:bookmarkStart w:id="145" w:name="_Toc52"/>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وفيه مبحثان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172012_73709187"/>
      <w:bookmarkStart w:id="147" w:name="_Toc53"/>
      <w:bookmarkEnd w:id="146"/>
      <w:r>
        <w:rPr>
          <w:rtl w:val="true"/>
        </w:rPr>
        <w:t xml:space="preserve">المبحث الأول </w:t>
      </w:r>
      <w:r>
        <w:rPr>
          <w:rtl w:val="true"/>
        </w:rPr>
        <w:t xml:space="preserve">: </w:t>
      </w:r>
      <w:r>
        <w:rPr>
          <w:rtl w:val="true"/>
        </w:rPr>
        <w:t xml:space="preserve">في شرائط حجّ التمتّع </w:t>
      </w:r>
      <w:r>
        <w:rPr>
          <w:rtl w:val="true"/>
        </w:rPr>
        <w:t xml:space="preserve">- </w:t>
      </w:r>
      <w:r>
        <w:rPr>
          <w:rtl w:val="true"/>
        </w:rPr>
        <w:t xml:space="preserve">من حيث هو تمتّع </w:t>
      </w:r>
      <w:r>
        <w:rPr>
          <w:rtl w:val="true"/>
        </w:rPr>
        <w:t xml:space="preserve">- </w:t>
      </w:r>
      <w:r>
        <w:rPr>
          <w:rtl w:val="true"/>
        </w:rPr>
        <w:t>وأحكامه</w:t>
      </w:r>
      <w:bookmarkEnd w:id="1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حجّ التمتّع البعد عن مكّة ، فإنّ حجّ التمتّع فرض من لم يكن من حاضري مكّة وكان نائيا عنها ، بإجماعنا المحقّق ، والمحكيّ في الإنتصار والخلاف والغنية والمنتهى والتذكرة والمعتبر </w:t>
      </w:r>
      <w:r>
        <w:rPr>
          <w:rStyle w:val="FootnoteAnchor"/>
          <w:rtl w:val="true"/>
        </w:rPr>
        <w:footnoteReference w:id="875"/>
      </w:r>
      <w:r>
        <w:rPr>
          <w:rFonts w:ascii="Amiri" w:hAnsi="Amiri" w:eastAsia="Amiri" w:cs="Amiri"/>
          <w:color w:val="111111"/>
          <w:sz w:val="28"/>
          <w:sz w:val="28"/>
          <w:szCs w:val="28"/>
          <w:rtl w:val="true"/>
          <w:lang w:bidi="ar-SA"/>
        </w:rPr>
        <w:t xml:space="preserve">، وغيرها </w:t>
      </w:r>
      <w:r>
        <w:rPr>
          <w:rStyle w:val="FootnoteAnchor"/>
          <w:rtl w:val="true"/>
        </w:rPr>
        <w:footnoteReference w:id="876"/>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عود الإشارة إلى جميع ما تقدّم ، وعن بعض فضلاء العربية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التمتّع </w:t>
      </w:r>
      <w:r>
        <w:rPr>
          <w:rStyle w:val="FootnoteAnchor"/>
          <w:rtl w:val="true"/>
        </w:rPr>
        <w:footnoteReference w:id="878"/>
      </w:r>
      <w:r>
        <w:rPr>
          <w:rFonts w:ascii="Amiri" w:hAnsi="Amiri" w:eastAsia="Amiri" w:cs="Amiri"/>
          <w:color w:val="111111"/>
          <w:sz w:val="28"/>
          <w:sz w:val="28"/>
          <w:szCs w:val="28"/>
          <w:rtl w:val="true"/>
          <w:lang w:bidi="ar-SA"/>
        </w:rPr>
        <w:t xml:space="preserve">، واستجوده ، بعضهم لما نصّ عليه أهل العربية من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للبعيد </w:t>
      </w:r>
      <w:r>
        <w:rPr>
          <w:rStyle w:val="FootnoteAnchor"/>
          <w:rtl w:val="true"/>
        </w:rPr>
        <w:footnoteReference w:id="879"/>
      </w:r>
      <w:r>
        <w:rPr>
          <w:rFonts w:ascii="Amiri" w:hAnsi="Amiri" w:eastAsia="Amiri" w:cs="Amiri"/>
          <w:color w:val="111111"/>
          <w:sz w:val="28"/>
          <w:sz w:val="28"/>
          <w:szCs w:val="28"/>
          <w:rtl w:val="true"/>
          <w:lang w:bidi="ar-SA"/>
        </w:rPr>
        <w:t xml:space="preserve">، مع أنّه قد صرّح بذلك المعنى في المستفيضة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لأهل سرف ولا لأهل مرّ ولا لأهل مكّة متعة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أن يتمتّعوا بالعمرة إلى 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أن يتمتّعوا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أهل مكّة ليس لهم متعة ، كلّ من كان أهله دون ثمانية وأربعين ميلا ذات عرق وعسفان كما يدور حول مكّة فهو ممّن يدخل في هذه الآية ، وكلّ من كان وراء ذلك فعليه المتعة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الأخبار المستفيضة الآمرة بالتمتّع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صفوان الواردة في حجّ رسول اللّه صلی اللّه عليه وآله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جبرئيل يأمرني أن آمر من لم يسق منكم هديا أن يحلّ ، ولو استقبلت </w:t>
      </w:r>
    </w:p>
    <w:p>
      <w:pPr>
        <w:pStyle w:val="BookText"/>
        <w:rPr/>
      </w:pPr>
      <w:r>
        <w:rPr>
          <w:rFonts w:ascii="IRNazanin" w:hAnsi="IRNazanin" w:eastAsia="IRNazanin"/>
          <w:color w:val="111111"/>
          <w:sz w:val="28"/>
          <w:sz w:val="28"/>
          <w:szCs w:val="28"/>
          <w:rtl w:val="true"/>
          <w:lang w:bidi="fa-IR"/>
        </w:rPr>
        <w:t xml:space="preserve">من أمري ما استدبرت لصنعت مثل ما أمرتكم ، ولكنّي سقت الهدي ولا ينبغي لسائق الهدي أن يحلّ حتى يبلغ الهدي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قيل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الذي أمرتنا به لعامنا هذا أو لما يستقبل؟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للأبد إلى يوم القيامة ، ثم شبك أصابعه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العمرة في الحجّ هكذا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وبمضمونها صحيحة الحلبي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وأحرم الناس كلّهم بالحجّ لا ينوون عمرة ولا يدرون ما المتعة حتى إذا قدم رسول اللّه صلی اللّه عليه وآله مكّة طاف بالبيت وطاف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قضى طوافه عند المروة قام خطيبا فأمرهم أن يحلّوا ويجعلوها عمرة ، وهو شي‌ء أمر اللّه عزّ وجلّ به ، فأحلّ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قيل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هذا الذي أمرتنا به لعامنا هذا أم لكلّ عام؟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للأبد </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العمرة في الحجّ إلى يوم القيامة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إلاّ أن يتمتّع ، لأنّ اللّه أنزل ذلك في كتابه وجرت به السنّة من رسول اللّه صلی اللّه عليه وآله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فليتمتّع ، إنّا لا نعدل بكتاب اللّه وسنّة نبيّه صلی اللّه عليه وآله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لله حجّا غير المتعة ، إنّا إذا لقينا ربّنا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عملنا بكتابك وسنّة نبيّك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الحجّ وبعضنا صرورة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بالتمتّع ، فإنّا لا نتّقي في التمتّع بالعمرة إلى الحجّ سلطانا ، واجتناب المسكر ، والمسح على الخفّين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إلى غير ذلك من الأخبار المتجاوزة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دلّت على وجوب التمتّع مطلقا ، خرج منه غير النائي بالإجماع وما مرّ من الأخبار وما يأتي ، فبقي النائي ، مع أنّ مورد أكثر تلك الأخبار والمخاطب بها الناءون عن مكّة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البعد الموجب للتمتّع ثمانية وأربعون ميلا من كلّ جانب ، وفاقا للمحكيّ عن عليّ بن إبراهيم في تفسيره والصدوقين والشيخ في التهذيب والنهاية والنافع والمعتبر والمختلف والتذكرة والمنتهى والتحرير والمسالك والدروس واللمعة والروضة والمدارك والذخيرة </w:t>
      </w:r>
      <w:r>
        <w:rPr>
          <w:rStyle w:val="FootnoteAnchor"/>
          <w:rtl w:val="true"/>
        </w:rPr>
        <w:footnoteReference w:id="890"/>
      </w:r>
      <w:r>
        <w:rPr>
          <w:rFonts w:ascii="Amiri" w:hAnsi="Amiri" w:eastAsia="Amiri" w:cs="Amiri"/>
          <w:color w:val="111111"/>
          <w:sz w:val="28"/>
          <w:sz w:val="28"/>
          <w:szCs w:val="28"/>
          <w:rtl w:val="true"/>
          <w:lang w:bidi="ar-SA"/>
        </w:rPr>
        <w:t xml:space="preserve">، وغيرهم من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891"/>
      </w:r>
      <w:r>
        <w:rPr>
          <w:rFonts w:ascii="Amiri" w:hAnsi="Amiri" w:eastAsia="Amiri" w:cs="Amiri"/>
          <w:color w:val="111111"/>
          <w:sz w:val="28"/>
          <w:sz w:val="28"/>
          <w:szCs w:val="28"/>
          <w:rtl w:val="true"/>
          <w:lang w:bidi="ar-SA"/>
        </w:rPr>
        <w:t xml:space="preserve">، بل عند أكثر الأصحاب كما في الأخيرين ، وفي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الآخر شاذّ نادر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للمعتبرة من الأخبار ، كصحيحة زرارة المتقدّمة </w:t>
      </w:r>
      <w:r>
        <w:rPr>
          <w:rStyle w:val="FootnoteAnchor"/>
          <w:rtl w:val="true"/>
        </w:rPr>
        <w:footnoteReference w:id="893"/>
      </w:r>
      <w:r>
        <w:rPr>
          <w:rFonts w:ascii="Amiri" w:hAnsi="Amiri" w:eastAsia="Amiri" w:cs="Amiri"/>
          <w:color w:val="111111"/>
          <w:sz w:val="28"/>
          <w:sz w:val="28"/>
          <w:szCs w:val="28"/>
          <w:rtl w:val="true"/>
          <w:lang w:bidi="ar-SA"/>
        </w:rPr>
        <w:t xml:space="preserve">، وروايته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أهل مكّة ليس لهم متعة ولا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وأربعون ميلا من جميع نواحي مكّة دون عسفان وذات عرق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رواية الأعرج السابقة </w:t>
      </w:r>
      <w:r>
        <w:rPr>
          <w:rStyle w:val="FootnoteAnchor"/>
          <w:rtl w:val="true"/>
        </w:rPr>
        <w:footnoteReference w:id="895"/>
      </w:r>
      <w:r>
        <w:rPr>
          <w:rFonts w:ascii="Amiri" w:hAnsi="Amiri" w:eastAsia="Amiri" w:cs="Amiri"/>
          <w:color w:val="111111"/>
          <w:sz w:val="28"/>
          <w:sz w:val="28"/>
          <w:szCs w:val="28"/>
          <w:rtl w:val="true"/>
          <w:lang w:bidi="ar-SA"/>
        </w:rPr>
        <w:t xml:space="preserve">، ومثلها صحيحة الحلبي وسليمان بن خالد وأبي بصير </w:t>
      </w:r>
      <w:r>
        <w:rPr>
          <w:rStyle w:val="FootnoteAnchor"/>
          <w:rtl w:val="true"/>
        </w:rPr>
        <w:footnoteReference w:id="896"/>
      </w:r>
      <w:r>
        <w:rPr>
          <w:rFonts w:ascii="Amiri" w:hAnsi="Amiri" w:eastAsia="Amiri" w:cs="Amiri"/>
          <w:color w:val="111111"/>
          <w:sz w:val="28"/>
          <w:sz w:val="28"/>
          <w:szCs w:val="28"/>
          <w:rtl w:val="true"/>
          <w:lang w:bidi="ar-SA"/>
        </w:rPr>
        <w:t xml:space="preserve">،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متعة؟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لأهل البستان ، ولا لأهل ذات عرق ، ولا لأهل عسفان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انتفاء المتعة عن أهالي تلك المنازل التي بينها وبين مكّة أزيد من اثني عشر ميلا ، فيبطل بها ذلك القول ، فيتعيّن به </w:t>
      </w:r>
    </w:p>
    <w:p>
      <w:pPr>
        <w:pStyle w:val="BookText"/>
        <w:rPr/>
      </w:pPr>
      <w:r>
        <w:rPr>
          <w:rFonts w:ascii="Amiri" w:hAnsi="Amiri" w:eastAsia="Amiri" w:cs="Amiri"/>
          <w:color w:val="111111"/>
          <w:sz w:val="28"/>
          <w:sz w:val="28"/>
          <w:szCs w:val="28"/>
          <w:rtl w:val="true"/>
          <w:lang w:bidi="ar-SA"/>
        </w:rPr>
        <w:t>القول المختار ،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عليه أيضا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حاضري المسجد الحرام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 المواقيت إلى مكّة فهو حاضري المسجد الحرام ، وليس لهم متعة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صحيحة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حاضري المسجد الحرام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 الأوقات إلى مكّة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كون بعض المواقيت على مسافة أكثر من ثمانية وأربعين ، لأنّ التعارض يكون حينئذ مع أخبار ثمانية وأربعين بالعموم والخصوص المطلقين ، اللاّزم تقديم الدالّ على الخاص ، كما هو القاعدة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للسرائر والشرائع والإرشاد والمحكيّ عن الإقتصاد والمبسوط والتبيان ومجمع البيان وفقه القرآن وروض الجنان والجمل والعقود والغنية والكافي والوسيلة والجامع والإصباح والإشارة والقواعد </w:t>
      </w:r>
      <w:r>
        <w:rPr>
          <w:rStyle w:val="FootnoteAnchor"/>
          <w:rtl w:val="true"/>
        </w:rPr>
        <w:footnoteReference w:id="900"/>
      </w:r>
      <w:r>
        <w:rPr>
          <w:rFonts w:ascii="Amiri" w:hAnsi="Amiri" w:eastAsia="Amiri" w:cs="Amiri"/>
          <w:color w:val="111111"/>
          <w:sz w:val="28"/>
          <w:sz w:val="28"/>
          <w:szCs w:val="28"/>
          <w:rtl w:val="true"/>
          <w:lang w:bidi="ar-SA"/>
        </w:rPr>
        <w:t>، فاثني عشر ميلا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لظهور الآية في أنّ غير حاضري المسجد فرضه التمتّع ، بل قد أشرنا إلى تواتر الأخبار بفرضيّة التمتّع مطلقا ، خرج ما دون اثني عشر ميلا </w:t>
      </w:r>
    </w:p>
    <w:p>
      <w:pPr>
        <w:pStyle w:val="BookText"/>
        <w:rPr/>
      </w:pPr>
      <w:r>
        <w:rPr>
          <w:rFonts w:ascii="Amiri" w:hAnsi="Amiri" w:eastAsia="Amiri" w:cs="Amiri"/>
          <w:color w:val="111111"/>
          <w:sz w:val="28"/>
          <w:sz w:val="28"/>
          <w:szCs w:val="28"/>
          <w:rtl w:val="true"/>
          <w:lang w:bidi="ar-SA"/>
        </w:rPr>
        <w:t>بالإجماع ، فيبقى الباقي ، وهذا حسن على طريقة الحلّي ومن يحذو حذوه في عدم العمل بأخبار الآحاد ، حيث إنّ الدالّ على الزائد على اثني عشر ليس غير الآحاد ، سيّما مع زعم احتمال إرادة توزيع الثمانية والأربعين ميلا الواردة في رواياتها على أربع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يقول بحجّية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من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لذلك أصلا ، واحتمال إرادة التوزيع فاسد جدّا ، سيّما مع التنصيص بما دون عسفان وذات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لهم أيضا بنصّ الآية على أنّ التمتّع فرض من لم يكن حاضري المسجد الحرام ، ومقابل الحاضر المسافر ، وحدّه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لمنع كون ذلك حدّ المسافر ، ومنع كون المسافر مقابل الحاضر ، وإنّما هو اصطلاح طارئ بعد نزول الآية ، هذا ، مع وجود النصوص الكثيرة الصريحة في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حريز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بأنّ من كان منزله من كلّ من الأربع جوانب ثمانية عشر ميلا فلا متعة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ما ذكرنا بمنطوقها أصلا ، إذ منطوقها عدم المتعة على من كان منزله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ينافيه عموم مفهومها اللاّزم تخصيصه بما مرّ ، لكونه أخصّ مطلقا من المفهوم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أنّ فرض من كان على الحدّ المذكور حجّ التمتّع تعلم أنّه ليس له العدول إلى غيره اختيارا ، بلا خلاف فيه بين الأصحاب كما في الذخيرة </w:t>
      </w:r>
      <w:r>
        <w:rPr>
          <w:rStyle w:val="FootnoteAnchor"/>
          <w:rtl w:val="true"/>
        </w:rPr>
        <w:footnoteReference w:id="902"/>
      </w:r>
      <w:r>
        <w:rPr>
          <w:rFonts w:ascii="Amiri" w:hAnsi="Amiri" w:eastAsia="Amiri" w:cs="Amiri"/>
          <w:color w:val="111111"/>
          <w:sz w:val="28"/>
          <w:sz w:val="28"/>
          <w:szCs w:val="28"/>
          <w:rtl w:val="true"/>
          <w:lang w:bidi="ar-SA"/>
        </w:rPr>
        <w:t xml:space="preserve">، وعن المعتبر وجملة من كتب الفاضل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إجماعنا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أنّ فرضه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عدل إلى غيره لم يكن آتيا بالمأمور به ، فلا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بعض الأخبار المتقدّمة بأنّه ليس لأحد إلاّ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حال الضرورة ، فيجوز له العدول بلا خلاف ، ومن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إدراك أفعال الحجّ لو أتمّ العمرة ، فمن أحرم للعمرة المتمتّعة وضاق وقته عن الإتيان بمناسكها والإحرام بالحجّ والإتيان بمناسكه عدل عن نيّة التمتّع إلى الإفراد وإن كان ممّن وجب عليه التمتّع ، ثم مضى كما هو إلى الموقف وأتمّ الحجّ بأفعاله ، وعليه عمرة مفردة بعد الحجّ ، بلا خلاف يعرف فيه كما صرّح به جماعة </w:t>
      </w:r>
      <w:r>
        <w:rPr>
          <w:rStyle w:val="FootnoteAnchor"/>
          <w:rtl w:val="true"/>
        </w:rPr>
        <w:footnoteReference w:id="904"/>
      </w:r>
      <w:r>
        <w:rPr>
          <w:rFonts w:ascii="Amiri" w:hAnsi="Amiri" w:eastAsia="Amiri" w:cs="Amiri"/>
          <w:color w:val="111111"/>
          <w:sz w:val="28"/>
          <w:sz w:val="28"/>
          <w:szCs w:val="28"/>
          <w:rtl w:val="true"/>
          <w:lang w:bidi="ar-SA"/>
        </w:rPr>
        <w:t xml:space="preserve">، بل صرّح بالاتّفاق عليه أيضا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القدر المشترك من الأخبار الآتية ، إلاّ أنّه قد اختلفوا في حدّ ذلك الضيق إلى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زالت الشمس من يوم التروية ولم يكن أحلّ من عمرته فقد فاتته المتعة وتكون حجّته مفردة ، حكي عن والد الصدوق ونقله في السرائر عن المفيد أيضا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تدخل مكّة متمتّعة فتحيض قبل أن تحلّ ، متى تذهب متعتها؟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من يوم التروية ، وكان موسى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يوم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عامّة مواليك يدخلون يوم التروية ويطوفون ويسعون ثم يحرمون بالحجّ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رواية عجلان أبي صالح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إذا زالت الشمس ذهبت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إحرامها أو تجدّد إحرامها للحجّ؟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هي على إحرامها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هدي؟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تحبّ أن تتطوّع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نحن فإذا رأينا هلال ذي الحجّة قبل أن نحرم فاتتنا المتعة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عجلان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مكّة فرأت الدم كيف تصنع؟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تسعى بين الصفا والمروة وتجلس في بيتها ، فإن طهرت طافت بالبيت ، وإن لم تطهر فإذا كان يوم التروية أفاضت عليها الماء وأهلّت بالحجّ وخرجت إلى منى فقضت المناسك كلّها ، فإذا فعلت ذلك فقد حلّ لها كلّ شي‌ء ما عدا فراش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الراوي رواية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يوم التروية وإنّما هو زوال شمسه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عجلان المذكورة ، وصحيحة البجلي والعلاء وابن رئاب وابن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المتمتّعة إذا قدمت مكّة ثم حاضت تقيم ما بينها وبين التروية ، فإن طهرت طافت بالبيت وسعت بين الصفا والمروة ، وإن لم تطهر إلى يوم التروية اغتسلت واحتشت وسعت بين الصفا والمروة ثم خرجت إلى منى ، فإذا قضت المناسك وزارت البيت طافت بالبيت طوافا لعمرتها ، ثم طافت طوافا </w:t>
      </w:r>
    </w:p>
    <w:p>
      <w:pPr>
        <w:pStyle w:val="BookText"/>
        <w:rPr/>
      </w:pPr>
      <w:r>
        <w:rPr>
          <w:rFonts w:ascii="Amiri" w:hAnsi="Amiri" w:eastAsia="Amiri" w:cs="Amiri"/>
          <w:color w:val="111111"/>
          <w:sz w:val="28"/>
          <w:sz w:val="28"/>
          <w:szCs w:val="28"/>
          <w:rtl w:val="true"/>
          <w:lang w:bidi="ar-SA"/>
        </w:rPr>
        <w:t xml:space="preserve">للحجّ ، ثم خرجت فسعت ، فإذا فعلت ذلك فقد أحلّت من كلّ شي‌ء يحلّ منه المحرم إلاّ فراش زوجها ، فإذا طافت أسبوعا آخر حلّ لها فراش زوجها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عدم توثيق العلاء وابن صالح مع وثاقة البجلي وابن رئاب ، فعدّ الخبر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إذا قدمت مكّة يوم التروية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كما هي إلى عرفات فتجعلها حجّة ، ثم تقيم حتى تطهر وتخرج إلى التنعيم ، فتحرم فتجعلها عمرة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غابت الشمس من يوم التروية ولم يحلّ من عمرته فاتته المتعة ، نقل عن الصدوق في المقنع والمفيد في المقنعة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وتشهد له صحيحة العيص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يقدم مكّة يوم التروية صلاة العصر ، تفوته المتعة؟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له ما بينه وبين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صنع ذلك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يتمتّعان بالعمرة إلى الحجّ ثم يدخلان مكّة يوم عرفة كيف يصنعان؟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يجعلانها حجّة مفردة ، وحدّ المتعة إلى يوم التروية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إسحاق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يدخل مكّة يوم التروية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للمتمتّع ما بينه وبين الليل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عمر بن يزيد </w:t>
      </w:r>
      <w:r>
        <w:rPr>
          <w:rStyle w:val="FootnoteAnchor"/>
          <w:rtl w:val="true"/>
        </w:rPr>
        <w:footnoteReference w:id="916"/>
      </w:r>
      <w:r>
        <w:rPr>
          <w:rFonts w:ascii="Amiri" w:hAnsi="Amiri" w:eastAsia="Amiri" w:cs="Amiri"/>
          <w:color w:val="111111"/>
          <w:sz w:val="28"/>
          <w:sz w:val="28"/>
          <w:szCs w:val="28"/>
          <w:rtl w:val="true"/>
          <w:lang w:bidi="ar-SA"/>
        </w:rPr>
        <w:t xml:space="preserve">، ورواية أخرى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قدمت مكّة يوم التروية وقد غربت الشمس فليس لك متعة ، امض كما أنت بحجّك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من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إذا قدم ليلة عرفة فليست له متعة ، يجعلها حجّة مفردة ، إنّما المتعة إلى يوم التروية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 وقريبة منها رواية موسى بن عبد اللّه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رواية زكريّا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دخل 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متعة له ، يجعلها حجّة مفردة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حيث إنّه لا قائل بما بين غروب التروية وزوال 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زالت الشمس من يوم عرفة ولم يتحلّل من المتعة فقد فاتت العمرة ، اختاره الشيخ في المبسوط والنهاية وحكي عن الإسكافي والقاضي في المهذّب وابن حمزة في الوسيلة واختاره في المدارك والذخيرة والكفاية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له المتعة إلى زوال الشمس من يوم عرفة ، وله الحجّ إلى زوال الشمس من يوم النحر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متمتّع دخل 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متعته تامّة إلى أن تقطع التلبية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الناس تلبيتهم ، وهو زوال الشمس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خاف فوت اختياريّ عرفة من غير تحديد له بزمان حتى لو لم يخف منه لم يجز العدول ولو كان بعد زوال الشمس من يوم عرفة ، حكي عن الغنية والمختلف والدروس </w:t>
      </w:r>
      <w:r>
        <w:rPr>
          <w:rStyle w:val="FootnoteAnchor"/>
          <w:rtl w:val="true"/>
        </w:rPr>
        <w:footnoteReference w:id="924"/>
      </w:r>
      <w:r>
        <w:rPr>
          <w:rFonts w:ascii="Amiri" w:hAnsi="Amiri" w:eastAsia="Amiri" w:cs="Amiri"/>
          <w:color w:val="111111"/>
          <w:sz w:val="28"/>
          <w:sz w:val="28"/>
          <w:szCs w:val="28"/>
          <w:rtl w:val="true"/>
          <w:lang w:bidi="ar-SA"/>
        </w:rPr>
        <w:t xml:space="preserve">، واختاره أيضا بعض شيوخنا المعاصرين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ظاهر التهذيب والإستبصار </w:t>
      </w:r>
      <w:r>
        <w:rPr>
          <w:rStyle w:val="FootnoteAnchor"/>
          <w:rtl w:val="true"/>
        </w:rPr>
        <w:footnoteReference w:id="926"/>
      </w:r>
      <w:r>
        <w:rPr>
          <w:rFonts w:ascii="Amiri" w:hAnsi="Amiri" w:eastAsia="Amiri" w:cs="Amiri"/>
          <w:color w:val="111111"/>
          <w:sz w:val="28"/>
          <w:sz w:val="28"/>
          <w:szCs w:val="28"/>
          <w:rtl w:val="true"/>
          <w:lang w:bidi="ar-SA"/>
        </w:rPr>
        <w:t>، حيث علّل التحديد بزوال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شمس يوم عرفة بأنّه لو لم يتحلّل قبله لم يغلب على ظنّه أنّه يدرك الناس في عرفات ، حيث ظهر منه أنّ الأصل فيه إدراك الناس بعرفات ، وأنّ التحديد بالزوال أيضا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w:t>
      </w:r>
      <w:r>
        <w:rPr>
          <w:rStyle w:val="FootnoteAnchor"/>
          <w:rtl w:val="true"/>
        </w:rPr>
        <w:footnoteReference w:id="927"/>
      </w:r>
      <w:r>
        <w:rPr>
          <w:rFonts w:ascii="Amiri" w:hAnsi="Amiri" w:eastAsia="Amiri" w:cs="Amiri"/>
          <w:color w:val="111111"/>
          <w:sz w:val="28"/>
          <w:sz w:val="28"/>
          <w:szCs w:val="28"/>
          <w:rtl w:val="true"/>
          <w:lang w:bidi="ar-SA"/>
        </w:rPr>
        <w:t xml:space="preserve">له بالأصل ، وصدق الامتثال ، لرواية الميثمي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للمتمتّع إن لم يحرم من ليلة التروية </w:t>
      </w:r>
      <w:r>
        <w:rPr>
          <w:rStyle w:val="FootnoteAnchor"/>
          <w:rtl w:val="true"/>
        </w:rPr>
        <w:footnoteReference w:id="928"/>
      </w:r>
      <w:r>
        <w:rPr>
          <w:rFonts w:ascii="Amiri" w:hAnsi="Amiri" w:eastAsia="Amiri" w:cs="Amiri"/>
          <w:color w:val="111111"/>
          <w:sz w:val="28"/>
          <w:sz w:val="28"/>
          <w:szCs w:val="28"/>
          <w:rtl w:val="true"/>
          <w:lang w:bidi="ar-SA"/>
        </w:rPr>
        <w:t xml:space="preserve">ما لم يخف فوات الموقفين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بالحجّ والعمرة جميعا ثم قدم مكّة والناس بعرفات فخشي هو إن طاف وسعى بين الصفا والمروة أن يفوته الموقف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العمرة ، فإذا تمّ حجّه صنع كما صنعت عائشة ولا هدي عليه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يوم عرفة بينه وبين مكّة ثلاثة أميال وهو متمتّع بالعمرة إلى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التلبية تلبية المتعة ، ويهلّ بالحجّ بالتلبية إذا صلّى الفجر ، ويمضي إلى عرفات فيقف مع الناس ويقضي جميع المناسك ، ويقيم بمكّة حتى يعتمر عمرة الحجّ ولا شي‌ء عليه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سرو </w:t>
      </w:r>
      <w:r>
        <w:rPr>
          <w:rStyle w:val="FootnoteAnchor"/>
          <w:rtl w:val="true"/>
        </w:rPr>
        <w:footnoteReference w:id="932"/>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عمّن لم يواف ليلة </w:t>
      </w:r>
    </w:p>
    <w:p>
      <w:pPr>
        <w:pStyle w:val="BookText"/>
        <w:rPr/>
      </w:pPr>
      <w:r>
        <w:rPr>
          <w:rFonts w:ascii="Amiri" w:hAnsi="Amiri" w:eastAsia="Amiri" w:cs="Amiri"/>
          <w:color w:val="111111"/>
          <w:sz w:val="28"/>
          <w:sz w:val="28"/>
          <w:szCs w:val="28"/>
          <w:rtl w:val="true"/>
          <w:lang w:bidi="ar-SA"/>
        </w:rPr>
        <w:t xml:space="preserve">التروية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ساعة يدخل مكّة إن شاء اللّه ، يطوف ويصلّي ركعتين ، ويسعى ويقصّر ، ويخرج بحجّته ويمضي إلى الموقف ، ويفيض مع الإمام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المعتبرة المتضمّنة لإدراك المتعة ما أدرك الناس بمنى ، كمرسلة ابن بكير </w:t>
      </w:r>
      <w:r>
        <w:rPr>
          <w:rStyle w:val="FootnoteAnchor"/>
          <w:rtl w:val="true"/>
        </w:rPr>
        <w:footnoteReference w:id="934"/>
      </w:r>
      <w:r>
        <w:rPr>
          <w:rFonts w:ascii="Amiri" w:hAnsi="Amiri" w:eastAsia="Amiri" w:cs="Amiri"/>
          <w:color w:val="111111"/>
          <w:sz w:val="28"/>
          <w:sz w:val="28"/>
          <w:szCs w:val="28"/>
          <w:rtl w:val="true"/>
          <w:lang w:bidi="ar-SA"/>
        </w:rPr>
        <w:t xml:space="preserve">، وصحيحتي الحلبي </w:t>
      </w:r>
      <w:r>
        <w:rPr>
          <w:rStyle w:val="FootnoteAnchor"/>
          <w:rtl w:val="true"/>
        </w:rPr>
        <w:footnoteReference w:id="935"/>
      </w:r>
      <w:r>
        <w:rPr>
          <w:rFonts w:ascii="IRNazanin" w:hAnsi="IRNazanin" w:eastAsia="IRNazanin"/>
          <w:color w:val="111111"/>
          <w:sz w:val="28"/>
          <w:sz w:val="28"/>
          <w:szCs w:val="28"/>
          <w:rtl w:val="true"/>
          <w:lang w:bidi="fa-IR"/>
        </w:rPr>
        <w:t xml:space="preserve">ومرازم </w:t>
      </w:r>
      <w:r>
        <w:rPr>
          <w:rStyle w:val="FootnoteAnchor"/>
          <w:rtl w:val="true"/>
        </w:rPr>
        <w:footnoteReference w:id="936"/>
      </w:r>
      <w:r>
        <w:rPr>
          <w:rFonts w:ascii="Amiri" w:hAnsi="Amiri" w:eastAsia="Amiri" w:cs="Amiri"/>
          <w:color w:val="111111"/>
          <w:sz w:val="28"/>
          <w:sz w:val="28"/>
          <w:szCs w:val="28"/>
          <w:rtl w:val="true"/>
          <w:lang w:bidi="ar-SA"/>
        </w:rPr>
        <w:t xml:space="preserve">، وغيرها </w:t>
      </w:r>
      <w:r>
        <w:rPr>
          <w:rStyle w:val="FootnoteAnchor"/>
          <w:rtl w:val="true"/>
        </w:rPr>
        <w:footnoteReference w:id="937"/>
      </w:r>
      <w:r>
        <w:rPr>
          <w:rFonts w:ascii="Amiri" w:hAnsi="Amiri" w:eastAsia="Amiri" w:cs="Amiri"/>
          <w:color w:val="111111"/>
          <w:sz w:val="28"/>
          <w:sz w:val="28"/>
          <w:szCs w:val="28"/>
          <w:rtl w:val="true"/>
          <w:lang w:bidi="ar-SA"/>
        </w:rPr>
        <w:t>، بناء على أنّ ظاهرها إدراكهم بمنى قبل مضي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إدراكها بإدراك الناس مطلقا ، كرواية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متمتّعة فطمثت قبل أن تطوف بالبيت فيكون طهرها ليلة عرفة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تعلم أنّها تطهر وتطوف بالبيت وتحلّ من إحرامها وتلحق بالناس فلتفعل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خاف فوت اضطراري عرفة ، وهو مذهب الحلّي في السرائر </w:t>
      </w:r>
      <w:r>
        <w:rPr>
          <w:rStyle w:val="FootnoteAnchor"/>
          <w:rtl w:val="true"/>
        </w:rPr>
        <w:footnoteReference w:id="939"/>
      </w:r>
      <w:r>
        <w:rPr>
          <w:rFonts w:ascii="Amiri" w:hAnsi="Amiri" w:eastAsia="Amiri" w:cs="Amiri"/>
          <w:color w:val="111111"/>
          <w:sz w:val="28"/>
          <w:sz w:val="28"/>
          <w:szCs w:val="28"/>
          <w:rtl w:val="true"/>
          <w:lang w:bidi="ar-SA"/>
        </w:rPr>
        <w:t xml:space="preserve">، وحكي عن محتمل الحلبي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لصدق إدراك الموقفين معه ، وللأخبار المستفيضة من الصحاح </w:t>
      </w:r>
    </w:p>
    <w:p>
      <w:pPr>
        <w:pStyle w:val="BookText"/>
        <w:rPr/>
      </w:pPr>
      <w:r>
        <w:rPr>
          <w:rFonts w:ascii="Amiri" w:hAnsi="Amiri" w:eastAsia="Amiri" w:cs="Amiri"/>
          <w:color w:val="111111"/>
          <w:sz w:val="28"/>
          <w:sz w:val="28"/>
          <w:szCs w:val="28"/>
          <w:rtl w:val="true"/>
          <w:lang w:bidi="ar-SA"/>
        </w:rPr>
        <w:t>وغيرها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يأتي بعد ما يفيض الناس من عرفات ويدركها ليلة النحر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أدرك الإمام وهو بجمع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ظنّ أنّه يأتي عرفات فيقف بها قليلا ثم يدرك جمعا قبل طلوع الشمس فليأتها ، وإن ظنّ أنّه لا يأتيها حتى يفيضوا فلا يأتها ، وليقم بجمع فقد تمّ حجّه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 وغيرها من الصحاح المتكثّرة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الأصل بقاء الاشتغال بالتمتّع إلى أن يعلم عدمه المتحقّق هنا بعدم إمكان دركه الحاصل بالإتيان بجميع واجبات عمرته وحجّه ، ولازمه أصالة وجوبه ما لم يعلم عدم إمكان درك الوقوف الواجب بعرفات ، إذ مع دركه يدرك جميع أفعال العمرة والحجّ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أيضا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درك جميع أفعالهما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الذمّة ، لصدق الامتثال ، وللإتيان بالمأمور به المستلزم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أيضا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الاشتغال وعدم البراءة لو لم يؤت بجميع أفعالهما الواجبة ، ركنا كان ما لم يؤت به أو غير ركن ، لأنّ عدم الركنية لا يخرجه عن الوجوب وإن لم يكن تركه مبطلا في بعض الصور أو مطلقا بعوض أو بدونه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لازم ذلك وجوب الإتيان بالتمتّع بعد ذلك في عام آخر ، إلاّ أن يدلّ دليل على قيام غيره من إفراد أو غيره مقامه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جميع ذلك أصلان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الذمّة مع الإتيان بجميع أفعالهما الواجبة ، إلاّ بدليل يعارضه في مورد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البراءة مع عدم درك بعض واجباته ، إلاّ بالإتيان بفعل آخر يقوم مقامه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التمتّع ما دام يدرك الوقوف الواجب بعرفات ، كما هو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التمتّع بعدم إدراكه كذلك ، إلاّ أن يخرج عن أحد الأصلين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والقولان الأولان مخالفان للأصل الأول ، والخامس للثاني ، والثالث كالأولين إن لم نقل بوجوب الوقوف من أول الزوال ، وكالرابع إن قلنا به ، فاللازم حينئذ هو ملاحظة تمامية أدلّة تلك الأقوال وعدمها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 القول الأول فكان حسنا لو لا معارضته مع الأكثر منه عددا ، وأوضح دلالة ، والأشهر فتوى ، ولكنّه معارض مع جميع أدلّة الأقوال المتأخّرة عنه المتقدّمة ذكرها ، مضافا إلى غيرها من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محمّد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عليه السلام متمتّعا ليلة عرفة ، فطاف ، وأحلّ ، وأتى بعض جواريه ، ثم أهلّ بالحجّ وخرج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يكون للحاجّ عمرة؟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السحر من ليلة عرفة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بالمتعة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زوال الشمس وبعد العصر وبعد المغرب وبعد العشاء ما بين ذلك كلّه واسع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فلو لا ترجيح الأخيرة بما ذكر يجب الرجوع إلى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ما في ذلك القول من الشذوذ المسقط لأدلّته عن الحجّية ، ومع ذلك أخباره مختصّة بالحائض ، والتعدّي إلى غيرها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الدليل ، والإجماع المركّب غير ثابت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صاحب الذخيرة بالفصل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ومحتملة لإرادة حجّ التطوع وإرادة الأفضل فيه ، كما يشعر به قوله عليه السلام في صحيحة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نحن فإذا رأينا هلال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فسقوط ذلك القول جدّا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الثاني ، لنحو ما مرّ من الشذوذ والمعارضات الموجبة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الخامس ، لمخالفته للأصل الثاني ، مع قصور أدلّته عن النهوض لإثبات المطلوب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إدراك الموقف في الاختياري منه جدّا وتبادره منه ، سيّما مع تصريح طائفة من أخبار درك الموقف بدرك الناس فيه </w:t>
      </w:r>
      <w:r>
        <w:rPr>
          <w:rStyle w:val="FootnoteAnchor"/>
          <w:rtl w:val="true"/>
        </w:rPr>
        <w:footnoteReference w:id="949"/>
      </w:r>
      <w:r>
        <w:rPr>
          <w:rFonts w:ascii="Amiri" w:hAnsi="Amiri" w:eastAsia="Amiri" w:cs="Amiri"/>
          <w:color w:val="111111"/>
          <w:sz w:val="28"/>
          <w:sz w:val="28"/>
          <w:szCs w:val="28"/>
          <w:rtl w:val="true"/>
          <w:lang w:bidi="ar-SA"/>
        </w:rPr>
        <w:t xml:space="preserve">، وهو إنّما يكون في الاختياري ، ومع ذلك تعارضه أخبار إدراك الناس بمنى </w:t>
      </w:r>
      <w:r>
        <w:rPr>
          <w:rStyle w:val="FootnoteAnchor"/>
          <w:rtl w:val="true"/>
        </w:rPr>
        <w:footnoteReference w:id="9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اللاّزم حمله على إدراكهم قبل عرفات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تدلّ عليه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أدرك الاضطراري فقد تمّ حجّه ، ولا كلام فيه ، بل هو كذلك ، وإنّما الكلام في تمامية التمتّع المركّب من العمرة المتقدّمة والحجّ ، وأين هو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القول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الموقف هو جميع ما بين الزوال إلى الغروب ، فيتّحد القولان ولا يكون اختلاف بينهما ، ويتميّز القول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المسمّى ، فيتعارض أدلّة القولين ، وظاهر أنّ ما يعارض دليل القول الثالث من أدلّة الرابع منحصر برواية الميثمي </w:t>
      </w:r>
      <w:r>
        <w:rPr>
          <w:rStyle w:val="FootnoteAnchor"/>
          <w:rtl w:val="true"/>
        </w:rPr>
        <w:footnoteReference w:id="951"/>
      </w:r>
      <w:r>
        <w:rPr>
          <w:rFonts w:ascii="Amiri" w:hAnsi="Amiri" w:eastAsia="Amiri" w:cs="Amiri"/>
          <w:color w:val="111111"/>
          <w:sz w:val="28"/>
          <w:sz w:val="28"/>
          <w:szCs w:val="28"/>
          <w:rtl w:val="true"/>
          <w:lang w:bidi="ar-SA"/>
        </w:rPr>
        <w:t>، وأمّا البواقي فبين غير مناف له وبين معاضد له ، كأخبار إدراك الناس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رواية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مرجوحية سندها بالنسبة إلى دليل الثالث ، وعدم ظهور عامل بها أو غير نادر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مطلقا من أخبار القول الثالث ، فتعيّن تخصيصها بها ، مع أنّ المصرّح به في رواية الميثمي أنّه ما لم يخف فوات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إن لم يتحلّل من العمرة قبل الزوال يخاف الفوت البتّة ، كما صرّح به الشيخ في التهذيبين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القول 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وعليه الفتوى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المتمتّعة أو نفست قبل الطواف ، ومنعها العذر من الطواف وبقية أفعال عمرتها لضيق الوقت عن التربّص إلى الطهر ، ففيه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تعدل إلى الإفراد ، وهو الأشهر كما في المدارك والذخيرة والكفاية والمفاتيح </w:t>
      </w:r>
      <w:r>
        <w:rPr>
          <w:rStyle w:val="FootnoteAnchor"/>
          <w:rtl w:val="true"/>
        </w:rPr>
        <w:footnoteReference w:id="953"/>
      </w:r>
      <w:r>
        <w:rPr>
          <w:rFonts w:ascii="Amiri" w:hAnsi="Amiri" w:eastAsia="Amiri" w:cs="Amiri"/>
          <w:color w:val="111111"/>
          <w:sz w:val="28"/>
          <w:sz w:val="28"/>
          <w:szCs w:val="28"/>
          <w:rtl w:val="true"/>
          <w:lang w:bidi="ar-SA"/>
        </w:rPr>
        <w:t xml:space="preserve">وشرحه ، بل في الأخيرين كاد أن يكون إجماعا ، وهو ظاهر المدارك أيضا ، بل عن الخلاف والمعتبر والمنتهى والتذكرة الإجماع عليه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لصحيحتي ابن بزيع </w:t>
      </w:r>
      <w:r>
        <w:rPr>
          <w:rStyle w:val="FootnoteAnchor"/>
          <w:rtl w:val="true"/>
        </w:rPr>
        <w:footnoteReference w:id="955"/>
      </w:r>
      <w:r>
        <w:rPr>
          <w:rFonts w:ascii="Amiri" w:hAnsi="Amiri" w:eastAsia="Amiri" w:cs="Amiri"/>
          <w:color w:val="111111"/>
          <w:sz w:val="28"/>
          <w:sz w:val="28"/>
          <w:szCs w:val="28"/>
          <w:rtl w:val="true"/>
          <w:lang w:bidi="ar-SA"/>
        </w:rPr>
        <w:t xml:space="preserve">وجميل </w:t>
      </w:r>
      <w:r>
        <w:rPr>
          <w:rStyle w:val="FootnoteAnchor"/>
          <w:rtl w:val="true"/>
        </w:rPr>
        <w:footnoteReference w:id="956"/>
      </w:r>
      <w:r>
        <w:rPr>
          <w:rFonts w:ascii="Amiri" w:hAnsi="Amiri" w:eastAsia="Amiri" w:cs="Amiri"/>
          <w:color w:val="111111"/>
          <w:sz w:val="28"/>
          <w:sz w:val="28"/>
          <w:szCs w:val="28"/>
          <w:rtl w:val="true"/>
          <w:lang w:bidi="ar-SA"/>
        </w:rPr>
        <w:t xml:space="preserve">المتقدّمتين ، وموثقة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تجي‌ء متمتّعة فتطمث قبل أن تطوف بالبيت حتى تخرج إلى عرفات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تصير حجّة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تهريقه ، وهي أضحيتها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إسحاق بيّاع اللؤلؤ الصحيحة عمّن أجمعت العصابة على تصحيح ما يصحّ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المتمتّعة إذا طافت بالبيت أربعة أشواط ثم رأت الدم فمتعتها تامّة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دلّت بالمفهوم على أنّه قبل أربعة أشواط لا تكون متعتها تامّة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إبراهيم بن إسحاق ، وهي كمرسلة إسحاق ،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هي </w:t>
      </w:r>
    </w:p>
    <w:p>
      <w:pPr>
        <w:pStyle w:val="BookText"/>
        <w:rPr/>
      </w:pPr>
      <w:r>
        <w:rPr>
          <w:rFonts w:ascii="Amiri" w:hAnsi="Amiri" w:eastAsia="Amiri" w:cs="Amiri"/>
          <w:color w:val="111111"/>
          <w:sz w:val="28"/>
          <w:sz w:val="28"/>
          <w:szCs w:val="28"/>
          <w:rtl w:val="true"/>
          <w:lang w:bidi="ar-SA"/>
        </w:rPr>
        <w:t xml:space="preserve">لم تطف إلاّ ثلاثة أشواط فلتستأنف الحجّ ، فإن أقام بها جمّالها بعد الحجّ فلتخرج إلى الجعرانة أو إلى التنعيم فلتعتمر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عليّ بن بابويه والحلبي وابن زهرة والإسكافي </w:t>
      </w:r>
      <w:r>
        <w:rPr>
          <w:rStyle w:val="FootnoteAnchor"/>
          <w:rtl w:val="true"/>
        </w:rPr>
        <w:footnoteReference w:id="960"/>
      </w:r>
      <w:r>
        <w:rPr>
          <w:rFonts w:ascii="Amiri" w:hAnsi="Amiri" w:eastAsia="Amiri" w:cs="Amiri"/>
          <w:color w:val="111111"/>
          <w:sz w:val="28"/>
          <w:sz w:val="28"/>
          <w:szCs w:val="28"/>
          <w:rtl w:val="true"/>
          <w:lang w:bidi="ar-SA"/>
        </w:rPr>
        <w:t xml:space="preserve">، وهو أنّها لا تعدل ، بل مع الضيق تؤخّر طواف العمرة فتسعى ، ثم تحرم بالحجّ ، ثم تقضي مناسكها للحجّ وتقضي طواف العمرة مع طواف الحجّ ، وعن الغنية الإجماع عليه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من الأخبار ، كصحيحة البجلي والعلاء وابن رئاب </w:t>
      </w:r>
      <w:r>
        <w:rPr>
          <w:rStyle w:val="FootnoteAnchor"/>
          <w:rtl w:val="true"/>
        </w:rPr>
        <w:footnoteReference w:id="962"/>
      </w:r>
      <w:r>
        <w:rPr>
          <w:rFonts w:ascii="Amiri" w:hAnsi="Amiri" w:eastAsia="Amiri" w:cs="Amiri"/>
          <w:color w:val="111111"/>
          <w:sz w:val="28"/>
          <w:sz w:val="28"/>
          <w:szCs w:val="28"/>
          <w:rtl w:val="true"/>
          <w:lang w:bidi="ar-SA"/>
        </w:rPr>
        <w:t xml:space="preserve">ورواية عجلان </w:t>
      </w:r>
      <w:r>
        <w:rPr>
          <w:rStyle w:val="FootnoteAnchor"/>
          <w:rtl w:val="true"/>
        </w:rPr>
        <w:footnoteReference w:id="963"/>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أخرى لعجلان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اعتمرت المرأة ثم اعتلّت قبل أن تطوف قدّمت السعي وشهدت المناسك ، فإذا طهرت وانصرفت من الحجّ قضت طواف العمرة وطواف الحجّ وطواف النساء ، ثم أحلّت من كلّ شي‌ء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دخلت مكّة فحاضت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تسعى بين الصفا والمروة ، ثم تخرج مع الناس حتى تقضي طوافها بعد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متمتّعة طمثت قبل أن تطوف فخرجت مع </w:t>
      </w:r>
    </w:p>
    <w:p>
      <w:pPr>
        <w:pStyle w:val="BookText"/>
        <w:rPr/>
      </w:pPr>
      <w:r>
        <w:rPr>
          <w:rFonts w:ascii="Amiri" w:hAnsi="Amiri" w:eastAsia="Amiri" w:cs="Amiri"/>
          <w:color w:val="111111"/>
          <w:sz w:val="28"/>
          <w:sz w:val="28"/>
          <w:szCs w:val="28"/>
          <w:rtl w:val="true"/>
          <w:lang w:bidi="ar-SA"/>
        </w:rPr>
        <w:t xml:space="preserve">الناس إلى 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هي على عمرتها وحجّتها؟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فلتطف طوافا للعمرة وطوافا للحجّ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حلق وعليهنّ التقصير ، ثم يهللن بالحجّ يوم التروية ، وكانت عمرة وحجّة ، فإن اعتللن كنّ على حجّتهنّ ولم يضررن بحجّتهن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على إحرامهن؟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يصلحن ما أردن أن يصلحن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قضين طوافهنّ وسعيهنّ قصّرن وجازت متعة ، ثم أهللن يوم التروية بالحجّ ، فكانت عمرة وحجّة ، وإن اعتللن كنّ على حجّهنّ ولم يفردن حجّهن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الأمرين ، حكي عن الإسكافي </w:t>
      </w:r>
      <w:r>
        <w:rPr>
          <w:rStyle w:val="FootnoteAnchor"/>
          <w:rtl w:val="true"/>
        </w:rPr>
        <w:footnoteReference w:id="969"/>
      </w:r>
      <w:r>
        <w:rPr>
          <w:rFonts w:ascii="Amiri" w:hAnsi="Amiri" w:eastAsia="Amiri" w:cs="Amiri"/>
          <w:color w:val="111111"/>
          <w:sz w:val="28"/>
          <w:sz w:val="28"/>
          <w:szCs w:val="28"/>
          <w:rtl w:val="true"/>
          <w:lang w:bidi="ar-SA"/>
        </w:rPr>
        <w:t xml:space="preserve">، واحتمله بعض متأخّري المتأخّرين </w:t>
      </w:r>
      <w:r>
        <w:rPr>
          <w:rStyle w:val="FootnoteAnchor"/>
          <w:rtl w:val="true"/>
        </w:rPr>
        <w:footnoteReference w:id="970"/>
      </w:r>
      <w:r>
        <w:rPr>
          <w:rFonts w:ascii="Amiri" w:hAnsi="Amiri" w:eastAsia="Amiri" w:cs="Amiri"/>
          <w:color w:val="111111"/>
          <w:sz w:val="28"/>
          <w:sz w:val="28"/>
          <w:szCs w:val="28"/>
          <w:rtl w:val="true"/>
          <w:lang w:bidi="ar-SA"/>
        </w:rPr>
        <w:t>، للجمع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استحسنه في الوافي والمفاتيح </w:t>
      </w:r>
      <w:r>
        <w:rPr>
          <w:rStyle w:val="FootnoteAnchor"/>
          <w:rtl w:val="true"/>
        </w:rPr>
        <w:footnoteReference w:id="97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أحرمت بالمتعة قبل الحيض تمتّعت ، كما في القول الثاني ، وإن حاضت قبل الإحرام أفردت ، كما في القول الأول ، وبه جمع بين أخبار الطرفين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برواية أبي بصير في المرأة المتمتّعة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وهي طاهر ثم حاضت قبل أن تقضي متعتها سعت ولم تطف حتى تطهر ، ثم تقضي طوافها وقد قضت عمرتها ، وإن هي أحرمت وهي حائض لم تسع </w:t>
      </w:r>
    </w:p>
    <w:p>
      <w:pPr>
        <w:pStyle w:val="BookText"/>
        <w:rPr/>
      </w:pPr>
      <w:r>
        <w:rPr>
          <w:rFonts w:ascii="IRNazanin" w:hAnsi="IRNazanin" w:eastAsia="IRNazanin"/>
          <w:color w:val="111111"/>
          <w:sz w:val="28"/>
          <w:sz w:val="28"/>
          <w:szCs w:val="28"/>
          <w:rtl w:val="true"/>
          <w:lang w:bidi="fa-IR"/>
        </w:rPr>
        <w:t xml:space="preserve">ولم تطف حتى تطهر </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أدلّة القول الثاني برمّتها خالية عن التصريح في الوجوب ، لأنّها بين جملة خبرية أو محتملة لها ، وأمّا قوله في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بعد كونها على عمرتها ، ولكن لا دلالة فيها على وجوب الكون على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فالقول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لتعيّن الكون على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الدليل بالمرّة ، ساقط عن درجة العبرة ، مع أنّه على فرض الدلالة كلّها أعمّ مطلقا من مرسلة إسحاق وإبراهيم </w:t>
      </w:r>
      <w:r>
        <w:rPr>
          <w:rStyle w:val="FootnoteAnchor"/>
          <w:rtl w:val="true"/>
        </w:rPr>
        <w:footnoteReference w:id="973"/>
      </w:r>
      <w:r>
        <w:rPr>
          <w:rFonts w:ascii="Amiri" w:hAnsi="Amiri" w:eastAsia="Amiri" w:cs="Amiri"/>
          <w:color w:val="111111"/>
          <w:sz w:val="28"/>
          <w:sz w:val="28"/>
          <w:szCs w:val="28"/>
          <w:rtl w:val="true"/>
          <w:lang w:bidi="ar-SA"/>
        </w:rPr>
        <w:t>، إمّا لعمومها بالنسبة إلى ما قبل الطواف وما بعده أو بالنسبة إلى ما قبل أربعة أشواط الطواف وما قبلها ، فيجب تخصيصها بهما والقول بأنّه إن كان ما قبل أربعة أشواط يجعلها حجّة ، وإن كان ما بعدها يتمّها عمرة ، كما هو الأصحّ الأشهر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قائل به من المتقدّمين والمتأخّرين الموجب لشذوذه الباعث على طرح ما يدلّ عليه ، لا تصلح روايته للجمع الذي ذكره ، لصريح المرسلتين المتضمّنتين للعدول إلى الإفراد في كون الحيض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صحيحة ابن بزيع ، لعطف الحيض بالفاء الدالّة على الترتيب وكون الحيض بعد دخول مكّة ، وهو لا يكون إلاّ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صحيحة البجلي وابن رئاب المتقدّمة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عموم تلك الرواية في حكمها بعدم العدول بالنسبة إلى ما </w:t>
      </w:r>
    </w:p>
    <w:p>
      <w:pPr>
        <w:pStyle w:val="BookText"/>
        <w:rPr/>
      </w:pPr>
      <w:r>
        <w:rPr>
          <w:rFonts w:ascii="Amiri" w:hAnsi="Amiri" w:eastAsia="Amiri" w:cs="Amiri"/>
          <w:color w:val="111111"/>
          <w:sz w:val="28"/>
          <w:sz w:val="28"/>
          <w:szCs w:val="28"/>
          <w:rtl w:val="true"/>
          <w:lang w:bidi="ar-SA"/>
        </w:rPr>
        <w:t xml:space="preserve">قبل أربعة أشواط وما بعدها ، ولذا حملها الشيخ على ما بعدها ، بل استشهد بها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الأخبار السابقة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عليه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عليه السلام في هذا الخبر صحّة ما ذكرنا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أحرمت وهي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حيضها بعد الفراغ من الطواف أو بعد مضيّها في النصف منه ، فحينئذ جاز لها تقديم السعي وقضاء ما بقي عليها من الطواف ، فإذا أحرمت وهي حائض لم يكن لها سبيل إلى شي‌ء من الطواف ، فامتنع لأجل ذلك السعي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أنّ الحقّ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في المسألة قول خامس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تستنيب من يطوف عنها ، ولا نعرف قائله ولا مستنده ، فهو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للحائض والنفساء أيضا ما مرّ في حقّ من ضاق وقته من عدم إدراكه زوال الشمس من يوم عرفة ، كما سبق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صاحب الذخيرة فيهما زوال الشمس من يوم التروية </w:t>
      </w:r>
      <w:r>
        <w:rPr>
          <w:rStyle w:val="FootnoteAnchor"/>
          <w:rtl w:val="true"/>
        </w:rPr>
        <w:footnoteReference w:id="975"/>
      </w:r>
      <w:r>
        <w:rPr>
          <w:rFonts w:ascii="Amiri" w:hAnsi="Amiri" w:eastAsia="Amiri" w:cs="Amiri"/>
          <w:color w:val="111111"/>
          <w:sz w:val="28"/>
          <w:sz w:val="28"/>
          <w:szCs w:val="28"/>
          <w:rtl w:val="true"/>
          <w:lang w:bidi="ar-SA"/>
        </w:rPr>
        <w:t>، بعد اختياره في من ضاق وقته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خرق الإجماع المركّب ، ونسبة هذا القول فيهما إلى عليّ بن بابويه والمفيد لا تفيد ، لأنّهما قالا بذلك فيه أيضا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ما استدلّ به لذلك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مقتضى صحيحتي ابن بزيع </w:t>
      </w:r>
      <w:r>
        <w:rPr>
          <w:rStyle w:val="FootnoteAnchor"/>
          <w:rtl w:val="true"/>
        </w:rPr>
        <w:footnoteReference w:id="976"/>
      </w:r>
      <w:r>
        <w:rPr>
          <w:rFonts w:ascii="Amiri" w:hAnsi="Amiri" w:eastAsia="Amiri" w:cs="Amiri"/>
          <w:color w:val="111111"/>
          <w:sz w:val="28"/>
          <w:sz w:val="28"/>
          <w:szCs w:val="28"/>
          <w:rtl w:val="true"/>
          <w:lang w:bidi="ar-SA"/>
        </w:rPr>
        <w:t xml:space="preserve">وجميل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 لأنّهما لا تدلاّن على أزيد من كونهما </w:t>
      </w:r>
    </w:p>
    <w:p>
      <w:pPr>
        <w:pStyle w:val="BookText"/>
        <w:rPr/>
      </w:pPr>
      <w:r>
        <w:rPr>
          <w:rFonts w:ascii="Amiri" w:hAnsi="Amiri" w:eastAsia="Amiri" w:cs="Amiri"/>
          <w:color w:val="111111"/>
          <w:sz w:val="28"/>
          <w:sz w:val="28"/>
          <w:szCs w:val="28"/>
          <w:rtl w:val="true"/>
          <w:lang w:bidi="ar-SA"/>
        </w:rPr>
        <w:t>حائضين يوم التروية ، وأنّهما إذا كانتا كذلك تعدلان ، والحيض يوم التروية لا يستلزم دركهما الطواف طاهرتين قبل زوال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صحيحة جميل صريحة في بقاء حيضها إلى ما بعد عرفات أيضا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تقيم حتى 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صحيحة ابن بزيع أيضا ذلك ، حيث إنّها صرّحت بأنّ تحيّضها بعد دخول مكّة ، وبأنّ عامّة الموالي يدخلون يوم التروية ، فالظاهر أنّ تحيّضها لم يتقدّم على التروية ، فلا تتطهّر لزوال الشمس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تعارضها مع بعض ما مرّ وكون الأصل مع زوال يوم عرفة أيضا يكفي في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عذرهما في أثناء الطواف ، ففي صحّة متعتهما مطلقا ، أو العدم كذلك ، أو الأول إذا كان بعد أربعة أشواط ، والثاني إذا لم يكن ، أقوال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 وفاقا للصدوقين والشيخين والقاضي وابن حمزة والفاضلين </w:t>
      </w:r>
      <w:r>
        <w:rPr>
          <w:rStyle w:val="FootnoteAnchor"/>
          <w:rtl w:val="true"/>
        </w:rPr>
        <w:footnoteReference w:id="978"/>
      </w:r>
      <w:r>
        <w:rPr>
          <w:rFonts w:ascii="Amiri" w:hAnsi="Amiri" w:eastAsia="Amiri" w:cs="Amiri"/>
          <w:color w:val="111111"/>
          <w:sz w:val="28"/>
          <w:sz w:val="28"/>
          <w:szCs w:val="28"/>
          <w:rtl w:val="true"/>
          <w:lang w:bidi="ar-SA"/>
        </w:rPr>
        <w:t xml:space="preserve">، وغيرهم </w:t>
      </w:r>
      <w:r>
        <w:rPr>
          <w:rStyle w:val="FootnoteAnchor"/>
          <w:rtl w:val="true"/>
        </w:rPr>
        <w:footnoteReference w:id="979"/>
      </w:r>
      <w:r>
        <w:rPr>
          <w:rFonts w:ascii="Amiri" w:hAnsi="Amiri" w:eastAsia="Amiri" w:cs="Amiri"/>
          <w:color w:val="111111"/>
          <w:sz w:val="28"/>
          <w:sz w:val="28"/>
          <w:szCs w:val="28"/>
          <w:rtl w:val="true"/>
          <w:lang w:bidi="ar-SA"/>
        </w:rPr>
        <w:t xml:space="preserve">، بل هو الأشهر كما صرّح به في المدارك والذخيرة </w:t>
      </w:r>
      <w:r>
        <w:rPr>
          <w:rStyle w:val="FootnoteAnchor"/>
          <w:rtl w:val="true"/>
        </w:rPr>
        <w:footnoteReference w:id="980"/>
      </w:r>
      <w:r>
        <w:rPr>
          <w:rFonts w:ascii="Amiri" w:hAnsi="Amiri" w:eastAsia="Amiri" w:cs="Amiri"/>
          <w:color w:val="111111"/>
          <w:sz w:val="28"/>
          <w:sz w:val="28"/>
          <w:szCs w:val="28"/>
          <w:rtl w:val="true"/>
          <w:lang w:bidi="ar-SA"/>
        </w:rPr>
        <w:t xml:space="preserve">وغيرهما </w:t>
      </w:r>
      <w:r>
        <w:rPr>
          <w:rStyle w:val="FootnoteAnchor"/>
          <w:rtl w:val="true"/>
        </w:rPr>
        <w:footnoteReference w:id="981"/>
      </w:r>
      <w:r>
        <w:rPr>
          <w:rFonts w:ascii="Amiri" w:hAnsi="Amiri" w:eastAsia="Amiri" w:cs="Amiri"/>
          <w:color w:val="111111"/>
          <w:sz w:val="28"/>
          <w:sz w:val="28"/>
          <w:szCs w:val="28"/>
          <w:rtl w:val="true"/>
          <w:lang w:bidi="ar-SA"/>
        </w:rPr>
        <w:t xml:space="preserve">، لمرسلتي إسحاق وإبراهيم المتقدمتين </w:t>
      </w:r>
      <w:r>
        <w:rPr>
          <w:rStyle w:val="FootnoteAnchor"/>
          <w:rtl w:val="true"/>
        </w:rPr>
        <w:footnoteReference w:id="982"/>
      </w:r>
      <w:r>
        <w:rPr>
          <w:rFonts w:ascii="Amiri" w:hAnsi="Amiri" w:eastAsia="Amiri" w:cs="Amiri"/>
          <w:color w:val="111111"/>
          <w:sz w:val="28"/>
          <w:sz w:val="28"/>
          <w:szCs w:val="28"/>
          <w:rtl w:val="true"/>
          <w:lang w:bidi="ar-SA"/>
        </w:rPr>
        <w:t xml:space="preserve">، وقريبة </w:t>
      </w:r>
    </w:p>
    <w:p>
      <w:pPr>
        <w:pStyle w:val="BookText"/>
        <w:rPr/>
      </w:pPr>
      <w:r>
        <w:rPr>
          <w:rFonts w:ascii="Amiri" w:hAnsi="Amiri" w:eastAsia="Amiri" w:cs="Amiri"/>
          <w:color w:val="111111"/>
          <w:sz w:val="28"/>
          <w:sz w:val="28"/>
          <w:szCs w:val="28"/>
          <w:rtl w:val="true"/>
          <w:lang w:bidi="ar-SA"/>
        </w:rPr>
        <w:t xml:space="preserve">منهما رواية الأعرج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 ، فالأول </w:t>
      </w:r>
      <w:r>
        <w:rPr>
          <w:rStyle w:val="FootnoteAnchor"/>
          <w:rtl w:val="true"/>
        </w:rPr>
        <w:footnoteReference w:id="984"/>
      </w:r>
      <w:r>
        <w:rPr>
          <w:rFonts w:ascii="Amiri" w:hAnsi="Amiri" w:eastAsia="Amiri" w:cs="Amiri"/>
          <w:color w:val="111111"/>
          <w:sz w:val="28"/>
          <w:sz w:val="28"/>
          <w:szCs w:val="28"/>
          <w:rtl w:val="true"/>
          <w:lang w:bidi="ar-SA"/>
        </w:rPr>
        <w:t xml:space="preserve">، 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امرأة طافت ثلاثة أشواط أو أقلّ من ذلك ثم رأت دما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تحفظ مكانها ، فإذا طهرت طافت بقيّته واعتدّت بما مضى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وتضعّف بأنّها أعمّ مطلقا من الأخبار المتقدّمة ، باعتبار شمولها لطواف النافلة والفريضة المتمتّعة وغيرها ، واختصاص الأخبار بالمتمتّعة ، فيجب تخصيصها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الانجبار وصحّتها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إتمام بقيّة هذا الطواف بعد الطهر أعمّ من جعله من التمتّع أو الحجّ أو كونه أمرا تعبديّا ، فلا يعارض ما مرّ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وللحلّي ، فالثاني </w:t>
      </w:r>
      <w:r>
        <w:rPr>
          <w:rStyle w:val="FootnoteAnchor"/>
          <w:rtl w:val="true"/>
        </w:rPr>
        <w:footnoteReference w:id="986"/>
      </w:r>
      <w:r>
        <w:rPr>
          <w:rFonts w:ascii="Amiri" w:hAnsi="Amiri" w:eastAsia="Amiri" w:cs="Amiri"/>
          <w:color w:val="111111"/>
          <w:sz w:val="28"/>
          <w:sz w:val="28"/>
          <w:szCs w:val="28"/>
          <w:rtl w:val="true"/>
          <w:lang w:bidi="ar-SA"/>
        </w:rPr>
        <w:t xml:space="preserve">، وتبعه بعض المتأخّرين </w:t>
      </w:r>
      <w:r>
        <w:rPr>
          <w:rStyle w:val="FootnoteAnchor"/>
          <w:rtl w:val="true"/>
        </w:rPr>
        <w:footnoteReference w:id="987"/>
      </w:r>
      <w:r>
        <w:rPr>
          <w:rFonts w:ascii="Amiri" w:hAnsi="Amiri" w:eastAsia="Amiri" w:cs="Amiri"/>
          <w:color w:val="111111"/>
          <w:sz w:val="28"/>
          <w:sz w:val="28"/>
          <w:szCs w:val="28"/>
          <w:rtl w:val="true"/>
          <w:lang w:bidi="ar-SA"/>
        </w:rPr>
        <w:t>على ما قيل ، للأصل وصحيحة ابن بزيع المتقدّمة ، وتضعيفه كسابقه ، فإنّ ما مرّ يدفع الأصل ويخصّص الصحيحة ، لأخصّيته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الحيض بعد الطواف وصلاة الركعتين صحّت المتعة قطعا ، ووجب عليها السعي والتقصير ، لعدم توقّفهما على </w:t>
      </w:r>
    </w:p>
    <w:p>
      <w:pPr>
        <w:pStyle w:val="BookText"/>
        <w:rPr/>
      </w:pPr>
      <w:r>
        <w:rPr>
          <w:rFonts w:ascii="Amiri" w:hAnsi="Amiri" w:eastAsia="Amiri" w:cs="Amiri"/>
          <w:color w:val="111111"/>
          <w:sz w:val="28"/>
          <w:sz w:val="28"/>
          <w:szCs w:val="28"/>
          <w:rtl w:val="true"/>
          <w:lang w:bidi="ar-SA"/>
        </w:rPr>
        <w:t xml:space="preserve">الطهارة ، وللأخبار المستفيضة </w:t>
      </w:r>
      <w:r>
        <w:rPr>
          <w:rStyle w:val="FootnoteAnchor"/>
          <w:rtl w:val="true"/>
        </w:rPr>
        <w:footnoteReference w:id="988"/>
      </w:r>
      <w:r>
        <w:rPr>
          <w:rFonts w:ascii="Amiri" w:hAnsi="Amiri" w:eastAsia="Amiri" w:cs="Amiri"/>
          <w:color w:val="111111"/>
          <w:sz w:val="28"/>
          <w:sz w:val="28"/>
          <w:szCs w:val="28"/>
          <w:rtl w:val="true"/>
          <w:lang w:bidi="ar-SA"/>
        </w:rPr>
        <w:t xml:space="preserve">من الصحاح وغيرها ، وإطلاقها بل عمومها يشمل ما إذا كان قبل الركعتين أيضا كما هو الأصحّ الأشهر ، ودلّت عليه خصوصا رواية الكناني </w:t>
      </w:r>
      <w:r>
        <w:rPr>
          <w:rStyle w:val="FootnoteAnchor"/>
          <w:rtl w:val="true"/>
        </w:rPr>
        <w:footnoteReference w:id="989"/>
      </w:r>
      <w:r>
        <w:rPr>
          <w:rFonts w:ascii="Amiri" w:hAnsi="Amiri" w:eastAsia="Amiri" w:cs="Amiri"/>
          <w:color w:val="111111"/>
          <w:sz w:val="28"/>
          <w:sz w:val="28"/>
          <w:szCs w:val="28"/>
          <w:rtl w:val="true"/>
          <w:lang w:bidi="ar-SA"/>
        </w:rPr>
        <w:t xml:space="preserve">المنجبرة ، المؤيدة بصحيحة محمد العامّة للمتمتّعة وغيرها أيضا ، فالاستشكال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الأخبار الناهية عن سعي الحائض </w:t>
      </w:r>
      <w:r>
        <w:rPr>
          <w:rStyle w:val="FootnoteAnchor"/>
          <w:rtl w:val="true"/>
        </w:rPr>
        <w:footnoteReference w:id="991"/>
      </w:r>
      <w:r>
        <w:rPr>
          <w:rFonts w:ascii="Amiri" w:hAnsi="Amiri" w:eastAsia="Amiri" w:cs="Amiri"/>
          <w:color w:val="111111"/>
          <w:sz w:val="28"/>
          <w:sz w:val="28"/>
          <w:szCs w:val="28"/>
          <w:rtl w:val="true"/>
          <w:lang w:bidi="ar-SA"/>
        </w:rPr>
        <w:t>فشاذّة ، ومع الأكثر منها الأوضح دلالة معارضة ، ومع ذلك عن الدالّ على الحرمة خالية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ذكر من تعيّن التمتّع للنائي إنّما هو في حجّة الإسلام دون التطوّع والمنذور ، وصرّح الشيخ في التهذيبين والمحقق في المعتبر والفاضل في جملة من كتبه والشهيد في الدروس </w:t>
      </w:r>
      <w:r>
        <w:rPr>
          <w:rStyle w:val="FootnoteAnchor"/>
          <w:rtl w:val="true"/>
        </w:rPr>
        <w:footnoteReference w:id="992"/>
      </w:r>
      <w:r>
        <w:rPr>
          <w:rFonts w:ascii="Amiri" w:hAnsi="Amiri" w:eastAsia="Amiri" w:cs="Amiri"/>
          <w:color w:val="111111"/>
          <w:sz w:val="28"/>
          <w:sz w:val="28"/>
          <w:szCs w:val="28"/>
          <w:rtl w:val="true"/>
          <w:lang w:bidi="ar-SA"/>
        </w:rPr>
        <w:t xml:space="preserve">وغيرهم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أراد التطوّع بالحجّ كان مخيّرا بين الأفراد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الذخيرة عدم الخلاف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الخلاف حجّة الإسلام دون التطوّع والمنذور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التمتّع أفضل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الحكمين مكاتبة علي بن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في شهر </w:t>
      </w:r>
    </w:p>
    <w:p>
      <w:pPr>
        <w:pStyle w:val="BookText"/>
        <w:rPr/>
      </w:pPr>
      <w:r>
        <w:rPr>
          <w:rFonts w:ascii="Amiri" w:hAnsi="Amiri" w:eastAsia="Amiri" w:cs="Amiri"/>
          <w:color w:val="111111"/>
          <w:sz w:val="28"/>
          <w:sz w:val="28"/>
          <w:szCs w:val="28"/>
          <w:rtl w:val="true"/>
          <w:lang w:bidi="ar-SA"/>
        </w:rPr>
        <w:t xml:space="preserve">رمضان ثم حضر له الموسم ، أيحجّ مفردا للحجّ أو يتمتّع ، أيهما أفضل؟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التمتّع أفضل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أنّه أفرد الحجّ ذلك العام أو بعده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سألتك فأمرتني بالتمتّع وأراك قد أفردت الحجّ العام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الفضل لفي الذي أمرتك به ، ولكنّي ضعيف فشقّ عليّ طوافان بين الصفا والمروة ، فلذلك أفردت الحجّ العام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قرنت العام وسقت الهدي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فعلت ذلك؟ التمتّع واللّه أفضل ، لا تعودن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اعتمرت في رجب وأنا أريد الحجّ ، أسوق الهدي أو أفرد الحجّ أو أتمتّع؟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فضل وكلّ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أفضل؟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 ، هو واللّه أفضل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إلى غير ذلك من الأخبار التي لا تحصى كثرة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تمتّع زائدا على ما يشترط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والظاهر أنّه ليس مرادهم منها هنا الخلوص والقربة ، أو نيّة كلّ من الحجّ والعمرة أو كلّ من أفعالهما المتفرّقة ، أو نيّة الإحرام خاصّة ، أو نيّة المجموع جملة ، كما فسّره بكلّ طائفة ، لعدم ظهور خصوصية ذكر شي‌ء منها في هذا المقام ، مع أنّ بعضها ممّا يذكر مفصّلا في مواضعها ، وبعضها ممّا لا دليل له على الوجوب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خصوص التمتّع ، لتتميّز عن القسمين الآخرين ، أو عن العمرة المفردة ، كما أوجبها في المختلف </w:t>
      </w:r>
      <w:r>
        <w:rPr>
          <w:rStyle w:val="FootnoteAnchor"/>
          <w:rtl w:val="true"/>
        </w:rPr>
        <w:footnoteReference w:id="999"/>
      </w:r>
      <w:r>
        <w:rPr>
          <w:rFonts w:ascii="Amiri" w:hAnsi="Amiri" w:eastAsia="Amiri" w:cs="Amiri"/>
          <w:color w:val="111111"/>
          <w:sz w:val="28"/>
          <w:sz w:val="28"/>
          <w:szCs w:val="28"/>
          <w:rtl w:val="true"/>
          <w:lang w:bidi="ar-SA"/>
        </w:rPr>
        <w:t xml:space="preserve">وغيره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عليها الأخبار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أردت أن أتمتّع؟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بالحجّ وانو المتعة ، فإذا دخلت مكّة طفت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أهلّ؟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 حجّا ولا عمرة ، وأضمر في نفسك المتعة ، فإن أدركت متمتّعا وإلاّ كنت حاجّا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ينوي المتعة ويحرم بالحجّ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يختلفون في وجهين من </w:t>
      </w:r>
    </w:p>
    <w:p>
      <w:pPr>
        <w:pStyle w:val="BookText"/>
        <w:rPr/>
      </w:pPr>
      <w:r>
        <w:rPr>
          <w:rFonts w:ascii="Amiri" w:hAnsi="Amiri" w:eastAsia="Amiri" w:cs="Amiri"/>
          <w:color w:val="111111"/>
          <w:sz w:val="28"/>
          <w:sz w:val="28"/>
          <w:szCs w:val="28"/>
          <w:rtl w:val="true"/>
          <w:lang w:bidi="ar-SA"/>
        </w:rPr>
        <w:t xml:space="preserve">الحجّ ،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بالحجّ مفردا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وانو المتعة بالعمرة إلى الحجّ ، أيّ هذين أحبّ إليك؟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 المتعة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الأخبار </w:t>
      </w:r>
      <w:r>
        <w:rPr>
          <w:rStyle w:val="FootnoteAnchor"/>
          <w:rtl w:val="true"/>
        </w:rPr>
        <w:footnoteReference w:id="1005"/>
      </w:r>
      <w:r>
        <w:rPr>
          <w:rFonts w:ascii="Amiri" w:hAnsi="Amiri" w:eastAsia="Amiri" w:cs="Amiri"/>
          <w:color w:val="111111"/>
          <w:sz w:val="28"/>
          <w:sz w:val="28"/>
          <w:szCs w:val="28"/>
          <w:rtl w:val="true"/>
          <w:lang w:bidi="ar-SA"/>
        </w:rPr>
        <w:t xml:space="preserve">المتضمّنة لمثل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أتمتّع بالعمرة إلى الحجّ ، أو الاكتفاء بإضمار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جواز تجديد النيّة إلى وقت التحلّل إن فات أولا ، كما لا يضرّ في اشتراط الصوم بالنيّة جواز تجديدها إلى الزوال إن فات أول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لا تنافيه قضية إهلال عليّ عليه السلام بما أهلّ به النبيّ صلی اللّه عليه وآله ، لأنّها قضية في واقعة لا عموم لها ، فيمكن أن يكون عالما بكيفية إهلاله أو لم يكن عالما بحكم الواقعة ، حيث إنّه كان نزل في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عمرته وحجّه في أشهر الحجّ ، بخلاف القسمين الآخرين ، فإنّ عمرتهما لا يشترط أن تكون فيها وإن اشترط كون أصل الحجّ فيهما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ذكرنا من اشتراط كون المجموع في أشهر الحجّ ممّا وقع عليه الإجماع ، ونقله عليه في كلماتهم متكرّر ،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حاصل منعقد على أنّه لا ينعقد إحرام حجّ ولا عمرة متمتع بها إلى الحجّ إلاّ في أشهر الحجّ </w:t>
      </w:r>
      <w:r>
        <w:rPr>
          <w:rStyle w:val="FootnoteAnchor"/>
          <w:rtl w:val="true"/>
        </w:rPr>
        <w:footnoteReference w:id="1006"/>
      </w:r>
      <w:r>
        <w:rPr>
          <w:rFonts w:ascii="Amiri" w:hAnsi="Amiri" w:eastAsia="Amiri" w:cs="Amiri"/>
          <w:color w:val="111111"/>
          <w:sz w:val="28"/>
          <w:sz w:val="28"/>
          <w:szCs w:val="28"/>
          <w:rtl w:val="true"/>
          <w:lang w:bidi="ar-SA"/>
        </w:rPr>
        <w:t>، وهو الدليل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صحيحة زرارة الثانية </w:t>
      </w:r>
      <w:r>
        <w:rPr>
          <w:rStyle w:val="FootnoteAnchor"/>
          <w:rtl w:val="true"/>
        </w:rPr>
        <w:footnoteReference w:id="1007"/>
      </w:r>
      <w:r>
        <w:rPr>
          <w:rFonts w:ascii="Amiri" w:hAnsi="Amiri" w:eastAsia="Amiri" w:cs="Amiri"/>
          <w:color w:val="111111"/>
          <w:sz w:val="28"/>
          <w:sz w:val="28"/>
          <w:szCs w:val="28"/>
          <w:rtl w:val="true"/>
          <w:lang w:bidi="ar-SA"/>
        </w:rPr>
        <w:t>المتقدّمة في بيان كيفية أقسام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 ، ولا يضرّ وقوعه بالجملة الخبرية ، لأنّها جواب عن سؤال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معتمرا في شوّال ومن نيّته أن يعتمر ويرجع إلى بلاده فلا بأس بذلك ، وإن أقام هو إلى الحجّ فهو متمتّع ، لأنّ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 من اعتمر فيهنّ وأقام إلى الحجّ فهي متعة ، ومن رجع إلى بلاده ولم يقم إلى الحجّ فهي عمرة ، وإن اعتمر في شهر رمضان أو قبله فأقام إلى الحجّ فليس بمتمتّع ، وإنّما هو مجاور أفرد العمرة ، فإن هو أحبّ أن يتمتّع في أشهر الحجّ بالعمرة إلى الحجّ فليخرج منها حتى يجاوز ذات عرق أو يجاوز عسفان فيدخل متمتّعا بعمرة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متعة إلاّ في أشهر الحجّ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فلو أحرم بالعمرة المتمتّع بها في غير أشهر الحجّ لم يجز له التمتّع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أشهر الحجّ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 كما عليه الإسكافي والصدوق والشيخ في النهاية </w:t>
      </w:r>
      <w:r>
        <w:rPr>
          <w:rStyle w:val="FootnoteAnchor"/>
          <w:rtl w:val="true"/>
        </w:rPr>
        <w:footnoteReference w:id="1010"/>
      </w:r>
      <w:r>
        <w:rPr>
          <w:rFonts w:ascii="Amiri" w:hAnsi="Amiri" w:eastAsia="Amiri" w:cs="Amiri"/>
          <w:color w:val="111111"/>
          <w:sz w:val="28"/>
          <w:sz w:val="28"/>
          <w:szCs w:val="28"/>
          <w:rtl w:val="true"/>
          <w:lang w:bidi="ar-SA"/>
        </w:rPr>
        <w:t xml:space="preserve">، بل الأكثر كما قيل ، وعليه كافة المتأخرين </w:t>
      </w:r>
      <w:r>
        <w:rPr>
          <w:rStyle w:val="FootnoteAnchor"/>
          <w:rtl w:val="true"/>
        </w:rPr>
        <w:footnoteReference w:id="1011"/>
      </w:r>
      <w:r>
        <w:rPr>
          <w:rFonts w:ascii="Amiri" w:hAnsi="Amiri" w:eastAsia="Amiri" w:cs="Amiri"/>
          <w:color w:val="111111"/>
          <w:sz w:val="28"/>
          <w:sz w:val="28"/>
          <w:szCs w:val="28"/>
          <w:rtl w:val="true"/>
          <w:lang w:bidi="ar-SA"/>
        </w:rPr>
        <w:t xml:space="preserve">، وبه استفاضت الروايات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والعماني والديلمي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الأولان مع عشرة من ذي الحجّة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في الجمل والإقتصاد والقاضي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تسعة منه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ثمان منه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تسعة منه وليلة يوم النحر إلى طلوع فجره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طلوع شمسه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فائدة في هذا النزاع ، بل في الحقيقة هو لفظي ، للاتّفاق على خروج وقت بعض الأفعال بمضي العشرة ، وبقاء وقت البعض إلى ما بعدها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تنافي بين الأخبار المستفيضة المصرّحة بأنّها الثلاثة كملا </w:t>
      </w:r>
      <w:r>
        <w:rPr>
          <w:rStyle w:val="FootnoteAnchor"/>
          <w:rtl w:val="true"/>
        </w:rPr>
        <w:footnoteReference w:id="1018"/>
      </w:r>
      <w:r>
        <w:rPr>
          <w:rFonts w:ascii="Amiri" w:hAnsi="Amiri" w:eastAsia="Amiri" w:cs="Amiri"/>
          <w:color w:val="111111"/>
          <w:sz w:val="28"/>
          <w:sz w:val="28"/>
          <w:szCs w:val="28"/>
          <w:rtl w:val="true"/>
          <w:lang w:bidi="ar-SA"/>
        </w:rPr>
        <w:t xml:space="preserve">والنادر المتضمّن للأولين والعشر </w:t>
      </w:r>
      <w:r>
        <w:rPr>
          <w:rStyle w:val="FootnoteAnchor"/>
          <w:rtl w:val="true"/>
        </w:rPr>
        <w:footnoteReference w:id="1019"/>
      </w:r>
      <w:r>
        <w:rPr>
          <w:rFonts w:ascii="Amiri" w:hAnsi="Amiri" w:eastAsia="Amiri" w:cs="Amiri"/>
          <w:color w:val="111111"/>
          <w:sz w:val="28"/>
          <w:sz w:val="28"/>
          <w:szCs w:val="28"/>
          <w:rtl w:val="true"/>
          <w:lang w:bidi="ar-SA"/>
        </w:rPr>
        <w:t>، إذ ليس المراد في الأولى أنّه يصحّ وقوع جميع الأفعال في كلّ وقت من الثلاثة ، ولا أنّه يجب إيقاعها في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المراد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الأولين مع العشر هي الأشهر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معنى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أفعالها يجب أن تكون في تلك الثلاثة ، ويصحّ إطلاق شهر عمل على ما يكون العمل في جزء منه ، كما يقال يوم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بانقضاء العشر وعدم التلبّس </w:t>
      </w:r>
    </w:p>
    <w:p>
      <w:pPr>
        <w:pStyle w:val="BookText"/>
        <w:rPr/>
      </w:pPr>
      <w:r>
        <w:rPr>
          <w:rFonts w:ascii="Amiri" w:hAnsi="Amiri" w:eastAsia="Amiri" w:cs="Amiri"/>
          <w:color w:val="111111"/>
          <w:sz w:val="28"/>
          <w:sz w:val="28"/>
          <w:szCs w:val="28"/>
          <w:rtl w:val="true"/>
          <w:lang w:bidi="ar-SA"/>
        </w:rPr>
        <w:t>ينقضي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بالحجّ وعمرته في سنة واحدة ، بلا خلاف يعلم كما في الذخيرة </w:t>
      </w:r>
      <w:r>
        <w:rPr>
          <w:rStyle w:val="FootnoteAnchor"/>
          <w:rtl w:val="true"/>
        </w:rPr>
        <w:footnoteReference w:id="1020"/>
      </w:r>
      <w:r>
        <w:rPr>
          <w:rFonts w:ascii="Amiri" w:hAnsi="Amiri" w:eastAsia="Amiri" w:cs="Amiri"/>
          <w:color w:val="111111"/>
          <w:sz w:val="28"/>
          <w:sz w:val="28"/>
          <w:szCs w:val="28"/>
          <w:rtl w:val="true"/>
          <w:lang w:bidi="ar-SA"/>
        </w:rPr>
        <w:t xml:space="preserve">، ومطلقا كما في المدارك والمفاتيح </w:t>
      </w:r>
      <w:r>
        <w:rPr>
          <w:rStyle w:val="FootnoteAnchor"/>
          <w:rtl w:val="true"/>
        </w:rPr>
        <w:footnoteReference w:id="1021"/>
      </w:r>
      <w:r>
        <w:rPr>
          <w:rFonts w:ascii="Amiri" w:hAnsi="Amiri" w:eastAsia="Amiri" w:cs="Amiri"/>
          <w:color w:val="111111"/>
          <w:sz w:val="28"/>
          <w:sz w:val="28"/>
          <w:szCs w:val="28"/>
          <w:rtl w:val="true"/>
          <w:lang w:bidi="ar-SA"/>
        </w:rPr>
        <w:t xml:space="preserve">وشرحه ، بل بالاتفاق كما عن التذكرة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له بالأخبار الدالّة على دخول العمرة في الحجّ إلى يوم القيامة ، والناصّة على ارتباط عمرة التمتّع بحجّه ، والمصرّحة بأنّه لا يجوز للمتمتّع الخروج من مكّة حتى يقضي تمتّعه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المتبادر من أخبار التمتّع إيقاع نسكيه في عام واحد ، سيّما أخبار عدم جواز خروجه من مكّة حتى يقضي حجّه ، سيّما مع ملاحظة ندرة بقاء إحرام العمرة إلى السنة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العبادات توقيفيّة تتوقّف صحّتها على دلالة ، وهي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جميع تلك الأدلّة من قصور الدلالة وعدم التمامية ، لعدم دلالة غير الأخيرين منها على اعتبار كونهما في سنة أصلا ، ولذا جعلها بعض مشايخنا معاضدة لا حجّة مستقلّة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نهوض الأخيرين ، أمّا التبادر فلمنعه ، وأمّا التوقيفيّة فلحصول التوقيف بإطلاق الأدلّة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احتمل الشهيد الإجزاء لو بقي على إحرامه بالعمرة من غير إتمام </w:t>
      </w:r>
    </w:p>
    <w:p>
      <w:pPr>
        <w:pStyle w:val="BookText"/>
        <w:rPr/>
      </w:pPr>
      <w:r>
        <w:rPr>
          <w:rFonts w:ascii="IRNazanin" w:hAnsi="IRNazanin" w:eastAsia="IRNazanin"/>
          <w:color w:val="111111"/>
          <w:sz w:val="28"/>
          <w:sz w:val="28"/>
          <w:szCs w:val="28"/>
          <w:rtl w:val="true"/>
          <w:lang w:bidi="fa-IR"/>
        </w:rPr>
        <w:t xml:space="preserve">الأفعال إلى القابل </w:t>
      </w:r>
      <w:r>
        <w:rPr>
          <w:rStyle w:val="FootnoteAnchor"/>
          <w:rtl w:val="true"/>
        </w:rPr>
        <w:footnoteReference w:id="1025"/>
      </w:r>
      <w:r>
        <w:rPr>
          <w:rFonts w:ascii="Amiri" w:hAnsi="Amiri" w:eastAsia="Amiri" w:cs="Amiri"/>
          <w:color w:val="111111"/>
          <w:sz w:val="28"/>
          <w:sz w:val="28"/>
          <w:szCs w:val="28"/>
          <w:rtl w:val="true"/>
          <w:lang w:bidi="ar-SA"/>
        </w:rPr>
        <w:t xml:space="preserve">، وتبعه بعض مشايخنا المعاصرين ، فقال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الشهيد من الإجزاء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فلا ريب في أنّ الإتيان بهما في سنة واحدة أحوط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المذكورة وإن كانت قاصرة عن إثبات المطلوب إلاّ أنّه تدلّ عليه الأخبار المتكثّرة المصرّحة بانتفاء المتعة أو ذهابها بزوال شمس يوم التروية أو عرفة أو غروبها أو ليلة عرفة ، والآمرة بجعلها حينئذ حجّة مفردة ، المتقدّمة أكثرها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يعتبر في المتعة اتّحاد سنة النسكين لم يصحّ ذلك النفي والحكم بالذهاب والأمر بالعدول على الإطلاق ،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بمن أراد الحجّ في سنة العمرة أو من لم يتمكّن من البقاء إلى عام آخر تقييد بلا دليل ، مع أنّ في جواز التقييد بالإرادة من أصله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صحّة القول المشهور وتماميته ، وعدم تأتّي الاحتمال المذكور ، ووجوب كون الحجّ مع عمرته في عام واحد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بحجّه من بطن مكّة ، فهو الميقات له ، بلا خلاف كما قيل </w:t>
      </w:r>
      <w:r>
        <w:rPr>
          <w:rStyle w:val="FootnoteAnchor"/>
          <w:rtl w:val="true"/>
        </w:rPr>
        <w:footnoteReference w:id="1027"/>
      </w:r>
      <w:r>
        <w:rPr>
          <w:rFonts w:ascii="Amiri" w:hAnsi="Amiri" w:eastAsia="Amiri" w:cs="Amiri"/>
          <w:color w:val="111111"/>
          <w:sz w:val="28"/>
          <w:sz w:val="28"/>
          <w:szCs w:val="28"/>
          <w:rtl w:val="true"/>
          <w:lang w:bidi="ar-SA"/>
        </w:rPr>
        <w:t xml:space="preserve">، بل بإجماع العلماء ، كما في المدارك والمفاتيح </w:t>
      </w:r>
      <w:r>
        <w:rPr>
          <w:rStyle w:val="FootnoteAnchor"/>
          <w:rtl w:val="true"/>
        </w:rPr>
        <w:footnoteReference w:id="1028"/>
      </w:r>
      <w:r>
        <w:rPr>
          <w:rFonts w:ascii="Amiri" w:hAnsi="Amiri" w:eastAsia="Amiri" w:cs="Amiri"/>
          <w:color w:val="111111"/>
          <w:sz w:val="28"/>
          <w:sz w:val="28"/>
          <w:szCs w:val="28"/>
          <w:rtl w:val="true"/>
          <w:lang w:bidi="ar-SA"/>
        </w:rPr>
        <w:t xml:space="preserve">وشرحه وغيرها </w:t>
      </w:r>
      <w:r>
        <w:rPr>
          <w:rStyle w:val="FootnoteAnchor"/>
          <w:rtl w:val="true"/>
        </w:rPr>
        <w:footnoteReference w:id="1029"/>
      </w:r>
      <w:r>
        <w:rPr>
          <w:rFonts w:ascii="Amiri" w:hAnsi="Amiri" w:eastAsia="Amiri" w:cs="Amiri"/>
          <w:color w:val="111111"/>
          <w:sz w:val="28"/>
          <w:sz w:val="28"/>
          <w:szCs w:val="28"/>
          <w:rtl w:val="true"/>
          <w:lang w:bidi="ar-SA"/>
        </w:rPr>
        <w:t xml:space="preserve">، للأخبار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ميمون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متمتّع في أشهر الحجّ ، وأحرم يوم التروية من المسجد الحرام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التروية فاغتسل والبس ثوبك وادخل المسجد حافيا وعليك السكينة والوقار ، ثم صلّ ركعتين عند مقام إبراهيم أو في الحجر ، ثم اقعد حتى تزول الشمس فصلّ المكتوبة ، ثم قل في دبر صلاتك كما قلت حين أحرمت من الشجرة ، وأحرم بالحجّ ثم امض وعليك السكينة والوقار ، فإذا انتهيت إلى الروحاء </w:t>
      </w:r>
      <w:r>
        <w:rPr>
          <w:rStyle w:val="FootnoteAnchor"/>
          <w:rtl w:val="true"/>
        </w:rPr>
        <w:footnoteReference w:id="1031"/>
      </w:r>
      <w:r>
        <w:rPr>
          <w:rFonts w:ascii="IRNazanin" w:hAnsi="IRNazanin" w:eastAsia="IRNazanin"/>
          <w:color w:val="111111"/>
          <w:sz w:val="28"/>
          <w:sz w:val="28"/>
          <w:szCs w:val="28"/>
          <w:rtl w:val="true"/>
          <w:lang w:bidi="fa-IR"/>
        </w:rPr>
        <w:t xml:space="preserve">دون الردم </w:t>
      </w:r>
      <w:r>
        <w:rPr>
          <w:rStyle w:val="FootnoteAnchor"/>
          <w:rtl w:val="true"/>
        </w:rPr>
        <w:footnoteReference w:id="1032"/>
      </w:r>
      <w:r>
        <w:rPr>
          <w:rFonts w:ascii="Amiri" w:hAnsi="Amiri" w:eastAsia="Amiri" w:cs="Amiri"/>
          <w:color w:val="111111"/>
          <w:sz w:val="28"/>
          <w:sz w:val="28"/>
          <w:szCs w:val="28"/>
          <w:rtl w:val="true"/>
          <w:lang w:bidi="ar-SA"/>
        </w:rPr>
        <w:t xml:space="preserve">فلبّ ، فإذا انتهيت إلى الردم وأشرفت على الأبطح </w:t>
      </w:r>
      <w:r>
        <w:rPr>
          <w:rStyle w:val="FootnoteAnchor"/>
          <w:rtl w:val="true"/>
        </w:rPr>
        <w:footnoteReference w:id="1033"/>
      </w:r>
      <w:r>
        <w:rPr>
          <w:rFonts w:ascii="Amiri" w:hAnsi="Amiri" w:eastAsia="Amiri" w:cs="Amiri"/>
          <w:color w:val="111111"/>
          <w:sz w:val="28"/>
          <w:sz w:val="28"/>
          <w:szCs w:val="28"/>
          <w:rtl w:val="true"/>
          <w:lang w:bidi="ar-SA"/>
        </w:rPr>
        <w:t xml:space="preserve">فارفع صوتك بالتلبية حتى تأتي منى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تحرم يوم التروية فاصنع كما صنعت حين تحرم ، خذ من شاربك ومن أظفارك وأطل عانتك إن كان لك شعر وانتف إبطيك واغتسل والبس ثوبيك ، ثم ائت المسجد الحرام فصلّ فيه ستّ ركعات قبل أن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تلبّي من المسجد الحرام كما لبّيت حين أحرمت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تمامها وبلاغها عليك ، فإن قدرت أن يكون رواحك إلى منى زوال الشمس وإلاّ فمتى تيسّر لك من يوم التروية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التروية فاصنع كما صنعت بالشجرة ، ثم صلّ ركعتين خلف المقام ، ثم أهلّ بالحجّ ، فإن كنت ماشيا فلبّ عند المقام ، وإن كنت راكبا فإذا نهض بك بعيرك ، وصلّ الظهر إن قدرت بمنى ، واعلم أنّه واسع لك أن تحرم في دبر فريضة أو دبر نافلة أو ليل أو نهار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بالعمرة إلى الحجّ يريد الخروج إلى الطائف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 بالحجّ من مكّة ، وما أحبّ له أن يخرج منها إلاّ محرما ، ولا يجاوز الطائف إنّها قريبة من مكّة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لهم أن يتمتّعوا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يخرجون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يهلّون بالحجّ؟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مكّة نحوا ممّا يقول الناس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يهلّ بالحجّ؟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مكّة نحوا ممّا يقول الناس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وإن كانت قاصرة عن إفادة الوجوب والتعيين الذي هو المطلوب ، إمّا لكونها متضمّنة للجملة الخبرية ، أو لما لا يجب قطعا من </w:t>
      </w:r>
    </w:p>
    <w:p>
      <w:pPr>
        <w:pStyle w:val="BookText"/>
        <w:rPr/>
      </w:pPr>
      <w:r>
        <w:rPr>
          <w:rFonts w:ascii="Amiri" w:hAnsi="Amiri" w:eastAsia="Amiri" w:cs="Amiri"/>
          <w:color w:val="111111"/>
          <w:sz w:val="28"/>
          <w:sz w:val="28"/>
          <w:szCs w:val="28"/>
          <w:rtl w:val="true"/>
          <w:lang w:bidi="ar-SA"/>
        </w:rPr>
        <w:t>الإحرام من المسجد ، أو في يوم التروية ، وأيضا كانت غير الأخيرة منها مخصوصة بالمسجد الحرام أو موضع خاصّ منه والمطلوب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يتمّ بضميمة أصل الاشتغال ، حيث إنّه لا إطلاق يدلّ على جواز الإحرام من أيّ موضع كان ، فيجب الاقتصار فيه على المتيقّن ، مع أنّ الإجماع قرينة على إرادة الوجوب من الجملة الخبرية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بإطلاق الأخيرة الخالي عن المعارض ، لأنّ المقيّد غير دالّ على الوجوب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عمرو بن حريث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أهلّ بالحجّ؟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من رحلك ، وإن شئت من الكعبة ، وإن شئت من الطريق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 وفي بعض الطرق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المسجد أحرم يوم التروية؟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المسجد شئت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على شي‌ء من بنائها ، لصدق الاسم الذي أطلقته صحيحة الحلبي ، فيجوز الإحرام من كلّ ما كان داخلا عليه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الأفضل أن يحرم من المسجد اتّفاقا ، كما في المدارك والحدائق </w:t>
      </w:r>
      <w:r>
        <w:rPr>
          <w:rStyle w:val="FootnoteAnchor"/>
          <w:rtl w:val="true"/>
        </w:rPr>
        <w:footnoteReference w:id="1042"/>
      </w:r>
      <w:r>
        <w:rPr>
          <w:rFonts w:ascii="Amiri" w:hAnsi="Amiri" w:eastAsia="Amiri" w:cs="Amiri"/>
          <w:color w:val="111111"/>
          <w:sz w:val="28"/>
          <w:sz w:val="28"/>
          <w:szCs w:val="28"/>
          <w:rtl w:val="true"/>
          <w:lang w:bidi="ar-SA"/>
        </w:rPr>
        <w:t xml:space="preserve">وغيرهما </w:t>
      </w:r>
      <w:r>
        <w:rPr>
          <w:rStyle w:val="FootnoteAnchor"/>
          <w:rtl w:val="true"/>
        </w:rPr>
        <w:footnoteReference w:id="1043"/>
      </w:r>
      <w:r>
        <w:rPr>
          <w:rFonts w:ascii="Amiri" w:hAnsi="Amiri" w:eastAsia="Amiri" w:cs="Amiri"/>
          <w:color w:val="111111"/>
          <w:sz w:val="28"/>
          <w:sz w:val="28"/>
          <w:szCs w:val="28"/>
          <w:rtl w:val="true"/>
          <w:lang w:bidi="ar-SA"/>
        </w:rPr>
        <w:t>، وهو الحجّة فيه ، لكونه مقام التسامح ، مضافا إلى كونه أشرف الأماكن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واستحباب الإحرام عقيب الصلاة وهي في المسجد أفضل ، والأمر به في الأخبار المتقدّمة الذي ليس بأقلّ من الاستحباب ، وأفضله مقام إبراهيم أو الحجر مخيّرا بينهما ، وفاقا للهداية والمقنع والفقيه والمدارك </w:t>
      </w:r>
      <w:r>
        <w:rPr>
          <w:rStyle w:val="FootnoteAnchor"/>
          <w:rtl w:val="true"/>
        </w:rPr>
        <w:footnoteReference w:id="1044"/>
      </w:r>
      <w:r>
        <w:rPr>
          <w:rFonts w:ascii="Amiri" w:hAnsi="Amiri" w:eastAsia="Amiri" w:cs="Amiri"/>
          <w:color w:val="111111"/>
          <w:sz w:val="28"/>
          <w:sz w:val="28"/>
          <w:szCs w:val="28"/>
          <w:rtl w:val="true"/>
          <w:lang w:bidi="ar-SA"/>
        </w:rPr>
        <w:t xml:space="preserve">، لصحيحة ابن عمّار المتقدّمة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ينافيها الأمر بالمقام في رواية عمر بن يزيد ، لأنّه لا يفيد هنا أزيد من الرجحان الإضافي أو أحد فردي المستحب ، لأنّهما أيضا من المجازات المحتملة بعد عدم إرادة الحقيقة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النافع وعن الكافي والغنية والجامع والتحرير والمنتهى والتذكرة والدروس وموضع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المقام وتحت الميزاب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الشرائع وعن النهاية والمبسوط والمصباح ومختصره والمهذّب والسرائر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المقام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تحت الميزاب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بحجّ التمتّع من غير مكّة عمدا اختيارا لم يجزه ويستأنفه منها ، لتوقّف الواجب عليه ، ولا يكفي دخولها محرما ، ولا بدّ من الاستئناف منها على المعروف من مذهب الأصحاب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الإحرام منها يعيد إليها وجوبا ، للإحرام مع المكنة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تعذّر العود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أو ضيق وقت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موضعه ولو كان بعرفات ، 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الإحرام بالحجّ فذكره وهو بعرفات ما حاله؟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اللّهمّ على كتابك وسنّة نبيّك ، فقد تمّ إحرامه ، فإن جهل أن يحرم يوم التروية بالحجّ حتى رجع إلى بلده إن كان قضى مناسكه كلّها فقد تمّ حجّه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تركه جهلا ، لكونه عذرا ، ولفحوى ما دلّ على الإحرام من موضعه لو جهل الإحرام من المواقيت الأخر ، كما في موثّقة زرارة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امرأة تركت الإحرام جهلا حتى قدمت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تحرم من مكانها ، قد علم اللّه بنيّتها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يثبت المطلوب بالعلّة المذكورة في هذه الموثّقة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نسي الإحرام بالحجّ حتى يرجع إلى بلده صحّ حجّه ، وهو المحكي عن الشيخ في طائفة من كتبه وعن ابن حمزة </w:t>
      </w:r>
      <w:r>
        <w:rPr>
          <w:rStyle w:val="FootnoteAnchor"/>
          <w:rtl w:val="true"/>
        </w:rPr>
        <w:footnoteReference w:id="1051"/>
      </w:r>
      <w:r>
        <w:rPr>
          <w:rFonts w:ascii="Amiri" w:hAnsi="Amiri" w:eastAsia="Amiri" w:cs="Amiri"/>
          <w:color w:val="111111"/>
          <w:sz w:val="28"/>
          <w:sz w:val="28"/>
          <w:szCs w:val="28"/>
          <w:rtl w:val="true"/>
          <w:lang w:bidi="ar-SA"/>
        </w:rPr>
        <w:t>، وهو الأقوى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052"/>
      </w:r>
      <w:r>
        <w:rPr>
          <w:rFonts w:ascii="Amiri" w:hAnsi="Amiri" w:eastAsia="Amiri" w:cs="Amiri"/>
          <w:color w:val="111111"/>
          <w:sz w:val="28"/>
          <w:sz w:val="28"/>
          <w:szCs w:val="28"/>
          <w:rtl w:val="true"/>
          <w:lang w:bidi="ar-SA"/>
        </w:rPr>
        <w:t>، لأنّه ترك نيّة الإحرام ، وردّ الصحيحة بأنّه أخبار آحاد ، وهو يتمّ على أصله من عدم حجّية الآحاد ، مع أنّ ترك الإحرام لا يستلزم ترك النيّة ، مع أنّه يمكن أن تكون نيّة العمرة المتمتّع بها إلى الحجّ في قوّة نيّة إحرام الحجّ</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أحرم من غير مكّة جهلا أو نسيانا ثم علم أو تذكّر ولم يمكن </w:t>
      </w:r>
    </w:p>
    <w:p>
      <w:pPr>
        <w:pStyle w:val="BookText"/>
        <w:rPr/>
      </w:pPr>
      <w:r>
        <w:rPr>
          <w:rFonts w:ascii="Amiri" w:hAnsi="Amiri" w:eastAsia="Amiri" w:cs="Amiri"/>
          <w:color w:val="111111"/>
          <w:sz w:val="28"/>
          <w:sz w:val="28"/>
          <w:szCs w:val="28"/>
          <w:rtl w:val="true"/>
          <w:lang w:bidi="ar-SA"/>
        </w:rPr>
        <w:t>العود ، فهل يجتزئ بما فعل ، أو يستأنف متى ما علم أو تذكّر؟</w:t>
      </w:r>
    </w:p>
    <w:p>
      <w:pPr>
        <w:pStyle w:val="BookText"/>
        <w:rPr/>
      </w:pPr>
      <w:r>
        <w:rPr>
          <w:rFonts w:ascii="Amiri" w:hAnsi="Amiri" w:eastAsia="Amiri" w:cs="Amiri"/>
          <w:color w:val="111111"/>
          <w:sz w:val="28"/>
          <w:sz w:val="28"/>
          <w:szCs w:val="28"/>
          <w:rtl w:val="true"/>
          <w:lang w:bidi="ar-SA"/>
        </w:rPr>
        <w:t xml:space="preserve">فيها قولان ، الاستئناف الأحوط ، بل لعلّه الأظهر ، تحصيلا للبراءة اليقينية ، فإنّه مبرئ قطعا ، إمّا للإجماع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لجمعه بين الاحتمالين ، بخلاف الإحرام السابق ، فإنّه لا دليل على حصول البراءة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مرجوحية خروج المتمتّع بعد قضاء مناسك العمرة وقبل الحجّ عن مكّة في الجملة إجماعي فتوى ونصّا ، وفي المستفيضة تصريح بها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الخلاف في أنّها هل هي على التحريم ، كما عن المشهور؟ أو الكراهة ، كما عن الحلّي ، والفاضلين في بعض كتبهما </w:t>
      </w:r>
      <w:r>
        <w:rPr>
          <w:rStyle w:val="FootnoteAnchor"/>
          <w:rtl w:val="true"/>
        </w:rPr>
        <w:footnoteReference w:id="10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فمنتهى المرجوحيّة هل هو إتمام الحجّ أو الإحرام به مطلقا ، أو الأول بدون الحاجة والضرورة والثاني معها؟</w:t>
      </w:r>
    </w:p>
    <w:p>
      <w:pPr>
        <w:pStyle w:val="BookText"/>
        <w:rPr/>
      </w:pPr>
      <w:r>
        <w:rPr>
          <w:rFonts w:ascii="Amiri" w:hAnsi="Amiri" w:eastAsia="Amiri" w:cs="Amiri"/>
          <w:color w:val="111111"/>
          <w:sz w:val="28"/>
          <w:sz w:val="28"/>
          <w:szCs w:val="28"/>
          <w:rtl w:val="true"/>
          <w:lang w:bidi="ar-SA"/>
        </w:rPr>
        <w:t>والظاهر من الجمع بين أخبار المسألة هو التحريم وانتفاؤه بالإحرام بالحجّ مطلقا ، وإن كان الأحوط عدم الخروج بالإحرام إلاّ مع الحاجة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خرج بدون الإحرام ، فإن رجع في الشهر الذي خرج لم يحتج إلى إحرام آخر ورجع بغير إحرام ، وإن رجع بعده أحرم بالعمرة ثانيا ودخل مكّة محرما وأتى بمناسك العمرة ، ثم يحرم بالحجّ وتكون عمرته المتمتّع بها الأخيرة ، وتقع الأولى مبتولة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يحتاج إلى طواف النساء حينئذ للأولى أم لا؟ الأرجح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تجزئ العمرة المتمتّع بها عن العمرة المفردة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على المكلّف الجمع بينهما بإجماع العلماء كافّة ، كما في المنتهى </w:t>
      </w:r>
      <w:r>
        <w:rPr>
          <w:rStyle w:val="FootnoteAnchor"/>
          <w:rtl w:val="true"/>
        </w:rPr>
        <w:footnoteReference w:id="1056"/>
      </w:r>
      <w:r>
        <w:rPr>
          <w:rFonts w:ascii="Amiri" w:hAnsi="Amiri" w:eastAsia="Amiri" w:cs="Amiri"/>
          <w:color w:val="111111"/>
          <w:sz w:val="28"/>
          <w:sz w:val="28"/>
          <w:szCs w:val="28"/>
          <w:rtl w:val="true"/>
          <w:lang w:bidi="ar-SA"/>
        </w:rPr>
        <w:t xml:space="preserve">، للإجماع ، والمتكثّرة من الروايات ، كصحيحة يعقوب </w:t>
      </w:r>
      <w:r>
        <w:rPr>
          <w:rStyle w:val="FootnoteAnchor"/>
          <w:rtl w:val="true"/>
        </w:rPr>
        <w:footnoteReference w:id="1057"/>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058"/>
      </w:r>
      <w:r>
        <w:rPr>
          <w:rFonts w:ascii="Amiri" w:hAnsi="Amiri" w:eastAsia="Amiri" w:cs="Amiri"/>
          <w:color w:val="111111"/>
          <w:sz w:val="28"/>
          <w:sz w:val="28"/>
          <w:szCs w:val="28"/>
          <w:rtl w:val="true"/>
          <w:lang w:bidi="ar-SA"/>
        </w:rPr>
        <w:t xml:space="preserve">وغيرهما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حجّ التمتّع بوجوب تقديم طوافه وسعيه على الوقوفين ، كما يأتي بيانه في بحث أفعال الحجّ وبيان مناسك مكّة بعد الرجوع من منى</w:t>
      </w:r>
      <w:r>
        <w:rPr>
          <w:rFonts w:eastAsia="Amiri" w:cs="Amiri" w:ascii="Amiri" w:hAnsi="Amiri"/>
          <w:color w:val="111111"/>
          <w:sz w:val="28"/>
          <w:szCs w:val="28"/>
          <w:rtl w:val="true"/>
          <w:lang w:bidi="ar-SA"/>
        </w:rPr>
        <w:t xml:space="preserve">. </w:t>
      </w:r>
      <w:bookmarkStart w:id="148" w:name="pg11651_107855"/>
    </w:p>
    <w:p>
      <w:pPr>
        <w:pStyle w:val="Heading5"/>
        <w:numPr>
          <w:ilvl w:val="4"/>
          <w:numId w:val="1"/>
        </w:numPr>
        <w:rPr/>
      </w:pPr>
      <w:bookmarkStart w:id="149" w:name="__RefHeading___Toc6172014_73709187"/>
      <w:bookmarkStart w:id="150" w:name="_Toc54"/>
      <w:bookmarkEnd w:id="148"/>
      <w:bookmarkEnd w:id="149"/>
      <w:r>
        <w:rPr>
          <w:rtl w:val="true"/>
        </w:rPr>
        <w:t xml:space="preserve">المبحث الثاني </w:t>
      </w:r>
      <w:r>
        <w:rPr>
          <w:rtl w:val="true"/>
        </w:rPr>
        <w:t xml:space="preserve">: </w:t>
      </w:r>
      <w:r>
        <w:rPr>
          <w:rtl w:val="true"/>
        </w:rPr>
        <w:t>في تفصيل أفعال حجّ التمتّع</w:t>
      </w:r>
      <w:bookmarkEnd w:id="150"/>
    </w:p>
    <w:p>
      <w:pPr>
        <w:pStyle w:val="Heading6"/>
        <w:numPr>
          <w:ilvl w:val="5"/>
          <w:numId w:val="1"/>
        </w:numPr>
        <w:rPr/>
      </w:pPr>
      <w:bookmarkStart w:id="151" w:name="__RefHeading___Toc6172016_73709187"/>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وقد عرفت أنّه الذي تقدّمت العمرة عليه ، ويقال لعمرتها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المتمتّع بها ، فأفعاله متضمّنة لجميع أفعال عمرته وحجّه ، ومجموع أفعاله الواجبة ثمانية عشر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 والطواف ، وركعتاه ، والسعي ،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وثلاثة عشر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 والوقوف بعرفات ، والوقوف بالمشعر ، وثلاثة أفعال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 والهدي ، والحلق أو التقصير ، وخمسة أفعال بمكّة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الزيارة ، وركعتاه ، والسعي ، وطواف النساء ، وركعتاه ، وفعلان بعد العود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 ورمي الجمار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المستحبّات ، فتذكر في مطاوي ذكر الأفعال الواجبة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المقصد مطلبان </w:t>
      </w:r>
      <w:bookmarkStart w:id="153" w:name="pg11651_107856"/>
    </w:p>
    <w:p>
      <w:pPr>
        <w:pStyle w:val="Heading6"/>
        <w:numPr>
          <w:ilvl w:val="5"/>
          <w:numId w:val="1"/>
        </w:numPr>
        <w:rPr/>
      </w:pPr>
      <w:bookmarkStart w:id="154" w:name="__RefHeading___Toc6172018_73709187"/>
      <w:bookmarkStart w:id="155" w:name="_Toc56"/>
      <w:bookmarkEnd w:id="153"/>
      <w:bookmarkEnd w:id="154"/>
      <w:r>
        <w:rPr>
          <w:rtl w:val="true"/>
        </w:rPr>
        <w:t xml:space="preserve">المطلب الأول </w:t>
      </w:r>
      <w:r>
        <w:rPr>
          <w:rtl w:val="true"/>
        </w:rPr>
        <w:t xml:space="preserve">: </w:t>
      </w:r>
      <w:r>
        <w:rPr>
          <w:rtl w:val="true"/>
        </w:rPr>
        <w:t>في بيان الأفعال الخمسة لعمرة حجّ التمتّع</w:t>
      </w:r>
      <w:bookmarkEnd w:id="155"/>
    </w:p>
    <w:p>
      <w:pPr>
        <w:pStyle w:val="Heading6"/>
        <w:numPr>
          <w:ilvl w:val="5"/>
          <w:numId w:val="1"/>
        </w:numPr>
        <w:rPr/>
      </w:pPr>
      <w:bookmarkStart w:id="156" w:name="__RefHeading___Toc6172020_73709187"/>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وفيه خمسة فصول </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172022_73709187"/>
      <w:bookmarkStart w:id="159" w:name="_Toc58"/>
      <w:bookmarkEnd w:id="158"/>
      <w:r>
        <w:rPr>
          <w:rtl w:val="true"/>
        </w:rPr>
        <w:t xml:space="preserve">الفصل الأول </w:t>
      </w:r>
      <w:r>
        <w:rPr>
          <w:rtl w:val="true"/>
        </w:rPr>
        <w:t xml:space="preserve">: </w:t>
      </w:r>
      <w:r>
        <w:rPr>
          <w:rtl w:val="true"/>
        </w:rPr>
        <w:t>في الفعل الأول ، وهو الإحرام</w:t>
      </w:r>
      <w:bookmarkEnd w:id="159"/>
    </w:p>
    <w:p>
      <w:pPr>
        <w:pStyle w:val="Heading6"/>
        <w:numPr>
          <w:ilvl w:val="5"/>
          <w:numId w:val="1"/>
        </w:numPr>
        <w:rPr/>
      </w:pPr>
      <w:bookmarkStart w:id="160" w:name="__RefHeading___Toc6172024_73709187"/>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والكلام فيه إمّا في مقدماته أو أفعاله ، أو أحكامه ، أو تروكه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أربعة أبحاث تذكر بعد مقدمة لا بدّ من تقديمها ، نبيّن فيها معنى الإحرام وحقيقته وما به يتحقّق ، فإنّ كلام القوم في هذا المراد غير منقّح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أولا معنى الإحرام في الصلاة وما يتحقّق به ، لتسهيل المقصود بالقياس عليه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هذا المقام كالإحرام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الإحرام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حالة يحرم معها ما يحرم على المصلّي من التكلّم والانحراف عن القبلة وغير ذلك ، أو هو الدخول في الصلاة وصيرورته مصلّيا ، ويلزمه الأول أيضا ، كما أنّ الأول أيضا يستلزم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ولتحقّق هذا الدخول بالتكبيرة نسب الإحرام إليها ، وسمّيت تكبيرة الإحرام ، ولكن ليست هي فقط سببا للإحرام ، بل التكبيرة المقارنة لنيّة الصلاة ولو حكميّة ، فالتكبيرة جزء أخير العلّة ، ولذا نسبت إليها السببيّة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الإحرام بالعمرة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العمرة أو الحجّ وصيرورة الشخص معتمرا أو حاجّا ، </w:t>
      </w:r>
    </w:p>
    <w:p>
      <w:pPr>
        <w:pStyle w:val="BookText"/>
        <w:rPr/>
      </w:pPr>
      <w:r>
        <w:rPr>
          <w:rFonts w:ascii="Amiri" w:hAnsi="Amiri" w:eastAsia="Amiri" w:cs="Amiri"/>
          <w:color w:val="111111"/>
          <w:sz w:val="28"/>
          <w:sz w:val="28"/>
          <w:szCs w:val="28"/>
          <w:rtl w:val="true"/>
          <w:lang w:bidi="ar-SA"/>
        </w:rPr>
        <w:t>أو دخوله في حالة يحرم عليه معها ما يحرم على أحدهما ما لم 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التلبية المقارنة لنيّة العمرة أو الحجّ ولو حكمية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النيّة الفعلية لأحدهما الواقعة في الموضع المعيّن ، 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لبس الثوبين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 المقارن لهما ، وأمّا مجموع التلبية والنيّة واللبس فهو راجع إلى الأول ، لأنّ المعلول ينسب إلى جزء أخير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صرّح به الشيخ في التهذيب والإستبصار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اغتسل للإحرام وصلّى وقال ما أراد من القول بعد الصلاة لم يكن في الحقيقة محرما ، وإنّما يكون عاقدا للحجّ والعمرة ، فإنّما يدخل في أن يكون محرما إذا لبّى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بالأخبار المستفيضة المجوّزة لكلّ فعل يشاء قبل التلبّي </w:t>
      </w:r>
      <w:r>
        <w:rPr>
          <w:rStyle w:val="FootnoteAnchor"/>
          <w:rtl w:val="true"/>
        </w:rPr>
        <w:footnoteReference w:id="1061"/>
      </w:r>
      <w:r>
        <w:rPr>
          <w:rFonts w:ascii="Amiri" w:hAnsi="Amiri" w:eastAsia="Amiri" w:cs="Amiri"/>
          <w:color w:val="111111"/>
          <w:sz w:val="28"/>
          <w:sz w:val="28"/>
          <w:szCs w:val="28"/>
          <w:rtl w:val="true"/>
          <w:lang w:bidi="ar-SA"/>
        </w:rPr>
        <w:t xml:space="preserve">، وهو الذي يطابق كلام الأكثر المصرّحين بعدم انعقاد الإحرام إلاّ بالتلبية ، بل عليه الإجماع عن الإنتصار والخلاف والجواهر والغنية والتذكرة والمنتهى </w:t>
      </w:r>
      <w:r>
        <w:rPr>
          <w:rStyle w:val="FootnoteAnchor"/>
          <w:rtl w:val="true"/>
        </w:rPr>
        <w:footnoteReference w:id="1062"/>
      </w:r>
      <w:r>
        <w:rPr>
          <w:rFonts w:ascii="Amiri" w:hAnsi="Amiri" w:eastAsia="Amiri" w:cs="Amiri"/>
          <w:color w:val="111111"/>
          <w:sz w:val="28"/>
          <w:sz w:val="28"/>
          <w:szCs w:val="28"/>
          <w:rtl w:val="true"/>
          <w:lang w:bidi="ar-SA"/>
        </w:rPr>
        <w:t xml:space="preserve">وغيرها </w:t>
      </w:r>
      <w:r>
        <w:rPr>
          <w:rStyle w:val="FootnoteAnchor"/>
          <w:rtl w:val="true"/>
        </w:rPr>
        <w:footnoteReference w:id="1063"/>
      </w:r>
      <w:r>
        <w:rPr>
          <w:rFonts w:ascii="Amiri" w:hAnsi="Amiri" w:eastAsia="Amiri" w:cs="Amiri"/>
          <w:color w:val="111111"/>
          <w:sz w:val="28"/>
          <w:sz w:val="28"/>
          <w:szCs w:val="28"/>
          <w:rtl w:val="true"/>
          <w:lang w:bidi="ar-SA"/>
        </w:rPr>
        <w:t>، وهو الذي تستأنسه الصحاح المستفيضة الآتية ، المجوّزة لكلّ فعل يحرم على المحرم قبل التلبّي ، الموافقة لعمل الأصحاب ، وهو الذي يستفاد من أخبار مستفيضة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التهيّؤ للإحرام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مسجد الشجرة ، فقد صلّى فيه رسول اللّه صلی اللّه عليه وآله ، وقد ترى ناسا يحرمون فلا تفعل حتى تنتهي إلى البيداء حيث الميل فتحرمون كما أنتم في محاملكم ،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لا شريك لك ، لبّيك بمتعة بعمرة إلى الحجّ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 اللّه بن عليّ الحلبي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لأهل المدينة ذا الحليفة ، وهو مسجد الشجرة يصلّي فيه ويفرض الحجّ ، فإذا خرج من المسجد وسار واستوت به البيداء حين يحاذي الميل الأول أحرم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حيث صرّحت بأنّ ما يعمل في المسجد هو عزم الحجّ ، وأنّ الإحرام هو ما يعمل في البيداء ، وهو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ينوي المتعة ويحرم بالحجّ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بالإحرام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 كما تصرّح به صحيحة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أردت أن أتمتّع؟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بالحجّ وانو المتعة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يلائم ذلك أخبارا مستفيضة أخرى مصرّحة بمغايرة الإحرام والتلبّي وأنّه قبله ، كصحيحة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المكتوبة ثم أحرم بالحجّ أو بالمتعة واخرج بغير تلبية حتى تصعد إلى أول البيداء إلى أول ميل عن يسارك ، فإذا استوت بك الأرض راكبا كنت أو ماشيا فلبّ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ركعتين وأحرمت في دبرهما ، فإذا انفتلت من صلاتك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ويجزئك أن تقول هذا مرّة واحدة حين تحرم ، ثم قم فامش هنيئة ، فإذا استوت بك الأرض ماشيا أو راكبا فلبّ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التروية فاغتسل والبس ثوبيك وادخل المسجد حافيا وعليك السكينة والوقار ، ثم 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قل في دبر صلاتك كما قلت حين أحرمت من الشجرة ، وأحرم بالحجّ ، ثم امض وعليك السكينة والوقار ، فإذا انتهيت إلى الروحاء دون الردم فلبّ ، فإذا انتهيت إلى الردم وأشرفت على الأبطح فارفع صوتك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أحرمت من غمرة أو بريد البعث صلّيت وقلت ما يقول المحرم في دبر صلاتك ، وإن شئت لبّ من موضعك ، والفضل أن تمشي قليلا ثم تلبّي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إلى غير ذلك من الأخبار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يلائمه ما صرّحوا به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طباقا للأخبار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الإحرام من الميقات وعدم جواز تأخير الإحرام عنه ، مع تصريح الأخبار المستفيضة بجواز تأخير التلبية عنه </w:t>
      </w:r>
      <w:r>
        <w:rPr>
          <w:rStyle w:val="FootnoteAnchor"/>
          <w:rtl w:val="true"/>
        </w:rPr>
        <w:footnoteReference w:id="1074"/>
      </w:r>
      <w:r>
        <w:rPr>
          <w:rFonts w:ascii="Amiri" w:hAnsi="Amiri" w:eastAsia="Amiri" w:cs="Amiri"/>
          <w:color w:val="111111"/>
          <w:sz w:val="28"/>
          <w:sz w:val="28"/>
          <w:szCs w:val="28"/>
          <w:rtl w:val="true"/>
          <w:lang w:bidi="ar-SA"/>
        </w:rPr>
        <w:t>واختلاف الأصحاب فيه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يناسبه قول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الإحرام ولم يلبّ لم تلزمه كفّارة بما فعله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عدّهم التلبية أحد واجبات الإحرام </w:t>
      </w:r>
      <w:r>
        <w:rPr>
          <w:rStyle w:val="FootnoteAnchor"/>
          <w:rtl w:val="true"/>
        </w:rPr>
        <w:footnoteReference w:id="1076"/>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تجب فيه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حكمهم بوجوب النيّة للإحرام </w:t>
      </w:r>
      <w:r>
        <w:rPr>
          <w:rStyle w:val="FootnoteAnchor"/>
          <w:rtl w:val="true"/>
        </w:rPr>
        <w:footnoteReference w:id="1078"/>
      </w:r>
      <w:r>
        <w:rPr>
          <w:rFonts w:ascii="Amiri" w:hAnsi="Amiri" w:eastAsia="Amiri" w:cs="Amiri"/>
          <w:color w:val="111111"/>
          <w:sz w:val="28"/>
          <w:sz w:val="28"/>
          <w:szCs w:val="28"/>
          <w:rtl w:val="true"/>
          <w:lang w:bidi="ar-SA"/>
        </w:rPr>
        <w:t>، إذ لا نيّة على حدة للتلبية ، ولذا لا يذكرون لتكبيرة الإحرام نيّة سوى نيّة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جعلهم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على حدة من أفعال الحجّ ، والتلبية فعلا آخر على حدة أو من أجزاء الإحرام ، كما لا يجعلون إحرام الصلاة فعلا والتكبيرة فعلا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ظاهر الأكثر المستفاد من جميع ما مرّ من منافيات كون التلبية وحدها هو الإحرام ، ولكن لا يلائمه شي‌ء ممّا ذكرنا من ملائمات كونه هو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الأول ويجمع بينه وبين منافياته بأنّ ما يجوز تأخيره من التلبية هو الإجهار بها ورفع الصوت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يرجّح الثاني ويجمع بينه وبين منافياته بحمل عدم انعقاد الإحرام إلاّ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الفتاوى وإطلاق الإحرام عليها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ما لم يلبّ له ارتكاب المحرّمات على المحرم ، ولا كفارة عليه وإن لم يجز له فسخ النيّة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تقبله أكثر أخبار جواز تأخير </w:t>
      </w:r>
    </w:p>
    <w:p>
      <w:pPr>
        <w:pStyle w:val="BookText"/>
        <w:rPr/>
      </w:pPr>
      <w:r>
        <w:rPr>
          <w:rFonts w:ascii="Amiri" w:hAnsi="Amiri" w:eastAsia="Amiri" w:cs="Amiri"/>
          <w:color w:val="111111"/>
          <w:sz w:val="28"/>
          <w:sz w:val="28"/>
          <w:szCs w:val="28"/>
          <w:rtl w:val="true"/>
          <w:lang w:bidi="ar-SA"/>
        </w:rPr>
        <w:t>التلبية إلاّ بتكلّف بعيد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عنه ، بل هو الصحيح ، ولكن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الإحرام بالصلاة هو الدخول في أول جزء منه ، أو الدخول في حالة يحرم معها ما يحرم على المصلّي ، وإنّ المعنيين فيها يتحقّقان بالتكبيرة ، وليس لها جزء مقدّم على التكبيرة لا يجوز معه ارتكاب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العمرة والحجّ يفترقان عن الصلاة في ذلك وفي أمر آخر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نيّة الصلاة على التحقيق نيّة فعلية واحدة متحققة لمن يريد الصلاة قطعا ، ووقتها موسّع من بدو الشروع في مقدّماتها إلى الشروع في التكبيرة ، وليس لها وقت معيّن آخر في ذلك الأثناء يجب الإتيان بها على التحقيق ، وبعد تحقّقها الابتدائي تكفي الحكمية إلى آخر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العمرة والحجّ ، فإنّهما وإن يستلزمان عقلا نيّة فعلية في بدو الشروع إلى مقدماتهما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الإحرام وصلاته ، بل من الخروج من البيت والمسافرة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تجب نيّة فعلية أخرى عند الميقات ، وهي المأمور بها بقوله في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وانو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فيمتازان عن الصلاة ونحوها بلزوم هذه النيّة الفعليّة في ذلك الموضع ، كما يمتازان عنها وعن سائر الواجبات باستحباب التلفّظ بالمنويّ فيهما ، كما يأتي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النيّة أول الأفعال الواجبة للحجّ والعمرة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 ولكن الفعلين الأولين لا يحرّمان شيئا من المحظورات على المحرم ، وإنّما هي تحرم بالثالث ، فيتحقّق الإحرام بأحد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ولبس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يجب الإتيان به في الميقات ولا يجوز التجاوز </w:t>
      </w:r>
    </w:p>
    <w:p>
      <w:pPr>
        <w:pStyle w:val="BookText"/>
        <w:rPr/>
      </w:pPr>
      <w:r>
        <w:rPr>
          <w:rFonts w:ascii="Amiri" w:hAnsi="Amiri" w:eastAsia="Amiri" w:cs="Amiri"/>
          <w:color w:val="111111"/>
          <w:sz w:val="28"/>
          <w:sz w:val="28"/>
          <w:szCs w:val="28"/>
          <w:rtl w:val="true"/>
          <w:lang w:bidi="ar-SA"/>
        </w:rPr>
        <w:t xml:space="preserve">عنه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بالتلبية ، وقبلها لا تحرم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التحقيق التامّ في المقام ، ولكن لا يترتّب عليه كثير فائدة في العمل ، إذ الكلّ قائلون بوجوب النيّة واللبس في الميقات وعدم جواز التجاوز عنه بدونهما ، وأنّه لا تحرم المحرّمات إلاّ بالتلبية ، وأنّه لا يضرّ جواز تأخيرها عن الميقات على القول به في ذلك ، لأنّه يكون المراد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تأخيره على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الأولان ، وإنّما فائدته تشريح المقام وفهم الأخبار والجمع بين كلمات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تلك المقدمة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أنّ للإحرام أفعالا واجبة ومستحبّة وتروكا ، وظهر لك من التحقيق الذي ذكرناه أنّه ليس المراد أنّ الإحرام بنفسه من حيث هو هو فعل آخر من أفعال الحجّ والعمرة وهذه الأفعال أجزاؤه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من أفعالهما ممّا تحقّق به الإحرام وسبب لتحقّق الإحرام بالمعنيين ، كالتكبيرة التي هي فعل من الصلاة يتحقق بها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مستحبّات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أفعال مستحبّة للدخول في الحجّ أو العمرة والشروع في أحدهما ، أو مستحبّ لكلّ فعل من أفعاله بخصوصه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مقدمات الإحرام التي تذكر قبل ذكر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ذيل 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واجباته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ممّا لا بدّ منها في الدخول فيهما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تعدّد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بالمجموع يتحقّق الإحرام بالمعنيين ، فبالأول يتحقّق الإحرام بالمعنى الأول ثم يجب الثاني ، وبالثالث المسبوق بالأولين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المقارن لهما ، ولو كانت النيّة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المعنى الثاني ، فبالثلاثة يتحقّق معنيا الإحرام</w:t>
      </w:r>
      <w:r>
        <w:rPr>
          <w:rFonts w:eastAsia="Amiri" w:cs="Amiri" w:ascii="Amiri" w:hAnsi="Amiri"/>
          <w:color w:val="111111"/>
          <w:sz w:val="28"/>
          <w:szCs w:val="28"/>
          <w:rtl w:val="true"/>
          <w:lang w:bidi="ar-SA"/>
        </w:rPr>
        <w:t xml:space="preserve">. </w:t>
      </w:r>
      <w:bookmarkStart w:id="162" w:name="pg11651_107863"/>
    </w:p>
    <w:p>
      <w:pPr>
        <w:pStyle w:val="Heading6"/>
        <w:numPr>
          <w:ilvl w:val="5"/>
          <w:numId w:val="1"/>
        </w:numPr>
        <w:rPr/>
      </w:pPr>
      <w:bookmarkStart w:id="163" w:name="__RefHeading___Toc6172026_73709187"/>
      <w:bookmarkStart w:id="164" w:name="_Toc60"/>
      <w:bookmarkEnd w:id="162"/>
      <w:bookmarkEnd w:id="163"/>
      <w:r>
        <w:rPr>
          <w:rtl w:val="true"/>
        </w:rPr>
        <w:t xml:space="preserve">البحث الأول </w:t>
      </w:r>
      <w:r>
        <w:rPr>
          <w:rtl w:val="true"/>
        </w:rPr>
        <w:t xml:space="preserve">: </w:t>
      </w:r>
      <w:r>
        <w:rPr>
          <w:rtl w:val="true"/>
        </w:rPr>
        <w:t>في مقدّماته والتهيّؤ له</w:t>
      </w:r>
      <w:bookmarkEnd w:id="164"/>
    </w:p>
    <w:p>
      <w:pPr>
        <w:pStyle w:val="Heading6"/>
        <w:numPr>
          <w:ilvl w:val="5"/>
          <w:numId w:val="1"/>
        </w:numPr>
        <w:rPr/>
      </w:pPr>
      <w:bookmarkStart w:id="165" w:name="__RefHeading___Toc6172028_73709187"/>
      <w:bookmarkStart w:id="166" w:name="_Toc61"/>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وهي كلّها مستحبّة ، وهي المراد بمستحبّات الإحرام في الأكثر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شعر الرأس للحجّ مطلقا في أول ذي القعدة وللعمرة في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أراد الحجّ وفّر شعره إذا نظر إلى هلال ذي القعدة ، ومن أراد العمرة وفّر شعره شهرا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 شعرك وأنت تريد الحجّ في ذي القعدة ، ولا في الشهر الذي تريد الخروج إلى العمرة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 ونحوها رواية أبي حمزة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 الرجل إذا رأى هلال ذي القعدة وأراد الخروج من رأسه ولا لحيته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الحجّ ، أيأخذ من رأسه في </w:t>
      </w:r>
    </w:p>
    <w:p>
      <w:pPr>
        <w:pStyle w:val="BookText"/>
        <w:rPr/>
      </w:pPr>
      <w:r>
        <w:rPr>
          <w:rFonts w:ascii="Amiri" w:hAnsi="Amiri" w:eastAsia="Amiri" w:cs="Amiri"/>
          <w:color w:val="111111"/>
          <w:sz w:val="28"/>
          <w:sz w:val="28"/>
          <w:szCs w:val="28"/>
          <w:rtl w:val="true"/>
          <w:lang w:bidi="ar-SA"/>
        </w:rPr>
        <w:t xml:space="preserve">شوّال كلّه ما لم ير الهلال؟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ما لم ير الهلال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اعف شعرك للحجّ إذا رأيت هلال ذي القعدة وللعمرة شهرا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شعرك إذا أزمعت على الحجّ شوّال كلّه إلى غرّة ذي القعدة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 حيث دلّت بالمفهوم على عدم جواز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من الأمر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غرّة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لمطلق الحجّ ، كما صرّح به جماعة من محقّقي المتأخّرين </w:t>
      </w:r>
      <w:r>
        <w:rPr>
          <w:rStyle w:val="FootnoteAnchor"/>
          <w:rtl w:val="true"/>
        </w:rPr>
        <w:footnoteReference w:id="1087"/>
      </w:r>
      <w:r>
        <w:rPr>
          <w:rFonts w:ascii="Amiri" w:hAnsi="Amiri" w:eastAsia="Amiri" w:cs="Amiri"/>
          <w:color w:val="111111"/>
          <w:sz w:val="28"/>
          <w:sz w:val="28"/>
          <w:szCs w:val="28"/>
          <w:rtl w:val="true"/>
          <w:lang w:bidi="ar-SA"/>
        </w:rPr>
        <w:t xml:space="preserve">، فالتخصيص بالمتمتّع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عبارات جماعة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والإسناد في التخصيص إلى بعض الروايات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للدم على المتمتّع الحالق لرأسه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 لظهوره في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ولوقوع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أفراد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ثانيا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أكثرها عامّة لشعر الرأس واللحية ، بل بعضها مصرّح بالأمرين ، فالتخصيص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جمع منهم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وكأنّه </w:t>
      </w:r>
    </w:p>
    <w:p>
      <w:pPr>
        <w:pStyle w:val="BookText"/>
        <w:rPr/>
      </w:pPr>
      <w:r>
        <w:rPr>
          <w:rFonts w:ascii="Amiri" w:hAnsi="Amiri" w:eastAsia="Amiri" w:cs="Amiri"/>
          <w:color w:val="111111"/>
          <w:sz w:val="28"/>
          <w:sz w:val="28"/>
          <w:szCs w:val="28"/>
          <w:rtl w:val="true"/>
          <w:lang w:bidi="ar-SA"/>
        </w:rPr>
        <w:t>للروايات المشار إليها المثبتة للدم على الحالق ، المذكور ضعف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لصحيحة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الحجّ ، أيأخذ من شعره في أشهر 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من لحيته ، ولكن يأخذ من شاربه ومن أظفاره ، وليطل إن شاء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أخصّيتها عن المدّعى ، وعدم صراحتها في ما بعد دخول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منافاتها للكراهة واستحباب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الثلاثة الأخيرة من الروايات المتقدّمة </w:t>
      </w:r>
      <w:r>
        <w:rPr>
          <w:rStyle w:val="FootnoteAnchor"/>
          <w:rtl w:val="true"/>
        </w:rPr>
        <w:footnoteReference w:id="1092"/>
      </w:r>
      <w:r>
        <w:rPr>
          <w:rFonts w:ascii="Amiri" w:hAnsi="Amiri" w:eastAsia="Amiri" w:cs="Amiri"/>
          <w:color w:val="111111"/>
          <w:sz w:val="28"/>
          <w:sz w:val="28"/>
          <w:szCs w:val="28"/>
          <w:rtl w:val="true"/>
          <w:lang w:bidi="ar-SA"/>
        </w:rPr>
        <w:t xml:space="preserve">وجوب التوفير ، كما حكي عن المقنعة والإستبصار والفقيه </w:t>
      </w:r>
      <w:r>
        <w:rPr>
          <w:rStyle w:val="FootnoteAnchor"/>
          <w:rtl w:val="true"/>
        </w:rPr>
        <w:footnoteReference w:id="1093"/>
      </w:r>
      <w:r>
        <w:rPr>
          <w:rFonts w:ascii="Amiri" w:hAnsi="Amiri" w:eastAsia="Amiri" w:cs="Amiri"/>
          <w:color w:val="111111"/>
          <w:sz w:val="28"/>
          <w:sz w:val="28"/>
          <w:szCs w:val="28"/>
          <w:rtl w:val="true"/>
          <w:lang w:bidi="ar-SA"/>
        </w:rPr>
        <w:t xml:space="preserve">، استنادا إليها وإلى 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حلق رأسه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تعمّد بعد الثلاثين التي توفّر فيها الشعر للحجّ فإنّ عليه دما يهريقه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المخالفة لشهرة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لما يدلّ على خلافه ، كصحيحة الكناني المتقدّمة ، 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الحجامة وحلق القفا في أشهر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والسواك والنورة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خالد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فآخذ من شعري حين أريد الخروج إلى مكّة للإحرام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أوفّر شعري إذا أردت هذا السفر؟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أعفه شهرا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صحيحا عن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همّ بالحجّ يأخذ من شعر رأسه ولحيته وشاربه ما لم يحرم؟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وإمكان الجمع بين هذه وبين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هذه بغير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بإمكان تخصيص الأولى بالمحرم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الاستحباب إذا أهلّ ذو الحجّة </w:t>
      </w:r>
      <w:r>
        <w:rPr>
          <w:rStyle w:val="FootnoteAnchor"/>
          <w:rtl w:val="true"/>
        </w:rPr>
        <w:footnoteReference w:id="1099"/>
      </w:r>
      <w:r>
        <w:rPr>
          <w:rFonts w:ascii="Amiri" w:hAnsi="Amiri" w:eastAsia="Amiri" w:cs="Amiri"/>
          <w:color w:val="111111"/>
          <w:sz w:val="28"/>
          <w:sz w:val="28"/>
          <w:szCs w:val="28"/>
          <w:rtl w:val="true"/>
          <w:lang w:bidi="ar-SA"/>
        </w:rPr>
        <w:t xml:space="preserve">، ولا بأس به ، لفتوى الفقيه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جميل السابقة </w:t>
      </w:r>
      <w:r>
        <w:rPr>
          <w:rStyle w:val="FootnoteAnchor"/>
          <w:rtl w:val="true"/>
        </w:rPr>
        <w:footnoteReference w:id="1100"/>
      </w:r>
      <w:r>
        <w:rPr>
          <w:rFonts w:ascii="Amiri" w:hAnsi="Amiri" w:eastAsia="Amiri" w:cs="Amiri"/>
          <w:color w:val="111111"/>
          <w:sz w:val="28"/>
          <w:sz w:val="28"/>
          <w:szCs w:val="28"/>
          <w:rtl w:val="true"/>
          <w:lang w:bidi="ar-SA"/>
        </w:rPr>
        <w:t>، ولا دلالة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الأظفار ، وأخذ الشارب ، وإزالة شعر الإبط والعانة خصوصا بالاطلاء بالنورة ، لفتوى الطائفة ، والنصوص المستفيضة ، كالصحاح الأربع لابن عمّار وحريز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الإحرام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الإحرام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الإحرام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واستحباب الاطلاء لا يختصّ بما إذا مضى خمسة عشر يوما من </w:t>
      </w:r>
    </w:p>
    <w:p>
      <w:pPr>
        <w:pStyle w:val="BookText"/>
        <w:rPr/>
      </w:pPr>
      <w:r>
        <w:rPr>
          <w:rFonts w:ascii="Amiri" w:hAnsi="Amiri" w:eastAsia="Amiri" w:cs="Amiri"/>
          <w:color w:val="111111"/>
          <w:sz w:val="28"/>
          <w:sz w:val="28"/>
          <w:szCs w:val="28"/>
          <w:rtl w:val="true"/>
          <w:lang w:bidi="ar-SA"/>
        </w:rPr>
        <w:t xml:space="preserve">الطلية الأولى ، بل يستحبّ مطلقا عند جماعة من المتأخّرين </w:t>
      </w:r>
      <w:r>
        <w:rPr>
          <w:rStyle w:val="FootnoteAnchor"/>
          <w:rtl w:val="true"/>
        </w:rPr>
        <w:footnoteReference w:id="1102"/>
      </w:r>
      <w:r>
        <w:rPr>
          <w:rFonts w:ascii="Amiri" w:hAnsi="Amiri" w:eastAsia="Amiri" w:cs="Amiri"/>
          <w:color w:val="111111"/>
          <w:sz w:val="28"/>
          <w:sz w:val="28"/>
          <w:szCs w:val="28"/>
          <w:rtl w:val="true"/>
          <w:lang w:bidi="ar-SA"/>
        </w:rPr>
        <w:t xml:space="preserve">، تبعا للمحكيّ عن النهاية والمبسوط والمنتهى </w:t>
      </w:r>
      <w:r>
        <w:rPr>
          <w:rStyle w:val="FootnoteAnchor"/>
          <w:rtl w:val="true"/>
        </w:rPr>
        <w:footnoteReference w:id="1103"/>
      </w:r>
      <w:r>
        <w:rPr>
          <w:rFonts w:ascii="Amiri" w:hAnsi="Amiri" w:eastAsia="Amiri" w:cs="Amiri"/>
          <w:color w:val="111111"/>
          <w:sz w:val="28"/>
          <w:sz w:val="28"/>
          <w:szCs w:val="28"/>
          <w:rtl w:val="true"/>
          <w:lang w:bidi="ar-SA"/>
        </w:rPr>
        <w:t xml:space="preserve">، لخبر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ثلاثة أيام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أعيدا ، فإنّ الاطلاء طهور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بعضهم اختصاص الاستحباب للإحرام بما إذا لم تمض المدّة المذكورة </w:t>
      </w:r>
      <w:r>
        <w:rPr>
          <w:rStyle w:val="FootnoteAnchor"/>
          <w:rtl w:val="true"/>
        </w:rPr>
        <w:footnoteReference w:id="1105"/>
      </w:r>
      <w:r>
        <w:rPr>
          <w:rFonts w:ascii="Amiri" w:hAnsi="Amiri" w:eastAsia="Amiri" w:cs="Amiri"/>
          <w:color w:val="111111"/>
          <w:sz w:val="28"/>
          <w:sz w:val="28"/>
          <w:szCs w:val="28"/>
          <w:rtl w:val="true"/>
          <w:lang w:bidi="ar-SA"/>
        </w:rPr>
        <w:t xml:space="preserve">، 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أطليت للإحرام الأول كيف أصنع في الطلية للأخيرة ، وكم بينهما؟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جمعتان خمسة عشر يوما فأطل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الخبر الأول لا يختصّ بكون الثاني ولا الأول الطلي للإحرام ، والثاني مخصوص بكون الأول للإحرام ، ومقتضى العمل بالأخبار </w:t>
      </w:r>
      <w:r>
        <w:rPr>
          <w:rStyle w:val="FootnoteAnchor"/>
          <w:rtl w:val="true"/>
        </w:rPr>
        <w:footnoteReference w:id="1107"/>
      </w:r>
      <w:r>
        <w:rPr>
          <w:rFonts w:ascii="Amiri" w:hAnsi="Amiri" w:eastAsia="Amiri" w:cs="Amiri"/>
          <w:color w:val="111111"/>
          <w:sz w:val="28"/>
          <w:sz w:val="28"/>
          <w:szCs w:val="28"/>
          <w:rtl w:val="true"/>
          <w:lang w:bidi="ar-SA"/>
        </w:rPr>
        <w:t>أن يقال باستحباب الطلي للإحرام مطلقا ، سواء مضى خمسة عشر يوما أو لم يمض ، لعموماته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يطلي للإحرام قبله ولم تمض المدة المذكورة ، للخبر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يثبت له بعد شعر ، لموثّقة أبي بصير في إحرام الحجّ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وأطل عانتك إن كان لك شعر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فعليه الفتوى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زاد في المستحبّات تنظيف الجسد من الأوساخ وإزالة </w:t>
      </w:r>
    </w:p>
    <w:p>
      <w:pPr>
        <w:pStyle w:val="BookText"/>
        <w:rPr/>
      </w:pPr>
      <w:r>
        <w:rPr>
          <w:rFonts w:ascii="IRNazanin" w:hAnsi="IRNazanin" w:eastAsia="IRNazanin"/>
          <w:color w:val="111111"/>
          <w:sz w:val="28"/>
          <w:sz w:val="28"/>
          <w:szCs w:val="28"/>
          <w:rtl w:val="true"/>
          <w:lang w:bidi="fa-IR"/>
        </w:rPr>
        <w:t xml:space="preserve">الشعر منه مطلقا </w:t>
      </w:r>
      <w:r>
        <w:rPr>
          <w:rStyle w:val="FootnoteAnchor"/>
          <w:rtl w:val="true"/>
        </w:rPr>
        <w:footnoteReference w:id="1109"/>
      </w:r>
      <w:r>
        <w:rPr>
          <w:rFonts w:ascii="Amiri" w:hAnsi="Amiri" w:eastAsia="Amiri" w:cs="Amiri"/>
          <w:color w:val="111111"/>
          <w:sz w:val="28"/>
          <w:sz w:val="28"/>
          <w:szCs w:val="28"/>
          <w:rtl w:val="true"/>
          <w:lang w:bidi="ar-SA"/>
        </w:rPr>
        <w:t>، ولا بأس به بعد فتوى الفقيه وإشعار تعليل الإطلاق في بعض الأخبار بأنّه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للإحرام إجماعا ، له ، وللمتواترة من النصوص ، كالصحاح الثلاث لابن عمّار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الأغسال المسنونة 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أقسام الحجّ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وصحيحتي ابن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المتضمّنة جميعا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المحرم 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 من الثلاثة غسل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وصحيحتي ابن عمّار </w:t>
      </w:r>
      <w:r>
        <w:rPr>
          <w:rStyle w:val="FootnoteAnchor"/>
          <w:rtl w:val="true"/>
        </w:rPr>
        <w:footnoteReference w:id="1111"/>
      </w:r>
      <w:r>
        <w:rPr>
          <w:rFonts w:ascii="IRNazanin" w:hAnsi="IRNazanin" w:eastAsia="IRNazanin"/>
          <w:color w:val="111111"/>
          <w:sz w:val="28"/>
          <w:sz w:val="28"/>
          <w:szCs w:val="28"/>
          <w:rtl w:val="true"/>
          <w:lang w:bidi="fa-IR"/>
        </w:rPr>
        <w:t xml:space="preserve">والنضر </w:t>
      </w:r>
      <w:r>
        <w:rPr>
          <w:rStyle w:val="FootnoteAnchor"/>
          <w:rtl w:val="true"/>
        </w:rPr>
        <w:footnoteReference w:id="1112"/>
      </w:r>
      <w:r>
        <w:rPr>
          <w:rFonts w:ascii="Amiri" w:hAnsi="Amiri" w:eastAsia="Amiri" w:cs="Amiri"/>
          <w:color w:val="111111"/>
          <w:sz w:val="28"/>
          <w:sz w:val="28"/>
          <w:szCs w:val="28"/>
          <w:rtl w:val="true"/>
          <w:lang w:bidi="ar-SA"/>
        </w:rPr>
        <w:t xml:space="preserve">، وروايتي محمّد </w:t>
      </w:r>
      <w:r>
        <w:rPr>
          <w:rStyle w:val="FootnoteAnchor"/>
          <w:rtl w:val="true"/>
        </w:rPr>
        <w:footnoteReference w:id="1113"/>
      </w:r>
      <w:r>
        <w:rPr>
          <w:rFonts w:ascii="Amiri" w:hAnsi="Amiri" w:eastAsia="Amiri" w:cs="Amiri"/>
          <w:color w:val="111111"/>
          <w:sz w:val="28"/>
          <w:sz w:val="28"/>
          <w:szCs w:val="28"/>
          <w:rtl w:val="true"/>
          <w:lang w:bidi="ar-SA"/>
        </w:rPr>
        <w:t xml:space="preserve">وعليّ بن أبي </w:t>
      </w:r>
      <w:bookmarkStart w:id="167" w:name="pg11651_107869"/>
    </w:p>
    <w:p>
      <w:pPr>
        <w:pStyle w:val="BookText"/>
        <w:rPr/>
      </w:pPr>
      <w:bookmarkEnd w:id="167"/>
      <w:r>
        <w:rPr>
          <w:rFonts w:ascii="Amiri" w:hAnsi="Amiri" w:eastAsia="Amiri" w:cs="Amiri"/>
          <w:color w:val="111111"/>
          <w:sz w:val="28"/>
          <w:sz w:val="28"/>
          <w:szCs w:val="28"/>
          <w:rtl w:val="true"/>
          <w:lang w:bidi="ar-SA"/>
        </w:rPr>
        <w:t xml:space="preserve">حمزة </w:t>
      </w:r>
      <w:r>
        <w:rPr>
          <w:rStyle w:val="FootnoteAnchor"/>
          <w:rtl w:val="true"/>
        </w:rPr>
        <w:footnoteReference w:id="1114"/>
      </w:r>
      <w:r>
        <w:rPr>
          <w:rFonts w:ascii="Amiri" w:hAnsi="Amiri" w:eastAsia="Amiri" w:cs="Amiri"/>
          <w:color w:val="111111"/>
          <w:sz w:val="28"/>
          <w:sz w:val="28"/>
          <w:szCs w:val="28"/>
          <w:rtl w:val="true"/>
          <w:lang w:bidi="ar-SA"/>
        </w:rPr>
        <w:t xml:space="preserve">الآمرة بإعادة الغسل لمن لبس قميصا بعده ، وغير ذلك من الأخبار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تلك الأخبار جميعا وجوبه ، كما عن العماني </w:t>
      </w:r>
      <w:r>
        <w:rPr>
          <w:rStyle w:val="FootnoteAnchor"/>
          <w:rtl w:val="true"/>
        </w:rPr>
        <w:footnoteReference w:id="1116"/>
      </w:r>
      <w:r>
        <w:rPr>
          <w:rFonts w:ascii="Amiri" w:hAnsi="Amiri" w:eastAsia="Amiri" w:cs="Amiri"/>
          <w:color w:val="111111"/>
          <w:sz w:val="28"/>
          <w:sz w:val="28"/>
          <w:szCs w:val="28"/>
          <w:rtl w:val="true"/>
          <w:lang w:bidi="ar-SA"/>
        </w:rPr>
        <w:t xml:space="preserve">وظاهر الإسكافي </w:t>
      </w:r>
      <w:r>
        <w:rPr>
          <w:rStyle w:val="FootnoteAnchor"/>
          <w:rtl w:val="true"/>
        </w:rPr>
        <w:footnoteReference w:id="1117"/>
      </w:r>
      <w:r>
        <w:rPr>
          <w:rFonts w:ascii="Amiri" w:hAnsi="Amiri" w:eastAsia="Amiri" w:cs="Amiri"/>
          <w:color w:val="111111"/>
          <w:sz w:val="28"/>
          <w:sz w:val="28"/>
          <w:szCs w:val="28"/>
          <w:rtl w:val="true"/>
          <w:lang w:bidi="ar-SA"/>
        </w:rPr>
        <w:t xml:space="preserve">، إلاّ أنّ شذوذ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مخالفته لظاهر الإجماع المحكوم به بالحدس ، مضافا إلى عدّه في بعض الأخبار </w:t>
      </w:r>
      <w:r>
        <w:rPr>
          <w:rStyle w:val="FootnoteAnchor"/>
          <w:rtl w:val="true"/>
        </w:rPr>
        <w:footnoteReference w:id="1118"/>
      </w:r>
      <w:r>
        <w:rPr>
          <w:rFonts w:ascii="Amiri" w:hAnsi="Amiri" w:eastAsia="Amiri" w:cs="Amiri"/>
          <w:color w:val="111111"/>
          <w:sz w:val="28"/>
          <w:sz w:val="28"/>
          <w:szCs w:val="28"/>
          <w:rtl w:val="true"/>
          <w:lang w:bidi="ar-SA"/>
        </w:rPr>
        <w:t xml:space="preserve">في طي الأغسال المسنونة وإلى جواز الإحرام للحائض والنفساء مع عدم كون غسلهما غسلا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صرف تلك الأخبار عن ظواهرها وحملها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172030_73709187"/>
      <w:bookmarkStart w:id="169" w:name="_Toc62"/>
      <w:bookmarkEnd w:id="168"/>
      <w:r>
        <w:rPr>
          <w:rtl w:val="true"/>
        </w:rPr>
        <w:t xml:space="preserve">فروع </w:t>
      </w:r>
      <w:r>
        <w:rPr>
          <w:rtl w:val="true"/>
        </w:rPr>
        <w:t>:</w:t>
      </w:r>
      <w:bookmarkEnd w:id="16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أو لبس بعد الغسل ما لا يجوز للمحرم أكله أو لبسه أعاد الغسل ، لصحيحتي عمر بن يزيد </w:t>
      </w:r>
      <w:r>
        <w:rPr>
          <w:rStyle w:val="FootnoteAnchor"/>
          <w:rtl w:val="true"/>
        </w:rPr>
        <w:footnoteReference w:id="1119"/>
      </w:r>
      <w:r>
        <w:rPr>
          <w:rFonts w:ascii="Amiri" w:hAnsi="Amiri" w:eastAsia="Amiri" w:cs="Amiri"/>
          <w:color w:val="111111"/>
          <w:sz w:val="28"/>
          <w:sz w:val="28"/>
          <w:szCs w:val="28"/>
          <w:rtl w:val="true"/>
          <w:lang w:bidi="ar-SA"/>
        </w:rPr>
        <w:t xml:space="preserve">وابن عمّار </w:t>
      </w:r>
      <w:r>
        <w:rPr>
          <w:rStyle w:val="FootnoteAnchor"/>
          <w:rtl w:val="true"/>
        </w:rPr>
        <w:footnoteReference w:id="1120"/>
      </w:r>
      <w:r>
        <w:rPr>
          <w:rFonts w:ascii="Amiri" w:hAnsi="Amiri" w:eastAsia="Amiri" w:cs="Amiri"/>
          <w:color w:val="111111"/>
          <w:sz w:val="28"/>
          <w:sz w:val="28"/>
          <w:szCs w:val="28"/>
          <w:rtl w:val="true"/>
          <w:lang w:bidi="ar-SA"/>
        </w:rPr>
        <w:t xml:space="preserve">، وروايات عليّ بن أبي حمزة ومحمّد ، بل مقتضى الأولى الإعادة مع التطيّب أيضا ، كما عن التهذيب والدروس </w:t>
      </w:r>
      <w:r>
        <w:rPr>
          <w:rStyle w:val="FootnoteAnchor"/>
          <w:rtl w:val="true"/>
        </w:rPr>
        <w:footnoteReference w:id="1121"/>
      </w:r>
      <w:r>
        <w:rPr>
          <w:rFonts w:ascii="Amiri" w:hAnsi="Amiri" w:eastAsia="Amiri" w:cs="Amiri"/>
          <w:color w:val="111111"/>
          <w:sz w:val="28"/>
          <w:sz w:val="28"/>
          <w:szCs w:val="28"/>
          <w:rtl w:val="true"/>
          <w:lang w:bidi="ar-SA"/>
        </w:rPr>
        <w:t xml:space="preserve">وغيرهما </w:t>
      </w:r>
      <w:r>
        <w:rPr>
          <w:rStyle w:val="FootnoteAnchor"/>
          <w:rtl w:val="true"/>
        </w:rPr>
        <w:footnoteReference w:id="1122"/>
      </w:r>
      <w:r>
        <w:rPr>
          <w:rFonts w:ascii="Amiri" w:hAnsi="Amiri" w:eastAsia="Amiri" w:cs="Amiri"/>
          <w:color w:val="111111"/>
          <w:sz w:val="28"/>
          <w:sz w:val="28"/>
          <w:szCs w:val="28"/>
          <w:rtl w:val="true"/>
          <w:lang w:bidi="ar-SA"/>
        </w:rPr>
        <w:t>، وهو كذلك ، لذلك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للإحرام ثم ينام قبل أن </w:t>
      </w:r>
    </w:p>
    <w:p>
      <w:pPr>
        <w:pStyle w:val="BookText"/>
        <w:rPr/>
      </w:pPr>
      <w:r>
        <w:rPr>
          <w:rFonts w:ascii="Amiri" w:hAnsi="Amiri" w:eastAsia="Amiri" w:cs="Amiri"/>
          <w:color w:val="111111"/>
          <w:sz w:val="28"/>
          <w:sz w:val="28"/>
          <w:szCs w:val="28"/>
          <w:rtl w:val="true"/>
          <w:lang w:bidi="ar-SA"/>
        </w:rPr>
        <w:t xml:space="preserve">يحرم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إعادة الغسل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 ونحوها رواية عليّ بن أبي حمزة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الأخيرتين استحباب الإعادة مع النوم أيضا ، كما هو المحكيّ عن الأكثر </w:t>
      </w:r>
      <w:r>
        <w:rPr>
          <w:rStyle w:val="FootnoteAnchor"/>
          <w:rtl w:val="true"/>
        </w:rPr>
        <w:footnoteReference w:id="1125"/>
      </w:r>
      <w:r>
        <w:rPr>
          <w:rFonts w:ascii="Amiri" w:hAnsi="Amiri" w:eastAsia="Amiri" w:cs="Amiri"/>
          <w:color w:val="111111"/>
          <w:sz w:val="28"/>
          <w:sz w:val="28"/>
          <w:szCs w:val="28"/>
          <w:rtl w:val="true"/>
          <w:lang w:bidi="ar-SA"/>
        </w:rPr>
        <w:t xml:space="preserve">، والمؤيّد بما دلّ عليه لمن اغتسل لدخول مكّة أو الطواف </w:t>
      </w:r>
      <w:r>
        <w:rPr>
          <w:rStyle w:val="FootnoteAnchor"/>
          <w:rtl w:val="true"/>
        </w:rPr>
        <w:footnoteReference w:id="1126"/>
      </w:r>
      <w:r>
        <w:rPr>
          <w:rFonts w:ascii="Amiri" w:hAnsi="Amiri" w:eastAsia="Amiri" w:cs="Amiri"/>
          <w:color w:val="111111"/>
          <w:sz w:val="28"/>
          <w:sz w:val="28"/>
          <w:szCs w:val="28"/>
          <w:rtl w:val="true"/>
          <w:lang w:bidi="ar-SA"/>
        </w:rPr>
        <w:t xml:space="preserve">، ولا ينافيه نفي لزوم الغسل عنه في صحيحة العيص </w:t>
      </w:r>
      <w:r>
        <w:rPr>
          <w:rStyle w:val="FootnoteAnchor"/>
          <w:rtl w:val="true"/>
        </w:rPr>
        <w:footnoteReference w:id="1127"/>
      </w:r>
      <w:r>
        <w:rPr>
          <w:rFonts w:ascii="Amiri" w:hAnsi="Amiri" w:eastAsia="Amiri" w:cs="Amiri"/>
          <w:color w:val="111111"/>
          <w:sz w:val="28"/>
          <w:sz w:val="28"/>
          <w:szCs w:val="28"/>
          <w:rtl w:val="true"/>
          <w:lang w:bidi="ar-SA"/>
        </w:rPr>
        <w:t xml:space="preserve">، لأنّه لا ينافي الاستحباب ، فيحمل على نفي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الشيخ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نفي تأكّد الاستحباب ، كما ذكره جماعة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يشارك النوم باقي الأحداث أيضا ، كما اختاره في الدروس والمسالك </w:t>
      </w:r>
      <w:r>
        <w:rPr>
          <w:rStyle w:val="FootnoteAnchor"/>
          <w:rtl w:val="true"/>
        </w:rPr>
        <w:footnoteReference w:id="1130"/>
      </w:r>
      <w:r>
        <w:rPr>
          <w:rFonts w:ascii="IRNazanin" w:hAnsi="IRNazanin" w:eastAsia="IRNazanin"/>
          <w:color w:val="111111"/>
          <w:sz w:val="28"/>
          <w:sz w:val="28"/>
          <w:szCs w:val="28"/>
          <w:rtl w:val="true"/>
          <w:lang w:bidi="fa-IR"/>
        </w:rPr>
        <w:t>، لفحوى ما مرّ؟</w:t>
      </w:r>
    </w:p>
    <w:p>
      <w:pPr>
        <w:pStyle w:val="BookText"/>
        <w:rPr/>
      </w:pPr>
      <w:r>
        <w:rPr>
          <w:rFonts w:ascii="Amiri" w:hAnsi="Amiri" w:eastAsia="Amiri" w:cs="Amiri"/>
          <w:color w:val="111111"/>
          <w:sz w:val="28"/>
          <w:sz w:val="28"/>
          <w:szCs w:val="28"/>
          <w:rtl w:val="true"/>
          <w:lang w:bidi="ar-SA"/>
        </w:rPr>
        <w:t xml:space="preserve">أولا ، كما عليه بعض من عنهما تأخّر ، كما في المدارك والذخيرة </w:t>
      </w:r>
      <w:r>
        <w:rPr>
          <w:rStyle w:val="FootnoteAnchor"/>
          <w:rtl w:val="true"/>
        </w:rPr>
        <w:footnoteReference w:id="11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ومنع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بكون الأحداث نواقض لهذا الغسل أيضا لم تفد الإعادة ، لأنّ الثابت من النصوص هو الغسل للإحرام ، لا الإحرام مع الغسل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w:t>
      </w:r>
    </w:p>
    <w:p>
      <w:pPr>
        <w:pStyle w:val="BookText"/>
        <w:rPr/>
      </w:pPr>
      <w:r>
        <w:rPr>
          <w:rFonts w:ascii="Amiri" w:hAnsi="Amiri" w:eastAsia="Amiri" w:cs="Amiri"/>
          <w:color w:val="111111"/>
          <w:sz w:val="28"/>
          <w:sz w:val="28"/>
          <w:szCs w:val="28"/>
          <w:rtl w:val="true"/>
          <w:lang w:bidi="ar-SA"/>
        </w:rPr>
        <w:t xml:space="preserve">العقيق من قبل العراق أو إلى الوقت من هذه المواقيت وأنت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 الغسل هو الميقات ، كما صرّح به جمع من الأصحاب </w:t>
      </w:r>
      <w:r>
        <w:rPr>
          <w:rStyle w:val="FootnoteAnchor"/>
          <w:rtl w:val="true"/>
        </w:rPr>
        <w:footnoteReference w:id="1133"/>
      </w:r>
      <w:r>
        <w:rPr>
          <w:rFonts w:ascii="Amiri" w:hAnsi="Amiri" w:eastAsia="Amiri" w:cs="Amiri"/>
          <w:color w:val="111111"/>
          <w:sz w:val="28"/>
          <w:sz w:val="28"/>
          <w:szCs w:val="28"/>
          <w:rtl w:val="true"/>
          <w:lang w:bidi="ar-SA"/>
        </w:rPr>
        <w:t xml:space="preserve">أيضا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المتبادر من النصّ والفتوى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يجوز تقديمه عليه مع خوف عوز الماء في الميقات ، وفاقا للشيخ وأتباعه ، كما عن التنقيح </w:t>
      </w:r>
      <w:r>
        <w:rPr>
          <w:rStyle w:val="FootnoteAnchor"/>
          <w:rtl w:val="true"/>
        </w:rPr>
        <w:footnoteReference w:id="1134"/>
      </w:r>
      <w:r>
        <w:rPr>
          <w:rFonts w:ascii="Amiri" w:hAnsi="Amiri" w:eastAsia="Amiri" w:cs="Amiri"/>
          <w:color w:val="111111"/>
          <w:sz w:val="28"/>
          <w:sz w:val="28"/>
          <w:szCs w:val="28"/>
          <w:rtl w:val="true"/>
          <w:lang w:bidi="ar-SA"/>
        </w:rPr>
        <w:t xml:space="preserve">، بل لعامّة المتأخّرين أيضا كما قيل </w:t>
      </w:r>
      <w:r>
        <w:rPr>
          <w:rStyle w:val="FootnoteAnchor"/>
          <w:rtl w:val="true"/>
        </w:rPr>
        <w:footnoteReference w:id="1135"/>
      </w:r>
      <w:r>
        <w:rPr>
          <w:rFonts w:ascii="Amiri" w:hAnsi="Amiri" w:eastAsia="Amiri" w:cs="Amiri"/>
          <w:color w:val="111111"/>
          <w:sz w:val="28"/>
          <w:sz w:val="28"/>
          <w:szCs w:val="28"/>
          <w:rtl w:val="true"/>
          <w:lang w:bidi="ar-SA"/>
        </w:rPr>
        <w:t xml:space="preserve">، بل بلا خلاف يعلم كما في الذخيرة </w:t>
      </w:r>
      <w:r>
        <w:rPr>
          <w:rStyle w:val="FootnoteAnchor"/>
          <w:rtl w:val="true"/>
        </w:rPr>
        <w:footnoteReference w:id="1136"/>
      </w:r>
      <w:r>
        <w:rPr>
          <w:rFonts w:ascii="Amiri" w:hAnsi="Amiri" w:eastAsia="Amiri" w:cs="Amiri"/>
          <w:color w:val="111111"/>
          <w:sz w:val="28"/>
          <w:sz w:val="28"/>
          <w:szCs w:val="28"/>
          <w:rtl w:val="true"/>
          <w:lang w:bidi="ar-SA"/>
        </w:rPr>
        <w:t xml:space="preserve">، بل بالإجماع كما في المدارك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 بالمدينة وتجهّز بكلّ ما تريد واغتسل ، وإن شئت استمتعت بقميصك حتى تأتي مسجد الشجرة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لإحرامه ، أيجزئه ذلك من غسل ذي الحليفة؟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اغتسلوا بالمدينة ، فإنّي أخاف أن يعزّ عليكم الماء بذي الحليفة ، فاغتسلوا بالمدينة والبسوا ثيابكم التي تحرمون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ومقتضى الأولين جواز التقديم مطلقا وإن لم يخف عوز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جماعة من متأخّري أصحابنا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 وظهور عدم قائل به من التنقيح </w:t>
      </w:r>
      <w:r>
        <w:rPr>
          <w:rStyle w:val="FootnoteAnchor"/>
          <w:rtl w:val="true"/>
        </w:rPr>
        <w:footnoteReference w:id="1142"/>
      </w:r>
      <w:r>
        <w:rPr>
          <w:rFonts w:ascii="Amiri" w:hAnsi="Amiri" w:eastAsia="Amiri" w:cs="Amiri"/>
          <w:color w:val="111111"/>
          <w:sz w:val="28"/>
          <w:sz w:val="28"/>
          <w:szCs w:val="28"/>
          <w:rtl w:val="true"/>
          <w:lang w:bidi="ar-SA"/>
        </w:rPr>
        <w:t>لا يضرّ ، لعدم ثبوت الإجماع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تستحبّ الإعادة لو وجد الماء في الميقات أم لا؟</w:t>
      </w:r>
    </w:p>
    <w:p>
      <w:pPr>
        <w:pStyle w:val="BookText"/>
        <w:rPr/>
      </w:pPr>
      <w:r>
        <w:rPr>
          <w:rFonts w:ascii="Amiri" w:hAnsi="Amiri" w:eastAsia="Amiri" w:cs="Amiri"/>
          <w:color w:val="111111"/>
          <w:sz w:val="28"/>
          <w:sz w:val="28"/>
          <w:szCs w:val="28"/>
          <w:rtl w:val="true"/>
          <w:lang w:bidi="ar-SA"/>
        </w:rPr>
        <w:t xml:space="preserve">فيه قولان ، الأقرب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واستدل للأول بذيل 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عليكم أن تغتسلوا إن وجدتم ماء إذا بلغتم ذا الحليفة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نفي البأس غير الاستحباب ، إلاّ أن يتمّم بأنّه إذا لم يكن به بأس كان راجحا لكونه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تقدير البأس ، بل الظاهر منه نفي أصل الغسل ، أي ليس عليكم الغسل ، فهو لدليل الثاني أقرب وأشبه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غسل النهار ليومه والليل لليلته ما لم ينم بلا خلاف ، للمستفيضة من النصوص </w:t>
      </w:r>
      <w:r>
        <w:rPr>
          <w:rStyle w:val="FootnoteAnchor"/>
          <w:rtl w:val="true"/>
        </w:rPr>
        <w:footnoteReference w:id="1144"/>
      </w:r>
      <w:r>
        <w:rPr>
          <w:rFonts w:ascii="Amiri" w:hAnsi="Amiri" w:eastAsia="Amiri" w:cs="Amiri"/>
          <w:color w:val="111111"/>
          <w:sz w:val="28"/>
          <w:sz w:val="28"/>
          <w:szCs w:val="28"/>
          <w:rtl w:val="true"/>
          <w:lang w:bidi="ar-SA"/>
        </w:rPr>
        <w:t xml:space="preserve">، بل المستفاد من بعضها كفاية غسل الليل لليوم واليوم لليل ، وأفتى به جماعة أيضا </w:t>
      </w:r>
      <w:r>
        <w:rPr>
          <w:rStyle w:val="FootnoteAnchor"/>
          <w:rtl w:val="true"/>
        </w:rPr>
        <w:footnoteReference w:id="1145"/>
      </w:r>
      <w:r>
        <w:rPr>
          <w:rFonts w:ascii="Amiri" w:hAnsi="Amiri" w:eastAsia="Amiri" w:cs="Amiri"/>
          <w:color w:val="111111"/>
          <w:sz w:val="28"/>
          <w:sz w:val="28"/>
          <w:szCs w:val="28"/>
          <w:rtl w:val="true"/>
          <w:lang w:bidi="ar-SA"/>
        </w:rPr>
        <w:t xml:space="preserve">، ولا بأس به ، وإن كان الأفضل في الأخير الإعادة ، لبعض الأخبار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بغير غسل أو صلاة ، أعاد الإحرام بعد تداركهما </w:t>
      </w:r>
    </w:p>
    <w:p>
      <w:pPr>
        <w:pStyle w:val="BookText"/>
        <w:rPr/>
      </w:pPr>
      <w:r>
        <w:rPr>
          <w:rFonts w:ascii="Amiri" w:hAnsi="Amiri" w:eastAsia="Amiri" w:cs="Amiri"/>
          <w:color w:val="111111"/>
          <w:sz w:val="28"/>
          <w:sz w:val="28"/>
          <w:szCs w:val="28"/>
          <w:rtl w:val="true"/>
          <w:lang w:bidi="ar-SA"/>
        </w:rPr>
        <w:t xml:space="preserve">استحبابا على الأظهر الأشهر ، لصحيحة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بغير صلاة أو بغير غسل جاهلا أو عامدا ، ما عليه في ذلك؟ وكيف ينبغي أن يصنع؟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لمن حكي عنه الوجوب </w:t>
      </w:r>
      <w:r>
        <w:rPr>
          <w:rStyle w:val="FootnoteAnchor"/>
          <w:rtl w:val="true"/>
        </w:rPr>
        <w:footnoteReference w:id="1148"/>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ناهض </w:t>
      </w:r>
      <w:r>
        <w:rPr>
          <w:rStyle w:val="FootnoteAnchor"/>
          <w:rtl w:val="true"/>
        </w:rPr>
        <w:footnoteReference w:id="1149"/>
      </w:r>
      <w:r>
        <w:rPr>
          <w:rFonts w:ascii="Amiri" w:hAnsi="Amiri" w:eastAsia="Amiri" w:cs="Amiri"/>
          <w:color w:val="111111"/>
          <w:sz w:val="28"/>
          <w:sz w:val="28"/>
          <w:szCs w:val="28"/>
          <w:rtl w:val="true"/>
          <w:lang w:bidi="ar-SA"/>
        </w:rPr>
        <w:t>لإثباته ، للجملة الخبريّة ، ويؤيّده ظهور السؤال في الاستحباب ، فكذا الجواب ليتمّ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وللحلّي ، فأنكر الاستحباب أيضا </w:t>
      </w:r>
      <w:r>
        <w:rPr>
          <w:rStyle w:val="FootnoteAnchor"/>
          <w:rtl w:val="true"/>
        </w:rPr>
        <w:footnoteReference w:id="1150"/>
      </w:r>
      <w:r>
        <w:rPr>
          <w:rFonts w:ascii="Amiri" w:hAnsi="Amiri" w:eastAsia="Amiri" w:cs="Amiri"/>
          <w:color w:val="111111"/>
          <w:sz w:val="28"/>
          <w:sz w:val="28"/>
          <w:szCs w:val="28"/>
          <w:rtl w:val="true"/>
          <w:lang w:bidi="ar-SA"/>
        </w:rPr>
        <w:t>، ولعلّه للأصل ، بناء على أصله في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الإحرام الأول فيكون المعتبر منه هو الثاني؟ أم لا ، فيكون المعتبر هو الأول؟</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لعدم دليل على بطلان الأول أو إبطاله ، ولاستصحابه ، ولمطلقات وجوب الكفّارة لمن ارتكب ما فيه الكفّارة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بالأول </w:t>
      </w:r>
      <w:r>
        <w:rPr>
          <w:rStyle w:val="FootnoteAnchor"/>
          <w:rtl w:val="true"/>
        </w:rPr>
        <w:footnoteReference w:id="1151"/>
      </w:r>
      <w:r>
        <w:rPr>
          <w:rFonts w:ascii="Amiri" w:hAnsi="Amiri" w:eastAsia="Amiri" w:cs="Amiri"/>
          <w:color w:val="111111"/>
          <w:sz w:val="28"/>
          <w:sz w:val="28"/>
          <w:szCs w:val="28"/>
          <w:rtl w:val="true"/>
          <w:lang w:bidi="ar-SA"/>
        </w:rPr>
        <w:t>، لتبادره من الإعادة عرفا ، وتصريح الأصوليين بأنّها عبارة عن الإتيان بالشي‌ء ثانيا بعد الإتيان به أولا لوقوعه على نوع خلل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انفهام ذلك عرفا ، والخلل الواقع في تصريح الأصوليين أعمّ من المبطل ، ولو سلّم فلا نسلّم كونه كذلك في عرف الشارع واللغة ، </w:t>
      </w:r>
    </w:p>
    <w:p>
      <w:pPr>
        <w:pStyle w:val="BookText"/>
        <w:rPr/>
      </w:pPr>
      <w:r>
        <w:rPr>
          <w:rFonts w:ascii="Amiri" w:hAnsi="Amiri" w:eastAsia="Amiri" w:cs="Amiri"/>
          <w:color w:val="111111"/>
          <w:sz w:val="28"/>
          <w:sz w:val="28"/>
          <w:szCs w:val="28"/>
          <w:rtl w:val="true"/>
          <w:lang w:bidi="ar-SA"/>
        </w:rPr>
        <w:t>بل وردت الإعادة في كثير من المواقع التي لم يبطل فيها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تظهر ثمرة الخلاف في وجوب الكفارة للمتخلّل بين الإحرامين ، واحتساب الشهر بين العمرتين ، والعدول إلى عمرة التمتّع لو وقع الثاني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إحرامه عقيب الصلاة ، ولا خلاف في رجحانه ، بل هو إجماع مقطوع به ، وتدلّ عليه معه المستفيضة من الصحاح وغيرها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أنّه على الاستحباب ، والأصل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الإسكافي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وظاهر أكثر الأخبار معه ، إلاّ أنّ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مخالفته للإجماع المحقّق بالحدس ، لعدم قدح مخالفة النادر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 أمر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الأخبار المتضمّنة لما ظاهره الوجوب واردة على أمر لا يقول أحد بوجوبه بخصوصه من فريضة مخصوصة أو نافلة كذلك ، بل لا يخلو شي‌ء من الخصوصيات من معارض من النصوص ، فبعضها أمر بما بعد المكتوبة ، وآخر بما بعد ستّ ركعات ، وثالث بالأربع ، ورابع باثنتين ، مع أنّه صرّح في آخر رواية عمر بن يزيد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 لك أن تحرم في دبر فريضة أو دبر نافلة أو ليل أو نهار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إثبات وجوب شي‌ء ، بل يرجع فيه إلى الأصل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يكون بعد الصلاة المكتوبة ، أي الخمس </w:t>
      </w:r>
    </w:p>
    <w:p>
      <w:pPr>
        <w:pStyle w:val="BookText"/>
        <w:rPr/>
      </w:pPr>
      <w:r>
        <w:rPr>
          <w:rFonts w:ascii="Amiri" w:hAnsi="Amiri" w:eastAsia="Amiri" w:cs="Amiri"/>
          <w:color w:val="111111"/>
          <w:sz w:val="28"/>
          <w:sz w:val="28"/>
          <w:szCs w:val="28"/>
          <w:rtl w:val="true"/>
          <w:lang w:bidi="ar-SA"/>
        </w:rPr>
        <w:t xml:space="preserve">اليوميّة </w:t>
      </w:r>
      <w:r>
        <w:rPr>
          <w:rStyle w:val="FootnoteAnchor"/>
          <w:rtl w:val="true"/>
        </w:rPr>
        <w:footnoteReference w:id="1155"/>
      </w:r>
      <w:r>
        <w:rPr>
          <w:rFonts w:ascii="Amiri" w:hAnsi="Amiri" w:eastAsia="Amiri" w:cs="Amiri"/>
          <w:color w:val="111111"/>
          <w:sz w:val="28"/>
          <w:sz w:val="28"/>
          <w:szCs w:val="28"/>
          <w:rtl w:val="true"/>
          <w:lang w:bidi="ar-SA"/>
        </w:rPr>
        <w:t>، ومنها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للأول بصحيحة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إحرام إلاّ في دبر صلاة مكتوبة أحرمت في دبرها بعد التسليم ، وإن كانت نافلة صلّيت ركعتين وأحرمت في دبرهما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المكتوبة ، ثم أحرم بالحجّ أو المتعة ، واخرج بغير تلبية حتى تصعد إلى أول البيداء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الإحرام في غير وقت صلاة الفريضة فصلّ ركعتين ثم أحرم في دبرها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أحرم في دبر صلاة غير مكتوبة أكان يجزئه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ذا الحليفة أو بعض الأوقات بعد صلاة العصر أو في غير وقت 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ينتظر حتى تكون الساعة التي يصلّي فيها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بعض المواقيت بعد العصر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جمّاله أن يقيم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يخالف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يتطوّع بعد العصر؟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ولكن أكرهه للشهرة ، وتأخير ذلك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أصلّي إذا تطوّعت؟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بالتأسّي بالنبيّ صلی اللّه عليه وآله ، حيث إنّه أحرم بعد صلاة الظهر ، كما في صحيحة الحلبي </w:t>
      </w:r>
      <w:r>
        <w:rPr>
          <w:rStyle w:val="FootnoteAnchor"/>
          <w:rtl w:val="true"/>
        </w:rPr>
        <w:footnoteReference w:id="1162"/>
      </w:r>
      <w:r>
        <w:rPr>
          <w:rFonts w:ascii="Amiri" w:hAnsi="Amiri" w:eastAsia="Amiri" w:cs="Amiri"/>
          <w:color w:val="111111"/>
          <w:sz w:val="28"/>
          <w:sz w:val="28"/>
          <w:szCs w:val="28"/>
          <w:rtl w:val="true"/>
          <w:lang w:bidi="ar-SA"/>
        </w:rPr>
        <w:t xml:space="preserve">وغيرها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وبصحيحة أخرى للحلبي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يضرّك بليل أحرمت أو نهار ، إلاّ أنّ أفضل ذلك عند زوال الشمس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التروية إن شاء اللّه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 ركعتين في مقام إبراهيم أو في الحجر ، ثم اقعد حتى تزول الشمس فصلّ المكتوبة ، ثم قل في دبر صلاتك كما قلت حين أحرمت من الشجرة ، وأحرم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أدلّة الأول بعدم دلالة الأخيرة ، لجواز أن تكون أولوية التأخير إلى وقت الفريضة ، لما ذكره فيها من كون التطوّع حينئذ موجبا للشهرة ومحلاّ للتقيّة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دلالة ما قبلها أيضا ، مضافا إلى احتمال أن يكون </w:t>
      </w:r>
    </w:p>
    <w:p>
      <w:pPr>
        <w:pStyle w:val="BookText"/>
        <w:rPr/>
      </w:pPr>
      <w:r>
        <w:rPr>
          <w:rFonts w:ascii="Amiri" w:hAnsi="Amiri" w:eastAsia="Amiri" w:cs="Amiri"/>
          <w:color w:val="111111"/>
          <w:sz w:val="28"/>
          <w:sz w:val="28"/>
          <w:szCs w:val="28"/>
          <w:rtl w:val="true"/>
          <w:lang w:bidi="ar-SA"/>
        </w:rPr>
        <w:t>المراد بوقت الصلاة فيها أعمّ من وقت الفريضة والتطوّع ، أي الوقت الذي لا يكره فيه التطوّع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اللتين ما قبلهما ، فإنّه لا دلالة لهما على أفضليّة وقت الفريضة وما بعدها ، وإن كان سؤال السائل في أوليهما يشعر بذلك ، ولكنّه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تبق إلاّ الأوليين ، وثانيهما لا تفيد العموم ، لأنّها مخصوصة بغير إحرام المتمتّع للحجّ في مكّة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تصعد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أوليهما كما يظهر من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معارضتان بما يأتي من الأخبار الدالّة على أفضليّة إحرام المتمتّع للحجّ يوم التروية ، وعلى أفضليّة إيقاع صلاة الظهر مطلقا أو للإمام في منى ، فالتعميم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أدلّة الثاني من التعميم ، مع كون إحرام الرسول بعد صلاة الظهر في غير مكّة ، كما يظهر من الصحيحة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ما في التمسّك بالتأسّي من المعارضة بصحيحة الحلبي المتضمّنة لإحرام رسول اللّه صلی اللّه عليه وآله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متى ترى أن نحرم؟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عليكم ، إنّما أحرم رسول اللّه صلی اللّه عليه وآله صلاة الظهر ، لأنّ الماء كان قليلا ، كأن يكون في رءوس الجبال فيهجر الرجل إلى مثل ذلك في الغد ولا يكاد يقدرون على الماء ، وإنّما أحدثت هذه المياه حديثا </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تدلّ على التسوية بالنسبة إلينا ، والحمل على التسوية في </w:t>
      </w:r>
    </w:p>
    <w:p>
      <w:pPr>
        <w:pStyle w:val="BookText"/>
        <w:rPr/>
      </w:pPr>
      <w:r>
        <w:rPr>
          <w:rFonts w:ascii="IRNazanin" w:hAnsi="IRNazanin" w:eastAsia="IRNazanin"/>
          <w:color w:val="111111"/>
          <w:sz w:val="28"/>
          <w:sz w:val="28"/>
          <w:szCs w:val="28"/>
          <w:rtl w:val="true"/>
          <w:lang w:bidi="fa-IR"/>
        </w:rPr>
        <w:t>الإجزاء دون الفضيلة خلاف الظاهر ، مع أنّه كان لرسول اللّه صلی اللّه عليه وآله أيضا مساويا في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ما في التمسّك بالصحيحة الأخرى </w:t>
      </w:r>
      <w:r>
        <w:rPr>
          <w:rStyle w:val="FootnoteAnchor"/>
          <w:rtl w:val="true"/>
        </w:rPr>
        <w:footnoteReference w:id="1168"/>
      </w:r>
      <w:r>
        <w:rPr>
          <w:rFonts w:ascii="Amiri" w:hAnsi="Amiri" w:eastAsia="Amiri" w:cs="Amiri"/>
          <w:color w:val="111111"/>
          <w:sz w:val="28"/>
          <w:sz w:val="28"/>
          <w:szCs w:val="28"/>
          <w:rtl w:val="true"/>
          <w:lang w:bidi="ar-SA"/>
        </w:rPr>
        <w:t>من أنّها إنّما تدلّ على الأفضليّة عند الزوال لا بعد صلاة الظهر ، إلاّ أن ينضمّ معه ما مرّ من الأفضليّة بعد الفريضة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وإن ثبتت الأفضليّة بعد صلاة الظهر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ذلك حمل التسوية في الأولى على ما قيل من الإجزاء ، أو على محمل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يعارض عمومها ما أشير إليه من أخبار أفضليّة صلاة الظهر للمتمتّع بمنى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فالظاهر ما ذكروه ، ولكن في غير إحرام الحجّ للمتمتّع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يكن وقت فريضة وأراد الإحرام ، يستحبّ أن يصلّي صلاة الإحرام ، وهي 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للإحرام ستّ ركعات تحرم في دبرها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ائت المسجد الحرام فصلّ فيه ستّ ركعات قبل أن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والأقلّ منها أربع ، لرواية إدريس المتقدّمة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والأقلّ منها ركعتان ، </w:t>
      </w:r>
    </w:p>
    <w:p>
      <w:pPr>
        <w:pStyle w:val="BookText"/>
        <w:rPr/>
      </w:pPr>
      <w:r>
        <w:rPr>
          <w:rFonts w:ascii="Amiri" w:hAnsi="Amiri" w:eastAsia="Amiri" w:cs="Amiri"/>
          <w:color w:val="111111"/>
          <w:sz w:val="28"/>
          <w:sz w:val="28"/>
          <w:szCs w:val="28"/>
          <w:rtl w:val="true"/>
          <w:lang w:bidi="ar-SA"/>
        </w:rPr>
        <w:t xml:space="preserve">للصحاح الثلاث المتقدّمة لابن عمّار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وظاهر الأخبار </w:t>
      </w:r>
      <w:r>
        <w:rPr>
          <w:rStyle w:val="FootnoteAnchor"/>
          <w:rtl w:val="true"/>
        </w:rPr>
        <w:footnoteReference w:id="1174"/>
      </w:r>
      <w:r>
        <w:rPr>
          <w:rFonts w:ascii="Amiri" w:hAnsi="Amiri" w:eastAsia="Amiri" w:cs="Amiri"/>
          <w:color w:val="111111"/>
          <w:sz w:val="28"/>
          <w:sz w:val="28"/>
          <w:szCs w:val="28"/>
          <w:rtl w:val="true"/>
          <w:lang w:bidi="ar-SA"/>
        </w:rPr>
        <w:t xml:space="preserve">استحباب صلاة الإحرام مطلقا ، سواء كانت الستّ أو الأقلّ ولو أحرم بعد الفريضة أيضا ، كما نسب إلى ظاهر أكثر الأصحاب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يقدّم صلاة الإحرام مع عدم ضيق وقت الفريضة ، أو يعكس؟</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وهو الأظهر ، لصحيحة ابن عمّار الأخيرة </w:t>
      </w:r>
      <w:r>
        <w:rPr>
          <w:rStyle w:val="FootnoteAnchor"/>
          <w:rtl w:val="true"/>
        </w:rPr>
        <w:footnoteReference w:id="1177"/>
      </w:r>
      <w:r>
        <w:rPr>
          <w:rFonts w:ascii="Amiri" w:hAnsi="Amiri" w:eastAsia="Amiri" w:cs="Amiri"/>
          <w:color w:val="111111"/>
          <w:sz w:val="28"/>
          <w:sz w:val="28"/>
          <w:szCs w:val="28"/>
          <w:rtl w:val="true"/>
          <w:lang w:bidi="ar-SA"/>
        </w:rPr>
        <w:t xml:space="preserve">، المصرّحة بتقديم الركعتين في المقام أو الحجر ، 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بالشهرة المحكية ، بل المحقّقة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كان وقت فريضة فصلّ هذه الركعات قبل الفريضة ثم صلّ الفريضة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الجمل والعقود والمهذّب والإشارة والوسيلة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نافلة في وقت فريضة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يقع الإحرام دبر صلاته ، فإنّ المتبادر منه التعقيب بلا فاصلة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موضعه من جواز النافلة في وقت </w:t>
      </w:r>
    </w:p>
    <w:p>
      <w:pPr>
        <w:pStyle w:val="BookText"/>
        <w:rPr/>
      </w:pPr>
      <w:r>
        <w:rPr>
          <w:rFonts w:ascii="Amiri" w:hAnsi="Amiri" w:eastAsia="Amiri" w:cs="Amiri"/>
          <w:color w:val="111111"/>
          <w:sz w:val="28"/>
          <w:sz w:val="28"/>
          <w:szCs w:val="28"/>
          <w:rtl w:val="true"/>
          <w:lang w:bidi="ar-SA"/>
        </w:rPr>
        <w:t xml:space="preserve">الفريضة ، خصوصا مع خصوصيّة دليل تقديم صلاة الإحرام ، وتصريح بعض الأخبار من أنّها من الصلوات التي تصلّى في كلّ وقت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بما دلّ على أفضليّة إيقاعه دبر الفريضة مع أصحيّته وأكثريته ، فيحمل الدبر في القسمين على المعنى الأعم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يقرأ في أولى ركعات الإحرام بالحمد والتوحيد ، وفي الثانية بالحمد والجحد ، للتصريح به في بعض الصحاح </w:t>
      </w:r>
      <w:r>
        <w:rPr>
          <w:rStyle w:val="FootnoteAnchor"/>
          <w:rtl w:val="true"/>
        </w:rPr>
        <w:footnoteReference w:id="1182"/>
      </w:r>
      <w:r>
        <w:rPr>
          <w:rFonts w:ascii="Amiri" w:hAnsi="Amiri" w:eastAsia="Amiri" w:cs="Amiri"/>
          <w:color w:val="111111"/>
          <w:sz w:val="28"/>
          <w:sz w:val="28"/>
          <w:szCs w:val="28"/>
          <w:rtl w:val="true"/>
          <w:lang w:bidi="ar-SA"/>
        </w:rPr>
        <w:t xml:space="preserve">، وهو وإن لم يفد ذلك الترتيب إلاّ بحسب الترتيب الذكري الذي هو في الإفادة قاصر ، إلاّ أنّه يستفاد الترتيب من المرسلة المرويّة في الكافي والتهذيب ، المذكورة بعد الصحيح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هذا كلّه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اللّه أحد ، وفي الركعة الثانية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 إلاّ في الركعتين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0" w:name="pg11651_107881"/>
    </w:p>
    <w:p>
      <w:pPr>
        <w:pStyle w:val="Heading6"/>
        <w:numPr>
          <w:ilvl w:val="5"/>
          <w:numId w:val="1"/>
        </w:numPr>
        <w:rPr/>
      </w:pPr>
      <w:bookmarkStart w:id="171" w:name="__RefHeading___Toc6172032_73709187"/>
      <w:bookmarkStart w:id="172" w:name="_Toc63"/>
      <w:bookmarkEnd w:id="170"/>
      <w:bookmarkEnd w:id="171"/>
      <w:r>
        <w:rPr>
          <w:rtl w:val="true"/>
        </w:rPr>
        <w:t xml:space="preserve">البحث الثاني </w:t>
      </w:r>
      <w:r>
        <w:rPr>
          <w:rtl w:val="true"/>
        </w:rPr>
        <w:t xml:space="preserve">: </w:t>
      </w:r>
      <w:r>
        <w:rPr>
          <w:rtl w:val="true"/>
        </w:rPr>
        <w:t>في واجباته</w:t>
      </w:r>
      <w:bookmarkEnd w:id="172"/>
    </w:p>
    <w:p>
      <w:pPr>
        <w:pStyle w:val="Heading6"/>
        <w:numPr>
          <w:ilvl w:val="5"/>
          <w:numId w:val="1"/>
        </w:numPr>
        <w:rPr/>
      </w:pPr>
      <w:bookmarkStart w:id="173" w:name="__RefHeading___Toc6172034_73709187"/>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172036_73709187"/>
      <w:bookmarkStart w:id="176" w:name="_Toc65"/>
      <w:bookmarkEnd w:id="175"/>
      <w:r>
        <w:rPr>
          <w:rtl w:val="true"/>
        </w:rPr>
        <w:t xml:space="preserve">الأول </w:t>
      </w:r>
      <w:r>
        <w:rPr>
          <w:rtl w:val="true"/>
        </w:rPr>
        <w:t xml:space="preserve">: </w:t>
      </w:r>
      <w:r>
        <w:rPr>
          <w:rtl w:val="true"/>
        </w:rPr>
        <w:t>النيّة</w:t>
      </w:r>
      <w:bookmarkEnd w:id="176"/>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فيها قصد الفعل والقربة ، بلا خلاف ولا إشكال ، وظهر وجهه في كتاب الطهارة والصلاة ، وكذا قصد المميّز إن أمكن وقوع الفعل على وجوه ، كالأصالة ، والنيابة ، والندب ، والوجوب ، إذا لم يكن مميّز خارجي ، كما إذا كانت عليه نيابة موسّعة أو واجب موسّع ، إذ مع الضيق لا يمكن وقوع الفعل إلاّ على تلك الجهة ، فيكون هو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لزوم قصد حجّة الإسلام ، إذ مع وجوبها لا يمكن وقوع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قصد الجنس من الحجّ والعمرة ، والنوع من التمتّع أو 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لتوقّف التميّز عليه ، لحصوله بما ينضمّ إليه من باقي النسك ، وعدم وجوب التميّز الابتدائي ، كما مرّ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التميّز هنا أيضا ، لأنّ النسكين في الحقيقة غايتان للإحرام غير داخلين في حقيقته ، ولا يشترط تعيين الغاية ، لعدم اختلاف حقيقة الفعل ولا آثاره ولا لوازمه باختلاف الغايات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غير جيّد ، لمنع كون الإحرام خارجا عن النسكين مأمورا به </w:t>
      </w:r>
    </w:p>
    <w:p>
      <w:pPr>
        <w:pStyle w:val="BookText"/>
        <w:rPr/>
      </w:pPr>
      <w:r>
        <w:rPr>
          <w:rFonts w:ascii="Amiri" w:hAnsi="Amiri" w:eastAsia="Amiri" w:cs="Amiri"/>
          <w:color w:val="111111"/>
          <w:sz w:val="28"/>
          <w:sz w:val="28"/>
          <w:szCs w:val="28"/>
          <w:rtl w:val="true"/>
          <w:lang w:bidi="ar-SA"/>
        </w:rPr>
        <w:t>بأمر أصلي على حدة ، فيكونا غايتين له ، بل هو جزء من كلّ منهما مأمورا به بتبعية الأمر بهما ، مضافا إلى منع عدم اختلاف الآثار واللوازم باختلاف الغايات ، فيمكن أن يكون لإحرام الحجّ أجر ولإحرام العمرة أجر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للصحاح وغيرها من المستفيضة المتقدّمة </w:t>
      </w:r>
      <w:r>
        <w:rPr>
          <w:rStyle w:val="FootnoteAnchor"/>
          <w:rtl w:val="true"/>
        </w:rPr>
        <w:footnoteReference w:id="1184"/>
      </w:r>
      <w:r>
        <w:rPr>
          <w:rFonts w:ascii="Amiri" w:hAnsi="Amiri" w:eastAsia="Amiri" w:cs="Amiri"/>
          <w:color w:val="111111"/>
          <w:sz w:val="28"/>
          <w:sz w:val="28"/>
          <w:szCs w:val="28"/>
          <w:rtl w:val="true"/>
          <w:lang w:bidi="ar-SA"/>
        </w:rPr>
        <w:t xml:space="preserve">في بيان خصائص التمتّع ، المصرّحة بوجوب قصد المتعة المسرية إلى سائر الأنواع بعدم القول بالفصل ، المعتضدة بأخبار دعاء حال الإحرام </w:t>
      </w:r>
      <w:r>
        <w:rPr>
          <w:rStyle w:val="FootnoteAnchor"/>
          <w:rtl w:val="true"/>
        </w:rPr>
        <w:footnoteReference w:id="1185"/>
      </w:r>
      <w:r>
        <w:rPr>
          <w:rFonts w:ascii="Amiri" w:hAnsi="Amiri" w:eastAsia="Amiri" w:cs="Amiri"/>
          <w:color w:val="111111"/>
          <w:sz w:val="28"/>
          <w:sz w:val="28"/>
          <w:szCs w:val="28"/>
          <w:rtl w:val="true"/>
          <w:lang w:bidi="ar-SA"/>
        </w:rPr>
        <w:t>، المتضمّنة لتعيينه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نوعا ونطق بغيره عمدا أو سهوا فالمعتبر المنوي ، لأنّ النيّة أمر قلبي ولا اعتبار بالنطق ، وصرّح به في بعض الصحاح </w:t>
      </w:r>
      <w:r>
        <w:rPr>
          <w:rStyle w:val="FootnoteAnchor"/>
          <w:rtl w:val="true"/>
        </w:rPr>
        <w:footnoteReference w:id="118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أخلّ بالنيّة عمدا أو سهوا لم يصحّ إحرامه ، بلا خلاف فيه بين علمائنا كما في المدارك </w:t>
      </w:r>
      <w:r>
        <w:rPr>
          <w:rStyle w:val="FootnoteAnchor"/>
          <w:rtl w:val="true"/>
        </w:rPr>
        <w:footnoteReference w:id="1187"/>
      </w:r>
      <w:r>
        <w:rPr>
          <w:rFonts w:ascii="Amiri" w:hAnsi="Amiri" w:eastAsia="Amiri" w:cs="Amiri"/>
          <w:color w:val="111111"/>
          <w:sz w:val="28"/>
          <w:sz w:val="28"/>
          <w:szCs w:val="28"/>
          <w:rtl w:val="true"/>
          <w:lang w:bidi="ar-SA"/>
        </w:rPr>
        <w:t>، لفوات الكلّ أو المشروط بفوات 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المقام على ما هو الموافق لكلام القوم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بالنيّة المذكورة في هذا المقام إن كان نيّة نفس الإحرام ، فإنّا نراهم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الإحرام هنا بمنزلة الإحرام في الصلاة ، وإنّ التلبية هنا قائمة مقام التكبيرة ، ونراهم لا يوجبون نيّة إحرام للصلاة زائدة على نيّة الصلاة ، مع أنّه ورد في الأخبار </w:t>
      </w:r>
      <w:r>
        <w:rPr>
          <w:rStyle w:val="FootnoteAnchor"/>
          <w:rtl w:val="true"/>
        </w:rPr>
        <w:footnoteReference w:id="1188"/>
      </w:r>
      <w:r>
        <w:rPr>
          <w:rFonts w:ascii="Amiri" w:hAnsi="Amiri" w:eastAsia="Amiri" w:cs="Amiri"/>
          <w:color w:val="111111"/>
          <w:sz w:val="28"/>
          <w:sz w:val="28"/>
          <w:szCs w:val="28"/>
          <w:rtl w:val="true"/>
          <w:lang w:bidi="ar-SA"/>
        </w:rPr>
        <w:t>الإحرام بالصلاة متكرّرا كوروده في العمرة والحجّ ، فما وجه 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نيّة أحد النسكين فهو لا يلائم ما ذكروه من نيّة الإحرام زائدة على نيّة التمتّع ، ولا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النسكين غايتان للإحرام ولا يشترط تعيين الغاية في نيّة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مرادهم هو الأول ، فلا دليل على وجوبه واشتراطه أصلا ، والأخبار كلّها واردة في نيّة العمرة أو الحجّ أو المتعة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فعل من أفعال أحد النسكين مأمور به ، فيكون عبادة محتاجة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الإحرام فعل غير التلبّس بأحد النسكين والشروع فيه مطلقا ، أو بما تحرم معه محظورات الحجّ والعمرة من أجزائهما ، فهو لفظ معناه أحد الأمرين ، لا أنّه أمر آخر وجزء مأمور به بنفسه من حيث هو ، ولذا تكفي نيّة الصلاة عن نية إحرامها وتكبيرتها ، مع أنّه أيضا ممّا ورد به الأمر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أو الدخول في أحد النسكين إمّا مطلقا أو مقيّدا بما ذكر ، فنيّته تكفي عن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غسل الإحرام وثوب الإحرام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الدخول في الحجّ ، ومثلا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يجب لبسه في التلبّس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عدم جواز تجاوز الميقات إلاّ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متلبّسا بالحجّ مثلا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مرادهم هو الثاني ، فهو كذلك ، وهو الذي تدلّ عليه الأخبار </w:t>
      </w:r>
      <w:r>
        <w:rPr>
          <w:rStyle w:val="FootnoteAnchor"/>
          <w:rtl w:val="true"/>
        </w:rPr>
        <w:footnoteReference w:id="1189"/>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وأصرح من الجميع صحيحة ابن عمّار الواردة في حجّ النبيّ صلی اللّه عليه وآله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انتهى إلى ذي الحليفة فزالت الشمس اغتسل ، ثم خرج حتى أتى المسجد الذي هو عند الشجرة فصلّى فيه الظهر ، ثم عزم على الحجّ مفردا ، وخرج حتى انتهى إلى البيداء عند الميل الأول ، فصفّ له سماطان ، فلبّى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الواردة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وأحرم الناس كلّهم بالحجّ لا ينوون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يحسن حينئذ جعل أحد النسكين غاية الإحرام ، إلاّ أنّ ذلك شي‌ء قاله بعض متأخّري المتأخّرين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مراد الباقين أيضا من نيّة الإحرام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الحاصل بها الإحرام والدخول في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أن لا يكون المراد منه غير نيّة الحجّ أو العمرة لا يشترط في تلك النيّة غير تصوّر أفعال أحدهما مجملا أو مفصّلا ، ولو اعتبر نيّة الإحرام يعتبر تصوّر معناه وأفعاله ، بل تصوّر محظوراته ولو بالإجمال ، على أن يكون المراد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هذه الأشياء ، أو فعل يحرم معه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نيّة الحجّ أو العمرة فلا يشترط ذلك وإن لزم تحريم هذه الأمور بالدخول في أحدهما ، كما لا يشترط تصوير منافيات الصلاة حال نيّتها ، وإن حرمت بالدخول في الصلاة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 أنّ جعلنا الإحرام فعلا ثم النيّة واللبس والتلبية من </w:t>
      </w:r>
    </w:p>
    <w:p>
      <w:pPr>
        <w:pStyle w:val="BookText"/>
        <w:rPr/>
      </w:pPr>
      <w:r>
        <w:rPr>
          <w:rFonts w:ascii="Amiri" w:hAnsi="Amiri" w:eastAsia="Amiri" w:cs="Amiri"/>
          <w:color w:val="111111"/>
          <w:sz w:val="28"/>
          <w:sz w:val="28"/>
          <w:szCs w:val="28"/>
          <w:rtl w:val="true"/>
          <w:lang w:bidi="ar-SA"/>
        </w:rPr>
        <w:t xml:space="preserve">أفعاله والمحظورات من تروكه إنّما هو جري على الطريقة المجرية عليها ، وإلاّ كان المناسب أن تجعل النيّة من أحد أفعال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واللبس واحدا والتلبية واحدا والطواف واحدا ، إلى آخر الأفعال ، وتجعل المحظورات محظورات المعتمر ، وهكذا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النيّة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يتلفّظ بما يعزم عليه وينويه ، للأخبار المستفيضة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ابن عمّار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انفتلت من صلاتك فاحمد اللّه وأثن عليه وصلّ على النبيّ صلی اللّه عليه وآله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أريد التمتّع بالعمرة إلى الحجّ على كتابك وسنّة نبيّك ، فإن عرض لي شي‌ء يحبسني فحلّني حيث حبستني لقدرك الذي قدّرت عليّ ، اللّهمّ إن لم يكن حجّة فعمرة ، أحرم لك شعري وبشري ولحمي ودمي وعظامي ومخّي وعصبي من النساء والثياب والطيب ، أبتغي بذلك وجهك والدار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ويجزئك أن تقول هذا مرّة واحدة حتى تحرم ، ثم قم فامش هنيهة ، فإذا استوت بك الأرض ماشيا كنت أو راكبا فلبّ </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أتمتّع بالعمرة إلى الحجّ ، كيف أقول؟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أريد أن أتمتّع بالعمرة إلى الحجّ على كتابك وسنّة نبيّك صلی اللّه عليه وآله ، وإن شئت أضمرت التي تريد </w:t>
      </w:r>
      <w:r>
        <w:rPr>
          <w:rFonts w:eastAsia="IRNazanin" w:cs="IRNazanin"/>
          <w:color w:val="111111"/>
          <w:sz w:val="28"/>
          <w:szCs w:val="28"/>
          <w:rtl w:val="true"/>
          <w:lang w:bidi="fa-IR"/>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 ونحوها رواية أبي الصباح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الإحرام والتمتّع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ما أمرت به من التمتّع بالعمرة إلى الحجّ فيسّر ذلك لي وتقبّله منّي وحلّني حيث حبستني لقدرك الذي قدّرت عليّ ، أحرم لك شعري وبشري من النساء والطيب والثياب ، فإن شئت فلبّ حين تنهض ، وإن شئت فأخّره حتى 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استحباب ذلك مخصوص بالحجّ والعمرة ، فإنّ غيرهما من العبادات لا يستحبّ التلفّظ بالمنويّ فيه ، قال بعض شرّاح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الحجّ من بين سائر العبادات باستحباب التلفّظ بما ينوي ويعزم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غير ما يستحبّ زيادته في التلبية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 ونحوه ، وليس هو التلفّظ بما يحرم ، بل هو دعاء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فسّر بعض شرّاح النافع </w:t>
      </w:r>
      <w:r>
        <w:rPr>
          <w:rStyle w:val="FootnoteAnchor"/>
          <w:rtl w:val="true"/>
        </w:rPr>
        <w:footnoteReference w:id="1197"/>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والتلفّظ بما يعزم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يذكر في التلبية ، واستدلّ برواياته ، وليس بجيّد ، ولذا عدّهما في المدارك والمفاتيح </w:t>
      </w:r>
      <w:r>
        <w:rPr>
          <w:rStyle w:val="FootnoteAnchor"/>
          <w:rtl w:val="true"/>
        </w:rPr>
        <w:footnoteReference w:id="1198"/>
      </w:r>
      <w:r>
        <w:rPr>
          <w:rFonts w:ascii="Amiri" w:hAnsi="Amiri" w:eastAsia="Amiri" w:cs="Amiri"/>
          <w:color w:val="111111"/>
          <w:sz w:val="28"/>
          <w:sz w:val="28"/>
          <w:szCs w:val="28"/>
          <w:rtl w:val="true"/>
          <w:lang w:bidi="ar-SA"/>
        </w:rPr>
        <w:t>أمرين ، وذكر الأول في الأخبار المذكورة قبل التلبّي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عند إحرامه أن يحلّه من إحرامه حيث منعه مانع من الإتمام وأن يتمّه عمرة إن لم يتيسّر له حجّة ، ولا خلاف في استحبابه كما صرّح به غير واحد </w:t>
      </w:r>
      <w:r>
        <w:rPr>
          <w:rStyle w:val="FootnoteAnchor"/>
          <w:rtl w:val="true"/>
        </w:rPr>
        <w:footnoteReference w:id="1199"/>
      </w:r>
      <w:r>
        <w:rPr>
          <w:rFonts w:ascii="Amiri" w:hAnsi="Amiri" w:eastAsia="Amiri" w:cs="Amiri"/>
          <w:color w:val="111111"/>
          <w:sz w:val="28"/>
          <w:sz w:val="28"/>
          <w:szCs w:val="28"/>
          <w:rtl w:val="true"/>
          <w:lang w:bidi="ar-SA"/>
        </w:rPr>
        <w:t xml:space="preserve">، بل صرّح جماعة بالإجماع أيضا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7" w:name="pg11651_107887"/>
    </w:p>
    <w:p>
      <w:pPr>
        <w:pStyle w:val="BookText"/>
        <w:rPr/>
      </w:pPr>
      <w:bookmarkEnd w:id="177"/>
      <w:r>
        <w:rPr>
          <w:rFonts w:ascii="Amiri" w:hAnsi="Amiri" w:eastAsia="Amiri" w:cs="Amiri"/>
          <w:color w:val="111111"/>
          <w:sz w:val="28"/>
          <w:sz w:val="28"/>
          <w:szCs w:val="28"/>
          <w:rtl w:val="true"/>
          <w:lang w:bidi="ar-SA"/>
        </w:rPr>
        <w:t xml:space="preserve">وتدلّ عليه الصحاح المستفيضة كما مرّت طائفة منها ، ويتأدّى بكلّ لفظ أفاد المراد عملا بالإطلاق ، كما صرّح به في المنتهى </w:t>
      </w:r>
      <w:r>
        <w:rPr>
          <w:rStyle w:val="FootnoteAnchor"/>
          <w:rtl w:val="true"/>
        </w:rPr>
        <w:footnoteReference w:id="1201"/>
      </w:r>
      <w:r>
        <w:rPr>
          <w:rFonts w:ascii="Amiri" w:hAnsi="Amiri" w:eastAsia="Amiri" w:cs="Amiri"/>
          <w:color w:val="111111"/>
          <w:sz w:val="28"/>
          <w:sz w:val="28"/>
          <w:szCs w:val="28"/>
          <w:rtl w:val="true"/>
          <w:lang w:bidi="ar-SA"/>
        </w:rPr>
        <w:t xml:space="preserve">وغيره </w:t>
      </w:r>
      <w:r>
        <w:rPr>
          <w:rStyle w:val="FootnoteAnchor"/>
          <w:rtl w:val="true"/>
        </w:rPr>
        <w:footnoteReference w:id="1202"/>
      </w:r>
      <w:r>
        <w:rPr>
          <w:rFonts w:ascii="Amiri" w:hAnsi="Amiri" w:eastAsia="Amiri" w:cs="Amiri"/>
          <w:color w:val="111111"/>
          <w:sz w:val="28"/>
          <w:sz w:val="28"/>
          <w:szCs w:val="28"/>
          <w:rtl w:val="true"/>
          <w:lang w:bidi="ar-SA"/>
        </w:rPr>
        <w:t>، وإن كان باللفظ المنقول في إحدى الصحاح المتقدّمة أولى ، ولا يتأدّى المستحبّ بنيّة الاشتراط من دون التلفّظ به ، بل لا اعتداد بها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 فائدة هذا الاشتراط بعد الاتّفاق على أنّه حلّ إذا حبس ، اشترط أو لم يشترط ، كما نطقت به بعض النصوص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قال بأنّها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التحلّل عند الحبس من دون هدي ، وتعجيل التحليل قبل بلوغ الهدي محلّه ، وبأنّها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الحجّ من قابل ، وبأنّها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والتعبّد ، واللّه سبحانه أعلم</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172038_73709187"/>
      <w:bookmarkStart w:id="179" w:name="_Toc66"/>
      <w:bookmarkEnd w:id="178"/>
      <w:r>
        <w:rPr>
          <w:rtl w:val="true"/>
        </w:rPr>
        <w:t xml:space="preserve">الثاني </w:t>
      </w:r>
      <w:r>
        <w:rPr>
          <w:rtl w:val="true"/>
        </w:rPr>
        <w:t xml:space="preserve">: </w:t>
      </w:r>
      <w:r>
        <w:rPr>
          <w:rtl w:val="true"/>
        </w:rPr>
        <w:t>لبس الثوبين</w:t>
      </w:r>
      <w:bookmarkEnd w:id="179"/>
    </w:p>
    <w:p>
      <w:pPr>
        <w:pStyle w:val="Heading6"/>
        <w:numPr>
          <w:ilvl w:val="5"/>
          <w:numId w:val="1"/>
        </w:numPr>
        <w:rPr/>
      </w:pPr>
      <w:bookmarkStart w:id="180" w:name="__RefHeading___Toc6172040_73709187"/>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وهما واجبان بلا خلاف يعلم ، كما في المنتهى والذخيرة والكفاية </w:t>
      </w:r>
      <w:r>
        <w:rPr>
          <w:rStyle w:val="FootnoteAnchor"/>
          <w:rtl w:val="true"/>
        </w:rPr>
        <w:footnoteReference w:id="1204"/>
      </w:r>
      <w:r>
        <w:rPr>
          <w:rFonts w:ascii="Amiri" w:hAnsi="Amiri" w:eastAsia="Amiri" w:cs="Amiri"/>
          <w:color w:val="111111"/>
          <w:sz w:val="28"/>
          <w:sz w:val="28"/>
          <w:szCs w:val="28"/>
          <w:rtl w:val="true"/>
          <w:lang w:bidi="ar-SA"/>
        </w:rPr>
        <w:t xml:space="preserve">، بل هو مقطوع به في كلام الأصحاب ، كما في المدارك </w:t>
      </w:r>
      <w:r>
        <w:rPr>
          <w:rStyle w:val="FootnoteAnchor"/>
          <w:rtl w:val="true"/>
        </w:rPr>
        <w:footnoteReference w:id="1205"/>
      </w:r>
      <w:r>
        <w:rPr>
          <w:rFonts w:ascii="Amiri" w:hAnsi="Amiri" w:eastAsia="Amiri" w:cs="Amiri"/>
          <w:color w:val="111111"/>
          <w:sz w:val="28"/>
          <w:sz w:val="28"/>
          <w:szCs w:val="28"/>
          <w:rtl w:val="true"/>
          <w:lang w:bidi="ar-SA"/>
        </w:rPr>
        <w:t xml:space="preserve">، بل إجماعي ، كما عن التحرير </w:t>
      </w:r>
      <w:r>
        <w:rPr>
          <w:rStyle w:val="FootnoteAnchor"/>
          <w:rtl w:val="true"/>
        </w:rPr>
        <w:footnoteReference w:id="1206"/>
      </w:r>
      <w:r>
        <w:rPr>
          <w:rFonts w:ascii="Amiri" w:hAnsi="Amiri" w:eastAsia="Amiri" w:cs="Amiri"/>
          <w:color w:val="111111"/>
          <w:sz w:val="28"/>
          <w:sz w:val="28"/>
          <w:szCs w:val="28"/>
          <w:rtl w:val="true"/>
          <w:lang w:bidi="ar-SA"/>
        </w:rPr>
        <w:t xml:space="preserve">وفي المفاتيح </w:t>
      </w:r>
      <w:r>
        <w:rPr>
          <w:rStyle w:val="FootnoteAnchor"/>
          <w:rtl w:val="true"/>
        </w:rPr>
        <w:footnoteReference w:id="1207"/>
      </w:r>
      <w:r>
        <w:rPr>
          <w:rFonts w:ascii="Amiri" w:hAnsi="Amiri" w:eastAsia="Amiri" w:cs="Amiri"/>
          <w:color w:val="111111"/>
          <w:sz w:val="28"/>
          <w:sz w:val="28"/>
          <w:szCs w:val="28"/>
          <w:rtl w:val="true"/>
          <w:lang w:bidi="ar-SA"/>
        </w:rPr>
        <w:t xml:space="preserve">وشرحه ، بل إجماع محقّق ، وتدلّ عليه معه الأخبار المستفيضة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العقيق من قبل العراق أو إلى </w:t>
      </w:r>
    </w:p>
    <w:p>
      <w:pPr>
        <w:pStyle w:val="BookText"/>
        <w:rPr/>
      </w:pPr>
      <w:r>
        <w:rPr>
          <w:rFonts w:ascii="Amiri" w:hAnsi="Amiri" w:eastAsia="Amiri" w:cs="Amiri"/>
          <w:color w:val="111111"/>
          <w:sz w:val="28"/>
          <w:sz w:val="28"/>
          <w:szCs w:val="28"/>
          <w:rtl w:val="true"/>
          <w:lang w:bidi="ar-SA"/>
        </w:rPr>
        <w:t xml:space="preserve">الوقت من هذه المواقيت وأنت تريد الإحرام إن شاء اللّه فانتف إبطيك ، وقلّم أظفارك ، وأطل عانتك ، وخذ من شاربك ، ولا يضرّك بأيّ ذلك بدأت ، ثم استك ، واغتسل ، والبس ثوبيك ، وليكن فراغك من ذلك إن شاء اللّه عند زوال الشمس ، وإن لم يكن عند زوال الشمس فلا يضرّك ، غير أنّي أحبّ أن يكون عند زوال الشمس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الواردة في إحرام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التروية فاغتسل ، والبس ثوبيك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وقد مرّت بتمامها في مقدّمة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الواردة فيه أيضا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تحرم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واغتسل ، والبس ثوبيك ، ثم ائت المسجد الحرام ، فصلّ فيه ستّ ركعات قبل أن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بالمدينة ، والبسوا ثيابكم التي تحرمون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استمتعت بقميصك حتى تأتي الشجرة ، فتفيض عليك من الماء ، وتلبس ثوبيك إن شاء اللّه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ورود بعض الأوامر في تلو الأوامر المستحبّة ، ولا وقوع </w:t>
      </w:r>
    </w:p>
    <w:p>
      <w:pPr>
        <w:pStyle w:val="BookText"/>
        <w:rPr/>
      </w:pPr>
      <w:r>
        <w:rPr>
          <w:rFonts w:ascii="Amiri" w:hAnsi="Amiri" w:eastAsia="Amiri" w:cs="Amiri"/>
          <w:color w:val="111111"/>
          <w:sz w:val="28"/>
          <w:sz w:val="28"/>
          <w:szCs w:val="28"/>
          <w:rtl w:val="true"/>
          <w:lang w:bidi="ar-SA"/>
        </w:rPr>
        <w:t>بعض آخر بالجملة الخبرية ، لأنّ خروج جزء من الخبر عن حقيقته بدلالة خارجية لا يوجب خروج الآخر ، ولأنّ الإجماع وسائر الأوامر قرائن على إرادة الوجوب من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الذخيرة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لبسهما قبل عقد الإحرام ، أي نيّة الحجّ أو العمرة ، لا لئلاّ يكون بعده لابسا للمخيط ، لعدم التلازم بينهما ، بل لصحيحتي ابن عمّار الأخيرتين ، المؤيّدتين بالأولى منها أيضا وبغيرها من الأخبار </w:t>
      </w:r>
      <w:r>
        <w:rPr>
          <w:rStyle w:val="FootnoteAnchor"/>
          <w:rtl w:val="true"/>
        </w:rPr>
        <w:footnoteReference w:id="12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لبسهما من شرائط صحّة الإحرام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يلبسهما لم يكن داخلا في الحجّ أو العمرة وإن نوى أحدهما ، كما أنّ من ينوي الصلاة ليس داخلا فيها ما لم يشرع في فعل آخر ، أو لم تكن التلبية الغير المسبوقة به محرّمة لما يحرم بالإحرام؟</w:t>
      </w:r>
    </w:p>
    <w:p>
      <w:pPr>
        <w:pStyle w:val="BookText"/>
        <w:rPr/>
      </w:pPr>
      <w:r>
        <w:rPr>
          <w:rFonts w:ascii="Amiri" w:hAnsi="Amiri" w:eastAsia="Amiri" w:cs="Amiri"/>
          <w:color w:val="111111"/>
          <w:sz w:val="28"/>
          <w:sz w:val="28"/>
          <w:szCs w:val="28"/>
          <w:rtl w:val="true"/>
          <w:lang w:bidi="ar-SA"/>
        </w:rPr>
        <w:t>أم لا ، بل يدخل في النسك بمجرد النيّة ، ويحرم عليه بالتلبية ما يحرم وإن لم يسبق به إلاّ أن يكون واجبا مأثوما تاركه؟</w:t>
      </w:r>
    </w:p>
    <w:p>
      <w:pPr>
        <w:pStyle w:val="BookText"/>
        <w:rPr/>
      </w:pPr>
      <w:r>
        <w:rPr>
          <w:rFonts w:ascii="Amiri" w:hAnsi="Amiri" w:eastAsia="Amiri" w:cs="Amiri"/>
          <w:color w:val="111111"/>
          <w:sz w:val="28"/>
          <w:sz w:val="28"/>
          <w:szCs w:val="28"/>
          <w:rtl w:val="true"/>
          <w:lang w:bidi="ar-SA"/>
        </w:rPr>
        <w:t xml:space="preserve">حكي الأول عن ظاهر الإسكافي </w:t>
      </w:r>
      <w:r>
        <w:rPr>
          <w:rStyle w:val="FootnoteAnchor"/>
          <w:rtl w:val="true"/>
        </w:rPr>
        <w:footnoteReference w:id="1215"/>
      </w:r>
      <w:r>
        <w:rPr>
          <w:rFonts w:ascii="Amiri" w:hAnsi="Amiri" w:eastAsia="Amiri" w:cs="Amiri"/>
          <w:color w:val="111111"/>
          <w:sz w:val="28"/>
          <w:sz w:val="28"/>
          <w:szCs w:val="28"/>
          <w:rtl w:val="true"/>
          <w:lang w:bidi="ar-SA"/>
        </w:rPr>
        <w:t>، وليس كذلك ، فإنّ كلامه لا يفيد سوى اشتراط التجرّد ، وهو أعمّ من اشتراط اللبس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مصرّح به في كلام جماعة ، كالمقداد والشهيد الثاني وسبطه والذخيرة </w:t>
      </w:r>
      <w:r>
        <w:rPr>
          <w:rStyle w:val="FootnoteAnchor"/>
          <w:rtl w:val="true"/>
        </w:rPr>
        <w:footnoteReference w:id="1216"/>
      </w:r>
      <w:r>
        <w:rPr>
          <w:rFonts w:ascii="Amiri" w:hAnsi="Amiri" w:eastAsia="Amiri" w:cs="Amiri"/>
          <w:color w:val="111111"/>
          <w:sz w:val="28"/>
          <w:sz w:val="28"/>
          <w:szCs w:val="28"/>
          <w:rtl w:val="true"/>
          <w:lang w:bidi="ar-SA"/>
        </w:rPr>
        <w:t xml:space="preserve">، وجماعة ممّن تأخّر عنهم </w:t>
      </w:r>
      <w:r>
        <w:rPr>
          <w:rStyle w:val="FootnoteAnchor"/>
          <w:rtl w:val="true"/>
        </w:rPr>
        <w:footnoteReference w:id="1217"/>
      </w:r>
      <w:r>
        <w:rPr>
          <w:rFonts w:ascii="IRNazanin" w:hAnsi="IRNazanin" w:eastAsia="IRNazanin"/>
          <w:color w:val="111111"/>
          <w:sz w:val="28"/>
          <w:sz w:val="28"/>
          <w:szCs w:val="28"/>
          <w:rtl w:val="true"/>
          <w:lang w:bidi="fa-IR"/>
        </w:rPr>
        <w:t xml:space="preserve">، بل نسب إلى ظاهر الأصحاب </w:t>
      </w:r>
      <w:r>
        <w:rPr>
          <w:rStyle w:val="FootnoteAnchor"/>
          <w:rtl w:val="true"/>
        </w:rPr>
        <w:footnoteReference w:id="1218"/>
      </w:r>
      <w:r>
        <w:rPr>
          <w:rFonts w:ascii="IRNazanin" w:hAnsi="IRNazanin" w:eastAsia="IRNazanin"/>
          <w:color w:val="111111"/>
          <w:sz w:val="28"/>
          <w:sz w:val="28"/>
          <w:szCs w:val="28"/>
          <w:rtl w:val="true"/>
          <w:lang w:bidi="fa-IR"/>
        </w:rPr>
        <w:t xml:space="preserve">، </w:t>
      </w:r>
      <w:bookmarkStart w:id="182" w:name="pg11651_107890"/>
    </w:p>
    <w:p>
      <w:pPr>
        <w:pStyle w:val="BookText"/>
        <w:rPr/>
      </w:pPr>
      <w:bookmarkEnd w:id="182"/>
      <w:r>
        <w:rPr>
          <w:rFonts w:ascii="Amiri" w:hAnsi="Amiri" w:eastAsia="Amiri" w:cs="Amiri"/>
          <w:color w:val="111111"/>
          <w:sz w:val="28"/>
          <w:sz w:val="28"/>
          <w:szCs w:val="28"/>
          <w:rtl w:val="true"/>
          <w:lang w:bidi="ar-SA"/>
        </w:rPr>
        <w:t>وهو الأقوى ، لأنّ المراد بالإحرام إمّا هو الشروع في الحجّ أو العمرة والدخول فيه ، فقد تحقّق بعزمه ونيّته ، أو صيرورته بحيث تحرم عليه المحظورات المعهودة ، فلا يتحقّق إلاّ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لإطلاقات التحريم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اشتراطها بمسبوقية اللبس ، وإن كان الإحرام بنفسه أيضا فعلا مأمورا به من حيث هو هو ، كما هو ظاهر كلماتهم ، فالأصل عدم كون اللبس جزءا منه حتى تنتفي صحّته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بمثل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أحرم وعليه قميصه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ينزعه ولا يشقّه ، وإن كان لبسه بعد ما أحرم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يلي رجليه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الإخراج من قبل الرجل للتحرّز عن ستر الرأس ، فإذا لم يجب لو أحرم مع القميص يعلم أنّه لم ينعقد إحرامه المحرّم لستر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لجواز أن لا يكون الحكم لما ذكر ، بل كان تعبّدا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172042_73709187"/>
      <w:bookmarkStart w:id="184" w:name="_Toc68"/>
      <w:bookmarkEnd w:id="183"/>
      <w:r>
        <w:rPr>
          <w:rtl w:val="true"/>
        </w:rPr>
        <w:t xml:space="preserve">فروع </w:t>
      </w:r>
      <w:r>
        <w:rPr>
          <w:rtl w:val="true"/>
        </w:rPr>
        <w:t>:</w:t>
      </w:r>
      <w:bookmarkEnd w:id="18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والإزار ، بلا إشكال فيه كما قيل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صحيحة ابن سنان ، وهي 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نزل الشجرة أمر الناس بنتف الإبط وحلق العانة والغسل والتجرّد في إزار ورداء ، </w:t>
      </w:r>
    </w:p>
    <w:p>
      <w:pPr>
        <w:pStyle w:val="BookText"/>
        <w:rPr/>
      </w:pPr>
      <w:r>
        <w:rPr>
          <w:rFonts w:ascii="Amiri" w:hAnsi="Amiri" w:eastAsia="Amiri" w:cs="Amiri"/>
          <w:color w:val="111111"/>
          <w:sz w:val="28"/>
          <w:sz w:val="28"/>
          <w:szCs w:val="28"/>
          <w:rtl w:val="true"/>
          <w:lang w:bidi="ar-SA"/>
        </w:rPr>
        <w:t xml:space="preserve">أو إزار وعمامة يضعها على عاتقه إن لم يكن له رداء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المحرم القباء إذا لم يكن له رداء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سراويل إلاّ أن لا يكون إزار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الروايات العامّية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ولبس إزار ورداء ونعلين </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من الرداء ما يوضع على المنكبين ، ومن الإزار ما يستر العورة وما بين السرّة إلى الركبتين ، ولعلّ الوجه اعتبار صدق الاسم عرفا المتوقّف على ذلك ، بل الظاهر في الأول ستر شي‌ء ممّا بين الكتفين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التوقيع الرفيع المرويّ في الإحتجاج عن مولانا صاحب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أن يتّزر الإنسان كيف شاء إذا لم يحدث في المئزر حدثا بمقراض ولا إبرة تخرجه عن حدّ المئزر ، وغرزه غرزا ولم يعقد ولم يشدّ بعضه ببعض ، وإذا غطّى السرّة والركبتين كليهما فإنّ السنّة المجمع عليها بغير خلاف تغطية السرّة والركبتين ، والأحبّ إلينا والأكمل لكلّ أحد شدّه على سبيل المألوفة المعروفة جميعا إن شاء اللّه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لبسهما هي الكيفيّة المعروفة ، فيغطّي بالرداء المنكبين وما يحويه ممّا بينهما ، وهو المراد بالارتداء الوارد في كلام جماعة ، وبالإزار ما بين السرّة والركبتين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والحلّي والقواعد والمسالك </w:t>
      </w:r>
      <w:r>
        <w:rPr>
          <w:rStyle w:val="FootnoteAnchor"/>
          <w:rtl w:val="true"/>
        </w:rPr>
        <w:footnoteReference w:id="1226"/>
      </w:r>
      <w:r>
        <w:rPr>
          <w:rFonts w:ascii="IRNazanin" w:hAnsi="IRNazanin" w:eastAsia="IRNazanin"/>
          <w:color w:val="111111"/>
          <w:sz w:val="28"/>
          <w:sz w:val="28"/>
          <w:szCs w:val="28"/>
          <w:rtl w:val="true"/>
          <w:lang w:bidi="fa-IR"/>
        </w:rPr>
        <w:t xml:space="preserve">وبعض آخر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الرداء بين الارتداء والتوشّح ، وهو تغطية أحد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التوشّح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إدخاله تحت اليد اليمنى وإلقاؤه على المنكب الأيسر كما يفعل المحرم </w:t>
      </w:r>
      <w:r>
        <w:rPr>
          <w:rStyle w:val="FootnoteAnchor"/>
          <w:rtl w:val="true"/>
        </w:rPr>
        <w:footnoteReference w:id="1228"/>
      </w:r>
      <w:r>
        <w:rPr>
          <w:rFonts w:ascii="Amiri" w:hAnsi="Amiri" w:eastAsia="Amiri" w:cs="Amiri"/>
          <w:color w:val="111111"/>
          <w:sz w:val="28"/>
          <w:sz w:val="28"/>
          <w:szCs w:val="28"/>
          <w:rtl w:val="true"/>
          <w:lang w:bidi="ar-SA"/>
        </w:rPr>
        <w:t xml:space="preserve">، ونحوه في المغرب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الوسيلة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التوشّح من غير ذكر للارتداء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ضعف ذلك ، لعدم دليل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الجواز ، فاستدلّ له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عليه نظر ، لأنّه ليس هناك إطلاق يشمله ، والمتبادر من لبس الرداء الارتداء به ، كما أنّ المتبادر من لبس العمامة والمنطقة التعمّم والتمنطق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عقد الرداء ، أم لا؟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الفاضل والدروس </w:t>
      </w:r>
      <w:r>
        <w:rPr>
          <w:rStyle w:val="FootnoteAnchor"/>
          <w:rtl w:val="true"/>
        </w:rPr>
        <w:footnoteReference w:id="1231"/>
      </w:r>
      <w:r>
        <w:rPr>
          <w:rFonts w:ascii="Amiri" w:hAnsi="Amiri" w:eastAsia="Amiri" w:cs="Amiri"/>
          <w:color w:val="111111"/>
          <w:sz w:val="28"/>
          <w:sz w:val="28"/>
          <w:szCs w:val="28"/>
          <w:rtl w:val="true"/>
          <w:lang w:bidi="ar-SA"/>
        </w:rPr>
        <w:t xml:space="preserve">وغيرهما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 واستدلّ له بموثّقة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يعقد إزاره في عنقه؟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دلالتها على التحريم ثم في الرداء نظر ، لجواز أن يكون السؤال عن الإباحة دون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له بأنّ الظاهر من الأمر بالارتداء المستفاد من لبس الرداء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 دون العقد والشدّ ، فإنّه غير الارتداء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الإزار ، فصرّح جماعة بجواز عقده </w:t>
      </w:r>
      <w:r>
        <w:rPr>
          <w:rStyle w:val="FootnoteAnchor"/>
          <w:rtl w:val="true"/>
        </w:rPr>
        <w:footnoteReference w:id="1234"/>
      </w:r>
      <w:r>
        <w:rPr>
          <w:rFonts w:ascii="Amiri" w:hAnsi="Amiri" w:eastAsia="Amiri" w:cs="Amiri"/>
          <w:color w:val="111111"/>
          <w:sz w:val="28"/>
          <w:sz w:val="28"/>
          <w:szCs w:val="28"/>
          <w:rtl w:val="true"/>
          <w:lang w:bidi="ar-SA"/>
        </w:rPr>
        <w:t xml:space="preserve">،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يعقد إزاره عليه ، لأنّه يحتاج إليه لستر العورة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الأصل ، وكونه طريق لبس الإزار ، ورواية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لا يرى بأسا بعقد الثوب إذا قصر ثم يصلّي وإن كان محرما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موثّقة الأعرج المتقدّمة النهي عن عقده في عنقه ، وكذا في 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يصلح له أن يعقد إزاره على رقبته ، ولكن يثنيه على عنقه ولا يعقده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المنهيّ فيهما العقد على العنق ، ولا بأس به ، لكونه غير الطريق المألوف في الاتّزار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التوقيع المتقدّم النهي عن عقده مطلقا ، فإذن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والذخيرة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وغيرهما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استدامة اللبس ، لصدق الامتثال ، وعدم دليل على وجوب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مثل 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حاضت وهي تريد الإحرام فطمثت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وتحتشي بكرسف وتلبس ثياب الإحرام وتحرم ، فإذا كان الليل خلعتها ولبست ثيابها الآخر حتى تطهر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والنهاية والمصباح ومختصره والإقتصاد والكافي والغنية والمراسم والنافع والقواعد والمنتهى والإرشاد والتحرير واللمعة والروضة والمسالك </w:t>
      </w:r>
      <w:r>
        <w:rPr>
          <w:rStyle w:val="FootnoteAnchor"/>
          <w:rtl w:val="true"/>
        </w:rPr>
        <w:footnoteReference w:id="1241"/>
      </w:r>
      <w:r>
        <w:rPr>
          <w:rFonts w:ascii="Amiri" w:hAnsi="Amiri" w:eastAsia="Amiri" w:cs="Amiri"/>
          <w:color w:val="111111"/>
          <w:sz w:val="28"/>
          <w:sz w:val="28"/>
          <w:szCs w:val="28"/>
          <w:rtl w:val="true"/>
          <w:lang w:bidi="ar-SA"/>
        </w:rPr>
        <w:t xml:space="preserve">وغيرها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في ثوبي الإحرام كونهما ممّا يصحّ الصلاة فيه ،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من مذهب الأصحاب </w:t>
      </w:r>
      <w:r>
        <w:rPr>
          <w:rStyle w:val="FootnoteAnchor"/>
          <w:rtl w:val="true"/>
        </w:rPr>
        <w:footnoteReference w:id="1243"/>
      </w:r>
      <w:r>
        <w:rPr>
          <w:rFonts w:ascii="Amiri" w:hAnsi="Amiri" w:eastAsia="Amiri" w:cs="Amiri"/>
          <w:color w:val="111111"/>
          <w:sz w:val="28"/>
          <w:sz w:val="28"/>
          <w:szCs w:val="28"/>
          <w:rtl w:val="true"/>
          <w:lang w:bidi="ar-SA"/>
        </w:rPr>
        <w:t xml:space="preserve">، وفي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w:t>
      </w:r>
      <w:r>
        <w:rPr>
          <w:rStyle w:val="FootnoteAnchor"/>
          <w:rtl w:val="true"/>
        </w:rPr>
        <w:footnoteReference w:id="1244"/>
      </w:r>
      <w:r>
        <w:rPr>
          <w:rFonts w:ascii="Amiri" w:hAnsi="Amiri" w:eastAsia="Amiri" w:cs="Amiri"/>
          <w:color w:val="111111"/>
          <w:sz w:val="28"/>
          <w:sz w:val="28"/>
          <w:szCs w:val="28"/>
          <w:rtl w:val="true"/>
          <w:lang w:bidi="ar-SA"/>
        </w:rPr>
        <w:t xml:space="preserve">، وفي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اتّفقت عليه كلمات الأصحاب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بمفهوم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ثوب يصلّى فيه فلا بأس بأن يحرم فيه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واعترض عليها في جانب الإثبات بالجلود التي تصحّ الصلاة فيها ، إذ لا يصدق عليها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النفي بعدم صراحتها في الحرمة ، لأعمّية البأس منها ومن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صدق الثوب على مطلق الجلود حتى مثل الفرو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أعمّية البأس ، كما حقّقناه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إنّما هي بمفهوم الوصف ، وهو غير حجّة على التحقيق ، فلا دليل يوجب الخروج عن الأصل ، إلاّ أن يثبت الإجماع ، وهو أيضا مشكل ، إذ المحكيّ عن كثير من الأصحاب عدم التعرّض لذلك ، إمّا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الجمل والحلّي ويحيى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لجميع الأفراد ، كالسيّد في الجمل وابن حمزة والمفيد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شكّ في حرمة لبس المغصوب والميّتة مطلقا والحرير للرجل لو قلنا بحرمة لبسه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بحرمة النجس أيضا ، لمفهوم الشرط في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يقارن بين ثيابه وغيرها التي أحرم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كانت طاهرة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الحلبي الواردة في ثوبي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يغسلها إن أصابها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فإذا احتلم فيها فليغسلها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المؤيدة بصحيحة أخرى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ثوبه جنابة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يلبسه حتى يغسله وإحرامه تام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سائر ما يشترط في ثوب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كونه ممّا لا يؤكل لحمه ولا حاكيا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له مستند ظاهرا ، والأصل يجوّزه ،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منع عن كلّ جلد حتى المأكول ، لقوله في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والثوب لا يصدق على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وفساده ظاهر ، إذ دلالتها ليست إلاّ بمفهوم اللقب الذي هو من أضعف المفاهيم ولو سلّم عدم صدق الثوب على الجلد ، فالأولى الاستناد فيه إلى قوله في الأخبار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والبس ثوبيك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لبس الحرير المحض للمرأة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وهو للصدوق والشيخ في المقنعة وجمل السيّد والدروس </w:t>
      </w:r>
      <w:r>
        <w:rPr>
          <w:rStyle w:val="FootnoteAnchor"/>
          <w:rtl w:val="true"/>
        </w:rPr>
        <w:footnoteReference w:id="1250"/>
      </w:r>
      <w:r>
        <w:rPr>
          <w:rFonts w:ascii="Amiri" w:hAnsi="Amiri" w:eastAsia="Amiri" w:cs="Amiri"/>
          <w:color w:val="111111"/>
          <w:sz w:val="28"/>
          <w:sz w:val="28"/>
          <w:szCs w:val="28"/>
          <w:rtl w:val="true"/>
          <w:lang w:bidi="ar-SA"/>
        </w:rPr>
        <w:t xml:space="preserve">، ونسبه في النافع إلى أشهر الروايتين </w:t>
      </w:r>
      <w:r>
        <w:rPr>
          <w:rStyle w:val="FootnoteAnchor"/>
          <w:rtl w:val="true"/>
        </w:rPr>
        <w:footnoteReference w:id="1251"/>
      </w:r>
      <w:r>
        <w:rPr>
          <w:rFonts w:ascii="Amiri" w:hAnsi="Amiri" w:eastAsia="Amiri" w:cs="Amiri"/>
          <w:color w:val="111111"/>
          <w:sz w:val="28"/>
          <w:sz w:val="28"/>
          <w:szCs w:val="28"/>
          <w:rtl w:val="true"/>
          <w:lang w:bidi="ar-SA"/>
        </w:rPr>
        <w:t xml:space="preserve">، للمستفيضة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المحرمة تلبس ما شاءت من الثياب غير الحرير والقفازين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للمرأة أن تلبس وهي 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الثياب كلّها ما خلا القفازين والبرقع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الخز؟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سداه إبريسم وهو الحرير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حريرا </w:t>
      </w:r>
    </w:p>
    <w:p>
      <w:pPr>
        <w:pStyle w:val="BookText"/>
        <w:rPr/>
      </w:pPr>
      <w:r>
        <w:rPr>
          <w:rFonts w:ascii="IRNazanin" w:hAnsi="IRNazanin" w:eastAsia="IRNazanin"/>
          <w:color w:val="111111"/>
          <w:sz w:val="28"/>
          <w:sz w:val="28"/>
          <w:szCs w:val="28"/>
          <w:rtl w:val="true"/>
          <w:lang w:bidi="fa-IR"/>
        </w:rPr>
        <w:t xml:space="preserve">خالصا فلا بأس </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عن إسماعيل بن الفضل بسند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يصلح لها أن تلبس ثوبا حريرا وهي 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ولها أن تلبسها في غير إحرامها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كما بيّناه في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تلبس الحرير والديباج إلاّ في الإحرام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ومعنى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لها لبسه ، فالمنفيّ في المستثنى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تلبس الحرير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لها أن تلبس حريرا محضا لا خيط فيه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عن جامع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كم يجزئه؟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المرأة تلبس الحرير؟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وهو للمفيد في كتاب أحكام النساء والحلّي </w:t>
      </w:r>
      <w:r>
        <w:rPr>
          <w:rStyle w:val="FootnoteAnchor"/>
          <w:rtl w:val="true"/>
        </w:rPr>
        <w:footnoteReference w:id="1258"/>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1259"/>
      </w:r>
      <w:r>
        <w:rPr>
          <w:rFonts w:ascii="Amiri" w:hAnsi="Amiri" w:eastAsia="Amiri" w:cs="Amiri"/>
          <w:color w:val="111111"/>
          <w:sz w:val="28"/>
          <w:sz w:val="28"/>
          <w:szCs w:val="28"/>
          <w:rtl w:val="true"/>
          <w:lang w:bidi="ar-SA"/>
        </w:rPr>
        <w:t xml:space="preserve">، للأصل ، والأخبار ، كصحيحة حريز المتقدّمة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تلبس القميص تزرّه عليها وتلبس الحرير والخزّ والديباج؟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به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المحرمة أيّ شي‌ء تلبس من الثياب؟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تلبس الثياب كلّها إلاّ المصبوغة بالزعفران والورس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ويجيبون هؤلاء عن الأخبار الأولى بالحمل على الكراهة جمعا ، بشهادة صحيحة عبيد اللّه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تحرم المرأة في الذهب والحرير ، وليس يكره إلاّ الحرير المحض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موثّقة سماعة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يكره الحرير البهم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العمامة السابري فيها علم حرير ، تحرم فيها المرأة؟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كره ذلك إذا كان سداه ولحمته جميعا حريرا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الرقاق تعمل بسابور ، موضع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أخرى لسماعة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تلبس الحرير المحض وهي محرمة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الاستشهاد بأعمّية الكراهة في العرف القديم من </w:t>
      </w:r>
    </w:p>
    <w:p>
      <w:pPr>
        <w:pStyle w:val="BookText"/>
        <w:rPr/>
      </w:pPr>
      <w:r>
        <w:rPr>
          <w:rFonts w:ascii="Amiri" w:hAnsi="Amiri" w:eastAsia="Amiri" w:cs="Amiri"/>
          <w:color w:val="111111"/>
          <w:sz w:val="28"/>
          <w:sz w:val="28"/>
          <w:szCs w:val="28"/>
          <w:rtl w:val="true"/>
          <w:lang w:bidi="ar-SA"/>
        </w:rPr>
        <w:t xml:space="preserve">الحرمة أيضا ، بل أكثر استعمالاتها فيه فيها ، وكذا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لأجل الجمع فيتوقّف على تماميّة دلالة أدلّة الجواز ، وهي ممنوعة ، لأنّ الأصل لا أثر له في مقابل ما مرّ ، والخطاب في الصحيحة الأولى </w:t>
      </w:r>
      <w:r>
        <w:rPr>
          <w:rStyle w:val="FootnoteAnchor"/>
          <w:rtl w:val="true"/>
        </w:rPr>
        <w:footnoteReference w:id="1267"/>
      </w:r>
      <w:r>
        <w:rPr>
          <w:rFonts w:ascii="Amiri" w:hAnsi="Amiri" w:eastAsia="Amiri" w:cs="Amiri"/>
          <w:color w:val="111111"/>
          <w:sz w:val="28"/>
          <w:sz w:val="28"/>
          <w:szCs w:val="28"/>
          <w:rtl w:val="true"/>
          <w:lang w:bidi="ar-SA"/>
        </w:rPr>
        <w:t>إلى الرجل حتما أو احتمالا متساويا ، وهو غير ما نحن فيه ، مع أنّه على فرض الإطلاق تكون عامّة بالنسبة إلى ما تقدّم مطلقة ، فيجب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الثانية أيضا ، فإنّها مطلقة بالنسبة إلى حال الإحرام وغيره ، وجعلها ظاهرة الورود في حال الإحرام لا وجه له ، إذ لا سبيل إلى ذلك الظهور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الجواب عن الثالثة ، لعمومها بالنسبة إلى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الأقوى هو القول الأول ، وبه المعوّل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يلبس أكثر من ثوبين ، بلا خلاف فيه كما في المفاتيح </w:t>
      </w:r>
      <w:r>
        <w:rPr>
          <w:rStyle w:val="FootnoteAnchor"/>
          <w:rtl w:val="true"/>
        </w:rPr>
        <w:footnoteReference w:id="1268"/>
      </w:r>
      <w:r>
        <w:rPr>
          <w:rFonts w:ascii="Amiri" w:hAnsi="Amiri" w:eastAsia="Amiri" w:cs="Amiri"/>
          <w:color w:val="111111"/>
          <w:sz w:val="28"/>
          <w:sz w:val="28"/>
          <w:szCs w:val="28"/>
          <w:rtl w:val="true"/>
          <w:lang w:bidi="ar-SA"/>
        </w:rPr>
        <w:t>وشرحه ، للأصل الخالي عن المعارض ، ولصحيحة ابن عمّار الأولى المتقدّمة في الفرع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يتردّى بالثوبين؟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والثلاثة إن شاء يتّقي بهما الحرّ والبرد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 وقريبة منها روايته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إبدال الثوبين ، للأصل ، 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يغيّر المحرم ثيابه ، ولكن إذا دخل مكّة لبس ثوبي إحرامه اللذين أحرم </w:t>
      </w:r>
    </w:p>
    <w:p>
      <w:pPr>
        <w:pStyle w:val="BookText"/>
        <w:rPr/>
      </w:pPr>
      <w:r>
        <w:rPr>
          <w:rFonts w:ascii="Amiri" w:hAnsi="Amiri" w:eastAsia="Amiri" w:cs="Amiri"/>
          <w:color w:val="111111"/>
          <w:sz w:val="28"/>
          <w:sz w:val="28"/>
          <w:szCs w:val="28"/>
          <w:rtl w:val="true"/>
          <w:lang w:bidi="ar-SA"/>
        </w:rPr>
        <w:t xml:space="preserve">فيهما ، وكره أن يبيعهما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بأن يحوّل المحرم ثيابه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يحوّل ثيابه؟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الطواف فيهما ، كما هو ظاهر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معه ثوبا الإحرام وكان معه قباء ، جاز له لبسه ، بلا خلاف فيه كما كلام جماعة </w:t>
      </w:r>
      <w:r>
        <w:rPr>
          <w:rStyle w:val="FootnoteAnchor"/>
          <w:rtl w:val="true"/>
        </w:rPr>
        <w:footnoteReference w:id="1274"/>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مقطوع به في كلام الأصحاب </w:t>
      </w:r>
      <w:r>
        <w:rPr>
          <w:rStyle w:val="FootnoteAnchor"/>
          <w:rtl w:val="true"/>
        </w:rPr>
        <w:footnoteReference w:id="1275"/>
      </w:r>
      <w:r>
        <w:rPr>
          <w:rFonts w:ascii="Amiri" w:hAnsi="Amiri" w:eastAsia="Amiri" w:cs="Amiri"/>
          <w:color w:val="111111"/>
          <w:sz w:val="28"/>
          <w:sz w:val="28"/>
          <w:szCs w:val="28"/>
          <w:rtl w:val="true"/>
          <w:lang w:bidi="ar-SA"/>
        </w:rPr>
        <w:t xml:space="preserve">،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وفاق </w:t>
      </w:r>
      <w:r>
        <w:rPr>
          <w:rStyle w:val="FootnoteAnchor"/>
          <w:rtl w:val="true"/>
        </w:rPr>
        <w:footnoteReference w:id="1276"/>
      </w:r>
      <w:r>
        <w:rPr>
          <w:rFonts w:ascii="Amiri" w:hAnsi="Amiri" w:eastAsia="Amiri" w:cs="Amiri"/>
          <w:color w:val="111111"/>
          <w:sz w:val="28"/>
          <w:sz w:val="28"/>
          <w:szCs w:val="28"/>
          <w:rtl w:val="true"/>
          <w:lang w:bidi="ar-SA"/>
        </w:rPr>
        <w:t xml:space="preserve">،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إجماعي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المعتبرة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المحرم إلى القباء ولم يجد ثوبا غيره فليلبسه مقلوبا ، ولا يدخل يديه في يدي القباء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المحرم الخفّين إذا لم يجد نعلين ، وإن لم يكن له رداء أطرح قميصه على عنقه أو قباه بعد أن ينكسه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ثوبا له أزرار وأنت محرم إلاّ أن تنكسه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الخفّ إذا لم يكن له نعل؟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يشقّ ظهر القدم ، ويلبس المحرم القباء إذا لم يكن له رداء ، ويقلب ظهره لبطنه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اضطرّ إلى ثوب وهو محرم وليس معه إلاّ قباء فلينكسه فليجعل أعلاه أسفله وليلبسه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 ونحوها صحيحة البزنطي المرويّة في مستطرفات السرائر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المحرم إلى أن يلبس قباء من برد ولا يجد ثوبا غيره فليلبسه مقلوبا ، ولا يدخل يديه في يد القباء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 وقريبة منها رواية أبي بصير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لبس القباء أن يكون مقلوبا كما في الأولى والأخيرتين ، ومنكوسا كما في البواقي غير صحيحة محمّد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ظاهره باطنه ، كما صرّح به في صحيحة محمّد ، ويستأنس له النهي عن إدخال اليد في القباء ، إذ لو كان المراد به النكس لم </w:t>
      </w:r>
    </w:p>
    <w:p>
      <w:pPr>
        <w:pStyle w:val="BookText"/>
        <w:rPr/>
      </w:pPr>
      <w:r>
        <w:rPr>
          <w:rFonts w:ascii="Amiri" w:hAnsi="Amiri" w:eastAsia="Amiri" w:cs="Amiri"/>
          <w:color w:val="111111"/>
          <w:sz w:val="28"/>
          <w:sz w:val="28"/>
          <w:szCs w:val="28"/>
          <w:rtl w:val="true"/>
          <w:lang w:bidi="ar-SA"/>
        </w:rPr>
        <w:t xml:space="preserve">يحتج إلى ذلك ، لعدم إمكانه حينئذ ، وإن جوّز المحقّق الثاني في شرح الشرائع إرادة جعل الأعلى منه أسفل ، بل فسّره به في السرائر </w:t>
      </w:r>
      <w:r>
        <w:rPr>
          <w:rStyle w:val="FootnoteAnchor"/>
          <w:rtl w:val="true"/>
        </w:rPr>
        <w:footnoteReference w:id="1286"/>
      </w:r>
      <w:r>
        <w:rPr>
          <w:rFonts w:ascii="Amiri" w:hAnsi="Amiri" w:eastAsia="Amiri" w:cs="Amiri"/>
          <w:color w:val="111111"/>
          <w:sz w:val="28"/>
          <w:sz w:val="28"/>
          <w:szCs w:val="28"/>
          <w:rtl w:val="true"/>
          <w:lang w:bidi="ar-SA"/>
        </w:rPr>
        <w:t xml:space="preserve">مبالغا فيه ، وتبعه جمع آخر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الأعلى أسفل ، وإن جوّز في الوافي </w:t>
      </w:r>
      <w:r>
        <w:rPr>
          <w:rStyle w:val="FootnoteAnchor"/>
          <w:rtl w:val="true"/>
        </w:rPr>
        <w:footnoteReference w:id="1288"/>
      </w:r>
      <w:r>
        <w:rPr>
          <w:rFonts w:ascii="Amiri" w:hAnsi="Amiri" w:eastAsia="Amiri" w:cs="Amiri"/>
          <w:color w:val="111111"/>
          <w:sz w:val="28"/>
          <w:sz w:val="28"/>
          <w:szCs w:val="28"/>
          <w:rtl w:val="true"/>
          <w:lang w:bidi="ar-SA"/>
        </w:rPr>
        <w:t>إرادة جعل الظاهر منه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وموافق قاعدة الاستدلال الجمع بين الأمرين ، كما صرّح به جماعة </w:t>
      </w:r>
      <w:r>
        <w:rPr>
          <w:rStyle w:val="FootnoteAnchor"/>
          <w:rtl w:val="true"/>
        </w:rPr>
        <w:footnoteReference w:id="1289"/>
      </w:r>
      <w:r>
        <w:rPr>
          <w:rFonts w:ascii="Amiri" w:hAnsi="Amiri" w:eastAsia="Amiri" w:cs="Amiri"/>
          <w:color w:val="111111"/>
          <w:sz w:val="28"/>
          <w:sz w:val="28"/>
          <w:szCs w:val="28"/>
          <w:rtl w:val="true"/>
          <w:lang w:bidi="ar-SA"/>
        </w:rPr>
        <w:t xml:space="preserve">وإن جعلوه أحوط أو أكمل ، ويحتمل كلام الشرائع </w:t>
      </w:r>
      <w:r>
        <w:rPr>
          <w:rStyle w:val="FootnoteAnchor"/>
          <w:rtl w:val="true"/>
        </w:rPr>
        <w:footnoteReference w:id="1290"/>
      </w:r>
      <w:r>
        <w:rPr>
          <w:rFonts w:ascii="Amiri" w:hAnsi="Amiri" w:eastAsia="Amiri" w:cs="Amiri"/>
          <w:color w:val="111111"/>
          <w:sz w:val="28"/>
          <w:sz w:val="28"/>
          <w:szCs w:val="28"/>
          <w:rtl w:val="true"/>
          <w:lang w:bidi="ar-SA"/>
        </w:rPr>
        <w:t xml:space="preserve">إرادة وجوبهما ، لإطلاق أخبار كلّ منهما بالآخر ، فيجب التقييد به ، فالاكتفاء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كبعضهم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كالآخر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كثالث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جواز لبسه إذا فقد ثوبي الإحرام واضطرّ إلى اللبس أيضا لبرد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اللبس مع تحقّق أحد الشرطين دون الآخر ، أم لا؟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لتجويز اللبس مع واحد من الشرطين في بعض الروايات </w:t>
      </w:r>
      <w:r>
        <w:rPr>
          <w:rStyle w:val="FootnoteAnchor"/>
          <w:rtl w:val="true"/>
        </w:rPr>
        <w:footnoteReference w:id="1294"/>
      </w:r>
      <w:r>
        <w:rPr>
          <w:rFonts w:ascii="Amiri" w:hAnsi="Amiri" w:eastAsia="Amiri" w:cs="Amiri"/>
          <w:color w:val="111111"/>
          <w:sz w:val="28"/>
          <w:sz w:val="28"/>
          <w:szCs w:val="28"/>
          <w:rtl w:val="true"/>
          <w:lang w:bidi="ar-SA"/>
        </w:rPr>
        <w:t>الموجب لتخصيص ما يمنعه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الشرط الأول فقد الثوبين معا ، كما هو ظاهر كثير </w:t>
      </w:r>
      <w:r>
        <w:rPr>
          <w:rStyle w:val="FootnoteAnchor"/>
          <w:rtl w:val="true"/>
        </w:rPr>
        <w:footnoteReference w:id="1295"/>
      </w:r>
      <w:r>
        <w:rPr>
          <w:rFonts w:ascii="IRNazanin" w:hAnsi="IRNazanin" w:eastAsia="IRNazanin"/>
          <w:color w:val="111111"/>
          <w:sz w:val="28"/>
          <w:sz w:val="28"/>
          <w:szCs w:val="28"/>
          <w:rtl w:val="true"/>
          <w:lang w:bidi="fa-IR"/>
        </w:rPr>
        <w:t>، بل نسب إلى مشهور القدماء؟</w:t>
      </w:r>
    </w:p>
    <w:p>
      <w:pPr>
        <w:pStyle w:val="BookText"/>
        <w:rPr/>
      </w:pPr>
      <w:r>
        <w:rPr>
          <w:rFonts w:ascii="Amiri" w:hAnsi="Amiri" w:eastAsia="Amiri" w:cs="Amiri"/>
          <w:color w:val="111111"/>
          <w:sz w:val="28"/>
          <w:sz w:val="28"/>
          <w:szCs w:val="28"/>
          <w:rtl w:val="true"/>
          <w:lang w:bidi="ar-SA"/>
        </w:rPr>
        <w:t xml:space="preserve">أو أحدهما ، كما عن الشهيد الثاني </w:t>
      </w:r>
      <w:r>
        <w:rPr>
          <w:rStyle w:val="FootnoteAnchor"/>
          <w:rtl w:val="true"/>
        </w:rPr>
        <w:footnoteReference w:id="1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الرداء خاصة ، كما عن الشهيدين </w:t>
      </w:r>
      <w:r>
        <w:rPr>
          <w:rStyle w:val="FootnoteAnchor"/>
          <w:rtl w:val="true"/>
        </w:rPr>
        <w:footnoteReference w:id="12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الأخير </w:t>
      </w:r>
      <w:r>
        <w:rPr>
          <w:rStyle w:val="FootnoteAnchor"/>
          <w:rtl w:val="true"/>
        </w:rPr>
        <w:footnoteReference w:id="1298"/>
      </w:r>
      <w:r>
        <w:rPr>
          <w:rFonts w:ascii="Amiri" w:hAnsi="Amiri" w:eastAsia="Amiri" w:cs="Amiri"/>
          <w:color w:val="111111"/>
          <w:sz w:val="28"/>
          <w:sz w:val="28"/>
          <w:szCs w:val="28"/>
          <w:rtl w:val="true"/>
          <w:lang w:bidi="ar-SA"/>
        </w:rPr>
        <w:t xml:space="preserve">، لصحيحتي عمر بن يزيد ومحمّد </w:t>
      </w:r>
      <w:r>
        <w:rPr>
          <w:rStyle w:val="FootnoteAnchor"/>
          <w:rtl w:val="true"/>
        </w:rPr>
        <w:footnoteReference w:id="1299"/>
      </w:r>
      <w:r>
        <w:rPr>
          <w:rFonts w:ascii="Amiri" w:hAnsi="Amiri" w:eastAsia="Amiri" w:cs="Amiri"/>
          <w:color w:val="111111"/>
          <w:sz w:val="28"/>
          <w:sz w:val="28"/>
          <w:szCs w:val="28"/>
          <w:rtl w:val="true"/>
          <w:lang w:bidi="ar-SA"/>
        </w:rPr>
        <w:t>، وبهما يخصّص ما ظاهر إطلاقه أو عمومه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لبس القباء حينئذ على الرخصة ، أو الوجوب؟</w:t>
      </w:r>
    </w:p>
    <w:p>
      <w:pPr>
        <w:pStyle w:val="BookText"/>
        <w:rPr/>
      </w:pPr>
      <w:r>
        <w:rPr>
          <w:rFonts w:ascii="Amiri" w:hAnsi="Amiri" w:eastAsia="Amiri" w:cs="Amiri"/>
          <w:color w:val="111111"/>
          <w:sz w:val="28"/>
          <w:sz w:val="28"/>
          <w:szCs w:val="28"/>
          <w:rtl w:val="true"/>
          <w:lang w:bidi="ar-SA"/>
        </w:rPr>
        <w:t xml:space="preserve">ظاهر الأمر في بعض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أنّه ليس للبسه حينئذ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إلاّ إذا أدخل اليدين في الكمّين ، فهو كما إذا لبس مخيطا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صحيحة عمر بن يزيد جواز طرح القميص أيضا ، ولا بأس به ، بل كلّ ثوب آخر إذا كان إليه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يجوز لبسه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الإحرام في الثوب الوسخ ، 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يحرم في الثوب الوسخ؟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ولا أقول إنّه حرام ولكن أحبّ أن يطهّره ، وطهوره غسله ، ولا يغسل الرجل ثوبه الذي يحرم فيه حتى يحلّ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5" w:name="pg11651_107904"/>
    </w:p>
    <w:p>
      <w:pPr>
        <w:pStyle w:val="BookText"/>
        <w:rPr/>
      </w:pPr>
      <w:bookmarkEnd w:id="185"/>
      <w:r>
        <w:rPr>
          <w:rFonts w:ascii="Amiri" w:hAnsi="Amiri" w:eastAsia="Amiri" w:cs="Amiri"/>
          <w:color w:val="111111"/>
          <w:sz w:val="28"/>
          <w:sz w:val="28"/>
          <w:szCs w:val="28"/>
          <w:rtl w:val="true"/>
          <w:lang w:bidi="ar-SA"/>
        </w:rPr>
        <w:t xml:space="preserve">وإن توسّخ ، إلاّ أن يصيبه جنابة أو شي‌ء فيغسله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وتثبت منها كراهة غسله قبل الإحلال أيضا وإن توسّخ في أثناء الإحرام ، إلاّ أن يكون ذلك بشي‌ء نجس فيطهّره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الثياب السود ، لرواية الحسين بن المختار </w:t>
      </w:r>
      <w:r>
        <w:rPr>
          <w:rStyle w:val="FootnoteAnchor"/>
          <w:rtl w:val="true"/>
        </w:rPr>
        <w:footnoteReference w:id="1302"/>
      </w:r>
      <w:r>
        <w:rPr>
          <w:rFonts w:ascii="Amiri" w:hAnsi="Amiri" w:eastAsia="Amiri" w:cs="Amiri"/>
          <w:color w:val="111111"/>
          <w:sz w:val="28"/>
          <w:sz w:val="28"/>
          <w:szCs w:val="28"/>
          <w:rtl w:val="true"/>
          <w:lang w:bidi="ar-SA"/>
        </w:rPr>
        <w:t xml:space="preserve">، القاصرة عن إفادة الحرمة ، للجملة الخبريّة ، فالقول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والخلاف والمبسوط والغنية والوسيلة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يكره المصبوغ ، للأصل ، ولرواية أبي بصير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ويستحبّ أن يكون قطنا بلا خلاف ظاهر ، له ، وللتأسّي بالنبيّ صلی اللّه عليه وآله ، فإنّه أحرم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يكون أبيض ، لفتوى الأصحاب </w:t>
      </w:r>
      <w:r>
        <w:rPr>
          <w:rStyle w:val="FootnoteAnchor"/>
          <w:rtl w:val="true"/>
        </w:rPr>
        <w:footnoteReference w:id="1305"/>
      </w:r>
      <w:r>
        <w:rPr>
          <w:rFonts w:ascii="Amiri" w:hAnsi="Amiri" w:eastAsia="Amiri" w:cs="Amiri"/>
          <w:color w:val="111111"/>
          <w:sz w:val="28"/>
          <w:sz w:val="28"/>
          <w:szCs w:val="28"/>
          <w:rtl w:val="true"/>
          <w:lang w:bidi="ar-SA"/>
        </w:rPr>
        <w:t xml:space="preserve">، وبظاهر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خير الثياب وأحسنها وأطهرها وأطيبها</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172044_73709187"/>
      <w:bookmarkStart w:id="187" w:name="_Toc69"/>
      <w:bookmarkEnd w:id="186"/>
      <w:r>
        <w:rPr>
          <w:rtl w:val="true"/>
        </w:rPr>
        <w:t xml:space="preserve">الثالث </w:t>
      </w:r>
      <w:r>
        <w:rPr>
          <w:rtl w:val="true"/>
        </w:rPr>
        <w:t xml:space="preserve">: </w:t>
      </w:r>
      <w:r>
        <w:rPr>
          <w:rtl w:val="true"/>
        </w:rPr>
        <w:t>التلبيات الأربع</w:t>
      </w:r>
      <w:bookmarkEnd w:id="18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نيّة الإحرام للمعتمر 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 محقّقا </w:t>
      </w:r>
    </w:p>
    <w:p>
      <w:pPr>
        <w:pStyle w:val="BookText"/>
        <w:rPr/>
      </w:pPr>
      <w:r>
        <w:rPr>
          <w:rFonts w:ascii="Amiri" w:hAnsi="Amiri" w:eastAsia="Amiri" w:cs="Amiri"/>
          <w:color w:val="111111"/>
          <w:sz w:val="28"/>
          <w:sz w:val="28"/>
          <w:szCs w:val="28"/>
          <w:rtl w:val="true"/>
          <w:lang w:bidi="ar-SA"/>
        </w:rPr>
        <w:t xml:space="preserve">ومحكيّا مستفيضا </w:t>
      </w:r>
      <w:r>
        <w:rPr>
          <w:rStyle w:val="FootnoteAnchor"/>
          <w:rtl w:val="true"/>
        </w:rPr>
        <w:footnoteReference w:id="1306"/>
      </w:r>
      <w:r>
        <w:rPr>
          <w:rFonts w:ascii="Amiri" w:hAnsi="Amiri" w:eastAsia="Amiri" w:cs="Amiri"/>
          <w:color w:val="111111"/>
          <w:sz w:val="28"/>
          <w:sz w:val="28"/>
          <w:szCs w:val="28"/>
          <w:rtl w:val="true"/>
          <w:lang w:bidi="ar-SA"/>
        </w:rPr>
        <w:t xml:space="preserve">، مدلول عليه بالمستفيضة ، بل المتواترة من الأخبار </w:t>
      </w:r>
      <w:r>
        <w:rPr>
          <w:rStyle w:val="FootnoteAnchor"/>
          <w:rtl w:val="true"/>
        </w:rPr>
        <w:footnoteReference w:id="1307"/>
      </w:r>
      <w:r>
        <w:rPr>
          <w:rFonts w:ascii="Amiri" w:hAnsi="Amiri" w:eastAsia="Amiri" w:cs="Amiri"/>
          <w:color w:val="111111"/>
          <w:sz w:val="28"/>
          <w:sz w:val="28"/>
          <w:szCs w:val="28"/>
          <w:rtl w:val="true"/>
          <w:lang w:bidi="ar-SA"/>
        </w:rPr>
        <w:t>، المتقدّمة كثير منها في المقدّمة التي ذكرناها في أول البحث ، والآتية طائفة أخرى منها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عدم انعقاد الإحرام إلاّ بها بالمعنى الثاني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المحظورات قبلها ، فلو نوى ولبس الثوبين ولم يلبّ وفعل شيئا منها لم يرتكب محرّما ولم يلزمه كفّارة بما فعله إجماعا ، ونقل الإجماع عليه أيضا مستفيض </w:t>
      </w:r>
      <w:r>
        <w:rPr>
          <w:rStyle w:val="FootnoteAnchor"/>
          <w:rtl w:val="true"/>
        </w:rPr>
        <w:footnoteReference w:id="1308"/>
      </w:r>
      <w:r>
        <w:rPr>
          <w:rFonts w:ascii="Amiri" w:hAnsi="Amiri" w:eastAsia="Amiri" w:cs="Amiri"/>
          <w:color w:val="111111"/>
          <w:sz w:val="28"/>
          <w:sz w:val="28"/>
          <w:szCs w:val="28"/>
          <w:rtl w:val="true"/>
          <w:lang w:bidi="ar-SA"/>
        </w:rPr>
        <w:t xml:space="preserve">، والأخبار المستفيضة به ناصّة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إذا تهيّأ للإحرام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يأتي النساء ما لم يعقد التلبية أو يلبّ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يقع على أهله بعد ما يعقد الإحرام ولم يلبّ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ركعتين في مسجد الشجرة وعقد الإحرام ، ثم خرج فأتي بخبيص فيه زعفران فأكل منه قبل أن يلبّي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الرجل في مسجد الشجرة ويقول الذي يريد أن يقوله ولا يلبّي ، ثم يخرج ويصيب من الصيد وغيره فليس </w:t>
      </w:r>
    </w:p>
    <w:p>
      <w:pPr>
        <w:pStyle w:val="BookText"/>
        <w:rPr/>
      </w:pPr>
      <w:r>
        <w:rPr>
          <w:rFonts w:ascii="Amiri" w:hAnsi="Amiri" w:eastAsia="Amiri" w:cs="Amiri"/>
          <w:color w:val="111111"/>
          <w:sz w:val="28"/>
          <w:sz w:val="28"/>
          <w:szCs w:val="28"/>
          <w:rtl w:val="true"/>
          <w:lang w:bidi="ar-SA"/>
        </w:rPr>
        <w:t xml:space="preserve">عليه شي‌ء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عقد الإحرام في مسجد الشجرة ثم وقع على أهله قبل أن يلبّي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الظهر في مسجد الشجرة ، وعقد الإحرام وأهلّ بالحجّ ، ثم مسّ طيبا أو صاد صيدا أو واقع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ما لم يلبّ </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مسجد الشجرة فصلّى وأحرم ، ثم خرج من المسجد فبدا له قبل أن يلبّي أن ينقض ذلك بمواقعة النساء ، أله ذلك؟</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ولا بأس به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 كروايات زياد بن مروان </w:t>
      </w:r>
      <w:r>
        <w:rPr>
          <w:rStyle w:val="FootnoteAnchor"/>
          <w:rtl w:val="true"/>
        </w:rPr>
        <w:footnoteReference w:id="1316"/>
      </w:r>
      <w:r>
        <w:rPr>
          <w:rFonts w:ascii="Amiri" w:hAnsi="Amiri" w:eastAsia="Amiri" w:cs="Amiri"/>
          <w:color w:val="111111"/>
          <w:sz w:val="28"/>
          <w:sz w:val="28"/>
          <w:szCs w:val="28"/>
          <w:rtl w:val="true"/>
          <w:lang w:bidi="ar-SA"/>
        </w:rPr>
        <w:t xml:space="preserve">وعليّ بن عبد العزيز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يلبس ثيابه ويتهيّأ للإحرام ثم يواقع أهله قبل أن يهلّ بالإحرام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فمع كونها مقطوعة ، بالشذوذ مطروحة ، أو على الاستحباب أو إرادة الجهر بالتلبية من الإهلال 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يلزمه تجديد النيّة بعد ذلك؟</w:t>
      </w:r>
    </w:p>
    <w:p>
      <w:pPr>
        <w:pStyle w:val="BookText"/>
        <w:rPr/>
      </w:pPr>
      <w:r>
        <w:rPr>
          <w:rFonts w:ascii="Amiri" w:hAnsi="Amiri" w:eastAsia="Amiri" w:cs="Amiri"/>
          <w:color w:val="111111"/>
          <w:sz w:val="28"/>
          <w:sz w:val="28"/>
          <w:szCs w:val="28"/>
          <w:rtl w:val="true"/>
          <w:lang w:bidi="ar-SA"/>
        </w:rPr>
        <w:t xml:space="preserve">مقتضى الأصل وظاهر أكثر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كما هو ظاهر الأكثر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الإنتصار باستئنافها </w:t>
      </w:r>
      <w:r>
        <w:rPr>
          <w:rStyle w:val="FootnoteAnchor"/>
          <w:rtl w:val="true"/>
        </w:rPr>
        <w:footnoteReference w:id="1319"/>
      </w:r>
      <w:r>
        <w:rPr>
          <w:rFonts w:ascii="Amiri" w:hAnsi="Amiri" w:eastAsia="Amiri" w:cs="Amiri"/>
          <w:color w:val="111111"/>
          <w:sz w:val="28"/>
          <w:sz w:val="28"/>
          <w:szCs w:val="28"/>
          <w:rtl w:val="true"/>
          <w:lang w:bidi="ar-SA"/>
        </w:rPr>
        <w:t>، واستدلّ له بمرسلة النضر ورواية زياد المتقدّمتين ، المشتملتين على لفظ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كلام الراوي ، ومثل ذلك التقرير من الإمام لم يثبت حجّيته ، مع أنّ النقض ليس صريحا في وجوب استئناف النيّة وبطلانها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التلبيات معيّنة وعدم حصول الإحرام بالمعنى الثاني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لمن لم يسق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المفرد والمتمتّع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القارن فهو مخيّر بينها وبين الإشعار أو التقليد ، فإن شاء لبّى وعقد إحرامه بها ، وإن شاء أشعر أو قلّد وعقد به ، على الأقوى الأشهر ، بل عن ظاهر الخلاف والغنية والمنتهى والمختلف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للمستفيضة من الروايات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يوجب الإحرام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 </w:t>
      </w:r>
    </w:p>
    <w:p>
      <w:pPr>
        <w:pStyle w:val="BookText"/>
        <w:rPr/>
      </w:pPr>
      <w:r>
        <w:rPr>
          <w:rFonts w:ascii="Amiri" w:hAnsi="Amiri" w:eastAsia="Amiri" w:cs="Amiri"/>
          <w:color w:val="111111"/>
          <w:sz w:val="28"/>
          <w:sz w:val="28"/>
          <w:szCs w:val="28"/>
          <w:rtl w:val="true"/>
          <w:lang w:bidi="ar-SA"/>
        </w:rPr>
        <w:t xml:space="preserve">والإشعار ، والتقليد ، فإذا فعل شيئا من هذه الثلاثة فقد أحرم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يقلّدها نعلا خلقا قد صلّيت فيها ، والإشعار والتقليد بمنزلة التلبية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والإشعار والتقليد ، فأيّ ذلك فعل فقد فرض الحجّ </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أشعر بدنته فقد أحرم وإن لم يتكلّم بقليل ولا كثير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وحريز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يشعرها أبدا حتى يتهيّأ للإحرام ، فإنّه إذا أشعرها وقلّدها وجب عليه الإحرام ، وهو بمنزلة التلبية </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 ونحوها رواية جميل </w:t>
      </w:r>
      <w:r>
        <w:rPr>
          <w:rStyle w:val="FootnoteAnchor"/>
          <w:rtl w:val="true"/>
        </w:rPr>
        <w:footnoteReference w:id="132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السيّد والحلّي </w:t>
      </w:r>
      <w:r>
        <w:rPr>
          <w:rStyle w:val="FootnoteAnchor"/>
          <w:rtl w:val="true"/>
        </w:rPr>
        <w:footnoteReference w:id="1328"/>
      </w:r>
      <w:r>
        <w:rPr>
          <w:rFonts w:ascii="Amiri" w:hAnsi="Amiri" w:eastAsia="Amiri" w:cs="Amiri"/>
          <w:color w:val="111111"/>
          <w:sz w:val="28"/>
          <w:sz w:val="28"/>
          <w:szCs w:val="28"/>
          <w:rtl w:val="true"/>
          <w:lang w:bidi="ar-SA"/>
        </w:rPr>
        <w:t>، فاقتصرا على التلبية ، للاقتصار في ما يخالف الأصل على المتيقّن المجمع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صحيح على القول بعدم حجّية الآحاد كما هو أصلهما ، مع أنّها في المقام محفوفة بعمل الأصحاب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السيّد أيضا غير معلومة ، كما أشار إليه في المختلف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الجمل والمبسوط والقاضي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الانعقاد بهما بالعجز عن التلبية </w:t>
      </w:r>
      <w:r>
        <w:rPr>
          <w:rStyle w:val="FootnoteAnchor"/>
          <w:rtl w:val="true"/>
        </w:rPr>
        <w:footnoteReference w:id="1330"/>
      </w:r>
      <w:r>
        <w:rPr>
          <w:rFonts w:ascii="Amiri" w:hAnsi="Amiri" w:eastAsia="Amiri" w:cs="Amiri"/>
          <w:color w:val="111111"/>
          <w:sz w:val="28"/>
          <w:sz w:val="28"/>
          <w:szCs w:val="28"/>
          <w:rtl w:val="true"/>
          <w:lang w:bidi="ar-SA"/>
        </w:rPr>
        <w:t>، وكأنّهم جمعوا بين هذه الأخبار وعمومات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بأولى من تخصيص الأخيرة بمن عدا القارن ، بل هو أولى ، سيّما مع ندرة العاجز عنها ، سيّما في الأعراب جدّا ، ومع عدم شاهد لذلك الجمع أصلا ووجوده للأول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السوق بالقارن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القارن لو عقد إحرامه بإحدى هذه الثلاثة كان الإتيان بالآخر مستحبّا له ، وفسّره الشهيد الثاني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بدأ بالتلبية كان الإشعار أو التقليد مستحبّا ، وإن بدأ بأحدهما كانت التلبية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جمع بين التلبية وأحدهما كان الثاني مستحبّا </w:t>
      </w:r>
      <w:r>
        <w:rPr>
          <w:rStyle w:val="FootnoteAnchor"/>
          <w:rtl w:val="true"/>
        </w:rPr>
        <w:footnoteReference w:id="1332"/>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ويستفاد منه أنّه فسّر ما هو المشهور باستحباب الجمع بين الثلاثة لا بين التلبية وأحدهما كما فهمه الثاني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ظاهر ، إذ الظاهر أنّ مراد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التلبية وأحدهما ، لا ثاني الإشعار والتقليد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فيمكن أن يستدلّ لاستحباب الجمع في الجملة برواية يونس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افرض بعد صلاتك ثم اخرج إليها فأشعرها من الجانب الأيمن من سنامها ، ثم انطلق حتى تأتي البيداء فلبّه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الفضيل بن يسار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إذا انتهى إلى الوقت فليحرم ثم يشعرها ويقلّدها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مقارنة نيّة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نيّة دخول الحجّ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للتلبية ، على الأظهر الأشهر ، للأصل ، وللمستفيضة المتقدّمة في مقدمة الإحرام </w:t>
      </w:r>
      <w:r>
        <w:rPr>
          <w:rStyle w:val="FootnoteAnchor"/>
          <w:rtl w:val="true"/>
        </w:rPr>
        <w:footnoteReference w:id="1335"/>
      </w:r>
      <w:r>
        <w:rPr>
          <w:rFonts w:ascii="Amiri" w:hAnsi="Amiri" w:eastAsia="Amiri" w:cs="Amiri"/>
          <w:color w:val="111111"/>
          <w:sz w:val="28"/>
          <w:sz w:val="28"/>
          <w:szCs w:val="28"/>
          <w:rtl w:val="true"/>
          <w:lang w:bidi="ar-SA"/>
        </w:rPr>
        <w:t>وفي بيان عدم حرمة المحظورات إلاّ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وتزيد عليها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الإحرام ودعائه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شئت فلبّ حين تنهض ، وإن شئت فأخّره حتى تركب بعيرك واستقبل القبلة فافعل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لم يكن يلبّي حتى يأتي البيداء </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عمّار والحلبي والبجلي والبختري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في مسجد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قاعد في دبر الصلاة قبل أن تقوم ما يقول المحرم ، ثم قم فامش حتى تبلغ الميل وتستوي بك البيداء ، فإذا استوت بك فلبّ ، وإن أهللت من المسجد الحرام للحجّ فإن شئت لبّيت خلف المقام ، وأفضل ذلك أن تمضي حتى تأتي الرقطاء وتلبّي قبل أن تصير إلى الأبطح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عند الشجرة فلا تلبّ حتّى تأتي البيداء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صلاتك وعقدت ما تريد فقم وامش هنيهة ، فإذا استوت بك الأرض ماشيا كنت أو راكبا فلبّ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الرجل في دبر المكتوبة أيلبّي حين ينهض به بعيره أو جالسا في دبر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شاء صنع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ألبّي بالحجّ؟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إلى منى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المتكثّرة جدّا </w:t>
      </w:r>
      <w:r>
        <w:rPr>
          <w:rStyle w:val="FootnoteAnchor"/>
          <w:rtl w:val="true"/>
        </w:rPr>
        <w:footnoteReference w:id="1343"/>
      </w:r>
      <w:r>
        <w:rPr>
          <w:rFonts w:ascii="Amiri" w:hAnsi="Amiri" w:eastAsia="Amiri" w:cs="Amiri"/>
          <w:color w:val="111111"/>
          <w:sz w:val="28"/>
          <w:sz w:val="28"/>
          <w:szCs w:val="28"/>
          <w:rtl w:val="true"/>
          <w:lang w:bidi="ar-SA"/>
        </w:rPr>
        <w:t>، بل المستفاد من كثير منها أفضليّة التأخير إلى المواضع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تلك الأخبار على رفع الصوت بالتلبية دون مطلقها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يقارن بالمطلقة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يقبله كثير منها ، مع أنّه لا شاهد لذلك الجمع ، بل لا داعي إليه سوى ما قيل من عدم انعقاد الإحرام إلاّ بالتلبية ، وعدم جواز المرور عن الميقات إلاّ محرما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المراد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المرور عن </w:t>
      </w:r>
    </w:p>
    <w:p>
      <w:pPr>
        <w:pStyle w:val="BookText"/>
        <w:rPr/>
      </w:pPr>
      <w:r>
        <w:rPr>
          <w:rFonts w:ascii="Amiri" w:hAnsi="Amiri" w:eastAsia="Amiri" w:cs="Amiri"/>
          <w:color w:val="111111"/>
          <w:sz w:val="28"/>
          <w:sz w:val="28"/>
          <w:szCs w:val="28"/>
          <w:rtl w:val="true"/>
          <w:lang w:bidi="ar-SA"/>
        </w:rPr>
        <w:t xml:space="preserve">الميقات إلاّ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الحجّ أو العمرة ونيّته والصيرورة حاجّا أو معتمرا بها ، كما مرّ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التلبيات الواجبة أربع </w:t>
      </w:r>
      <w:r>
        <w:rPr>
          <w:rStyle w:val="FootnoteAnchor"/>
          <w:rtl w:val="true"/>
        </w:rPr>
        <w:footnoteReference w:id="1345"/>
      </w:r>
      <w:r>
        <w:rPr>
          <w:rFonts w:ascii="Amiri" w:hAnsi="Amiri" w:eastAsia="Amiri" w:cs="Amiri"/>
          <w:color w:val="111111"/>
          <w:sz w:val="28"/>
          <w:sz w:val="28"/>
          <w:szCs w:val="28"/>
          <w:rtl w:val="true"/>
          <w:lang w:bidi="ar-SA"/>
        </w:rPr>
        <w:t xml:space="preserve">، واختلفوا في كيفيتها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مقتصر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 وهو المحكيّ 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بعض الأجلّة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والنافع والمختلف والمسالك والمدارك والذخيرة والكفاية </w:t>
      </w:r>
      <w:r>
        <w:rPr>
          <w:rStyle w:val="FootnoteAnchor"/>
          <w:rtl w:val="true"/>
        </w:rPr>
        <w:footnoteReference w:id="1347"/>
      </w:r>
      <w:r>
        <w:rPr>
          <w:rFonts w:ascii="Amiri" w:hAnsi="Amiri" w:eastAsia="Amiri" w:cs="Amiri"/>
          <w:color w:val="111111"/>
          <w:sz w:val="28"/>
          <w:sz w:val="28"/>
          <w:szCs w:val="28"/>
          <w:rtl w:val="true"/>
          <w:lang w:bidi="ar-SA"/>
        </w:rPr>
        <w:t xml:space="preserve">، وغير واحد من المتأخّرين </w:t>
      </w:r>
      <w:r>
        <w:rPr>
          <w:rStyle w:val="FootnoteAnchor"/>
          <w:rtl w:val="true"/>
        </w:rPr>
        <w:footnoteReference w:id="1348"/>
      </w:r>
      <w:r>
        <w:rPr>
          <w:rFonts w:ascii="Amiri" w:hAnsi="Amiri" w:eastAsia="Amiri" w:cs="Amiri"/>
          <w:color w:val="111111"/>
          <w:sz w:val="28"/>
          <w:sz w:val="28"/>
          <w:szCs w:val="28"/>
          <w:rtl w:val="true"/>
          <w:lang w:bidi="ar-SA"/>
        </w:rPr>
        <w:t xml:space="preserve">، ويميل إليه في المنتهى بل في التحرير على نقله </w:t>
      </w:r>
      <w:r>
        <w:rPr>
          <w:rStyle w:val="FootnoteAnchor"/>
          <w:rtl w:val="true"/>
        </w:rPr>
        <w:footnoteReference w:id="1349"/>
      </w:r>
      <w:r>
        <w:rPr>
          <w:rFonts w:ascii="Amiri" w:hAnsi="Amiri" w:eastAsia="Amiri" w:cs="Amiri"/>
          <w:color w:val="111111"/>
          <w:sz w:val="28"/>
          <w:sz w:val="28"/>
          <w:szCs w:val="28"/>
          <w:rtl w:val="true"/>
          <w:lang w:bidi="ar-SA"/>
        </w:rPr>
        <w:t xml:space="preserve">، وهو ظاهر ثقة الإسلام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لك والملك ، وهو المحكيّ عن المقنعة على نقل </w:t>
      </w:r>
      <w:r>
        <w:rPr>
          <w:rStyle w:val="FootnoteAnchor"/>
          <w:rtl w:val="true"/>
        </w:rPr>
        <w:footnoteReference w:id="1351"/>
      </w:r>
      <w:r>
        <w:rPr>
          <w:rFonts w:ascii="Amiri" w:hAnsi="Amiri" w:eastAsia="Amiri" w:cs="Amiri"/>
          <w:color w:val="111111"/>
          <w:sz w:val="28"/>
          <w:sz w:val="28"/>
          <w:szCs w:val="28"/>
          <w:rtl w:val="true"/>
          <w:lang w:bidi="ar-SA"/>
        </w:rPr>
        <w:t xml:space="preserve">، والصدوقين في الرسالة والمقنع والهداية </w:t>
      </w:r>
      <w:r>
        <w:rPr>
          <w:rStyle w:val="FootnoteAnchor"/>
          <w:rtl w:val="true"/>
        </w:rPr>
        <w:footnoteReference w:id="1352"/>
      </w:r>
      <w:r>
        <w:rPr>
          <w:rFonts w:ascii="Amiri" w:hAnsi="Amiri" w:eastAsia="Amiri" w:cs="Amiri"/>
          <w:color w:val="111111"/>
          <w:sz w:val="28"/>
          <w:sz w:val="28"/>
          <w:szCs w:val="28"/>
          <w:rtl w:val="true"/>
          <w:lang w:bidi="ar-SA"/>
        </w:rPr>
        <w:t xml:space="preserve">، والقديمين </w:t>
      </w:r>
      <w:r>
        <w:rPr>
          <w:rStyle w:val="FootnoteAnchor"/>
          <w:rtl w:val="true"/>
        </w:rPr>
        <w:footnoteReference w:id="1353"/>
      </w:r>
      <w:r>
        <w:rPr>
          <w:rFonts w:ascii="Amiri" w:hAnsi="Amiri" w:eastAsia="Amiri" w:cs="Amiri"/>
          <w:color w:val="111111"/>
          <w:sz w:val="28"/>
          <w:sz w:val="28"/>
          <w:szCs w:val="28"/>
          <w:rtl w:val="true"/>
          <w:lang w:bidi="ar-SA"/>
        </w:rPr>
        <w:t xml:space="preserve">، والسيّد في الجمل والشيخ في النهاية والمبسوط والإقتصاد والديلمي والحلبي والحلّي والقاضي وابني زهرة وحمزة والإرشاد والقواعد </w:t>
      </w:r>
      <w:r>
        <w:rPr>
          <w:rStyle w:val="FootnoteAnchor"/>
          <w:rtl w:val="true"/>
        </w:rPr>
        <w:footnoteReference w:id="13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أكثر المتأخّرين كما قيل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اختلفت كلمات هؤلاء في محلّ هذه الإضافة ، فبين من جعلها بعد ما مرّ ، وبين من جعلها بعد لبّيك الثالثة ، ومنهم من أضاف مع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لك ، أيضا ، وقد يضاف معها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وعمرة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مفردة تمامها عليك لبّيك ،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لا شريك لك لبيك ، ذا المعارج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 بدّ من التلبيات الأربع التي كنّ أول الكلام ، وهي الفريضة وهي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قطع التفصيل للشركة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وجوب ما بعد التلبية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وتجويز رجوع الإشارة إلى ما قبل الخامسة بعيد غايته ، مع أنّه على فرض الاحتمال ينفى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الإضافة في المعتبرة من المستفيضة من الصحاح وغيرها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 بعدم كفاية الورود بعد عدم صراحة شي‌ء منها في الوجوب ، لمكان الجملة الخبريّة ، أو الأمر بما ليس بواجب قطعا ، أو </w:t>
      </w:r>
    </w:p>
    <w:p>
      <w:pPr>
        <w:pStyle w:val="BookText"/>
        <w:rPr/>
      </w:pPr>
      <w:r>
        <w:rPr>
          <w:rFonts w:ascii="Amiri" w:hAnsi="Amiri" w:eastAsia="Amiri" w:cs="Amiri"/>
          <w:color w:val="111111"/>
          <w:sz w:val="28"/>
          <w:sz w:val="28"/>
          <w:szCs w:val="28"/>
          <w:rtl w:val="true"/>
          <w:lang w:bidi="ar-SA"/>
        </w:rPr>
        <w:t xml:space="preserve">حكاية تلبية الرسول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الرضوي والخصالي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 لا شريك لك لبّيك ، إنّ الحمد والنعمة لك لا شريك لك ، هذه الأربعة مفروضات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ضعفهما الغير الثابت انجبارهما ، ومعارضتهما مع صحيحة عمر بن يزيد </w:t>
      </w:r>
      <w:r>
        <w:rPr>
          <w:rStyle w:val="FootnoteAnchor"/>
          <w:rtl w:val="true"/>
        </w:rPr>
        <w:footnoteReference w:id="1359"/>
      </w:r>
      <w:r>
        <w:rPr>
          <w:rFonts w:ascii="Amiri" w:hAnsi="Amiri" w:eastAsia="Amiri" w:cs="Amiri"/>
          <w:color w:val="111111"/>
          <w:sz w:val="28"/>
          <w:sz w:val="28"/>
          <w:szCs w:val="28"/>
          <w:rtl w:val="true"/>
          <w:lang w:bidi="ar-SA"/>
        </w:rPr>
        <w:t>الخالية عن الإضافة وإن اشتملت على إضافة أخرى غير واجبة قطعا ، غير صريحين في وجوب الزائد ، لاحتمال رجوع الإشارة إلى التلبيات الأربع خاصّة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تضعيف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بندوره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 لعدم ثبوت الندرة المضعفة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ضمّ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جميع الأقوال ولو بالتكرير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زاد على ما وجب من الفقرات الواردة في صحيحة ابن عمّار وغيرها مستحبّ ليس بواجب إجماعا ، بل هو مستحبّ كذلك ، وقد مرّ ما يمكن أن يكون مستندا لكلّ من الحكمين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يحرّك لسانه ويشير بإصبعه إلى التلبية ، لرواية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ضعفها لو كان بعمل الأصحاب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تلبية الأخرس وتشهّده وقراءته القرآن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لسانه وإشارته بإصبعه ، وليكن مع عقد قلبه بها </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أي بصورتها القولية ، لأنّها بدونه لا تكون إشارة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يستناب له مع ما ذكر فلبّي عنه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له بخبر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قدم حاجّا لا يحسن أن يلبّي ، فاستفتي له أبو عبد اللّه عليه السلام ، فأمر أن يلبّي عنه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أفعال الحجّ تقبل النيابة ، فلا تحصل البراءة إلاّ بإتيانه بنفسه ما يمكنه ، ونيابته ما لا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قضية في واقعة ، فيحتمل الورود في غير المسألة ، بل هو الظاهر ممّا لا يحسن ، فإنّه الظاهر في الأعجمي ونحوه ممّن يمكن له التكلّم ولكن لا يحسن العربية ، والأخرس غير قادر لا غير محسن ، ولو منع الظهور فلا أقل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الأعجميّ الذي لا يحسن التلبية ولا يمكنه التعلّم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بترجمتها </w:t>
      </w:r>
      <w:r>
        <w:rPr>
          <w:rStyle w:val="FootnoteAnchor"/>
          <w:rtl w:val="true"/>
        </w:rPr>
        <w:footnoteReference w:id="136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يلبّى عنه </w:t>
      </w:r>
      <w:r>
        <w:rPr>
          <w:rStyle w:val="FootnoteAnchor"/>
          <w:rtl w:val="true"/>
        </w:rPr>
        <w:footnoteReference w:id="1364"/>
      </w:r>
      <w:r>
        <w:rPr>
          <w:rFonts w:ascii="Amiri" w:hAnsi="Amiri" w:eastAsia="Amiri" w:cs="Amiri"/>
          <w:color w:val="111111"/>
          <w:sz w:val="28"/>
          <w:sz w:val="28"/>
          <w:szCs w:val="28"/>
          <w:rtl w:val="true"/>
          <w:lang w:bidi="ar-SA"/>
        </w:rPr>
        <w:t>، والأحوط الجمع بين الأمرين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عدم وجوب مقارنة التلبية لنيّة الإحرام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اختلفت كلمات المجوّزين للتأخير مطلقا في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المبسوط جعل الأفضل للمحرم عن طريق المدينة التأخير إلى البيداء إن كان راكبا </w:t>
      </w:r>
      <w:r>
        <w:rPr>
          <w:rStyle w:val="FootnoteAnchor"/>
          <w:rtl w:val="true"/>
        </w:rPr>
        <w:footnoteReference w:id="1365"/>
      </w:r>
      <w:r>
        <w:rPr>
          <w:rFonts w:ascii="Amiri" w:hAnsi="Amiri" w:eastAsia="Amiri" w:cs="Amiri"/>
          <w:color w:val="111111"/>
          <w:sz w:val="28"/>
          <w:sz w:val="28"/>
          <w:szCs w:val="28"/>
          <w:rtl w:val="true"/>
          <w:lang w:bidi="ar-SA"/>
        </w:rPr>
        <w:t xml:space="preserve">، وهو المحكيّ عن ابن حمزة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أفضليّته له مطلقا ، راكبا كان أو ماشيا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في المبسوط والتحرير والمنتهى والمسالك الأفضل للمحرم عن غيره إلى أن يمشي خطوات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جعل الأفضل للمحرم عن مكّة التلبية عن موضعه إن كان ماشيا ، وعن الرقطاء أو شعب الدبّ إن كان راكبا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هداية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التأخير إلى الرقطاء له مطلقا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والنهاية والجامع والوسيلة والمنتهى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تلبية المحرم عن مكّة من موضعه إن كان ماشيا ، وإذا نهض به بعيره إن كان راكبا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الاختلاف اختلاف الأخبار ، وهي بين مرجّح في المحرم عن طريق المدينة للتأخير إلى البيداء بقول مطلق ، كصحيحة ابن وهب </w:t>
      </w:r>
      <w:r>
        <w:rPr>
          <w:rStyle w:val="FootnoteAnchor"/>
          <w:rtl w:val="true"/>
        </w:rPr>
        <w:footnoteReference w:id="1372"/>
      </w:r>
      <w:r>
        <w:rPr>
          <w:rFonts w:ascii="Amiri" w:hAnsi="Amiri" w:eastAsia="Amiri" w:cs="Amiri"/>
          <w:color w:val="111111"/>
          <w:sz w:val="28"/>
          <w:sz w:val="28"/>
          <w:szCs w:val="28"/>
          <w:rtl w:val="true"/>
          <w:lang w:bidi="ar-SA"/>
        </w:rPr>
        <w:t xml:space="preserve">وعبيد اللّه الحلبي </w:t>
      </w:r>
      <w:r>
        <w:rPr>
          <w:rStyle w:val="FootnoteAnchor"/>
          <w:rtl w:val="true"/>
        </w:rPr>
        <w:footnoteReference w:id="1373"/>
      </w:r>
      <w:r>
        <w:rPr>
          <w:rFonts w:ascii="Amiri" w:hAnsi="Amiri" w:eastAsia="Amiri" w:cs="Amiri"/>
          <w:color w:val="111111"/>
          <w:sz w:val="28"/>
          <w:sz w:val="28"/>
          <w:szCs w:val="28"/>
          <w:rtl w:val="true"/>
          <w:lang w:bidi="ar-SA"/>
        </w:rPr>
        <w:t xml:space="preserve">المتقدّمتين في المقدّمة ، وصحاح ابن عمّار والحلبي والبجلي والبختري </w:t>
      </w:r>
      <w:r>
        <w:rPr>
          <w:rStyle w:val="FootnoteAnchor"/>
          <w:rtl w:val="true"/>
        </w:rPr>
        <w:footnoteReference w:id="137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حازم </w:t>
      </w:r>
      <w:r>
        <w:rPr>
          <w:rStyle w:val="FootnoteAnchor"/>
          <w:rtl w:val="true"/>
        </w:rPr>
        <w:footnoteReference w:id="1375"/>
      </w:r>
      <w:r>
        <w:rPr>
          <w:rFonts w:ascii="IRNazanin" w:hAnsi="IRNazanin" w:eastAsia="IRNazanin"/>
          <w:color w:val="111111"/>
          <w:sz w:val="28"/>
          <w:sz w:val="28"/>
          <w:szCs w:val="28"/>
          <w:rtl w:val="true"/>
          <w:lang w:bidi="fa-IR"/>
        </w:rPr>
        <w:t xml:space="preserve">، وابن سنان </w:t>
      </w:r>
      <w:r>
        <w:rPr>
          <w:rStyle w:val="FootnoteAnchor"/>
          <w:rtl w:val="true"/>
        </w:rPr>
        <w:footnoteReference w:id="1376"/>
      </w:r>
      <w:r>
        <w:rPr>
          <w:rFonts w:ascii="Amiri" w:hAnsi="Amiri" w:eastAsia="Amiri" w:cs="Amiri"/>
          <w:color w:val="111111"/>
          <w:sz w:val="28"/>
          <w:sz w:val="28"/>
          <w:szCs w:val="28"/>
          <w:rtl w:val="true"/>
          <w:lang w:bidi="ar-SA"/>
        </w:rPr>
        <w:t>، المتقدّمة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ومرجّح له للماشي والراكب بخصوصهما ، كصحيحتي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من مسجد الشجرة ، فإن كنت ماشيا لبّيت من مكانك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ماشيا فاجهر بإهلالك وتلبيتك من المسجد ، وإن كنت راكبا فإذا علت بك راحلتك البيداء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ومرجّح في مطلق المحرم للتأخير إلى المشي هنيهة حتى تستوي به الأرض ، كصحيحة ابن عمّار الثانية </w:t>
      </w:r>
      <w:r>
        <w:rPr>
          <w:rStyle w:val="FootnoteAnchor"/>
          <w:rtl w:val="true"/>
        </w:rPr>
        <w:footnoteReference w:id="1379"/>
      </w:r>
      <w:r>
        <w:rPr>
          <w:rFonts w:ascii="Amiri" w:hAnsi="Amiri" w:eastAsia="Amiri" w:cs="Amiri"/>
          <w:color w:val="111111"/>
          <w:sz w:val="28"/>
          <w:sz w:val="28"/>
          <w:szCs w:val="28"/>
          <w:rtl w:val="true"/>
          <w:lang w:bidi="ar-SA"/>
        </w:rPr>
        <w:t xml:space="preserve">المتقدّمة في المقدّمة ، والأخرى السابقة في المسألة الثانية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ومرجّح في المحرم عن طريق العراق التأخير إلى أن يمشي قليلا ، كصحيحة هشام المتقدّمة في المقدّمة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ومرجّح في المحرم عن مكّة للتأخير إلى الروحاء ، أو الفضاء كما في صحيحة ابن عمّار المتقدّمة في المقدّمة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الرقطاء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 الفقيه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صحيحة البختري والحلبي والبجلي وابن عمّار المتقدّمة في المسألة الثانية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ومرجّح فيه له للتلبية عند المقام للماشي وإذا نهض به بعيره للراكب ، كصحيحة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 ركعتين عند المقام ثم أهلّ بالحجّ ، فإن كنت ماشيا فلبّ عند المقام ، وإن كنت راكبا فإذا نهض بك بعيرك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ومرجّح له للتلبية في المسجد الحرام ، كما في موثّقة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تلبّي من المسجد الحرام كما لبّيت حين أحرمت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بالتأخير في بعض تلك الأخبار محمول على الاستحباب أو الجواز بلا خلاف يوجد ، لتصريح جملة من الأخبار بجواز التلبية عن موضعه ، كما في صحيحة هشام المتقدّمة ، وصحيحة ابن سنان </w:t>
      </w:r>
      <w:r>
        <w:rPr>
          <w:rStyle w:val="FootnoteAnchor"/>
          <w:rtl w:val="true"/>
        </w:rPr>
        <w:footnoteReference w:id="1386"/>
      </w:r>
      <w:r>
        <w:rPr>
          <w:rFonts w:ascii="Amiri" w:hAnsi="Amiri" w:eastAsia="Amiri" w:cs="Amiri"/>
          <w:color w:val="111111"/>
          <w:sz w:val="28"/>
          <w:sz w:val="28"/>
          <w:szCs w:val="28"/>
          <w:rtl w:val="true"/>
          <w:lang w:bidi="ar-SA"/>
        </w:rPr>
        <w:t xml:space="preserve">، وموثّقة إسحاق بن عمّار </w:t>
      </w:r>
      <w:r>
        <w:rPr>
          <w:rStyle w:val="FootnoteAnchor"/>
          <w:rtl w:val="true"/>
        </w:rPr>
        <w:footnoteReference w:id="1387"/>
      </w:r>
      <w:r>
        <w:rPr>
          <w:rFonts w:ascii="Amiri" w:hAnsi="Amiri" w:eastAsia="Amiri" w:cs="Amiri"/>
          <w:color w:val="111111"/>
          <w:sz w:val="28"/>
          <w:sz w:val="28"/>
          <w:szCs w:val="28"/>
          <w:rtl w:val="true"/>
          <w:lang w:bidi="ar-SA"/>
        </w:rPr>
        <w:t xml:space="preserve">، وغيرها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جميع تلك الأخبار ومقتضى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التلبّي عن موضع الإحرام مطلقا ، وأفضليّة التأخير للمحرم عن مسجد الشجرة إلى البيداء راكبا كان أو ماشيا ، لإطلاقات رجحان التأخير إليها ، </w:t>
      </w:r>
    </w:p>
    <w:p>
      <w:pPr>
        <w:pStyle w:val="BookText"/>
        <w:rPr/>
      </w:pPr>
      <w:r>
        <w:rPr>
          <w:rFonts w:ascii="Amiri" w:hAnsi="Amiri" w:eastAsia="Amiri" w:cs="Amiri"/>
          <w:color w:val="111111"/>
          <w:sz w:val="28"/>
          <w:sz w:val="28"/>
          <w:szCs w:val="28"/>
          <w:rtl w:val="true"/>
          <w:lang w:bidi="ar-SA"/>
        </w:rPr>
        <w:t xml:space="preserve">الفارغة عن مكادحة </w:t>
      </w:r>
      <w:r>
        <w:rPr>
          <w:rStyle w:val="FootnoteAnchor"/>
          <w:rtl w:val="true"/>
        </w:rPr>
        <w:footnoteReference w:id="1389"/>
      </w:r>
      <w:r>
        <w:rPr>
          <w:rFonts w:ascii="Amiri" w:hAnsi="Amiri" w:eastAsia="Amiri" w:cs="Amiri"/>
          <w:color w:val="111111"/>
          <w:sz w:val="28"/>
          <w:sz w:val="28"/>
          <w:szCs w:val="28"/>
          <w:rtl w:val="true"/>
          <w:lang w:bidi="ar-SA"/>
        </w:rPr>
        <w:t>ما يدلّ على أفضليّة التعجيل للماشي ، لاشتغالها بمعارضة ما يدلّ على أفضليّة التأخير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وللمحرم عن غيره إلى أن يمشي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وللمحرم عن مكة إلى الرقطاء ، أو إلى أن ينهض البعير إن كان راكبا ، وفي المسجد إن كان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الجهر بالتلبية على المشهور بين الأصحاب ، للمستفيضة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التلبية شعار المحرم ، فارفع صوتك بالتلبية </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ومرفوعة حريز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أحرم رسول اللّه صلی اللّه عليه وآله أتاه جبرئيل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أصحابك بالعجّ والثجّ </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بالتلبية ، والثجّ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التلبية لبيك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ذلك في دبر كلّ صلاة مكتوبة أو نافلة ، وحين ينهض بك بعيرك ، وإذا علوت شرفا ، أو هبطت واديا ، أو لقيت راكبا ، أو استيقظت من منامك ، وبالأسحار ، وأكثر ما استطعت منها واجهر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92"/>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الاستحباب في مواضع مخصوصة ذكرها في 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واجهر بها كلّما ركبت ، وكلّما نزلت ، وكلّما هبطت واديا ، أو علوت </w:t>
      </w:r>
    </w:p>
    <w:p>
      <w:pPr>
        <w:pStyle w:val="BookText"/>
        <w:rPr/>
      </w:pPr>
      <w:r>
        <w:rPr>
          <w:rFonts w:ascii="Amiri" w:hAnsi="Amiri" w:eastAsia="Amiri" w:cs="Amiri"/>
          <w:color w:val="111111"/>
          <w:sz w:val="28"/>
          <w:sz w:val="28"/>
          <w:szCs w:val="28"/>
          <w:rtl w:val="true"/>
          <w:lang w:bidi="ar-SA"/>
        </w:rPr>
        <w:t xml:space="preserve">أكمة ، أو لقيت راكبا ، وبالأسحار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 المشهور قول الشيخ في التهذيب </w:t>
      </w:r>
      <w:r>
        <w:rPr>
          <w:rStyle w:val="FootnoteAnchor"/>
          <w:rtl w:val="true"/>
        </w:rPr>
        <w:footnoteReference w:id="139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بقدر الإمكان ، وهو ظاهر ثقة الإسلام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لأحد أن يجوز ميل البيداء إلاّ وقد أظهر التلبية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لظاهر الأوامر في النصوص المتقدّمة ، وهي عن إفادة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لندرته وشذوذه ، حتى أنّ الشيخ أيضا رجع عنه في خلافه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من ذكر كونه فرضا </w:t>
      </w:r>
      <w:r>
        <w:rPr>
          <w:rStyle w:val="FootnoteAnchor"/>
          <w:rtl w:val="true"/>
        </w:rPr>
        <w:footnoteReference w:id="1397"/>
      </w:r>
      <w:r>
        <w:rPr>
          <w:rFonts w:ascii="Amiri" w:hAnsi="Amiri" w:eastAsia="Amiri" w:cs="Amiri"/>
          <w:color w:val="111111"/>
          <w:sz w:val="28"/>
          <w:sz w:val="28"/>
          <w:szCs w:val="28"/>
          <w:rtl w:val="true"/>
          <w:lang w:bidi="ar-SA"/>
        </w:rPr>
        <w:t xml:space="preserve">،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مطلقا بالوجوب بالمعنى المصطلح غير معلوم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أصل دلالتها عليه أيضا نظرا ، لورود الأوامر الواردة فيها كلاّ على ما لا يجب قطعا من الزيادات المستحبّة في التلبية أو التكرار المستحبّ أو نحر البدن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الإطلاقات استحباب الإجهار بها مطلقا ، إلاّ أنّ المستفاد من الأخبار الأخر اختصاصه لمن حجّ على طريق المدينة إن كان راكبا بما إذا علت البيداء ، لصحيحة عمر بن يزيد الأولى </w:t>
      </w:r>
      <w:r>
        <w:rPr>
          <w:rStyle w:val="FootnoteAnchor"/>
          <w:rtl w:val="true"/>
        </w:rPr>
        <w:footnoteReference w:id="1399"/>
      </w:r>
      <w:r>
        <w:rPr>
          <w:rFonts w:ascii="Amiri" w:hAnsi="Amiri" w:eastAsia="Amiri" w:cs="Amiri"/>
          <w:color w:val="111111"/>
          <w:sz w:val="28"/>
          <w:sz w:val="28"/>
          <w:szCs w:val="28"/>
          <w:rtl w:val="true"/>
          <w:lang w:bidi="ar-SA"/>
        </w:rPr>
        <w:t xml:space="preserve">، المتقدّمة في المسألة السابقة ، المحمولة على الاستحباب ، لتصريح غيرها بجواز الإجهار في المسجد مطلقا ، كصحيحة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للمتمتّع بالعمرة إلى الحجّ </w:t>
      </w:r>
    </w:p>
    <w:p>
      <w:pPr>
        <w:pStyle w:val="BookText"/>
        <w:rPr/>
      </w:pPr>
      <w:r>
        <w:rPr>
          <w:rFonts w:ascii="Amiri" w:hAnsi="Amiri" w:eastAsia="Amiri" w:cs="Amiri"/>
          <w:color w:val="111111"/>
          <w:sz w:val="28"/>
          <w:sz w:val="28"/>
          <w:szCs w:val="28"/>
          <w:rtl w:val="true"/>
          <w:lang w:bidi="ar-SA"/>
        </w:rPr>
        <w:t xml:space="preserve">أن يظهر التلبية في مسجد الشجرة؟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أحرم عن مكّة بما إذا أشرف على الأبطح ، لصحيحة ابن عمّار الثالثة المتقدّمة </w:t>
      </w:r>
      <w:r>
        <w:rPr>
          <w:rStyle w:val="FootnoteAnchor"/>
          <w:rtl w:val="true"/>
        </w:rPr>
        <w:footnoteReference w:id="1401"/>
      </w:r>
      <w:r>
        <w:rPr>
          <w:rFonts w:ascii="Amiri" w:hAnsi="Amiri" w:eastAsia="Amiri" w:cs="Amiri"/>
          <w:color w:val="111111"/>
          <w:sz w:val="28"/>
          <w:sz w:val="28"/>
          <w:szCs w:val="28"/>
          <w:rtl w:val="true"/>
          <w:lang w:bidi="ar-SA"/>
        </w:rPr>
        <w:t>في المقدّمة ، من غير فرق في ذلك بين الراكب والماشي ، لعدم فارق إلاّ في نفس التلبية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استحباب الجهر بها مخصوص بالرجال بلا خلاف ، للمستفيضة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فضالة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وضع عن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1403"/>
      </w:r>
      <w:r>
        <w:rPr>
          <w:rFonts w:ascii="Amiri" w:hAnsi="Amiri" w:eastAsia="Amiri" w:cs="Amiri"/>
          <w:color w:val="111111"/>
          <w:sz w:val="28"/>
          <w:sz w:val="28"/>
          <w:szCs w:val="28"/>
          <w:rtl w:val="true"/>
          <w:lang w:bidi="ar-SA"/>
        </w:rPr>
        <w:t>، وهي أيضا كسابقتها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الواجب هو التلبّي بما مرّ مرّة واحدة ، كما صرّح به في السرائر </w:t>
      </w:r>
      <w:r>
        <w:rPr>
          <w:rStyle w:val="FootnoteAnchor"/>
          <w:rtl w:val="true"/>
        </w:rPr>
        <w:footnoteReference w:id="1404"/>
      </w:r>
      <w:r>
        <w:rPr>
          <w:rFonts w:ascii="Amiri" w:hAnsi="Amiri" w:eastAsia="Amiri" w:cs="Amiri"/>
          <w:color w:val="111111"/>
          <w:sz w:val="28"/>
          <w:sz w:val="28"/>
          <w:szCs w:val="28"/>
          <w:rtl w:val="true"/>
          <w:lang w:bidi="ar-SA"/>
        </w:rPr>
        <w:t xml:space="preserve">، ويستحبّ تكرارها وإكثار القول بها إجماعا ، له ، 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ما استطعت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عمّار المتقدّمة في المسألة السابقة </w:t>
      </w:r>
      <w:r>
        <w:rPr>
          <w:rStyle w:val="FootnoteAnchor"/>
          <w:rtl w:val="true"/>
        </w:rPr>
        <w:footnoteReference w:id="1405"/>
      </w:r>
      <w:r>
        <w:rPr>
          <w:rFonts w:ascii="Amiri" w:hAnsi="Amiri" w:eastAsia="Amiri" w:cs="Amiri"/>
          <w:color w:val="111111"/>
          <w:sz w:val="28"/>
          <w:sz w:val="28"/>
          <w:szCs w:val="28"/>
          <w:rtl w:val="true"/>
          <w:lang w:bidi="ar-SA"/>
        </w:rPr>
        <w:t xml:space="preserve">، سيّما في المواضع العشرة المنصوصة في صحيحتي ابن عمّار وعمر المتقدّمتين في المسألة المذكورة </w:t>
      </w:r>
      <w:r>
        <w:rPr>
          <w:rStyle w:val="FootnoteAnchor"/>
          <w:rtl w:val="true"/>
        </w:rPr>
        <w:footnoteReference w:id="1406"/>
      </w:r>
      <w:r>
        <w:rPr>
          <w:rFonts w:ascii="Amiri" w:hAnsi="Amiri" w:eastAsia="Amiri" w:cs="Amiri"/>
          <w:color w:val="111111"/>
          <w:sz w:val="28"/>
          <w:sz w:val="28"/>
          <w:szCs w:val="28"/>
          <w:rtl w:val="true"/>
          <w:lang w:bidi="ar-SA"/>
        </w:rPr>
        <w:t xml:space="preserve">وفي رواية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لبّى في إحرامه سبعين مرّة إيمانا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واحتسابا أشهد اللّه له ألف ألف ملك ببراءة من النار وبراءة من النفاق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التكرار للمعتمر إلى أن يشاهد بيوت مكّة إجماعا محقّقا ومحكيّا </w:t>
      </w:r>
      <w:r>
        <w:rPr>
          <w:rStyle w:val="FootnoteAnchor"/>
          <w:rtl w:val="true"/>
        </w:rPr>
        <w:footnoteReference w:id="1408"/>
      </w:r>
      <w:r>
        <w:rPr>
          <w:rFonts w:ascii="Amiri" w:hAnsi="Amiri" w:eastAsia="Amiri" w:cs="Amiri"/>
          <w:color w:val="111111"/>
          <w:sz w:val="28"/>
          <w:sz w:val="28"/>
          <w:szCs w:val="28"/>
          <w:rtl w:val="true"/>
          <w:lang w:bidi="ar-SA"/>
        </w:rPr>
        <w:t xml:space="preserve">، للمستفيضة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مكّة وأنت متمتّع فنظرت إلى بيوت مكّة فاقطع التلبية ، وحدّ بيوت مكّة التي كانت قبل اليوم عقبة المدنيّين ، فاقطع التلبية وعليك بالتكبير والتهليل والتمجيد والثناء على اللّه عزّ وجلّ ما استطعت ، وإن كنت قارنا بالحجّ فلا تقطع التلبية حتى يوم عرفة عند زوال الشمس ، وإن كنت معتمرا فاقطع التلبية إذا دخلت الحرم </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 أبيات مكّة فاقطع التلبية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إذا نظر إلى بيوت مكّة قطع التلبية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يقطع التلبية؟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نظرت إلى أعراش مكّة ، عقبة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مكة؟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أعراش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بيوتها ، جمع عرش بالضمّ ، وقد يفتح أيضا ، وربّما </w:t>
      </w:r>
    </w:p>
    <w:p>
      <w:pPr>
        <w:pStyle w:val="BookText"/>
        <w:rPr/>
      </w:pPr>
      <w:r>
        <w:rPr>
          <w:rFonts w:ascii="Amiri" w:hAnsi="Amiri" w:eastAsia="Amiri" w:cs="Amiri"/>
          <w:color w:val="111111"/>
          <w:sz w:val="28"/>
          <w:sz w:val="28"/>
          <w:szCs w:val="28"/>
          <w:rtl w:val="true"/>
          <w:lang w:bidi="ar-SA"/>
        </w:rPr>
        <w:t>يخصّ بيوتها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تلبية المتعة متى يقطعها؟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بيوت مكّة ، ويقطع التلبية للحجّ عند زوال الشمس يوم عرفة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عليه ثلاثة أطواف بالبيت ، وطوافان بين الصفا والمروة ، وقطع التلبية من متعته إذا نظر إلى بيوت مكّة ، ويحرم بالحجّ يوم التروية ، ويقطع التلبية يوم عرفة حين تزول الشمس </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يمسك المتمتّع عن التلبية؟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البيوت ، بيوت مكّة لا بيوت الأبطح </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تلبية المتعة متى يقطع؟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يدخل الحرم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مطروحتان بالشذوذ ، أو الأولى محمولة على الإشراف والثانية على الجواز</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الأخبار المذكورة أنّ حدّ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ما كان من بيوت مكّة عرفا ، ولو اختلفت زيادة ونقصانا باختلاف الدهور والأعصار ، وتحديد بيوتها السابقة في الموثّقة بعقبة المدنيّين لا يدلّ على تحديد القطع أيضا بالبيوت السابقة ، إذ غايتها بيان البيوت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p>
    <w:p>
      <w:pPr>
        <w:pStyle w:val="BookText"/>
        <w:rPr/>
      </w:pPr>
      <w:r>
        <w:rPr>
          <w:rFonts w:ascii="Amiri" w:hAnsi="Amiri" w:eastAsia="Amiri" w:cs="Amiri"/>
          <w:color w:val="111111"/>
          <w:sz w:val="28"/>
          <w:sz w:val="28"/>
          <w:szCs w:val="28"/>
          <w:rtl w:val="true"/>
          <w:lang w:bidi="ar-SA"/>
        </w:rPr>
        <w:t xml:space="preserve">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لجواز أن يكون ذكرها بعد الأعراش لانتهاء البيوت في ذلك الزمان في تلك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حاجة إلى بيان حدود بيوت مكّة كما ارتكبه جمع من الفقهاء ، إلاّ أن يثبت الإجماع على وجوب التحديد بالقديم ، وحينئذ فيشكل الأمر ويحتاط بالقطع فيما يقطع أنّه لم يكن من مكّة سابقا ، ولكنّه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وللحاجّ مطلقا متمتّعا كان أو قارنا أو مفردا إلى زوال الشمس من يوم عرفة ، بلا خلاف يوجد ، للمستفيضة من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عمّار </w:t>
      </w:r>
      <w:r>
        <w:rPr>
          <w:rStyle w:val="FootnoteAnchor"/>
          <w:rtl w:val="true"/>
        </w:rPr>
        <w:footnoteReference w:id="1417"/>
      </w:r>
      <w:r>
        <w:rPr>
          <w:rFonts w:ascii="Amiri" w:hAnsi="Amiri" w:eastAsia="Amiri" w:cs="Amiri"/>
          <w:color w:val="111111"/>
          <w:sz w:val="28"/>
          <w:sz w:val="28"/>
          <w:szCs w:val="28"/>
          <w:rtl w:val="true"/>
          <w:lang w:bidi="ar-SA"/>
        </w:rPr>
        <w:t xml:space="preserve">، وصحيحة ابن مسكان ، وروايته ، المتقدّمة </w:t>
      </w:r>
      <w:r>
        <w:rPr>
          <w:rStyle w:val="FootnoteAnchor"/>
          <w:rtl w:val="true"/>
        </w:rPr>
        <w:footnoteReference w:id="1418"/>
      </w:r>
      <w:r>
        <w:rPr>
          <w:rFonts w:ascii="Amiri" w:hAnsi="Amiri" w:eastAsia="Amiri" w:cs="Amiri"/>
          <w:color w:val="111111"/>
          <w:sz w:val="28"/>
          <w:sz w:val="28"/>
          <w:szCs w:val="28"/>
          <w:rtl w:val="true"/>
          <w:lang w:bidi="ar-SA"/>
        </w:rPr>
        <w:t xml:space="preserve">، وموثّقة أخرى لابن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يوم عرفة فاقطع التلبية عند زوال الشمس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زاغت الشمس يوم عرفة فاقطع التلبية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وللمعتمر مفردا إلى أن يدخل الحرم مطلقا عند الشيخ في الجمل والإقتصاد </w:t>
      </w:r>
      <w:r>
        <w:rPr>
          <w:rStyle w:val="FootnoteAnchor"/>
          <w:rtl w:val="true"/>
        </w:rPr>
        <w:footnoteReference w:id="1421"/>
      </w:r>
      <w:r>
        <w:rPr>
          <w:rFonts w:ascii="Amiri" w:hAnsi="Amiri" w:eastAsia="Amiri" w:cs="Amiri"/>
          <w:color w:val="111111"/>
          <w:sz w:val="28"/>
          <w:sz w:val="28"/>
          <w:szCs w:val="28"/>
          <w:rtl w:val="true"/>
          <w:lang w:bidi="ar-SA"/>
        </w:rPr>
        <w:t xml:space="preserve">، بل المصباح ، ومختصره على ما قيل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ابن عمّار المتقدّمة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مكّة معتمرا فليقطع التلبية حين تضع الإبل أخفافها في الحرم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وبمضمونهما رواية مرازم </w:t>
      </w:r>
      <w:r>
        <w:rPr>
          <w:rStyle w:val="FootnoteAnchor"/>
          <w:rtl w:val="true"/>
        </w:rPr>
        <w:footnoteReference w:id="1425"/>
      </w:r>
      <w:r>
        <w:rPr>
          <w:rFonts w:ascii="Amiri" w:hAnsi="Amiri" w:eastAsia="Amiri" w:cs="Amiri"/>
          <w:color w:val="111111"/>
          <w:sz w:val="28"/>
          <w:sz w:val="28"/>
          <w:szCs w:val="28"/>
          <w:rtl w:val="true"/>
          <w:lang w:bidi="ar-SA"/>
        </w:rPr>
        <w:t xml:space="preserve">وزرارة </w:t>
      </w:r>
      <w:r>
        <w:rPr>
          <w:rStyle w:val="FootnoteAnchor"/>
          <w:rtl w:val="true"/>
        </w:rPr>
        <w:footnoteReference w:id="1426"/>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أن يشاهد الكعبة كذلك عند الحلبي على ما حكي عنه </w:t>
      </w:r>
      <w:r>
        <w:rPr>
          <w:rStyle w:val="FootnoteAnchor"/>
          <w:rtl w:val="true"/>
        </w:rPr>
        <w:footnoteReference w:id="1428"/>
      </w:r>
      <w:r>
        <w:rPr>
          <w:rFonts w:ascii="Amiri" w:hAnsi="Amiri" w:eastAsia="Amiri" w:cs="Amiri"/>
          <w:color w:val="111111"/>
          <w:sz w:val="28"/>
          <w:sz w:val="28"/>
          <w:szCs w:val="28"/>
          <w:rtl w:val="true"/>
          <w:lang w:bidi="ar-SA"/>
        </w:rPr>
        <w:t xml:space="preserve">، لصحيحة أخرى لعمر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خرج من مكّة يريد العمرة ثم دخل معتمرا لم يقطع التلبية حتى ينظر إلى الكعبة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الأول لمن أحرم من أحد المواقيت أو دويرة أهله ، أي كان خارجا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الثاني لمن خرج من مكّة للعمرة فاعتمر ورجع على المشهور عند الطائفة ، كما صرّح به بعض الأجلّة </w:t>
      </w:r>
      <w:r>
        <w:rPr>
          <w:rStyle w:val="FootnoteAnchor"/>
          <w:rtl w:val="true"/>
        </w:rPr>
        <w:footnoteReference w:id="1430"/>
      </w:r>
      <w:r>
        <w:rPr>
          <w:rFonts w:ascii="Amiri" w:hAnsi="Amiri" w:eastAsia="Amiri" w:cs="Amiri"/>
          <w:color w:val="111111"/>
          <w:sz w:val="28"/>
          <w:sz w:val="28"/>
          <w:szCs w:val="28"/>
          <w:rtl w:val="true"/>
          <w:lang w:bidi="ar-SA"/>
        </w:rPr>
        <w:t>، للجمع بين الصنفين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أيّهما شاء مخيّرا مطلقا عند الصدوق والشرائع والنافع والتنقيح </w:t>
      </w:r>
      <w:r>
        <w:rPr>
          <w:rStyle w:val="FootnoteAnchor"/>
          <w:rtl w:val="true"/>
        </w:rPr>
        <w:footnoteReference w:id="1431"/>
      </w:r>
      <w:r>
        <w:rPr>
          <w:rFonts w:ascii="Amiri" w:hAnsi="Amiri" w:eastAsia="Amiri" w:cs="Amiri"/>
          <w:color w:val="111111"/>
          <w:sz w:val="28"/>
          <w:sz w:val="28"/>
          <w:szCs w:val="28"/>
          <w:rtl w:val="true"/>
          <w:lang w:bidi="ar-SA"/>
        </w:rPr>
        <w:t>، للجمع أيضا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أحسن ، بل أقرب ، لأنّه مقتضى القاعدة المطردة من تخصيص </w:t>
      </w:r>
    </w:p>
    <w:p>
      <w:pPr>
        <w:pStyle w:val="BookText"/>
        <w:rPr/>
      </w:pPr>
      <w:r>
        <w:rPr>
          <w:rFonts w:ascii="Amiri" w:hAnsi="Amiri" w:eastAsia="Amiri" w:cs="Amiri"/>
          <w:color w:val="111111"/>
          <w:sz w:val="28"/>
          <w:sz w:val="28"/>
          <w:szCs w:val="28"/>
          <w:rtl w:val="true"/>
          <w:lang w:bidi="ar-SA"/>
        </w:rPr>
        <w:t>العامّ المطلق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أخبار أخر أيضا دالّة على القطع بالنظر إلى المسجد الحرام ، كصحيحة ابن عمّار </w:t>
      </w:r>
      <w:r>
        <w:rPr>
          <w:rStyle w:val="FootnoteAnchor"/>
          <w:rtl w:val="true"/>
        </w:rPr>
        <w:footnoteReference w:id="1432"/>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1433"/>
      </w:r>
      <w:r>
        <w:rPr>
          <w:rFonts w:ascii="Amiri" w:hAnsi="Amiri" w:eastAsia="Amiri" w:cs="Amiri"/>
          <w:color w:val="111111"/>
          <w:sz w:val="28"/>
          <w:sz w:val="28"/>
          <w:szCs w:val="28"/>
          <w:rtl w:val="true"/>
          <w:lang w:bidi="ar-SA"/>
        </w:rPr>
        <w:t xml:space="preserve">، أو عند بيوت ذي طوى ، كرواية أبي خالد </w:t>
      </w:r>
      <w:r>
        <w:rPr>
          <w:rStyle w:val="FootnoteAnchor"/>
          <w:rtl w:val="true"/>
        </w:rPr>
        <w:footnoteReference w:id="1434"/>
      </w:r>
      <w:r>
        <w:rPr>
          <w:rFonts w:ascii="Amiri" w:hAnsi="Amiri" w:eastAsia="Amiri" w:cs="Amiri"/>
          <w:color w:val="111111"/>
          <w:sz w:val="28"/>
          <w:sz w:val="28"/>
          <w:szCs w:val="28"/>
          <w:rtl w:val="true"/>
          <w:lang w:bidi="ar-SA"/>
        </w:rPr>
        <w:t xml:space="preserve">، أو إذا رأى بيوت ذي طوى ، كموثّقة يونس بن يعقوب </w:t>
      </w:r>
      <w:r>
        <w:rPr>
          <w:rStyle w:val="FootnoteAnchor"/>
          <w:rtl w:val="true"/>
        </w:rPr>
        <w:footnoteReference w:id="1435"/>
      </w:r>
      <w:r>
        <w:rPr>
          <w:rFonts w:ascii="Amiri" w:hAnsi="Amiri" w:eastAsia="Amiri" w:cs="Amiri"/>
          <w:color w:val="111111"/>
          <w:sz w:val="28"/>
          <w:sz w:val="28"/>
          <w:szCs w:val="28"/>
          <w:rtl w:val="true"/>
          <w:lang w:bidi="ar-SA"/>
        </w:rPr>
        <w:t xml:space="preserve">، أو حيال عقبة المدنيّين ، كرواية الفضيل </w:t>
      </w:r>
      <w:r>
        <w:rPr>
          <w:rStyle w:val="FootnoteAnchor"/>
          <w:rtl w:val="true"/>
        </w:rPr>
        <w:footnoteReference w:id="1436"/>
      </w:r>
      <w:r>
        <w:rPr>
          <w:rFonts w:ascii="Amiri" w:hAnsi="Amiri" w:eastAsia="Amiri" w:cs="Amiri"/>
          <w:color w:val="111111"/>
          <w:sz w:val="28"/>
          <w:sz w:val="28"/>
          <w:szCs w:val="28"/>
          <w:rtl w:val="true"/>
          <w:lang w:bidi="ar-SA"/>
        </w:rPr>
        <w:t>، ولكن لم يظهر بها عامل ، فرفع اليد عنها للشذوذ لازم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القطع في الموارد المذكورة على الوجوب ، وفاقا في الأول لظاهر الأكثر ، بل عن الخلاف الإجماع عليه </w:t>
      </w:r>
      <w:r>
        <w:rPr>
          <w:rStyle w:val="FootnoteAnchor"/>
          <w:rtl w:val="true"/>
        </w:rPr>
        <w:footnoteReference w:id="1437"/>
      </w:r>
      <w:r>
        <w:rPr>
          <w:rFonts w:ascii="Amiri" w:hAnsi="Amiri" w:eastAsia="Amiri" w:cs="Amiri"/>
          <w:color w:val="111111"/>
          <w:sz w:val="28"/>
          <w:sz w:val="28"/>
          <w:szCs w:val="28"/>
          <w:rtl w:val="true"/>
          <w:lang w:bidi="ar-SA"/>
        </w:rPr>
        <w:t xml:space="preserve">، وفي الثاني لوالد الصدوق والشيخ والوسيلة والمفاتيح </w:t>
      </w:r>
      <w:r>
        <w:rPr>
          <w:rStyle w:val="FootnoteAnchor"/>
          <w:rtl w:val="true"/>
        </w:rPr>
        <w:footnoteReference w:id="1438"/>
      </w:r>
      <w:r>
        <w:rPr>
          <w:rFonts w:ascii="Amiri" w:hAnsi="Amiri" w:eastAsia="Amiri" w:cs="Amiri"/>
          <w:color w:val="111111"/>
          <w:sz w:val="28"/>
          <w:sz w:val="28"/>
          <w:szCs w:val="28"/>
          <w:rtl w:val="true"/>
          <w:lang w:bidi="ar-SA"/>
        </w:rPr>
        <w:t xml:space="preserve">وشرحه ، واستحسنه في المدارك </w:t>
      </w:r>
      <w:r>
        <w:rPr>
          <w:rStyle w:val="FootnoteAnchor"/>
          <w:rtl w:val="true"/>
        </w:rPr>
        <w:footnoteReference w:id="1439"/>
      </w:r>
      <w:r>
        <w:rPr>
          <w:rFonts w:ascii="Amiri" w:hAnsi="Amiri" w:eastAsia="Amiri" w:cs="Amiri"/>
          <w:color w:val="111111"/>
          <w:sz w:val="28"/>
          <w:sz w:val="28"/>
          <w:szCs w:val="28"/>
          <w:rtl w:val="true"/>
          <w:lang w:bidi="ar-SA"/>
        </w:rPr>
        <w:t xml:space="preserve">، بل محتمل الأكثر كما قيل </w:t>
      </w:r>
      <w:r>
        <w:rPr>
          <w:rStyle w:val="FootnoteAnchor"/>
          <w:rtl w:val="true"/>
        </w:rPr>
        <w:footnoteReference w:id="1440"/>
      </w:r>
      <w:r>
        <w:rPr>
          <w:rFonts w:ascii="Amiri" w:hAnsi="Amiri" w:eastAsia="Amiri" w:cs="Amiri"/>
          <w:color w:val="111111"/>
          <w:sz w:val="28"/>
          <w:sz w:val="28"/>
          <w:szCs w:val="28"/>
          <w:rtl w:val="true"/>
          <w:lang w:bidi="ar-SA"/>
        </w:rPr>
        <w:t xml:space="preserve">، وفي الثالث لظاهر الأكثر وصريح بعضهم </w:t>
      </w:r>
      <w:r>
        <w:rPr>
          <w:rStyle w:val="FootnoteAnchor"/>
          <w:rtl w:val="true"/>
        </w:rPr>
        <w:footnoteReference w:id="1441"/>
      </w:r>
      <w:r>
        <w:rPr>
          <w:rFonts w:ascii="Amiri" w:hAnsi="Amiri" w:eastAsia="Amiri" w:cs="Amiri"/>
          <w:color w:val="111111"/>
          <w:sz w:val="28"/>
          <w:sz w:val="28"/>
          <w:szCs w:val="28"/>
          <w:rtl w:val="true"/>
          <w:lang w:bidi="ar-SA"/>
        </w:rPr>
        <w:t>، كلّ ذلك لظاهر الأوامر الخالية عن المعارض</w:t>
      </w:r>
      <w:r>
        <w:rPr>
          <w:rFonts w:eastAsia="Amiri" w:cs="Amiri" w:ascii="Amiri" w:hAnsi="Amiri"/>
          <w:color w:val="111111"/>
          <w:sz w:val="28"/>
          <w:szCs w:val="28"/>
          <w:rtl w:val="true"/>
          <w:lang w:bidi="ar-SA"/>
        </w:rPr>
        <w:t xml:space="preserve">. </w:t>
      </w:r>
      <w:bookmarkStart w:id="188" w:name="pg11651_107927"/>
    </w:p>
    <w:p>
      <w:pPr>
        <w:pStyle w:val="Heading6"/>
        <w:numPr>
          <w:ilvl w:val="5"/>
          <w:numId w:val="1"/>
        </w:numPr>
        <w:rPr/>
      </w:pPr>
      <w:bookmarkStart w:id="189" w:name="__RefHeading___Toc6172046_73709187"/>
      <w:bookmarkStart w:id="190" w:name="_Toc70"/>
      <w:bookmarkEnd w:id="188"/>
      <w:bookmarkEnd w:id="189"/>
      <w:r>
        <w:rPr>
          <w:rtl w:val="true"/>
        </w:rPr>
        <w:t xml:space="preserve">البحث الثالث </w:t>
      </w:r>
      <w:r>
        <w:rPr>
          <w:rtl w:val="true"/>
        </w:rPr>
        <w:t xml:space="preserve">: </w:t>
      </w:r>
      <w:r>
        <w:rPr>
          <w:rtl w:val="true"/>
        </w:rPr>
        <w:t>في بعض الأحكام المتعلّقة بالإحرام</w:t>
      </w:r>
      <w:bookmarkEnd w:id="190"/>
    </w:p>
    <w:p>
      <w:pPr>
        <w:pStyle w:val="BookText"/>
        <w:rPr/>
      </w:pPr>
      <w:r>
        <w:rPr>
          <w:rFonts w:ascii="Amiri" w:hAnsi="Amiri" w:eastAsia="Amiri" w:cs="Amiri"/>
          <w:color w:val="111111"/>
          <w:sz w:val="28"/>
          <w:sz w:val="28"/>
          <w:szCs w:val="28"/>
          <w:rtl w:val="true"/>
          <w:lang w:bidi="ar-SA"/>
        </w:rPr>
        <w:t xml:space="preserve">وفيه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إحرام مع إحرام عمدا ، أي لا ينعقد إحرام عمدا ما لم يتحلّل عن الإحرام الأول ، لأصالة عدم المشروعيّة ، واختصاص إطلاقات كلّ إحرام بغير المحرم ، فإنّها كلّها واردة في إحرام المحلّ ، ولم يشرّع إحرام مع آخر ، فهو كالإحرام لصلاة قبل الخروج عن الأخرى ، ومع ذلك هو موضع وفاق كما حكي عن ظاهر المنتهى </w:t>
      </w:r>
      <w:r>
        <w:rPr>
          <w:rStyle w:val="FootnoteAnchor"/>
          <w:rtl w:val="true"/>
        </w:rPr>
        <w:footnoteReference w:id="1442"/>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أعرف فيه خلافا بين الأصحاب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أحرم أحد قبل التحلّل عن الآخر بطل الثاني ويمضي على الأول مطلقا عمدا كان ذلك أو نسيانا ، فهو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أحرم المتمتّع بالحجّ قبل تمام العمرة يلزمه أن يكون إحرامه بالحجّ باطلا ويمضي على عمرته ، فإذا تمّت يحرم للحجّ ثانيا إن كان وقته باقيا ، وتصير عمرته حجّة مفردة إن لم يكن باقيا وكان إحرامه للحجّ عمدا ، إذ مع النسيان له إنشاء إحرامه متى يذكر ، كما مرّ في آخر بحث المواقيت ، فإنّ ذلك بعينه هو من ترك الإحرام نسيانا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قالوا في متمتّع أحرم بالحجّ قبل التقصير للعمرة بصحّة عمرته </w:t>
      </w:r>
    </w:p>
    <w:p>
      <w:pPr>
        <w:pStyle w:val="BookText"/>
        <w:rPr/>
      </w:pPr>
      <w:r>
        <w:rPr>
          <w:rFonts w:ascii="Amiri" w:hAnsi="Amiri" w:eastAsia="Amiri" w:cs="Amiri"/>
          <w:color w:val="111111"/>
          <w:sz w:val="28"/>
          <w:sz w:val="28"/>
          <w:szCs w:val="28"/>
          <w:rtl w:val="true"/>
          <w:lang w:bidi="ar-SA"/>
        </w:rPr>
        <w:t xml:space="preserve">وصحّة إحرامه للحجّ إن كان ذلك نسيانا منه </w:t>
      </w:r>
      <w:r>
        <w:rPr>
          <w:rStyle w:val="FootnoteAnchor"/>
          <w:rtl w:val="true"/>
        </w:rPr>
        <w:footnoteReference w:id="1444"/>
      </w:r>
      <w:r>
        <w:rPr>
          <w:rFonts w:ascii="Amiri" w:hAnsi="Amiri" w:eastAsia="Amiri" w:cs="Amiri"/>
          <w:color w:val="111111"/>
          <w:sz w:val="28"/>
          <w:sz w:val="28"/>
          <w:szCs w:val="28"/>
          <w:rtl w:val="true"/>
          <w:lang w:bidi="ar-SA"/>
        </w:rPr>
        <w:t xml:space="preserve">، وادّعي عدم الخلاف فيه في التنقيح والذخيرة والكفاية </w:t>
      </w:r>
      <w:r>
        <w:rPr>
          <w:rStyle w:val="FootnoteAnchor"/>
          <w:rtl w:val="true"/>
        </w:rPr>
        <w:footnoteReference w:id="1445"/>
      </w:r>
      <w:r>
        <w:rPr>
          <w:rFonts w:ascii="Amiri" w:hAnsi="Amiri" w:eastAsia="Amiri" w:cs="Amiri"/>
          <w:color w:val="111111"/>
          <w:sz w:val="28"/>
          <w:sz w:val="28"/>
          <w:szCs w:val="28"/>
          <w:rtl w:val="true"/>
          <w:lang w:bidi="ar-SA"/>
        </w:rPr>
        <w:t xml:space="preserve">، بل عن المختلف دعوى الإجماع عليه </w:t>
      </w:r>
      <w:r>
        <w:rPr>
          <w:rStyle w:val="FootnoteAnchor"/>
          <w:rtl w:val="true"/>
        </w:rPr>
        <w:footnoteReference w:id="1446"/>
      </w:r>
      <w:r>
        <w:rPr>
          <w:rFonts w:ascii="Amiri" w:hAnsi="Amiri" w:eastAsia="Amiri" w:cs="Amiri"/>
          <w:color w:val="111111"/>
          <w:sz w:val="28"/>
          <w:sz w:val="28"/>
          <w:szCs w:val="28"/>
          <w:rtl w:val="true"/>
          <w:lang w:bidi="ar-SA"/>
        </w:rPr>
        <w:t xml:space="preserve">، وهو كذلك أيضا ، لصحاح ابن سنان وابن عمّار والبجلي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متمتّع نسي أن يقصّر حتى أحرم بالحجّ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يستغفر اللّه ولا شي‌ء عليه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بالعمرة ونسي أن يقصّر حتى دخل في 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يستغفر اللّه ولا شي‌ء عليه وتمت عمرته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إلى الحجّ فدخل مكّة فطاف وسعى ولبس ثيابه وأحلّ ونسي أن يقصّر حتى خرج إلى عرفات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يبني على العمرة وطوافها ، وطواف الحجّ على أثره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مخالفة هذا الحكم للأصل السابق إنّما هو إذا قلنا بكون التقصير أيضا جزءا من أفعال العمرة ومنسكا من نسكه ، كما هو الظاهر من جماعة </w:t>
      </w:r>
      <w:r>
        <w:rPr>
          <w:rStyle w:val="FootnoteAnchor"/>
          <w:rtl w:val="true"/>
        </w:rPr>
        <w:footnoteReference w:id="1450"/>
      </w:r>
      <w:r>
        <w:rPr>
          <w:rFonts w:ascii="Amiri" w:hAnsi="Amiri" w:eastAsia="Amiri" w:cs="Amiri"/>
          <w:color w:val="111111"/>
          <w:sz w:val="28"/>
          <w:sz w:val="28"/>
          <w:szCs w:val="28"/>
          <w:rtl w:val="true"/>
          <w:lang w:bidi="ar-SA"/>
        </w:rPr>
        <w:t xml:space="preserve">، بل في المنتهى الإجماع عليه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لو لم نقل بكونه جزءا منها ، بل نجعله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المدارك والذخيرة عن بعضهم </w:t>
      </w:r>
      <w:r>
        <w:rPr>
          <w:rStyle w:val="FootnoteAnchor"/>
          <w:rtl w:val="true"/>
        </w:rPr>
        <w:footnoteReference w:id="1452"/>
      </w:r>
      <w:r>
        <w:rPr>
          <w:rFonts w:ascii="Amiri" w:hAnsi="Amiri" w:eastAsia="Amiri" w:cs="Amiri"/>
          <w:color w:val="111111"/>
          <w:sz w:val="28"/>
          <w:sz w:val="28"/>
          <w:szCs w:val="28"/>
          <w:rtl w:val="true"/>
          <w:lang w:bidi="ar-SA"/>
        </w:rPr>
        <w:t xml:space="preserve">، وتشعر به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قضيت نسكي للعمرة أتيت أهلي ولم أقصّر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53"/>
      </w:r>
      <w:r>
        <w:rPr>
          <w:rFonts w:ascii="Amiri" w:hAnsi="Amiri" w:eastAsia="Amiri" w:cs="Amiri"/>
          <w:color w:val="111111"/>
          <w:sz w:val="28"/>
          <w:sz w:val="28"/>
          <w:szCs w:val="28"/>
          <w:rtl w:val="true"/>
          <w:lang w:bidi="ar-SA"/>
        </w:rPr>
        <w:t xml:space="preserve">، بل تشعر به المستفيضة الواردة في بيان أصناف الحجّ ، المتضمّنة 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المتمتّع بالعمرة إلى الحجّ ثلاثة أطواف وسعيان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يقصّر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مخالفا للأصل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بعدم المخالفة مع الجزئيّة أيضا ، إذ لم يصرّح في الأخبار ولم ينصّ أحد من الأصحاب بصحّة هذا الإحرام للحجّ ، غاية الأمر عدم التعرّض للإحرام له ثانيا ، ويمكن أن يكون ذلك لكفاية نيّته المستدامة حكما ، كما تستأنس له مرسلة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أن يحرم أو جهل وقد شهد المناسك كلّها وطاف وسعى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تجزئه نيّته إذا كان قد نوى ذلك ، فقد تمّ حجّه وإن لم يهلّ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يجب على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تقديم الإحرام على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يهريقه ، وفاقا للشيخ في كتبه </w:t>
      </w:r>
      <w:r>
        <w:rPr>
          <w:rStyle w:val="FootnoteAnchor"/>
          <w:rtl w:val="true"/>
        </w:rPr>
        <w:footnoteReference w:id="1456"/>
      </w:r>
      <w:r>
        <w:rPr>
          <w:rStyle w:val="FootnoteAnchor"/>
          <w:rtl w:val="true"/>
        </w:rPr>
        <w:footnoteReference w:id="1457"/>
      </w:r>
      <w:r>
        <w:rPr>
          <w:rFonts w:ascii="Amiri" w:hAnsi="Amiri" w:eastAsia="Amiri" w:cs="Amiri"/>
          <w:color w:val="111111"/>
          <w:sz w:val="28"/>
          <w:sz w:val="28"/>
          <w:szCs w:val="28"/>
          <w:rtl w:val="true"/>
          <w:lang w:bidi="ar-SA"/>
        </w:rPr>
        <w:t xml:space="preserve">، والقاضي وابني زهرة وحمزة </w:t>
      </w:r>
      <w:r>
        <w:rPr>
          <w:rStyle w:val="FootnoteAnchor"/>
          <w:rtl w:val="true"/>
        </w:rPr>
        <w:footnoteReference w:id="145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وبعض آخر </w:t>
      </w:r>
      <w:r>
        <w:rPr>
          <w:rStyle w:val="FootnoteAnchor"/>
          <w:rtl w:val="true"/>
        </w:rPr>
        <w:footnoteReference w:id="1459"/>
      </w:r>
      <w:r>
        <w:rPr>
          <w:rFonts w:ascii="Amiri" w:hAnsi="Amiri" w:eastAsia="Amiri" w:cs="Amiri"/>
          <w:color w:val="111111"/>
          <w:sz w:val="28"/>
          <w:sz w:val="28"/>
          <w:szCs w:val="28"/>
          <w:rtl w:val="true"/>
          <w:lang w:bidi="ar-SA"/>
        </w:rPr>
        <w:t xml:space="preserve">، لموثّقة إسحاق الصحيحة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يتمتّع فنسي أن يقصّر حتى يهلّ بالحجّ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يهريقه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ينافيها ما تقدّم ، لكونه عامّا مطلقا فيجب تخصيصه ، وهو أولى من الجمع بينهما بحمل الموثّقة على الاستحباب </w:t>
      </w:r>
      <w:r>
        <w:rPr>
          <w:rStyle w:val="FootnoteAnchor"/>
          <w:rtl w:val="true"/>
        </w:rPr>
        <w:footnoteReference w:id="1461"/>
      </w:r>
      <w:r>
        <w:rPr>
          <w:rFonts w:ascii="Amiri" w:hAnsi="Amiri" w:eastAsia="Amiri" w:cs="Amiri"/>
          <w:color w:val="111111"/>
          <w:sz w:val="28"/>
          <w:sz w:val="28"/>
          <w:szCs w:val="28"/>
          <w:rtl w:val="true"/>
          <w:lang w:bidi="ar-SA"/>
        </w:rPr>
        <w:t>، لتقدّم هذا التخصيص على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تقديم الإحرام منه على التقصير عمدا فحكم الحلّي صريحا </w:t>
      </w:r>
      <w:r>
        <w:rPr>
          <w:rStyle w:val="FootnoteAnchor"/>
          <w:rtl w:val="true"/>
        </w:rPr>
        <w:footnoteReference w:id="1462"/>
      </w:r>
      <w:r>
        <w:rPr>
          <w:rFonts w:ascii="Amiri" w:hAnsi="Amiri" w:eastAsia="Amiri" w:cs="Amiri"/>
          <w:color w:val="111111"/>
          <w:sz w:val="28"/>
          <w:sz w:val="28"/>
          <w:szCs w:val="28"/>
          <w:rtl w:val="true"/>
          <w:lang w:bidi="ar-SA"/>
        </w:rPr>
        <w:t xml:space="preserve">وجماعة </w:t>
      </w:r>
      <w:r>
        <w:rPr>
          <w:rStyle w:val="FootnoteAnchor"/>
          <w:rtl w:val="true"/>
        </w:rPr>
        <w:footnoteReference w:id="1463"/>
      </w:r>
      <w:r>
        <w:rPr>
          <w:rFonts w:ascii="Amiri" w:hAnsi="Amiri" w:eastAsia="Amiri" w:cs="Amiri"/>
          <w:color w:val="111111"/>
          <w:sz w:val="28"/>
          <w:sz w:val="28"/>
          <w:szCs w:val="28"/>
          <w:rtl w:val="true"/>
          <w:lang w:bidi="ar-SA"/>
        </w:rPr>
        <w:t>بعده ميلا ببطلان الإحرام الثاني وبقائه على عمرته كما هو مقتضى الأصل ، للأصل وضعف سند المعارض إن قلنا بكون التقصير جزءا ، وإلاّ فيكون البقاء على العمرة موافقا للأصل ، وبطلان الإحرام مخالفا له خاليا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خالف جماعة فيه الأصل ، وقالوا ببطلان عمرته وصيرورة حجّه بذلك مفردا ، فيكمله ثم يعتمر بعد عمرة مفردة ، ولعلّه الأشهر كما عن الدروس والمسالك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له بموثّقة أبي بصير الصحيحة عمّن أجمعت العصابة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إذا طاف وسعى ثم لبّى قبل أن يقصّر فليس له أن يقصّر وليس </w:t>
      </w:r>
    </w:p>
    <w:p>
      <w:pPr>
        <w:pStyle w:val="BookText"/>
        <w:rPr/>
      </w:pPr>
      <w:r>
        <w:rPr>
          <w:rFonts w:ascii="Amiri" w:hAnsi="Amiri" w:eastAsia="Amiri" w:cs="Amiri"/>
          <w:color w:val="111111"/>
          <w:sz w:val="28"/>
          <w:sz w:val="28"/>
          <w:szCs w:val="28"/>
          <w:rtl w:val="true"/>
          <w:lang w:bidi="ar-SA"/>
        </w:rPr>
        <w:t xml:space="preserve">له متعة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طاف ثم أهلّ بالحجّ قبل أن يقصّر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متعته ، وهي حجّة مبتولة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وحملهما على متمتّع عدل إليه عن الإفراد ثم لبّى بعد السعي قبل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w:t>
      </w:r>
      <w:r>
        <w:rPr>
          <w:rStyle w:val="FootnoteAnchor"/>
          <w:rtl w:val="true"/>
        </w:rPr>
        <w:footnoteReference w:id="1467"/>
      </w:r>
      <w:r>
        <w:rPr>
          <w:rFonts w:ascii="Amiri" w:hAnsi="Amiri" w:eastAsia="Amiri" w:cs="Amiri"/>
          <w:color w:val="111111"/>
          <w:sz w:val="28"/>
          <w:sz w:val="28"/>
          <w:szCs w:val="28"/>
          <w:rtl w:val="true"/>
          <w:lang w:bidi="ar-SA"/>
        </w:rPr>
        <w:t xml:space="preserve">، ووردت به رواية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 ، مخالف للإطلاق الخالي عن المقيّد ، وورود رواية بذلك في العادل لا توجب تقييد ذلك الإطلاق ، لعدم التلازم والداعي ، بل قد يقال بكون صدق المتمتّع على ذلك العادل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ظاهر ، لحصول مبدأ الاشتقاق فيه حالا وماضيا بعد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إطلاق الموثّقة والرواية بالنسبة إلى العمد والنسيان ، لخروج الثاني عنهما بالصحاح المتقدّمة </w:t>
      </w:r>
      <w:r>
        <w:rPr>
          <w:rStyle w:val="FootnoteAnchor"/>
          <w:rtl w:val="true"/>
        </w:rPr>
        <w:footnoteReference w:id="1469"/>
      </w:r>
      <w:r>
        <w:rPr>
          <w:rFonts w:ascii="Amiri" w:hAnsi="Amiri" w:eastAsia="Amiri" w:cs="Amiri"/>
          <w:color w:val="111111"/>
          <w:sz w:val="28"/>
          <w:sz w:val="28"/>
          <w:szCs w:val="28"/>
          <w:rtl w:val="true"/>
          <w:lang w:bidi="ar-SA"/>
        </w:rPr>
        <w:t>، التي هي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ضعف سند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الأولى سندا ، ومع ذلك انجبرتا بالشهرة المحكيّة ، فالحكم بمضمونهما متعيّن وإن كان للأصل المتقدّم مخالف ، ولكنّ الخروج عنه مع الدليل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 كالعامد ، للإطلاق الخالي عن المقيّد في غير الناسي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يجزئ ذلك عن فرضه لو كان الحجّ عليه واجبا ، أم لا؟ </w:t>
      </w:r>
    </w:p>
    <w:p>
      <w:pPr>
        <w:pStyle w:val="BookText"/>
        <w:rPr/>
      </w:pPr>
      <w:r>
        <w:rPr>
          <w:rFonts w:ascii="Amiri" w:hAnsi="Amiri" w:eastAsia="Amiri" w:cs="Amiri"/>
          <w:color w:val="111111"/>
          <w:sz w:val="28"/>
          <w:sz w:val="28"/>
          <w:szCs w:val="28"/>
          <w:rtl w:val="true"/>
          <w:lang w:bidi="ar-SA"/>
        </w:rPr>
        <w:t xml:space="preserve">فيه وجهان ، أقربهما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وفاقا للروضة والمسالك </w:t>
      </w:r>
      <w:r>
        <w:rPr>
          <w:rStyle w:val="FootnoteAnchor"/>
          <w:rtl w:val="true"/>
        </w:rPr>
        <w:footnoteReference w:id="1470"/>
      </w:r>
      <w:r>
        <w:rPr>
          <w:rFonts w:ascii="Amiri" w:hAnsi="Amiri" w:eastAsia="Amiri" w:cs="Amiri"/>
          <w:color w:val="111111"/>
          <w:sz w:val="28"/>
          <w:sz w:val="28"/>
          <w:szCs w:val="28"/>
          <w:rtl w:val="true"/>
          <w:lang w:bidi="ar-SA"/>
        </w:rPr>
        <w:t xml:space="preserve">، واحتمله في المدارك </w:t>
      </w:r>
      <w:r>
        <w:rPr>
          <w:rStyle w:val="FootnoteAnchor"/>
          <w:rtl w:val="true"/>
        </w:rPr>
        <w:footnoteReference w:id="1471"/>
      </w:r>
      <w:r>
        <w:rPr>
          <w:rFonts w:ascii="Amiri" w:hAnsi="Amiri" w:eastAsia="Amiri" w:cs="Amiri"/>
          <w:color w:val="111111"/>
          <w:sz w:val="28"/>
          <w:sz w:val="28"/>
          <w:szCs w:val="28"/>
          <w:rtl w:val="true"/>
          <w:lang w:bidi="ar-SA"/>
        </w:rPr>
        <w:t>، لعدم إتيانه بالمأمور به على وجهه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بالأول </w:t>
      </w:r>
      <w:r>
        <w:rPr>
          <w:rStyle w:val="FootnoteAnchor"/>
          <w:rtl w:val="true"/>
        </w:rPr>
        <w:footnoteReference w:id="1472"/>
      </w:r>
      <w:r>
        <w:rPr>
          <w:rFonts w:ascii="Amiri" w:hAnsi="Amiri" w:eastAsia="Amiri" w:cs="Amiri"/>
          <w:color w:val="111111"/>
          <w:sz w:val="28"/>
          <w:sz w:val="28"/>
          <w:szCs w:val="28"/>
          <w:rtl w:val="true"/>
          <w:lang w:bidi="ar-SA"/>
        </w:rPr>
        <w:t>، لخلوّ النصوص عن الأمر بالإعادة مع ورودها في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في محلّ الحاجة ، مع أنّ الأمر بفرضه كاف عن الأمر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الصبيّ وحجّه كغيره ، إلاّ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ميقاته في غير حجّ التمتّع ، وأمّا فيه فكغيره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الكفّارة والهدي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فخّ ، وهو بئر معروف على نحو فرسخ من مكّة ، كما ذكره جماعة </w:t>
      </w:r>
      <w:r>
        <w:rPr>
          <w:rStyle w:val="FootnoteAnchor"/>
          <w:rtl w:val="true"/>
        </w:rPr>
        <w:footnoteReference w:id="1473"/>
      </w:r>
      <w:r>
        <w:rPr>
          <w:rFonts w:ascii="Amiri" w:hAnsi="Amiri" w:eastAsia="Amiri" w:cs="Amiri"/>
          <w:color w:val="111111"/>
          <w:sz w:val="28"/>
          <w:sz w:val="28"/>
          <w:szCs w:val="28"/>
          <w:rtl w:val="true"/>
          <w:lang w:bidi="ar-SA"/>
        </w:rPr>
        <w:t xml:space="preserve">، 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بمكّة </w:t>
      </w:r>
      <w:r>
        <w:rPr>
          <w:rStyle w:val="FootnoteAnchor"/>
          <w:rtl w:val="true"/>
        </w:rPr>
        <w:footnoteReference w:id="1474"/>
      </w:r>
      <w:r>
        <w:rPr>
          <w:rFonts w:ascii="Amiri" w:hAnsi="Amiri" w:eastAsia="Amiri" w:cs="Amiri"/>
          <w:color w:val="111111"/>
          <w:sz w:val="28"/>
          <w:sz w:val="28"/>
          <w:szCs w:val="28"/>
          <w:rtl w:val="true"/>
          <w:lang w:bidi="ar-SA"/>
        </w:rPr>
        <w:t xml:space="preserve">، وعن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عندها </w:t>
      </w:r>
      <w:r>
        <w:rPr>
          <w:rStyle w:val="FootnoteAnchor"/>
          <w:rtl w:val="true"/>
        </w:rPr>
        <w:footnoteReference w:id="1475"/>
      </w:r>
      <w:r>
        <w:rPr>
          <w:rFonts w:ascii="Amiri" w:hAnsi="Amiri" w:eastAsia="Amiri" w:cs="Amiri"/>
          <w:color w:val="111111"/>
          <w:sz w:val="28"/>
          <w:sz w:val="28"/>
          <w:szCs w:val="28"/>
          <w:rtl w:val="true"/>
          <w:lang w:bidi="ar-SA"/>
        </w:rPr>
        <w:t>، ويمكن إرجاع الجميع إلى واحد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وبكونه ميقاتا له أفتى في المعتبر والمنتهى والتحرير والدروس والمسالك </w:t>
      </w:r>
      <w:r>
        <w:rPr>
          <w:rStyle w:val="FootnoteAnchor"/>
          <w:rtl w:val="true"/>
        </w:rPr>
        <w:footnoteReference w:id="1476"/>
      </w:r>
      <w:r>
        <w:rPr>
          <w:rFonts w:ascii="Amiri" w:hAnsi="Amiri" w:eastAsia="Amiri" w:cs="Amiri"/>
          <w:color w:val="111111"/>
          <w:sz w:val="28"/>
          <w:sz w:val="28"/>
          <w:szCs w:val="28"/>
          <w:rtl w:val="true"/>
          <w:lang w:bidi="ar-SA"/>
        </w:rPr>
        <w:t xml:space="preserve">، وجعل الأخير الإحرام عن الميقات أولى ، وتبعه في الجواز </w:t>
      </w:r>
    </w:p>
    <w:p>
      <w:pPr>
        <w:pStyle w:val="BookText"/>
        <w:rPr/>
      </w:pPr>
      <w:r>
        <w:rPr>
          <w:rFonts w:ascii="Amiri" w:hAnsi="Amiri" w:eastAsia="Amiri" w:cs="Amiri"/>
          <w:color w:val="111111"/>
          <w:sz w:val="28"/>
          <w:sz w:val="28"/>
          <w:szCs w:val="28"/>
          <w:rtl w:val="true"/>
          <w:lang w:bidi="ar-SA"/>
        </w:rPr>
        <w:t xml:space="preserve">جماعة من المتأخّرين </w:t>
      </w:r>
      <w:r>
        <w:rPr>
          <w:rStyle w:val="FootnoteAnchor"/>
          <w:rtl w:val="true"/>
        </w:rPr>
        <w:footnoteReference w:id="1477"/>
      </w:r>
      <w:r>
        <w:rPr>
          <w:rFonts w:ascii="Amiri" w:hAnsi="Amiri" w:eastAsia="Amiri" w:cs="Amiri"/>
          <w:color w:val="111111"/>
          <w:sz w:val="28"/>
          <w:sz w:val="28"/>
          <w:szCs w:val="28"/>
          <w:rtl w:val="true"/>
          <w:lang w:bidi="ar-SA"/>
        </w:rPr>
        <w:t xml:space="preserve">، ونسبه بعضهم إلى الأكثر </w:t>
      </w:r>
      <w:r>
        <w:rPr>
          <w:rStyle w:val="FootnoteAnchor"/>
          <w:rtl w:val="true"/>
        </w:rPr>
        <w:footnoteReference w:id="1478"/>
      </w:r>
      <w:r>
        <w:rPr>
          <w:rFonts w:ascii="Amiri" w:hAnsi="Amiri" w:eastAsia="Amiri" w:cs="Amiri"/>
          <w:color w:val="111111"/>
          <w:sz w:val="28"/>
          <w:sz w:val="28"/>
          <w:szCs w:val="28"/>
          <w:rtl w:val="true"/>
          <w:lang w:bidi="ar-SA"/>
        </w:rPr>
        <w:t xml:space="preserve">، بل يشير كلام المفاتيح بعدم الخلاف فيه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على جواز التأخير إليه بصحيحة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يجرّد الصبيان؟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يجرّدهم من فخّ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 ونحوها صحيحة أيّوب بن الحرّ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جوازه من الميقات بصحيحة ابن عمّار </w:t>
      </w:r>
      <w:r>
        <w:rPr>
          <w:rStyle w:val="FootnoteAnchor"/>
          <w:rtl w:val="true"/>
        </w:rPr>
        <w:footnoteReference w:id="1482"/>
      </w:r>
      <w:r>
        <w:rPr>
          <w:rFonts w:ascii="Amiri" w:hAnsi="Amiri" w:eastAsia="Amiri" w:cs="Amiri"/>
          <w:color w:val="111111"/>
          <w:sz w:val="28"/>
          <w:sz w:val="28"/>
          <w:szCs w:val="28"/>
          <w:rtl w:val="true"/>
          <w:lang w:bidi="ar-SA"/>
        </w:rPr>
        <w:t>المتقدّمة في أول الكتاب عند بيان اشتراط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قصور الدلالة على الإحرام ، فإنّه غير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الميقات وإن جاز تأخير نزع المخيط والثياب عنه إلى فخّ ، وهو المنقول عن الحلّي والمحقّق الثاني </w:t>
      </w:r>
      <w:r>
        <w:rPr>
          <w:rStyle w:val="FootnoteAnchor"/>
          <w:rtl w:val="true"/>
        </w:rPr>
        <w:footnoteReference w:id="1483"/>
      </w:r>
      <w:r>
        <w:rPr>
          <w:rFonts w:ascii="Amiri" w:hAnsi="Amiri" w:eastAsia="Amiri" w:cs="Amiri"/>
          <w:color w:val="111111"/>
          <w:sz w:val="28"/>
          <w:sz w:val="28"/>
          <w:szCs w:val="28"/>
          <w:rtl w:val="true"/>
          <w:lang w:bidi="ar-SA"/>
        </w:rPr>
        <w:t xml:space="preserve">، وجعله في التنقيح مراد المصنّف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بينهما بعض الأجلّة </w:t>
      </w:r>
      <w:r>
        <w:rPr>
          <w:rStyle w:val="FootnoteAnchor"/>
          <w:rtl w:val="true"/>
        </w:rPr>
        <w:footnoteReference w:id="1485"/>
      </w:r>
      <w:r>
        <w:rPr>
          <w:rFonts w:ascii="Amiri" w:hAnsi="Amiri" w:eastAsia="Amiri" w:cs="Amiri"/>
          <w:color w:val="111111"/>
          <w:sz w:val="28"/>
          <w:sz w:val="28"/>
          <w:szCs w:val="28"/>
          <w:rtl w:val="true"/>
          <w:lang w:bidi="ar-SA"/>
        </w:rPr>
        <w:t xml:space="preserve">، لعموم نصوص المواقيت ، وعدم جواز التجاوز عن الميقات إلاّ محرما ، وعدم دلالة الصحيحتين المذكورتين </w:t>
      </w:r>
    </w:p>
    <w:p>
      <w:pPr>
        <w:pStyle w:val="BookText"/>
        <w:rPr/>
      </w:pPr>
      <w:r>
        <w:rPr>
          <w:rFonts w:ascii="Amiri" w:hAnsi="Amiri" w:eastAsia="Amiri" w:cs="Amiri"/>
          <w:color w:val="111111"/>
          <w:sz w:val="28"/>
          <w:sz w:val="28"/>
          <w:szCs w:val="28"/>
          <w:rtl w:val="true"/>
          <w:lang w:bidi="ar-SA"/>
        </w:rPr>
        <w:t>على جواز تأخير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العموم بحيث يتناول غير المكلّف أيضا ، وظهور التجريد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بالعموم الممنوع عموم عدم جواز التجاوز عن الميقات فلا بأس بمنعه ، ولكن لا حاجة إليه ، بل عدم توقيف غير الميقات كاف في عدم صحّة إحرام الصبي عن غيره ، لكونه حكما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عموم توقيت المواقيت فهو فاسد قطعا ، لاشتمال نصوصها على أهل فلان وفلان ، الصادق على البالغ وغيره ، وعدم كونه تكليفا مخصوصا بالبالغين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القول الثاني وأنّ الفخّ محلّ التجريد ، مع أنّه أحوط أيضا ، بناء على ما عرفت من عدم ظهور خلاف في جواز إحرامه عن الميقات ، بل 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 غير مميّز يفعل به الولي ما يلزم المحرم من حضور المواقف والمطاف والمسعى ويلبّي عنه ويجتنبه ما يجتنبه المحرم ، وإن كان مميّزا يأمره الولي بالإتيان بهذه الأمور ، فإن عجز عن شي‌ء منه يتولاّه الولي عنه ، بلا خلاف يوجد في شي‌ء من ذلك ، لصحاح ابن عمّار وزرارة </w:t>
      </w:r>
      <w:r>
        <w:rPr>
          <w:rStyle w:val="FootnoteAnchor"/>
          <w:rtl w:val="true"/>
        </w:rPr>
        <w:footnoteReference w:id="1486"/>
      </w:r>
      <w:r>
        <w:rPr>
          <w:rFonts w:ascii="Amiri" w:hAnsi="Amiri" w:eastAsia="Amiri" w:cs="Amiri"/>
          <w:color w:val="111111"/>
          <w:sz w:val="28"/>
          <w:sz w:val="28"/>
          <w:szCs w:val="28"/>
          <w:rtl w:val="true"/>
          <w:lang w:bidi="ar-SA"/>
        </w:rPr>
        <w:t xml:space="preserve">والبجلي </w:t>
      </w:r>
      <w:r>
        <w:rPr>
          <w:rStyle w:val="FootnoteAnchor"/>
          <w:rtl w:val="true"/>
        </w:rPr>
        <w:footnoteReference w:id="1487"/>
      </w:r>
      <w:r>
        <w:rPr>
          <w:rFonts w:ascii="Amiri" w:hAnsi="Amiri" w:eastAsia="Amiri" w:cs="Amiri"/>
          <w:color w:val="111111"/>
          <w:sz w:val="28"/>
          <w:sz w:val="28"/>
          <w:szCs w:val="28"/>
          <w:rtl w:val="true"/>
          <w:lang w:bidi="ar-SA"/>
        </w:rPr>
        <w:t>، المتقدّمة كلاّ في أول الكتاب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الولي في ماله إن فعل ما يوجب الكفّارة عمدا </w:t>
      </w:r>
    </w:p>
    <w:p>
      <w:pPr>
        <w:pStyle w:val="BookText"/>
        <w:rPr/>
      </w:pPr>
      <w:r>
        <w:rPr>
          <w:rFonts w:ascii="Amiri" w:hAnsi="Amiri" w:eastAsia="Amiri" w:cs="Amiri"/>
          <w:color w:val="111111"/>
          <w:sz w:val="28"/>
          <w:sz w:val="28"/>
          <w:szCs w:val="28"/>
          <w:rtl w:val="true"/>
          <w:lang w:bidi="ar-SA"/>
        </w:rPr>
        <w:t>وسهوا كالصيد ، لصحيحة زرارة المتقدّمة بضميمة الإجماع المركّب ، لا ما يوجبها عمدا خاصّة ، فإنّه لا كفّارة فيه ، للأصل ، والاقتصار فيما يخالفه على موضع الوفاق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الولي أمره بالصيام بدلا عن الهدي ، أو هدي الولي في ماله في حجّ التمتّع والصيام عنه مع عجزه عن الهدي وعجز الصبي عن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والثاني صحيحة زرارة المتقدّمة ، وموثّقة إسحاق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واذبحوا عنهم كما تذبحون عن أنفسكم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أمر غلمانه أن يتمتّعوا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يضحّي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 أمرهم فصاموا كان قد أجزأ عنهم </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الثالث صحيحة ابن عمّار المتقدّمة ، وصحيحة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عن الصبي وليّه إذا لم يجد هديا وكان متمتّعا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الرحمن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تمتّعا فأحرمنا ومعنا صبيان فأحرموا ولبّوا كما لبّينا ، ولم نقدر على الغنم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فليصم عن كلّ صبيّ وليّه </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المرأة والرجل على السواء إجماعا ، ولقوله في صحيحة ابن عمّار الواردة في إحرام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وتصنع كما يصنع المحرم </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المساواة أمور ذكرت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تغطية الرأس ، </w:t>
      </w:r>
    </w:p>
    <w:p>
      <w:pPr>
        <w:pStyle w:val="BookText"/>
        <w:rPr/>
      </w:pPr>
      <w:r>
        <w:rPr>
          <w:rFonts w:ascii="Amiri" w:hAnsi="Amiri" w:eastAsia="Amiri" w:cs="Amiri"/>
          <w:color w:val="111111"/>
          <w:sz w:val="28"/>
          <w:sz w:val="28"/>
          <w:szCs w:val="28"/>
          <w:rtl w:val="true"/>
          <w:lang w:bidi="ar-SA"/>
        </w:rPr>
        <w:t>ولبس المخيط ، والتظليل ، وغيرها ، ولبس الحرير كما مرّ ، وفي استحباب رفع الصوت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والحيض لا يمنعها من الإحرام بلا خلاف ، للإجماع ، والأصل ، وعدم دليل يدلّ على اشتراط الطهارة في الإحرام ، والصحاح وغيرها المستفيضة المصرّحة بذلك ، كصحيحتي ابن عمّار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الإحرام 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وصحيحتي عيص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الإحرام 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والصحاح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ومنصور بن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وموثّقة يونس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ورواية زيد الشحّام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والمصرّح به في أكثر تلك الأخبار أنّها تغتسل غسل الإحرام ، ومعه </w:t>
      </w:r>
    </w:p>
    <w:p>
      <w:pPr>
        <w:pStyle w:val="BookText"/>
        <w:rPr/>
      </w:pPr>
      <w:r>
        <w:rPr>
          <w:rFonts w:ascii="Amiri" w:hAnsi="Amiri" w:eastAsia="Amiri" w:cs="Amiri"/>
          <w:color w:val="111111"/>
          <w:sz w:val="28"/>
          <w:sz w:val="28"/>
          <w:szCs w:val="28"/>
          <w:rtl w:val="true"/>
          <w:lang w:bidi="ar-SA"/>
        </w:rPr>
        <w:t xml:space="preserve">لا وجه لما حكي عن الشهيد الثاني في مناسك الحجّ أنّها تترك الغسل </w:t>
      </w:r>
      <w:r>
        <w:rPr>
          <w:rStyle w:val="FootnoteAnchor"/>
          <w:rtl w:val="true"/>
        </w:rPr>
        <w:footnoteReference w:id="1494"/>
      </w:r>
      <w:r>
        <w:rPr>
          <w:rFonts w:ascii="Amiri" w:hAnsi="Amiri" w:eastAsia="Amiri" w:cs="Amiri"/>
          <w:color w:val="111111"/>
          <w:sz w:val="28"/>
          <w:sz w:val="28"/>
          <w:szCs w:val="28"/>
          <w:rtl w:val="true"/>
          <w:lang w:bidi="ar-SA"/>
        </w:rPr>
        <w:t>، ولكنّها تترك الصلاة ، لحرمتها عليها ، وتصريح كثير من تلك الأخبار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تستقر </w:t>
      </w:r>
      <w:r>
        <w:rPr>
          <w:rStyle w:val="FootnoteAnchor"/>
          <w:rtl w:val="true"/>
        </w:rPr>
        <w:footnoteReference w:id="1495"/>
      </w:r>
      <w:r>
        <w:rPr>
          <w:rFonts w:ascii="Amiri" w:hAnsi="Amiri" w:eastAsia="Amiri" w:cs="Amiri"/>
          <w:color w:val="111111"/>
          <w:sz w:val="28"/>
          <w:sz w:val="28"/>
          <w:szCs w:val="28"/>
          <w:rtl w:val="true"/>
          <w:lang w:bidi="ar-SA"/>
        </w:rPr>
        <w:t xml:space="preserve">وتحتشي بالكرسف وتتمنطق بمنطقة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تلبس ثوبا دون ثيابها لإحرامها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كانت في الليل تخلع ثياب إحرامها ولبست ثيابها الأخرى حتى تطهر ، ولو جهلت بجواز الإحرام لها فتركته فحكمها حكم الجاهل بالإحرام ، وقد مرّ</w:t>
      </w:r>
      <w:r>
        <w:rPr>
          <w:rFonts w:eastAsia="Amiri" w:cs="Amiri" w:ascii="Amiri" w:hAnsi="Amiri"/>
          <w:color w:val="111111"/>
          <w:sz w:val="28"/>
          <w:szCs w:val="28"/>
          <w:rtl w:val="true"/>
          <w:lang w:bidi="ar-SA"/>
        </w:rPr>
        <w:t xml:space="preserve">. </w:t>
      </w:r>
      <w:bookmarkStart w:id="191" w:name="pg11651_107938"/>
    </w:p>
    <w:p>
      <w:pPr>
        <w:pStyle w:val="Heading6"/>
        <w:numPr>
          <w:ilvl w:val="5"/>
          <w:numId w:val="1"/>
        </w:numPr>
        <w:rPr/>
      </w:pPr>
      <w:bookmarkStart w:id="192" w:name="__RefHeading___Toc6172048_73709187"/>
      <w:bookmarkStart w:id="193" w:name="_Toc71"/>
      <w:bookmarkEnd w:id="191"/>
      <w:bookmarkEnd w:id="192"/>
      <w:r>
        <w:rPr>
          <w:rtl w:val="true"/>
        </w:rPr>
        <w:t xml:space="preserve">البحث الرابع </w:t>
      </w:r>
      <w:r>
        <w:rPr>
          <w:rtl w:val="true"/>
        </w:rPr>
        <w:t xml:space="preserve">: </w:t>
      </w:r>
      <w:r>
        <w:rPr>
          <w:rtl w:val="true"/>
        </w:rPr>
        <w:t>في تروك الإحرام</w:t>
      </w:r>
      <w:bookmarkEnd w:id="193"/>
    </w:p>
    <w:p>
      <w:pPr>
        <w:pStyle w:val="Heading6"/>
        <w:numPr>
          <w:ilvl w:val="5"/>
          <w:numId w:val="1"/>
        </w:numPr>
        <w:rPr/>
      </w:pPr>
      <w:bookmarkStart w:id="194" w:name="__RefHeading___Toc6172050_73709187"/>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أي ما يحرم على المحرم ارتكابه أو يكره ، فهاهنا مقامان </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172052_73709187"/>
      <w:bookmarkStart w:id="197" w:name="_Toc73"/>
      <w:bookmarkEnd w:id="196"/>
      <w:r>
        <w:rPr>
          <w:rtl w:val="true"/>
        </w:rPr>
        <w:t xml:space="preserve">المقام الأول </w:t>
      </w:r>
      <w:r>
        <w:rPr>
          <w:rtl w:val="true"/>
        </w:rPr>
        <w:t xml:space="preserve">: </w:t>
      </w:r>
      <w:r>
        <w:rPr>
          <w:rtl w:val="true"/>
        </w:rPr>
        <w:t>في المحرّمات</w:t>
      </w:r>
      <w:bookmarkEnd w:id="197"/>
    </w:p>
    <w:p>
      <w:pPr>
        <w:pStyle w:val="Heading6"/>
        <w:numPr>
          <w:ilvl w:val="5"/>
          <w:numId w:val="1"/>
        </w:numPr>
        <w:rPr/>
      </w:pPr>
      <w:bookmarkStart w:id="198" w:name="__RefHeading___Toc6172054_73709187"/>
      <w:bookmarkStart w:id="199" w:name="_Toc74"/>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وهي على ثلاثة أقسام ، لأنّه إمّا يشترك فيه الرجل والمرأة ، أو يختصّ بالرجل ، أو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يشترك فيه الرجل والمرأة ، وهي أحد عشر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 بالإجماعين </w:t>
      </w:r>
      <w:r>
        <w:rPr>
          <w:rStyle w:val="FootnoteAnchor"/>
          <w:rtl w:val="true"/>
        </w:rPr>
        <w:footnoteReference w:id="1496"/>
      </w:r>
      <w:r>
        <w:rPr>
          <w:rFonts w:ascii="Amiri" w:hAnsi="Amiri" w:eastAsia="Amiri" w:cs="Amiri"/>
          <w:color w:val="111111"/>
          <w:sz w:val="28"/>
          <w:sz w:val="28"/>
          <w:szCs w:val="28"/>
          <w:rtl w:val="true"/>
          <w:lang w:bidi="ar-SA"/>
        </w:rPr>
        <w:t>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 فقد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وَأَنْتُمْ حُرُمٌ </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 فمتكثّرة متواترة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تستحلّنّ شيئا من الصيد وأنت حرام ، ولا وأنت حلال في الحرم ، ولا تدلّنّ عليه محلاّ ولا محرما فيصطاده ، ولا تشر إليه فيستحلّ من أجلك ، فإنّ فيه فداء لمن تعمّده </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واجتنب في إحرامك صيد البرّ كلّه ، ولا تأكل ممّا صاده غيرك ، ولا تشر إليه فيصيده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فاتّق قتل الدواب كلّها إلاّ الأفعى والعقرب والفأرة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والحيّة إذا أرادتك فاقتلها ، فإن لم تردك فلا تردها ، والكلب العقور والسبع إذا أراداك فاقتلهما ، فإن لم ير يداك فلا تردهما ، والأسود </w:t>
      </w:r>
      <w:r>
        <w:rPr>
          <w:rStyle w:val="FootnoteAnchor"/>
          <w:rtl w:val="true"/>
        </w:rPr>
        <w:footnoteReference w:id="1501"/>
      </w:r>
      <w:r>
        <w:rPr>
          <w:rFonts w:ascii="Amiri" w:hAnsi="Amiri" w:eastAsia="Amiri" w:cs="Amiri"/>
          <w:color w:val="111111"/>
          <w:sz w:val="28"/>
          <w:sz w:val="28"/>
          <w:szCs w:val="28"/>
          <w:rtl w:val="true"/>
          <w:lang w:bidi="ar-SA"/>
        </w:rPr>
        <w:t xml:space="preserve">الغدر فاقتله على كلّ حال ، وارم الغراب رميا والحدأة </w:t>
      </w:r>
      <w:r>
        <w:rPr>
          <w:rStyle w:val="FootnoteAnchor"/>
          <w:rtl w:val="true"/>
        </w:rPr>
        <w:footnoteReference w:id="1502"/>
      </w:r>
      <w:r>
        <w:rPr>
          <w:rFonts w:ascii="Amiri" w:hAnsi="Amiri" w:eastAsia="Amiri" w:cs="Amiri"/>
          <w:color w:val="111111"/>
          <w:sz w:val="28"/>
          <w:sz w:val="28"/>
          <w:szCs w:val="28"/>
          <w:rtl w:val="true"/>
          <w:lang w:bidi="ar-SA"/>
        </w:rPr>
        <w:t xml:space="preserve">على ظهر بعيرك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إلى غير ذلك ممّا يأتي في أثناء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والمحرّم اصطياده قتلا وحيازة وذبحا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صاده غيره ولو كان محلاّ وأكل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بلفظ أو كتابة أو إشارة ، وتسبيبا ولو بإعارة سلاح أو نصب شرك أو إغلاق باب حتى يموت أو يصاد ، ونحوها ، بإجماع المسلمين في الأولين ، وإجماعنا المحقّق والمحكيّ </w:t>
      </w:r>
      <w:r>
        <w:rPr>
          <w:rStyle w:val="FootnoteAnchor"/>
          <w:rtl w:val="true"/>
        </w:rPr>
        <w:footnoteReference w:id="1504"/>
      </w:r>
      <w:r>
        <w:rPr>
          <w:rFonts w:ascii="Amiri" w:hAnsi="Amiri" w:eastAsia="Amiri" w:cs="Amiri"/>
          <w:color w:val="111111"/>
          <w:sz w:val="28"/>
          <w:sz w:val="28"/>
          <w:szCs w:val="28"/>
          <w:rtl w:val="true"/>
          <w:lang w:bidi="ar-SA"/>
        </w:rPr>
        <w:t>في البواقي ، وهو الحجّة في الجميع ، مضافا إلى دلالة الأخبار في أكثرها ، كالصحيحتين الأوليين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يدلّ على الصيد ، فإن دلّ عليه فقتل فعليه الفداء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الصيد وأنت حرام ، وإن كان أصابه محلّ ، وليس عليك فداء ما أتيته بجهالة إلاّ الصيد ، فإنّ عليك فيه الفداء بجهل كان أو بعمد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شيئا من الصيد وإن صاده حلال </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ما وطأت من الدباء أو وطأته بعيرك فعليك فداؤه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الجراد والنمل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وطأته أو وطأه بعيرك وأنت محرم فعليك فداؤه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ستّة نفر من أصحابنا إلى مكّة ، فأوقدنا نارا في بعض المنازل عظيما ، أردنا أن نطرح عليه لحما نكبّبه ، وقد كنّا محرمين ، فمرّ بها طائر صاف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أو شبهها ، فاحترقت جناحاه ، فسقط في النار فمات ، فاغتممنا لذلك ، فدخلت على أبي عبد اللّه عليه السلام بمكّة ، فأخبرته وسألته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فداء واحد ، دم شاة تشتركون فيه جميعا ، لأنّ ذلك كان منكم على غير تعمّد ، فلو كان ذلك منكم تعمّدا ليقع فيها الصيد فوقع ألزمت كلّ رجل منكم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منّا قبل أن ندخل الحرم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تحريم الإشارة والدلالة إنّما هو لمن لم ير الصيد ، وأمّا لمن يراه ولا يفيده ذلك شيئا ، وكذا لمن لا يتمكّن من صيده ، فالوجه العدم ، وفاقا لجمع كما قيل </w:t>
      </w:r>
      <w:r>
        <w:rPr>
          <w:rStyle w:val="FootnoteAnchor"/>
          <w:rtl w:val="true"/>
        </w:rPr>
        <w:footnoteReference w:id="1512"/>
      </w:r>
      <w:r>
        <w:rPr>
          <w:rFonts w:ascii="Amiri" w:hAnsi="Amiri" w:eastAsia="Amiri" w:cs="Amiri"/>
          <w:color w:val="111111"/>
          <w:sz w:val="28"/>
          <w:sz w:val="28"/>
          <w:szCs w:val="28"/>
          <w:rtl w:val="true"/>
          <w:lang w:bidi="ar-SA"/>
        </w:rPr>
        <w:t>، للأصل ، واختصاص النصوص بما تسبّب للصيد ، مع أنّ الدلالة عرفا تختصّ بما لا يعلمه المدلول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الصيد يحرم فرخه ، وبيضه ، بلا خلاف يعلم كما في الذخيرة </w:t>
      </w:r>
      <w:r>
        <w:rPr>
          <w:rStyle w:val="FootnoteAnchor"/>
          <w:rtl w:val="true"/>
        </w:rPr>
        <w:footnoteReference w:id="1513"/>
      </w:r>
      <w:r>
        <w:rPr>
          <w:rFonts w:ascii="Amiri" w:hAnsi="Amiri" w:eastAsia="Amiri" w:cs="Amiri"/>
          <w:color w:val="111111"/>
          <w:sz w:val="28"/>
          <w:sz w:val="28"/>
          <w:szCs w:val="28"/>
          <w:rtl w:val="true"/>
          <w:lang w:bidi="ar-SA"/>
        </w:rPr>
        <w:t xml:space="preserve">، بل عن التذكرة </w:t>
      </w:r>
      <w:r>
        <w:rPr>
          <w:rStyle w:val="FootnoteAnchor"/>
          <w:rtl w:val="true"/>
        </w:rPr>
        <w:footnoteReference w:id="1514"/>
      </w:r>
      <w:r>
        <w:rPr>
          <w:rFonts w:ascii="Amiri" w:hAnsi="Amiri" w:eastAsia="Amiri" w:cs="Amiri"/>
          <w:color w:val="111111"/>
          <w:sz w:val="28"/>
          <w:sz w:val="28"/>
          <w:szCs w:val="28"/>
          <w:rtl w:val="true"/>
          <w:lang w:bidi="ar-SA"/>
        </w:rPr>
        <w:t>وفي شرح المفاتيح الإجماع عليه ، وتدلّ عليه الروايات المتكثّرة المتضمّنة لثبوت الكفّارة فيه ، كما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صاد المحرم صيدا وقتله كان حراما عليه وعلى من مثله في كونه محرما ، إجماعا ، وللروايات الآتية الخالية عن المعارض في حقّه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يحرم على كلّ أحد وإن كان محلاّ عند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أكثر كتبه والسرائر والمهذّب والجامع والوسيلة والجواهر والشرائع والنافع والقواعد والإرشاد </w:t>
      </w:r>
      <w:r>
        <w:rPr>
          <w:rStyle w:val="FootnoteAnchor"/>
          <w:rtl w:val="true"/>
        </w:rPr>
        <w:footnoteReference w:id="1515"/>
      </w:r>
      <w:r>
        <w:rPr>
          <w:rFonts w:ascii="Amiri" w:hAnsi="Amiri" w:eastAsia="Amiri" w:cs="Amiri"/>
          <w:color w:val="111111"/>
          <w:sz w:val="28"/>
          <w:sz w:val="28"/>
          <w:szCs w:val="28"/>
          <w:rtl w:val="true"/>
          <w:lang w:bidi="ar-SA"/>
        </w:rPr>
        <w:t xml:space="preserve">وغيرها </w:t>
      </w:r>
      <w:r>
        <w:rPr>
          <w:rStyle w:val="FootnoteAnchor"/>
          <w:rtl w:val="true"/>
        </w:rPr>
        <w:footnoteReference w:id="1516"/>
      </w:r>
      <w:r>
        <w:rPr>
          <w:rFonts w:ascii="Amiri" w:hAnsi="Amiri" w:eastAsia="Amiri" w:cs="Amiri"/>
          <w:color w:val="111111"/>
          <w:sz w:val="28"/>
          <w:sz w:val="28"/>
          <w:szCs w:val="28"/>
          <w:rtl w:val="true"/>
          <w:lang w:bidi="ar-SA"/>
        </w:rPr>
        <w:t xml:space="preserve">، وادّعى جماعة الشهرة عليه </w:t>
      </w:r>
      <w:r>
        <w:rPr>
          <w:rStyle w:val="FootnoteAnchor"/>
          <w:rtl w:val="true"/>
        </w:rPr>
        <w:footnoteReference w:id="15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الجواهر والتذكرة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 المحرم الصيد لم يأكله الحلال والمحرم ، وهو كالميتة ، وإذا ذبح الصيد في الحرم فهو ميتة حلال ذبحه أم حرام </w:t>
      </w:r>
      <w:r>
        <w:rPr>
          <w:rFonts w:eastAsia="Amiri" w:cs="Amiri" w:ascii="Amiri" w:hAnsi="Amiri"/>
          <w:color w:val="111111"/>
          <w:sz w:val="28"/>
          <w:szCs w:val="28"/>
          <w:rtl w:val="true"/>
          <w:lang w:bidi="ar-SA"/>
        </w:rPr>
        <w:t xml:space="preserve">» </w:t>
      </w:r>
      <w:r>
        <w:rPr>
          <w:rStyle w:val="FootnoteAnchor"/>
          <w:rtl w:val="true"/>
        </w:rPr>
        <w:footnoteReference w:id="1519"/>
      </w:r>
      <w:r>
        <w:rPr>
          <w:rFonts w:ascii="IRNazanin" w:hAnsi="IRNazanin" w:eastAsia="IRNazanin"/>
          <w:color w:val="111111"/>
          <w:sz w:val="28"/>
          <w:sz w:val="28"/>
          <w:szCs w:val="28"/>
          <w:rtl w:val="true"/>
          <w:lang w:bidi="fa-IR"/>
        </w:rPr>
        <w:t xml:space="preserve">، وإسحاق </w:t>
      </w:r>
      <w:r>
        <w:rPr>
          <w:rStyle w:val="FootnoteAnchor"/>
          <w:rtl w:val="true"/>
        </w:rPr>
        <w:footnoteReference w:id="1520"/>
      </w:r>
      <w:r>
        <w:rPr>
          <w:rFonts w:ascii="Amiri" w:hAnsi="Amiri" w:eastAsia="Amiri" w:cs="Amiri"/>
          <w:color w:val="111111"/>
          <w:sz w:val="28"/>
          <w:sz w:val="28"/>
          <w:szCs w:val="28"/>
          <w:rtl w:val="true"/>
          <w:lang w:bidi="ar-SA"/>
        </w:rPr>
        <w:t>، وهي بمضمون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يصيب الصيد فيفديه يطعمه أو يطرحه؟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كان عليه فداء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يدفنه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المعتضدة جميعا بالشهرة المحقّقة ، والإجماعات المحكيّة ، وأخبار تعارض الصيد والميّتة للمحرم المضطرّ </w:t>
      </w:r>
      <w:r>
        <w:rPr>
          <w:rStyle w:val="FootnoteAnchor"/>
          <w:rtl w:val="true"/>
        </w:rPr>
        <w:footnoteReference w:id="1522"/>
      </w:r>
      <w:r>
        <w:rPr>
          <w:rFonts w:ascii="Amiri" w:hAnsi="Amiri" w:eastAsia="Amiri" w:cs="Amiri"/>
          <w:color w:val="111111"/>
          <w:sz w:val="28"/>
          <w:sz w:val="28"/>
          <w:szCs w:val="28"/>
          <w:rtl w:val="true"/>
          <w:lang w:bidi="ar-SA"/>
        </w:rPr>
        <w:t>، سيّما ما رجّح منها الميّتة على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المقنع والفقيه والإسكافي والمفيد والسيّد والكليني </w:t>
      </w:r>
      <w:r>
        <w:rPr>
          <w:rStyle w:val="FootnoteAnchor"/>
          <w:rtl w:val="true"/>
        </w:rPr>
        <w:footnoteReference w:id="1523"/>
      </w:r>
      <w:r>
        <w:rPr>
          <w:rFonts w:ascii="Amiri" w:hAnsi="Amiri" w:eastAsia="Amiri" w:cs="Amiri"/>
          <w:color w:val="111111"/>
          <w:sz w:val="28"/>
          <w:sz w:val="28"/>
          <w:szCs w:val="28"/>
          <w:rtl w:val="true"/>
          <w:lang w:bidi="ar-SA"/>
        </w:rPr>
        <w:t xml:space="preserve">، فقالوا بحلّية مذبوح المحرم في غير الحرم للمحلّ ، للأصل ، والصحاح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قتل الصيد فعليه جزاؤه ويتصدّق بالصيد على مسكين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أصاب صيدا وأهدى إليّ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 </w:t>
      </w:r>
    </w:p>
    <w:p>
      <w:pPr>
        <w:pStyle w:val="BookText"/>
        <w:rPr/>
      </w:pPr>
      <w:r>
        <w:rPr>
          <w:rFonts w:ascii="Amiri" w:hAnsi="Amiri" w:eastAsia="Amiri" w:cs="Amiri"/>
          <w:color w:val="111111"/>
          <w:sz w:val="28"/>
          <w:sz w:val="28"/>
          <w:szCs w:val="28"/>
          <w:rtl w:val="true"/>
          <w:lang w:bidi="ar-SA"/>
        </w:rPr>
        <w:t xml:space="preserve">صيد في الحرم </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 فإنّ مقتضى مفهوم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أكل المحلّ لو صاده المحرم في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أصاب الرجل الصيد في الحرم وهو محرم فإنّه ينبغي له أن يدفنه ولا يأكله أحد ، وإذا أصابه في الحلّ فإنّ الحلال يأكله وعليه هو الفداء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وهو محرم أيأكل منه الحلال؟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إنّما الفداء على المحرم </w:t>
      </w:r>
      <w:r>
        <w:rPr>
          <w:rFonts w:eastAsia="IRNazanin" w:cs="IRNazanin"/>
          <w:color w:val="111111"/>
          <w:sz w:val="28"/>
          <w:szCs w:val="28"/>
          <w:rtl w:val="true"/>
          <w:lang w:bidi="fa-IR"/>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من صيد أصابه محرم وهو حلال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منه الحلال ، فليس عليه شي‌ء ، إنّما الفداء على المحرم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صيدا وهو محرم ، آكل منه وأنا حلال؟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كنت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أصاب مالا حراما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مثل هذا يرحمك اللّه ، إنّ ذلك عليه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صيدا وهو محرم ، أيأكل منه الحلال؟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إنّما الفداء على المحرم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المؤيّدة بالأصل ، والأكثرية ، والأشهرية رواية ، والأصحّية سندا ، </w:t>
      </w:r>
    </w:p>
    <w:p>
      <w:pPr>
        <w:pStyle w:val="BookText"/>
        <w:rPr/>
      </w:pPr>
      <w:r>
        <w:rPr>
          <w:rFonts w:ascii="Amiri" w:hAnsi="Amiri" w:eastAsia="Amiri" w:cs="Amiri"/>
          <w:color w:val="111111"/>
          <w:sz w:val="28"/>
          <w:sz w:val="28"/>
          <w:szCs w:val="28"/>
          <w:rtl w:val="true"/>
          <w:lang w:bidi="ar-SA"/>
        </w:rPr>
        <w:t xml:space="preserve">وأخبار ترجيح الصيد على الميّتة للمضطرّ عند التعارض </w:t>
      </w:r>
      <w:r>
        <w:rPr>
          <w:rStyle w:val="FootnoteAnchor"/>
          <w:rtl w:val="true"/>
        </w:rPr>
        <w:footnoteReference w:id="1531"/>
      </w:r>
      <w:r>
        <w:rPr>
          <w:rFonts w:ascii="Amiri" w:hAnsi="Amiri" w:eastAsia="Amiri" w:cs="Amiri"/>
          <w:color w:val="111111"/>
          <w:sz w:val="28"/>
          <w:sz w:val="28"/>
          <w:szCs w:val="28"/>
          <w:rtl w:val="true"/>
          <w:lang w:bidi="ar-SA"/>
        </w:rPr>
        <w:t>، ولو لا حلّيته في الجملة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تلك الأخبار على ما إذا كان به رمق خلاف الظاهر جدّا ، بل لا يحتمله بعضها البتّة كالأولى والثالثة ، وكذلك جعل الباء في الأولى سببية والصيد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الشيخين أيضا مفصّلا بين مقتول المحرم ومذبوحه ، فحكما بالحلّية للمحلّ في الأول والحرمة له في الثاني </w:t>
      </w:r>
      <w:r>
        <w:rPr>
          <w:rStyle w:val="FootnoteAnchor"/>
          <w:rtl w:val="true"/>
        </w:rPr>
        <w:footnoteReference w:id="1532"/>
      </w:r>
      <w:r>
        <w:rPr>
          <w:rFonts w:ascii="Amiri" w:hAnsi="Amiri" w:eastAsia="Amiri" w:cs="Amiri"/>
          <w:color w:val="111111"/>
          <w:sz w:val="28"/>
          <w:sz w:val="28"/>
          <w:szCs w:val="28"/>
          <w:rtl w:val="true"/>
          <w:lang w:bidi="ar-SA"/>
        </w:rPr>
        <w:t xml:space="preserve">، وإليه مال في المدارك </w:t>
      </w:r>
      <w:r>
        <w:rPr>
          <w:rStyle w:val="FootnoteAnchor"/>
          <w:rtl w:val="true"/>
        </w:rPr>
        <w:footnoteReference w:id="1533"/>
      </w:r>
      <w:r>
        <w:rPr>
          <w:rFonts w:ascii="IRNazanin" w:hAnsi="IRNazanin" w:eastAsia="IRNazanin"/>
          <w:color w:val="111111"/>
          <w:sz w:val="28"/>
          <w:sz w:val="28"/>
          <w:szCs w:val="28"/>
          <w:rtl w:val="true"/>
          <w:lang w:bidi="fa-IR"/>
        </w:rPr>
        <w:t xml:space="preserve">وبعض من تأخّر عنه </w:t>
      </w:r>
      <w:r>
        <w:rPr>
          <w:rStyle w:val="FootnoteAnchor"/>
          <w:rtl w:val="true"/>
        </w:rPr>
        <w:footnoteReference w:id="1534"/>
      </w:r>
      <w:r>
        <w:rPr>
          <w:rFonts w:ascii="Amiri" w:hAnsi="Amiri" w:eastAsia="Amiri" w:cs="Amiri"/>
          <w:color w:val="111111"/>
          <w:sz w:val="28"/>
          <w:sz w:val="28"/>
          <w:szCs w:val="28"/>
          <w:rtl w:val="true"/>
          <w:lang w:bidi="ar-SA"/>
        </w:rPr>
        <w:t>، استنادا في الأول إلى الأخبار الأخيرة ، وفي الثاني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الأقرب ، لأعمّية الأخبار الأخيرة عن الأولى مطلقا بالنسبة إلى الذبح وغيره ، فيجب تخصيصها بها ، عملا بقاعدة تخصيص العامّ المطلق بالخاصّ المطلق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المحرّم يشمل كلّ حيوان ممتنع بالأصالة ، سواء كان ممّا يؤكل أو لا ، وفاقا للشرائع والتذكرة </w:t>
      </w:r>
      <w:r>
        <w:rPr>
          <w:rStyle w:val="FootnoteAnchor"/>
          <w:rtl w:val="true"/>
        </w:rPr>
        <w:footnoteReference w:id="1535"/>
      </w:r>
      <w:r>
        <w:rPr>
          <w:rFonts w:ascii="Amiri" w:hAnsi="Amiri" w:eastAsia="Amiri" w:cs="Amiri"/>
          <w:color w:val="111111"/>
          <w:sz w:val="28"/>
          <w:sz w:val="28"/>
          <w:szCs w:val="28"/>
          <w:rtl w:val="true"/>
          <w:lang w:bidi="ar-SA"/>
        </w:rPr>
        <w:t xml:space="preserve">، بل جملة من كتب الفاضل </w:t>
      </w:r>
      <w:r>
        <w:rPr>
          <w:rStyle w:val="FootnoteAnchor"/>
          <w:rtl w:val="true"/>
        </w:rPr>
        <w:footnoteReference w:id="1536"/>
      </w:r>
      <w:r>
        <w:rPr>
          <w:rFonts w:ascii="Amiri" w:hAnsi="Amiri" w:eastAsia="Amiri" w:cs="Amiri"/>
          <w:color w:val="111111"/>
          <w:sz w:val="28"/>
          <w:sz w:val="28"/>
          <w:szCs w:val="28"/>
          <w:rtl w:val="true"/>
          <w:lang w:bidi="ar-SA"/>
        </w:rPr>
        <w:t xml:space="preserve">وجمع من المتأخّرين </w:t>
      </w:r>
      <w:r>
        <w:rPr>
          <w:rStyle w:val="FootnoteAnchor"/>
          <w:rtl w:val="true"/>
        </w:rPr>
        <w:footnoteReference w:id="1537"/>
      </w:r>
      <w:r>
        <w:rPr>
          <w:rFonts w:ascii="Amiri" w:hAnsi="Amiri" w:eastAsia="Amiri" w:cs="Amiri"/>
          <w:color w:val="111111"/>
          <w:sz w:val="28"/>
          <w:sz w:val="28"/>
          <w:szCs w:val="28"/>
          <w:rtl w:val="true"/>
          <w:lang w:bidi="ar-SA"/>
        </w:rPr>
        <w:t xml:space="preserve">، وعن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مذهبنا </w:t>
      </w:r>
      <w:r>
        <w:rPr>
          <w:rStyle w:val="FootnoteAnchor"/>
          <w:rtl w:val="true"/>
        </w:rPr>
        <w:footnoteReference w:id="1538"/>
      </w:r>
      <w:r>
        <w:rPr>
          <w:rFonts w:ascii="IRNazanin" w:hAnsi="IRNazanin" w:eastAsia="IRNazanin"/>
          <w:color w:val="111111"/>
          <w:sz w:val="28"/>
          <w:sz w:val="28"/>
          <w:szCs w:val="28"/>
          <w:rtl w:val="true"/>
          <w:lang w:bidi="fa-IR"/>
        </w:rPr>
        <w:t xml:space="preserve">، معربا </w:t>
      </w:r>
    </w:p>
    <w:p>
      <w:pPr>
        <w:pStyle w:val="BookText"/>
        <w:rPr/>
      </w:pPr>
      <w:r>
        <w:rPr>
          <w:rFonts w:ascii="IRNazanin" w:hAnsi="IRNazanin" w:eastAsia="IRNazanin"/>
          <w:color w:val="111111"/>
          <w:sz w:val="28"/>
          <w:sz w:val="28"/>
          <w:szCs w:val="28"/>
          <w:rtl w:val="true"/>
          <w:lang w:bidi="fa-IR"/>
        </w:rPr>
        <w:t>عن 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لشمول الصيد المنهيّ عنه كتابا وسنّة له لغة وعرفا ، فيشمله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صحيحة ابن عمّار المتقدّمة </w:t>
      </w:r>
      <w:r>
        <w:rPr>
          <w:rStyle w:val="FootnoteAnchor"/>
          <w:rtl w:val="true"/>
        </w:rPr>
        <w:footnoteReference w:id="1539"/>
      </w:r>
      <w:r>
        <w:rPr>
          <w:rFonts w:ascii="Amiri" w:hAnsi="Amiri" w:eastAsia="Amiri" w:cs="Amiri"/>
          <w:color w:val="111111"/>
          <w:sz w:val="28"/>
          <w:sz w:val="28"/>
          <w:szCs w:val="28"/>
          <w:rtl w:val="true"/>
          <w:lang w:bidi="ar-SA"/>
        </w:rPr>
        <w:t xml:space="preserve">المتضمّنة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والنهي فيها وفي الآتية عن قتل ما لم يرده من الحيوانات المحرّمة المذكورة فيها ، وما دلّ على حرمة قتل الوحش والطير مطلقا في الحرم ، والنهي عن قتل غير الإبل والبقر والغنم والدجاج في الحرم ، وحرمة ذبح كلّ ما أدخل الحرم حيّا ، ووجوب تخلية سبيل الصقر في الحرم كما يأتي في باب مسائل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بضميمة الإجماع على اتّحاد حكم الحرم والإحرام في تحريم الصيد ، بل دلالة صحيحة </w:t>
      </w:r>
      <w:r>
        <w:rPr>
          <w:rStyle w:val="FootnoteAnchor"/>
          <w:rtl w:val="true"/>
        </w:rPr>
        <w:footnoteReference w:id="1540"/>
      </w:r>
      <w:r>
        <w:rPr>
          <w:rFonts w:ascii="Amiri" w:hAnsi="Amiri" w:eastAsia="Amiri" w:cs="Amiri"/>
          <w:color w:val="111111"/>
          <w:sz w:val="28"/>
          <w:sz w:val="28"/>
          <w:szCs w:val="28"/>
          <w:rtl w:val="true"/>
          <w:lang w:bidi="ar-SA"/>
        </w:rPr>
        <w:t xml:space="preserve">حريز </w:t>
      </w:r>
      <w:r>
        <w:rPr>
          <w:rStyle w:val="FootnoteAnchor"/>
          <w:rtl w:val="true"/>
        </w:rPr>
        <w:footnoteReference w:id="1541"/>
      </w:r>
      <w:r>
        <w:rPr>
          <w:rFonts w:ascii="Amiri" w:hAnsi="Amiri" w:eastAsia="Amiri" w:cs="Amiri"/>
          <w:color w:val="111111"/>
          <w:sz w:val="28"/>
          <w:sz w:val="28"/>
          <w:szCs w:val="28"/>
          <w:rtl w:val="true"/>
          <w:lang w:bidi="ar-SA"/>
        </w:rPr>
        <w:t>عليه كما يأتي في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بالأصالة لإخراج ما توحّش من الإنسي وإدخال ما استأنس من الوحشي ، إذ بذلك لا يخرج الحيوان عن مسمّاه الأصلي ، ولا يختلف بذلك إطلاق الصيد وعدمه ، بل لا خلاف في جواز قتل الإنسي المتوحّش وعدم جواز قتل الوحشيّ المستأنس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إطلاق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يذبح البقر والغنم والإبل ، وكلّ ما لم يصفّ من الطير ، وما أحلّ للحلال أن يذبحه في الحرم ، وهو محرم في الحلّ والحرم </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ينحر بعيره ويذبح شاته؟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يأتي من جواز ذبح الإبل والبقر والغنم والدجاجة في الحرم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تستثنى منه الأفعى والعقرب والفأرة ، وفاقا للمحقّق </w:t>
      </w:r>
      <w:r>
        <w:rPr>
          <w:rStyle w:val="FootnoteAnchor"/>
          <w:rtl w:val="true"/>
        </w:rPr>
        <w:footnoteReference w:id="1544"/>
      </w:r>
      <w:r>
        <w:rPr>
          <w:rFonts w:ascii="Amiri" w:hAnsi="Amiri" w:eastAsia="Amiri" w:cs="Amiri"/>
          <w:color w:val="111111"/>
          <w:sz w:val="28"/>
          <w:sz w:val="28"/>
          <w:szCs w:val="28"/>
          <w:rtl w:val="true"/>
          <w:lang w:bidi="ar-SA"/>
        </w:rPr>
        <w:t xml:space="preserve">وجماعة </w:t>
      </w:r>
      <w:r>
        <w:rPr>
          <w:rStyle w:val="FootnoteAnchor"/>
          <w:rtl w:val="true"/>
        </w:rPr>
        <w:footnoteReference w:id="1545"/>
      </w:r>
      <w:r>
        <w:rPr>
          <w:rFonts w:ascii="Amiri" w:hAnsi="Amiri" w:eastAsia="Amiri" w:cs="Amiri"/>
          <w:color w:val="111111"/>
          <w:sz w:val="28"/>
          <w:sz w:val="28"/>
          <w:szCs w:val="28"/>
          <w:rtl w:val="true"/>
          <w:lang w:bidi="ar-SA"/>
        </w:rPr>
        <w:t xml:space="preserve">، لصحيحة ابن عمّار المتقدّمة ، وصحيحة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المحرم الأسود الغدر والأفعى والعقرب والفأرة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 كلّ شي‌ء منهنّ يريدك </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وما يقتل من الدواب؟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الأسود والأفعى والفأرة والعقرب وكلّ حيّة ، وإن أرادك السبع فاقتله ، وإن لم يردك فلا تقتله ، والكلب العقور إن أرادك فاقتله ، ولا بأس للمحرم أن يرمي الحدأة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في الحرم والإحرام الأفعى والأسود الغدر ، وكلّ حيّة سوء ، والعقرب والفأرة وهي الفويسقة ، ويرجم الغراب والحدأة رجما </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كلّما خيف منه فيجوز قتله إذا أراده إجماعا كما قيل </w:t>
      </w:r>
      <w:r>
        <w:rPr>
          <w:rStyle w:val="FootnoteAnchor"/>
          <w:rtl w:val="true"/>
        </w:rPr>
        <w:footnoteReference w:id="1549"/>
      </w:r>
      <w:r>
        <w:rPr>
          <w:rFonts w:ascii="Amiri" w:hAnsi="Amiri" w:eastAsia="Amiri" w:cs="Amiri"/>
          <w:color w:val="111111"/>
          <w:sz w:val="28"/>
          <w:sz w:val="28"/>
          <w:szCs w:val="28"/>
          <w:rtl w:val="true"/>
          <w:lang w:bidi="ar-SA"/>
        </w:rPr>
        <w:t>، لذيل صحيحة ابن عمّار ، وابن أبي العلاء ، ورواية الفضيل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خاف المحرم على نفسه من السباع والحيّات وغيرها فليقتله ، وإن لم يردك فلا ترده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العرزمي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المحرم كلّما خشيه على نفسه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لابن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أرادك فاقتله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يجوز قتل الحيّة مطلقا ، لبعض ما مرّ من الروايات المطلقة ، كما هو الأشهر ، بل عن الغنية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5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يختصّ بصورة الخوف ، كما عن السرائر </w:t>
      </w:r>
      <w:r>
        <w:rPr>
          <w:rStyle w:val="FootnoteAnchor"/>
          <w:rtl w:val="true"/>
        </w:rPr>
        <w:footnoteReference w:id="15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لصحيحة ابن عمّار المتقدّمة ، التي هي أخصّ مطلقا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المحرم الزنبور والنسر والأسود والذئب ، وما خاف أن يعدو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العقور هو الذئب </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تجويز قتل الزنبور وما بعده أيضا لأجل الخوف لا مطلقا ، وإن احتمل الإطلاق في الزنبور لهذه الرواية التي هي أخصّ ممّا دلّ على المنع ، ولذا تردّد في الشرائع </w:t>
      </w:r>
      <w:r>
        <w:rPr>
          <w:rStyle w:val="FootnoteAnchor"/>
          <w:rtl w:val="true"/>
        </w:rPr>
        <w:footnoteReference w:id="1556"/>
      </w:r>
      <w:r>
        <w:rPr>
          <w:rFonts w:ascii="Amiri" w:hAnsi="Amiri" w:eastAsia="Amiri" w:cs="Amiri"/>
          <w:color w:val="111111"/>
          <w:sz w:val="28"/>
          <w:sz w:val="28"/>
          <w:szCs w:val="28"/>
          <w:rtl w:val="true"/>
          <w:lang w:bidi="ar-SA"/>
        </w:rPr>
        <w:t xml:space="preserve">، بل وجوّز قتله في المبسوط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أيضا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بقتل النحل والبقّ في الحرم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 بضميمة الصحيحتين الآتيتين في بحث أحكام الحرم ، المصرّحتين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للمحرم ذبح كلّ ما يجوز ذبحه للمحلّ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يثبت استثناء النملة أيضا ، للتصريح به في صحيحة أخرى له </w:t>
      </w:r>
      <w:r>
        <w:rPr>
          <w:rStyle w:val="FootnoteAnchor"/>
          <w:rtl w:val="true"/>
        </w:rPr>
        <w:footnoteReference w:id="1559"/>
      </w:r>
      <w:r>
        <w:rPr>
          <w:rFonts w:ascii="Amiri" w:hAnsi="Amiri" w:eastAsia="Amiri" w:cs="Amiri"/>
          <w:color w:val="111111"/>
          <w:sz w:val="28"/>
          <w:sz w:val="28"/>
          <w:szCs w:val="28"/>
          <w:rtl w:val="true"/>
          <w:lang w:bidi="ar-SA"/>
        </w:rPr>
        <w:t xml:space="preserve">، حيث فيها موضع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فلا ، أمّا النسر فلظاهر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الأسود فلما مرّ وإن احتمل الإطلاق فيه أيضا ، لأنّ الأسود نوع خاصّ من الحيّات ، والدليل الخاصّ بالإرادة في الحيّة إنّما هو في مطلق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بالكلب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فلمفهوم رواية ابن الفضيل المتقدّمة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خالف هنا جماعة في الصيد المحرّم أكله ، بل في المفاتيح حكي عن الأكثر </w:t>
      </w:r>
      <w:r>
        <w:rPr>
          <w:rStyle w:val="FootnoteAnchor"/>
          <w:rtl w:val="true"/>
        </w:rPr>
        <w:footnoteReference w:id="1561"/>
      </w:r>
      <w:r>
        <w:rPr>
          <w:rFonts w:ascii="Amiri" w:hAnsi="Amiri" w:eastAsia="Amiri" w:cs="Amiri"/>
          <w:color w:val="111111"/>
          <w:sz w:val="28"/>
          <w:sz w:val="28"/>
          <w:szCs w:val="28"/>
          <w:rtl w:val="true"/>
          <w:lang w:bidi="ar-SA"/>
        </w:rPr>
        <w:t xml:space="preserve">، فقيّدوا الصيد المحرّم بالمحلّل من الممتنع ، فجوّزوا صيد كلّ ما لا يؤكل ، إمّا مطلقا ، كطائفة </w:t>
      </w:r>
      <w:r>
        <w:rPr>
          <w:rStyle w:val="FootnoteAnchor"/>
          <w:rtl w:val="true"/>
        </w:rPr>
        <w:footnoteReference w:id="1562"/>
      </w:r>
      <w:r>
        <w:rPr>
          <w:rFonts w:ascii="Amiri" w:hAnsi="Amiri" w:eastAsia="Amiri" w:cs="Amiri"/>
          <w:color w:val="111111"/>
          <w:sz w:val="28"/>
          <w:sz w:val="28"/>
          <w:szCs w:val="28"/>
          <w:rtl w:val="true"/>
          <w:lang w:bidi="ar-SA"/>
        </w:rPr>
        <w:t xml:space="preserve">، أو باستثناء الأسد والثعلب والأرنب والضب واليربوع والقنفذ والزنبور والعظاية ، فحرّموا صيدها أيضا ، كجماعة </w:t>
      </w:r>
      <w:r>
        <w:rPr>
          <w:rStyle w:val="FootnoteAnchor"/>
          <w:rtl w:val="true"/>
        </w:rPr>
        <w:footnoteReference w:id="15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p>
    <w:p>
      <w:pPr>
        <w:pStyle w:val="BookText"/>
        <w:rPr/>
      </w:pPr>
      <w:r>
        <w:rPr>
          <w:rFonts w:ascii="Amiri" w:hAnsi="Amiri" w:eastAsia="Amiri" w:cs="Amiri"/>
          <w:color w:val="111111"/>
          <w:sz w:val="28"/>
          <w:sz w:val="28"/>
          <w:szCs w:val="28"/>
          <w:rtl w:val="true"/>
          <w:lang w:bidi="ar-SA"/>
        </w:rPr>
        <w:t>استنادا إلى عدم وجوب كفّارة في غير المأكول سوى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التلازم بين عدم لزوم الكفّارة وعدم التحريم ، لأنّها ليست من لوازم الحرمة ، كما يشهد عليه سقوط الكفّارة عمّن عاد في الصيد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استنباط التلازم بين الحرمة ولزوم الكفّارة من سياق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 ومن صحيحتي الحلبي </w:t>
      </w:r>
      <w:r>
        <w:rPr>
          <w:rStyle w:val="FootnoteAnchor"/>
          <w:rtl w:val="true"/>
        </w:rPr>
        <w:footnoteReference w:id="1567"/>
      </w:r>
      <w:r>
        <w:rPr>
          <w:rFonts w:ascii="IRNazanin" w:hAnsi="IRNazanin" w:eastAsia="IRNazanin"/>
          <w:color w:val="111111"/>
          <w:sz w:val="28"/>
          <w:sz w:val="28"/>
          <w:szCs w:val="28"/>
          <w:rtl w:val="true"/>
          <w:lang w:bidi="fa-IR"/>
        </w:rPr>
        <w:t xml:space="preserve">وابن حازم </w:t>
      </w:r>
      <w:r>
        <w:rPr>
          <w:rStyle w:val="FootnoteAnchor"/>
          <w:rtl w:val="true"/>
        </w:rPr>
        <w:footnoteReference w:id="1568"/>
      </w:r>
      <w:r>
        <w:rPr>
          <w:rFonts w:ascii="Amiri" w:hAnsi="Amiri" w:eastAsia="Amiri" w:cs="Amiri"/>
          <w:color w:val="111111"/>
          <w:sz w:val="28"/>
          <w:sz w:val="28"/>
          <w:szCs w:val="28"/>
          <w:rtl w:val="true"/>
          <w:lang w:bidi="ar-SA"/>
        </w:rPr>
        <w:t xml:space="preserve">المتقدّمتين ، فإنّ مفادهما ثبوت الفداء في كلّ ما تعلّق به النهي ، فلا بدّ من أحد التخصيصين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تخصيص الصيد بالمحلّل ، أو الفداء ببعض ما يحرم صيده ، فلا يعلم عموم حرمة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ذلك اختصاص حرمة الصيد بما فيه الفداء ، ولكن لا يفيد ذلك فيما نهي فيه عن قتل الدواب والسباع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الصيد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الدواب ، وما ثبت فيه التلازم هو الأول دون الثاني ، والمثبت للتعميم حقيقة هو الثاني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قتل الدواب كلّها حال الإحرام ، وخرج منها الإبل والبقر والغنم والدجاج ، وكل ما خيف منه مع </w:t>
      </w:r>
    </w:p>
    <w:p>
      <w:pPr>
        <w:pStyle w:val="BookText"/>
        <w:rPr/>
      </w:pPr>
      <w:r>
        <w:rPr>
          <w:rFonts w:ascii="Amiri" w:hAnsi="Amiri" w:eastAsia="Amiri" w:cs="Amiri"/>
          <w:color w:val="111111"/>
          <w:sz w:val="28"/>
          <w:sz w:val="28"/>
          <w:szCs w:val="28"/>
          <w:rtl w:val="true"/>
          <w:lang w:bidi="ar-SA"/>
        </w:rPr>
        <w:t>الإرادة ، والزنبور والنمل والأفعى والعقرب والفأرة وهوام الجسد والغراب يرمى ، والسائر باق تحت الأصل من الوحوش والطيور والحشرات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تحريم الصيد إنّما هو في الصيد البرّي ، وأمّا البحري فلا يحرم ، بالإجماعين </w:t>
      </w:r>
      <w:r>
        <w:rPr>
          <w:rStyle w:val="FootnoteAnchor"/>
          <w:rtl w:val="true"/>
        </w:rPr>
        <w:footnoteReference w:id="1569"/>
      </w:r>
      <w:r>
        <w:rPr>
          <w:rFonts w:ascii="Amiri" w:hAnsi="Amiri" w:eastAsia="Amiri" w:cs="Amiri"/>
          <w:color w:val="111111"/>
          <w:sz w:val="28"/>
          <w:sz w:val="28"/>
          <w:szCs w:val="28"/>
          <w:rtl w:val="true"/>
          <w:lang w:bidi="ar-SA"/>
        </w:rPr>
        <w:t xml:space="preserve">، والكتاب </w:t>
      </w:r>
      <w:r>
        <w:rPr>
          <w:rStyle w:val="FootnoteAnchor"/>
          <w:rtl w:val="true"/>
        </w:rPr>
        <w:footnoteReference w:id="1570"/>
      </w:r>
      <w:r>
        <w:rPr>
          <w:rFonts w:ascii="Amiri" w:hAnsi="Amiri" w:eastAsia="Amiri" w:cs="Amiri"/>
          <w:color w:val="111111"/>
          <w:sz w:val="28"/>
          <w:sz w:val="28"/>
          <w:szCs w:val="28"/>
          <w:rtl w:val="true"/>
          <w:lang w:bidi="ar-SA"/>
        </w:rPr>
        <w:t xml:space="preserve">، والسنّة المستفيضة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بالبحر يعمّ النهر أيضا كما قيل </w:t>
      </w:r>
      <w:r>
        <w:rPr>
          <w:rStyle w:val="FootnoteAnchor"/>
          <w:rtl w:val="true"/>
        </w:rPr>
        <w:footnoteReference w:id="1572"/>
      </w:r>
      <w:r>
        <w:rPr>
          <w:rFonts w:ascii="Amiri" w:hAnsi="Amiri" w:eastAsia="Amiri" w:cs="Amiri"/>
          <w:color w:val="111111"/>
          <w:sz w:val="28"/>
          <w:sz w:val="28"/>
          <w:szCs w:val="28"/>
          <w:rtl w:val="true"/>
          <w:lang w:bidi="ar-SA"/>
        </w:rPr>
        <w:t xml:space="preserve">، بل لا خلاف كما عن التبيان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تسمّي النهر بحرا </w:t>
      </w:r>
      <w:r>
        <w:rPr>
          <w:rStyle w:val="FootnoteAnchor"/>
          <w:rtl w:val="true"/>
        </w:rPr>
        <w:footnoteReference w:id="1573"/>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والأغلب في البحر هو الذي يكون ماؤه مالحا ، لكن إذا أطلق دخل فيه الأنهار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 صيد البرّ والبحر إنّما هي بالتعيّش ، فما يعيش في البرّ فمن البرّي وإن كان أصله من البحر ، وما يعيش في البحر فمن البحر ، لصدق الاسم ،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جعفر عليه السلام على ناس وهم يأكلون جرادا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وأنتم محرمون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من البحر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فارمسوه في الماء إذن </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أصله في البحر ويكون في البرّ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للمحرم أن يقتله ، فإن قتله فعليه الجزاء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يعيش في البرّ والبحر معا فالفصل المميّز فيه إنّما هو اعتبار البيض والفرخ ، فما يبيض ويفرخ في الماء فهو بحريّ وإن كان يعيش في البرّ ، وما يبيض ويفرخ في البر فهو برّي وإن كان يعيش في الماء ، باتّفاق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في صحيحة حريز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وفصل ما بينهما كلّ طير يكون في الآجام ويبيض في البرّ ويفرخ في البرّ فهو من صيد البرّ ، وما كان من صيد البرّ يكون في البرّ ويبيض في البحر ويفرخ في البحر فهو من صيد البحر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البيض والإفراخ التوالد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في معنى الصيد البرّي ، اتّفاقا محقّقا ومحكيّا </w:t>
      </w:r>
      <w:r>
        <w:rPr>
          <w:rStyle w:val="FootnoteAnchor"/>
          <w:rtl w:val="true"/>
        </w:rPr>
        <w:footnoteReference w:id="1578"/>
      </w:r>
      <w:r>
        <w:rPr>
          <w:rFonts w:ascii="Amiri" w:hAnsi="Amiri" w:eastAsia="Amiri" w:cs="Amiri"/>
          <w:color w:val="111111"/>
          <w:sz w:val="28"/>
          <w:sz w:val="28"/>
          <w:szCs w:val="28"/>
          <w:rtl w:val="true"/>
          <w:lang w:bidi="ar-SA"/>
        </w:rPr>
        <w:t xml:space="preserve">، له ، وللمستفيضة ، كصحيحة محمّد المتقدّمة ، 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للمحرم أن يأكل جرادا ولا يقتله </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 وغير ذلك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رمي الغراب بأقسامه والحدأة في الحرم وغيره ، مع الإحرام أو لا معه ، وعن ظهر البعير وغيره ، للروايات السابقة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وتخصيص الحكم في صحيحة ابن عمّار </w:t>
      </w:r>
      <w:r>
        <w:rPr>
          <w:rStyle w:val="FootnoteAnchor"/>
          <w:rtl w:val="true"/>
        </w:rPr>
        <w:footnoteReference w:id="1582"/>
      </w:r>
      <w:r>
        <w:rPr>
          <w:rFonts w:ascii="Amiri" w:hAnsi="Amiri" w:eastAsia="Amiri" w:cs="Amiri"/>
          <w:color w:val="111111"/>
          <w:sz w:val="28"/>
          <w:sz w:val="28"/>
          <w:szCs w:val="28"/>
          <w:rtl w:val="true"/>
          <w:lang w:bidi="ar-SA"/>
        </w:rPr>
        <w:t>بالرمي عن ظهر البعير لا يفيد الاختصاص بعد إطلاق سائر الروايات ، إذ لا منافاة بينهما ، فوجب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قتلهما ، لما مرّ ، إلاّ أن يفضي الرمي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بجواز قتل البرغوث والبقّة </w:t>
      </w:r>
      <w:r>
        <w:rPr>
          <w:rStyle w:val="FootnoteAnchor"/>
          <w:rtl w:val="true"/>
        </w:rPr>
        <w:footnoteReference w:id="1583"/>
      </w:r>
      <w:r>
        <w:rPr>
          <w:rFonts w:ascii="Amiri" w:hAnsi="Amiri" w:eastAsia="Amiri" w:cs="Amiri"/>
          <w:color w:val="111111"/>
          <w:sz w:val="28"/>
          <w:sz w:val="28"/>
          <w:szCs w:val="28"/>
          <w:rtl w:val="true"/>
          <w:lang w:bidi="ar-SA"/>
        </w:rPr>
        <w:t xml:space="preserve">، للأصل ، 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يقتل البقّة والبرغوث إذا أراداه؟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التهذيب والفاضل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قتلهما </w:t>
      </w:r>
      <w:r>
        <w:rPr>
          <w:rStyle w:val="FootnoteAnchor"/>
          <w:rtl w:val="true"/>
        </w:rPr>
        <w:footnoteReference w:id="1585"/>
      </w:r>
      <w:r>
        <w:rPr>
          <w:rFonts w:ascii="Amiri" w:hAnsi="Amiri" w:eastAsia="Amiri" w:cs="Amiri"/>
          <w:color w:val="111111"/>
          <w:sz w:val="28"/>
          <w:sz w:val="28"/>
          <w:szCs w:val="28"/>
          <w:rtl w:val="true"/>
          <w:lang w:bidi="ar-SA"/>
        </w:rPr>
        <w:t xml:space="preserve">، لصحيحة ابن عمّار المتقدّمة ، وقوّاه في المدارك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قلنا بالجواز إذا أراداه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بدونه كان حسنا ، إلاّ أنّ هاهنا أخبارا أخر تدلّ على الجواز ، ويأتي تحقيقه في بحث هوام الجسد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أكل الصيد مع اضطراره إليه ، حيث يحلّ أكل الميّتة بقدر ما يمسك الرمق إذا لم يوجد غيره إجماعا ، فيأكل ويفدي بما يأتي ، أمّا جواز الأكل فللاضطرار المجوّز له كتابا وسنّة وإجماعا ، وأمّا الفداء فلإطلاقاته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عليهما أيضا صحيحة زرارة وبكير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اضطرّ إلى صيد وميتة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الصيد ويفدي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يضطرّ فيجد الميّتة والصيد أيّهما يأكل؟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 من الصيد ، ليس هو بالخيار ، أما يحبّ أن يأكل من 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عليه الفداء ، فليأكل وليفده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منهما وممّا في معناهما من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يونس </w:t>
      </w:r>
      <w:r>
        <w:rPr>
          <w:rStyle w:val="FootnoteAnchor"/>
          <w:rtl w:val="true"/>
        </w:rPr>
        <w:footnoteReference w:id="1589"/>
      </w:r>
      <w:r>
        <w:rPr>
          <w:rFonts w:ascii="Amiri" w:hAnsi="Amiri" w:eastAsia="Amiri" w:cs="Amiri"/>
          <w:color w:val="111111"/>
          <w:sz w:val="28"/>
          <w:sz w:val="28"/>
          <w:szCs w:val="28"/>
          <w:rtl w:val="true"/>
          <w:lang w:bidi="ar-SA"/>
        </w:rPr>
        <w:t xml:space="preserve">ورواية منصور </w:t>
      </w:r>
      <w:r>
        <w:rPr>
          <w:rStyle w:val="FootnoteAnchor"/>
          <w:rtl w:val="true"/>
        </w:rPr>
        <w:footnoteReference w:id="1590"/>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تقديم أكل الصيد على الميّتة إذا وجدت معه ، كما قاله المفيد والسيّد والديلمي </w:t>
      </w:r>
      <w:r>
        <w:rPr>
          <w:rStyle w:val="FootnoteAnchor"/>
          <w:rtl w:val="true"/>
        </w:rPr>
        <w:footnoteReference w:id="1592"/>
      </w:r>
      <w:r>
        <w:rPr>
          <w:rFonts w:ascii="Amiri" w:hAnsi="Amiri" w:eastAsia="Amiri" w:cs="Amiri"/>
          <w:color w:val="111111"/>
          <w:sz w:val="28"/>
          <w:sz w:val="28"/>
          <w:szCs w:val="28"/>
          <w:rtl w:val="true"/>
          <w:lang w:bidi="ar-SA"/>
        </w:rPr>
        <w:t xml:space="preserve">، وجماعة </w:t>
      </w:r>
      <w:r>
        <w:rPr>
          <w:rStyle w:val="FootnoteAnchor"/>
          <w:rtl w:val="true"/>
        </w:rPr>
        <w:footnoteReference w:id="1593"/>
      </w:r>
      <w:r>
        <w:rPr>
          <w:rFonts w:ascii="Amiri" w:hAnsi="Amiri" w:eastAsia="Amiri" w:cs="Amiri"/>
          <w:color w:val="111111"/>
          <w:sz w:val="28"/>
          <w:sz w:val="28"/>
          <w:szCs w:val="28"/>
          <w:rtl w:val="true"/>
          <w:lang w:bidi="ar-SA"/>
        </w:rPr>
        <w:t xml:space="preserve">، ونسبه في النافع والتنقيح إلى أشهر الروايتين </w:t>
      </w:r>
      <w:r>
        <w:rPr>
          <w:rStyle w:val="FootnoteAnchor"/>
          <w:rtl w:val="true"/>
        </w:rPr>
        <w:footnoteReference w:id="1594"/>
      </w:r>
      <w:r>
        <w:rPr>
          <w:rFonts w:ascii="Amiri" w:hAnsi="Amiri" w:eastAsia="Amiri" w:cs="Amiri"/>
          <w:color w:val="111111"/>
          <w:sz w:val="28"/>
          <w:sz w:val="28"/>
          <w:szCs w:val="28"/>
          <w:rtl w:val="true"/>
          <w:lang w:bidi="ar-SA"/>
        </w:rPr>
        <w:t xml:space="preserve">، وعن 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يأكل الميّتة </w:t>
      </w:r>
      <w:r>
        <w:rPr>
          <w:rStyle w:val="FootnoteAnchor"/>
          <w:rtl w:val="true"/>
        </w:rPr>
        <w:footnoteReference w:id="1596"/>
      </w:r>
      <w:r>
        <w:rPr>
          <w:rFonts w:ascii="Amiri" w:hAnsi="Amiri" w:eastAsia="Amiri" w:cs="Amiri"/>
          <w:color w:val="111111"/>
          <w:sz w:val="28"/>
          <w:sz w:val="28"/>
          <w:szCs w:val="28"/>
          <w:rtl w:val="true"/>
          <w:lang w:bidi="ar-SA"/>
        </w:rPr>
        <w:t xml:space="preserve">، لصحيحة عبد الغفّار الجازي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إذا اضطرّ إلى ميتة فوجدها ووجد صيدا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الميّتة ويترك الصيد </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وبمعناها رواية إسحاق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الميّتة التي أحلّ اللّه له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وجمع الصدوق بينهما بالتخيير مع رجحان الصيد </w:t>
      </w:r>
      <w:r>
        <w:rPr>
          <w:rStyle w:val="FootnoteAnchor"/>
          <w:rtl w:val="true"/>
        </w:rPr>
        <w:footnoteReference w:id="1599"/>
      </w:r>
      <w:r>
        <w:rPr>
          <w:rFonts w:ascii="Amiri" w:hAnsi="Amiri" w:eastAsia="Amiri" w:cs="Amiri"/>
          <w:color w:val="111111"/>
          <w:sz w:val="28"/>
          <w:sz w:val="28"/>
          <w:szCs w:val="28"/>
          <w:rtl w:val="true"/>
          <w:lang w:bidi="ar-SA"/>
        </w:rPr>
        <w:t xml:space="preserve">، استنادا إلى ما صرّح بكون الصيد أحبّ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وتردّه صحيحة الحلبي المتقدّمة ، فيتعيّن العمل بإحدى الروايتين ، والأولى أرجح ، لموافقتها لاستصحاب حلّية الصيد وحرمة الميّتة ، ومخالفتها لما عليه أكثر العامّة ، سيّما رؤساؤهم وأصحاب أبي حنيفة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آخر بوجوه أخر خالية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 الفداء حينئذ ، يقضيه إذا رجع من ماله ، كما صرّح به في موثّقة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منه حين الرجوع أيضا يرجع إلى بدله من الصوم ونحوه إن كان له بدل ، لصدق الفداء عليه ، كما يأتي في بحث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له بدل أو كان وعجز عنه أيضا يأكل الميّتة ، وفاقا للمبسوط والتهذيب والمهذّب والشرائع والقواعد </w:t>
      </w:r>
      <w:r>
        <w:rPr>
          <w:rStyle w:val="FootnoteAnchor"/>
          <w:rtl w:val="true"/>
        </w:rPr>
        <w:footnoteReference w:id="1602"/>
      </w:r>
      <w:r>
        <w:rPr>
          <w:rFonts w:ascii="Amiri" w:hAnsi="Amiri" w:eastAsia="Amiri" w:cs="Amiri"/>
          <w:color w:val="111111"/>
          <w:sz w:val="28"/>
          <w:sz w:val="28"/>
          <w:szCs w:val="28"/>
          <w:rtl w:val="true"/>
          <w:lang w:bidi="ar-SA"/>
        </w:rPr>
        <w:t xml:space="preserve">وغيرها </w:t>
      </w:r>
      <w:r>
        <w:rPr>
          <w:rStyle w:val="FootnoteAnchor"/>
          <w:rtl w:val="true"/>
        </w:rPr>
        <w:footnoteReference w:id="1603"/>
      </w:r>
      <w:r>
        <w:rPr>
          <w:rFonts w:ascii="Amiri" w:hAnsi="Amiri" w:eastAsia="Amiri" w:cs="Amiri"/>
          <w:color w:val="111111"/>
          <w:sz w:val="28"/>
          <w:sz w:val="28"/>
          <w:szCs w:val="28"/>
          <w:rtl w:val="true"/>
          <w:lang w:bidi="ar-SA"/>
        </w:rPr>
        <w:t>، لاختصاص أخبار تقديم الصيد بما إذا تمكّن من الفداء ، للأمر به ، فتبقى أخبار تقديم الميّتة في هذا المورد خالية عن المعارض ، فيجب العمل بها البتّة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أقوال أخر وفروع أخر لا ينبغي لمن له أمر آخر أهمّ الاشتغال بذكرها ، فإنّ المسألة مجرّد فرض يندر الاحتياج إليها جدّا ، ونحوها أكثر مسائل الصيد ، ولذا ارتكبنا فيه نحوا من الاقتصار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من المحرّمات على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والرجال جماعا ، ولمسا بشهوة ، وتقبيلا كذلك لا بدونها ، وعقدا لنفسه ولغيره ، بلا خلاف في شي‌ء منها كما قيل </w:t>
      </w:r>
      <w:r>
        <w:rPr>
          <w:rStyle w:val="FootnoteAnchor"/>
          <w:rtl w:val="true"/>
        </w:rPr>
        <w:footnoteReference w:id="1604"/>
      </w:r>
      <w:r>
        <w:rPr>
          <w:rFonts w:ascii="Amiri" w:hAnsi="Amiri" w:eastAsia="Amiri" w:cs="Amiri"/>
          <w:color w:val="111111"/>
          <w:sz w:val="28"/>
          <w:sz w:val="28"/>
          <w:szCs w:val="28"/>
          <w:rtl w:val="true"/>
          <w:lang w:bidi="ar-SA"/>
        </w:rPr>
        <w:t xml:space="preserve">، بل بالإجماع المحكيّ في التحرير في الأول </w:t>
      </w:r>
      <w:r>
        <w:rPr>
          <w:rStyle w:val="FootnoteAnchor"/>
          <w:rtl w:val="true"/>
        </w:rPr>
        <w:footnoteReference w:id="1605"/>
      </w:r>
      <w:r>
        <w:rPr>
          <w:rFonts w:ascii="Amiri" w:hAnsi="Amiri" w:eastAsia="Amiri" w:cs="Amiri"/>
          <w:color w:val="111111"/>
          <w:sz w:val="28"/>
          <w:sz w:val="28"/>
          <w:szCs w:val="28"/>
          <w:rtl w:val="true"/>
          <w:lang w:bidi="ar-SA"/>
        </w:rPr>
        <w:t xml:space="preserve">، وفي ظاهر المدارك وشرح الهندي للقواعد فيه وفي الأخير </w:t>
      </w:r>
      <w:r>
        <w:rPr>
          <w:rStyle w:val="FootnoteAnchor"/>
          <w:rtl w:val="true"/>
        </w:rPr>
        <w:footnoteReference w:id="1606"/>
      </w:r>
      <w:r>
        <w:rPr>
          <w:rFonts w:ascii="Amiri" w:hAnsi="Amiri" w:eastAsia="Amiri" w:cs="Amiri"/>
          <w:color w:val="111111"/>
          <w:sz w:val="28"/>
          <w:sz w:val="28"/>
          <w:szCs w:val="28"/>
          <w:rtl w:val="true"/>
          <w:lang w:bidi="ar-SA"/>
        </w:rPr>
        <w:t xml:space="preserve">، وفي الخلاف والغنية والمنتهى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w:t>
      </w:r>
      <w:r>
        <w:rPr>
          <w:rStyle w:val="FootnoteAnchor"/>
          <w:rtl w:val="true"/>
        </w:rPr>
        <w:footnoteReference w:id="1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المفاتيح وشرحه في الجميع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الرفث في الكتاب الكريم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في صحيحتي ابن عمّار </w:t>
      </w:r>
      <w:r>
        <w:rPr>
          <w:rStyle w:val="FootnoteAnchor"/>
          <w:rtl w:val="true"/>
        </w:rPr>
        <w:footnoteReference w:id="1610"/>
      </w:r>
      <w:r>
        <w:rPr>
          <w:rFonts w:ascii="Amiri" w:hAnsi="Amiri" w:eastAsia="Amiri" w:cs="Amiri"/>
          <w:color w:val="111111"/>
          <w:sz w:val="28"/>
          <w:sz w:val="28"/>
          <w:szCs w:val="28"/>
          <w:rtl w:val="true"/>
          <w:lang w:bidi="ar-SA"/>
        </w:rPr>
        <w:t xml:space="preserve">وعليّ بن جعفر </w:t>
      </w:r>
      <w:r>
        <w:rPr>
          <w:rStyle w:val="FootnoteAnchor"/>
          <w:rtl w:val="true"/>
        </w:rPr>
        <w:footnoteReference w:id="1611"/>
      </w:r>
      <w:r>
        <w:rPr>
          <w:rFonts w:ascii="Amiri" w:hAnsi="Amiri" w:eastAsia="Amiri" w:cs="Amiri"/>
          <w:color w:val="111111"/>
          <w:sz w:val="28"/>
          <w:sz w:val="28"/>
          <w:szCs w:val="28"/>
          <w:rtl w:val="true"/>
          <w:lang w:bidi="ar-SA"/>
        </w:rPr>
        <w:t xml:space="preserve">بالجماع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المستفيضة </w:t>
      </w:r>
      <w:r>
        <w:rPr>
          <w:rStyle w:val="FootnoteAnchor"/>
          <w:rtl w:val="true"/>
        </w:rPr>
        <w:footnoteReference w:id="1612"/>
      </w:r>
      <w:r>
        <w:rPr>
          <w:rFonts w:ascii="Amiri" w:hAnsi="Amiri" w:eastAsia="Amiri" w:cs="Amiri"/>
          <w:color w:val="111111"/>
          <w:sz w:val="28"/>
          <w:sz w:val="28"/>
          <w:szCs w:val="28"/>
          <w:rtl w:val="true"/>
          <w:lang w:bidi="ar-SA"/>
        </w:rPr>
        <w:t>القريبة من المتواترة من الصحاح وغيرها الآتية جملة منها في بحث الكفّارات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حمل امرأته وهو محرم فأمنى أو أمذى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حملها أو مسّها بشي‌ء من الشهوة فأمنى أو لم يمن أمذى أو لم يمذ فعليه دم شاة يهريقه ، فإن حملها أو مسّها </w:t>
      </w:r>
    </w:p>
    <w:p>
      <w:pPr>
        <w:pStyle w:val="BookText"/>
        <w:rPr/>
      </w:pPr>
      <w:r>
        <w:rPr>
          <w:rFonts w:ascii="Amiri" w:hAnsi="Amiri" w:eastAsia="Amiri" w:cs="Amiri"/>
          <w:color w:val="111111"/>
          <w:sz w:val="28"/>
          <w:sz w:val="28"/>
          <w:szCs w:val="28"/>
          <w:rtl w:val="true"/>
          <w:lang w:bidi="ar-SA"/>
        </w:rPr>
        <w:t xml:space="preserve">بغير شهوة أمنى أو أمذى فليس عليه شي‌ء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ينزل المرأة من المحمل فيضمّها إليه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إلاّ أن يتعمّد </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على 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أراد أن ينزلها من المحمل فلمّا ضمّها إليه أدركته الشهوة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إلاّ أن يكون طلب ذلك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امرأته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وإن لم ينزل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يقبّل أمّه؟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هذا قبلة رحمة ، إنّما تكره قبلة الشهوة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 والمراد بالكراهة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 لأنّ التفصيل قاطع للشركة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وامرأة تمتّعا جميعا فقصّرت امرأته ولم يقصّر فقبّلها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 دما ، وإن كانا لم يقصّرا جميعا فعلى كلّ واحد منهما أن يهريق دما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يضع يده من غير شهوة على 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يصلح عليها خمارها ، ويصلح عليها ثوبها ومحملها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أفيمسّها وهي 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بشهوة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أشدّ ، ينحر بدنة </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حال المحرم ضيّقة ، فمن قبّل امرأته على غير شهوة وهو محرم فعليه دم شاة ، ومن قبّل امرأته على شهوة فأمنى فعليه جزور ويستغفر ربّه ، ومن مسّ امرأته بيده وهو محرم على شهوة فعليه دم شاة ، ومن نظر إلى امرأته نظر شهوة فأمنى فعليه جزور ، ومن مسّ امرأته أو لازمها من غير شهوة فلا شي‌ء عليه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تلك الروايات على الحرمة لأجل إيجاب الكفّارة ، للإجماع ظاهرا على استلزام وجوب الكفّارة لعدم الجواز في هذا المقام ، مضافا إلى إثبات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 مع العمد في رواية الأعرج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البأس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الضمّ الشامل لما كان بشهوة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بأولويّة التخصيص عن المجاز ، مع أنّ الظاهر عدم الكراهة في الضمّ بدون الشهوة أيضا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هذه الروايات وإن كانت مختصّة بالرجل إلاّ أنّه يتعدّى الحكم إلى </w:t>
      </w:r>
    </w:p>
    <w:p>
      <w:pPr>
        <w:pStyle w:val="BookText"/>
        <w:rPr/>
      </w:pPr>
      <w:r>
        <w:rPr>
          <w:rFonts w:ascii="Amiri" w:hAnsi="Amiri" w:eastAsia="Amiri" w:cs="Amiri"/>
          <w:color w:val="111111"/>
          <w:sz w:val="28"/>
          <w:sz w:val="28"/>
          <w:szCs w:val="28"/>
          <w:rtl w:val="true"/>
          <w:lang w:bidi="ar-SA"/>
        </w:rPr>
        <w:t>المرأة بالإجماع المركّب ، مضافا إلى التصريح بحكم المرأة في رواية العلاء أيضا في التقبيل الموجب للتعدّي إلى غيره بالإجماع المركّب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نادر من تلك الروايات في المسّ الشامل لما كان بشهوة ولغيره مقيّد بتقييد البواقي والتصريح بجواز الثاني ، وكذا إطلاق طائفة منها في التقبيل ، بل تصريح صحيحة الحلبي بتقييد رواية الحسين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الصحيحة الكفّارة ، والمنفيّ في الرواية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بشمول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منه ما كان بغير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للتقبيل أيضا ، ولكنّه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عدم الفصل بين الكفّارة ، وعدم الجواز هنا ، فتتعارض الرواية مع الصحيحة ، فتحمل الأخيرة على الاستحباب ، كما في الذخيرة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الإطلاق في المسّ والتقبيل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جمل العلم والعمل والسرائر والكافي </w:t>
      </w:r>
      <w:r>
        <w:rPr>
          <w:rStyle w:val="FootnoteAnchor"/>
          <w:rtl w:val="true"/>
        </w:rPr>
        <w:footnoteReference w:id="1622"/>
      </w:r>
      <w:r>
        <w:rPr>
          <w:rFonts w:ascii="Amiri" w:hAnsi="Amiri" w:eastAsia="Amiri" w:cs="Amiri"/>
          <w:color w:val="111111"/>
          <w:sz w:val="28"/>
          <w:sz w:val="28"/>
          <w:szCs w:val="28"/>
          <w:rtl w:val="true"/>
          <w:lang w:bidi="ar-SA"/>
        </w:rPr>
        <w:t xml:space="preserve">ويحتمله كلام جماعة </w:t>
      </w:r>
      <w:r>
        <w:rPr>
          <w:rStyle w:val="FootnoteAnchor"/>
          <w:rtl w:val="true"/>
        </w:rPr>
        <w:footnoteReference w:id="162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الأخير مرسلة الحسن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ينكح ولا ينكح ولا يخطب ولا يشهد النكاح ، فإن نكح فنكاحه باطل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وقريبة منها مرسلة ابن فضّال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يتزوّج ولا يزوّج ، فإن فعل فنكاحه </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للمحرم أن يتزوّج ولا يزوّج ، فإن تزوّج أو زوّج محلاّ فتزويجه باطل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الأخير نفي الجواز ، كما يشهد به إبطال النكاح أيضا ، ولأجله يحمل الأولان على الحرمة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النظر بشهوة أيضا </w:t>
      </w:r>
      <w:r>
        <w:rPr>
          <w:rStyle w:val="FootnoteAnchor"/>
          <w:rtl w:val="true"/>
        </w:rPr>
        <w:footnoteReference w:id="1628"/>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لعلّه لا خلاف فيه </w:t>
      </w:r>
      <w:r>
        <w:rPr>
          <w:rStyle w:val="FootnoteAnchor"/>
          <w:rtl w:val="true"/>
        </w:rPr>
        <w:footnoteReference w:id="1629"/>
      </w:r>
      <w:r>
        <w:rPr>
          <w:rFonts w:ascii="Amiri" w:hAnsi="Amiri" w:eastAsia="Amiri" w:cs="Amiri"/>
          <w:color w:val="111111"/>
          <w:sz w:val="28"/>
          <w:sz w:val="28"/>
          <w:szCs w:val="28"/>
          <w:rtl w:val="true"/>
          <w:lang w:bidi="ar-SA"/>
        </w:rPr>
        <w:t xml:space="preserve">،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عليه برواية مسمع المتقدّمة ، 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نظر إلى امرأته فأمنى أو أمذى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 ولكن ليغتسل ويستغفر ربّه ، وإن حملها من غير شهوة فأمنى أو أمذى فلا شي‌ء عليه ، وإن حملها أو مسّها بشهوة فأمنى أو أمذى فعليه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ينظر إلى امرأته أو ينزّلها بشهوة حتى ينزل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نظر إلى غير أهله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نظر إلى غير ما يحلّ له ، وإن لم يكن أنزل فليتق اللّه ولا يعد وليس عليه شي‌ء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نظر إلى غير أهله فأنزل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جزور أو بقرة ، فإن لم يجد فشاة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نظر إلى ساق امرأة فأمنى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موسرا فعليه بدنة ، وإن كان بين ذلك فبقرة ، وإن كان فقيرا فشاة ، أما إنّي لم أجعل ذلك عليه من أجل الماء ولكن من أجل أنّه نظر إلى ما لا يحلّ له </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روايته </w:t>
      </w:r>
      <w:r>
        <w:rPr>
          <w:rStyle w:val="FootnoteAnchor"/>
          <w:rtl w:val="true"/>
        </w:rPr>
        <w:footnoteReference w:id="1635"/>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إلى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ساق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الأوليين مخصوصتان بصورة النظر مع الإمناء ، فلعلّ الكفّارة لأجله ، أو لأجله مع النظر لا للنظر خاصّة ، بل هو الظاهر من الأولى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مخصوصة بالنظر إلى غير المحرم ، فلعلّها لأجله ، بل تعليلها </w:t>
      </w:r>
    </w:p>
    <w:p>
      <w:pPr>
        <w:pStyle w:val="BookText"/>
        <w:rPr/>
      </w:pPr>
      <w:r>
        <w:rPr>
          <w:rFonts w:ascii="Amiri" w:hAnsi="Amiri" w:eastAsia="Amiri" w:cs="Amiri"/>
          <w:color w:val="111111"/>
          <w:sz w:val="28"/>
          <w:sz w:val="28"/>
          <w:szCs w:val="28"/>
          <w:rtl w:val="true"/>
          <w:lang w:bidi="ar-SA"/>
        </w:rPr>
        <w:t>صريح في ذلك ، أو لأجله وللإنزال كما يصرّح به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دلالة الرابعة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الأخيرة وإن كانت مطلقة من جهة المرأة الشاملة لامرأته أيضا ، ولا يقيّدها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بالأجنبيّة ، لجواز عدم الحليّة لأجل الإحرام ، وكانت صريحة في أنّ الكفّارة ليست لأجل الإنزال بل لأجل النظر فتتمّ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تعارض ذيل صحيحة ابن عمّار الأخيرة ، المصرّحة بعدم شي‌ء مع عدم الإنزال لو حملت على أنّها للإنزال فقط ، فيجب حمل الأخيرة على أنّ الكفّارة للأمرين معا ، فلا تبقى لها 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تعارضها 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نظر إلى امرأته بشهوة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رواية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ينظر إلى امرأته وهي محرمة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فيبقى ما عليه الأكثر خاليا عن الدليل ، مع مخالفته للأصل ، ولذا صرّح الصدوق في الفقيه بأنّه لا شي‌ء عليه </w:t>
      </w:r>
      <w:r>
        <w:rPr>
          <w:rStyle w:val="FootnoteAnchor"/>
          <w:rtl w:val="true"/>
        </w:rPr>
        <w:footnoteReference w:id="1638"/>
      </w:r>
      <w:r>
        <w:rPr>
          <w:rFonts w:ascii="Amiri" w:hAnsi="Amiri" w:eastAsia="Amiri" w:cs="Amiri"/>
          <w:color w:val="111111"/>
          <w:sz w:val="28"/>
          <w:sz w:val="28"/>
          <w:szCs w:val="28"/>
          <w:rtl w:val="true"/>
          <w:lang w:bidi="ar-SA"/>
        </w:rPr>
        <w:t xml:space="preserve">، وقوّاه بعض مشايخنا </w:t>
      </w:r>
      <w:r>
        <w:rPr>
          <w:rStyle w:val="FootnoteAnchor"/>
          <w:rtl w:val="true"/>
        </w:rPr>
        <w:footnoteReference w:id="1639"/>
      </w:r>
      <w:r>
        <w:rPr>
          <w:rFonts w:ascii="Amiri" w:hAnsi="Amiri" w:eastAsia="Amiri" w:cs="Amiri"/>
          <w:color w:val="111111"/>
          <w:sz w:val="28"/>
          <w:sz w:val="28"/>
          <w:szCs w:val="28"/>
          <w:rtl w:val="true"/>
          <w:lang w:bidi="ar-SA"/>
        </w:rPr>
        <w:t>إن لم يكن خلافه إجماعا ، ولعلّه نظر إلى الإجماع المنقول ، وحيث لا حجّية فيه ولم يتحقّق الإجماع فعدم الحرمة أقوى ، وأمر الاحتياط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الشهادة على العقد سواء كان لمحرم أو </w:t>
      </w:r>
    </w:p>
    <w:p>
      <w:pPr>
        <w:pStyle w:val="BookText"/>
        <w:rPr/>
      </w:pPr>
      <w:r>
        <w:rPr>
          <w:rFonts w:ascii="Amiri" w:hAnsi="Amiri" w:eastAsia="Amiri" w:cs="Amiri"/>
          <w:color w:val="111111"/>
          <w:sz w:val="28"/>
          <w:sz w:val="28"/>
          <w:szCs w:val="28"/>
          <w:rtl w:val="true"/>
          <w:lang w:bidi="ar-SA"/>
        </w:rPr>
        <w:t xml:space="preserve">محلّ ، بلا خلاف فيه يظهر كما قيل </w:t>
      </w:r>
      <w:r>
        <w:rPr>
          <w:rStyle w:val="FootnoteAnchor"/>
          <w:rtl w:val="true"/>
        </w:rPr>
        <w:footnoteReference w:id="1640"/>
      </w:r>
      <w:r>
        <w:rPr>
          <w:rFonts w:ascii="Amiri" w:hAnsi="Amiri" w:eastAsia="Amiri" w:cs="Amiri"/>
          <w:color w:val="111111"/>
          <w:sz w:val="28"/>
          <w:sz w:val="28"/>
          <w:szCs w:val="28"/>
          <w:rtl w:val="true"/>
          <w:lang w:bidi="ar-SA"/>
        </w:rPr>
        <w:t xml:space="preserve">، بل هو مقطوع به في كلام الأصحاب كما في المدارك </w:t>
      </w:r>
      <w:r>
        <w:rPr>
          <w:rStyle w:val="FootnoteAnchor"/>
          <w:rtl w:val="true"/>
        </w:rPr>
        <w:footnoteReference w:id="1641"/>
      </w:r>
      <w:r>
        <w:rPr>
          <w:rFonts w:ascii="Amiri" w:hAnsi="Amiri" w:eastAsia="Amiri" w:cs="Amiri"/>
          <w:color w:val="111111"/>
          <w:sz w:val="28"/>
          <w:sz w:val="28"/>
          <w:szCs w:val="28"/>
          <w:rtl w:val="true"/>
          <w:lang w:bidi="ar-SA"/>
        </w:rPr>
        <w:t xml:space="preserve">، بل بالإجماع كما عن الخلاف </w:t>
      </w:r>
      <w:r>
        <w:rPr>
          <w:rStyle w:val="FootnoteAnchor"/>
          <w:rtl w:val="true"/>
        </w:rPr>
        <w:footnoteReference w:id="1642"/>
      </w:r>
      <w:r>
        <w:rPr>
          <w:rFonts w:ascii="Amiri" w:hAnsi="Amiri" w:eastAsia="Amiri" w:cs="Amiri"/>
          <w:color w:val="111111"/>
          <w:sz w:val="28"/>
          <w:sz w:val="28"/>
          <w:szCs w:val="28"/>
          <w:rtl w:val="true"/>
          <w:lang w:bidi="ar-SA"/>
        </w:rPr>
        <w:t>، فإن ثبت الإجماع فهو ، وإلاّ فلا دليل عليه تامّا ، إذ غاية ما يستدلّ به له مرسلتا الحسن بن عليّ وابن فضّال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أخرى لابن أبي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يشهد نكاح محلّين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للمحرم أن يشير بصيد على محلّ </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إلاّ أنّها قاصرة عن إثبات الحرمة ، لمكان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وتتميم الدلالة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السؤال فيها عن الجواز ، المستلزم نفيه في الجواب للحرمة ، إذ لا شك أنّه لا يسأل عن وجوبها أو رجحانها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بجواز كون السؤال عن الإباحة ، بمعنى 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تتميم دلالتها لو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استفهاما إنكاريا ، وكان ذكر هذه الجملة تمثيلا تأكيدا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متعيّن الحمل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فالمناط هو الإجماع ، وعلى هذا فيقتصر فيه على المتّفق عليه ، وهو حضور العقد لأجل الشهادة ، فلو اتّفق حضوره لا لأجلها لم يكن محرّما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تمّت دلالة الروايات لشملت الأخيرة أيضا ، لأنّ الشهادة هي الحضور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تحريم إقامة الشهادة على العقد للمحرم مطلقا ، كما هو ظاهر النافع </w:t>
      </w:r>
      <w:r>
        <w:rPr>
          <w:rStyle w:val="FootnoteAnchor"/>
          <w:rtl w:val="true"/>
        </w:rPr>
        <w:footnoteReference w:id="1645"/>
      </w:r>
      <w:r>
        <w:rPr>
          <w:rFonts w:ascii="Amiri" w:hAnsi="Amiri" w:eastAsia="Amiri" w:cs="Amiri"/>
          <w:color w:val="111111"/>
          <w:sz w:val="28"/>
          <w:sz w:val="28"/>
          <w:szCs w:val="28"/>
          <w:rtl w:val="true"/>
          <w:lang w:bidi="ar-SA"/>
        </w:rPr>
        <w:t xml:space="preserve">، واستشكل فيه في القواعد </w:t>
      </w:r>
      <w:r>
        <w:rPr>
          <w:rStyle w:val="FootnoteAnchor"/>
          <w:rtl w:val="true"/>
        </w:rPr>
        <w:footnoteReference w:id="1646"/>
      </w:r>
      <w:r>
        <w:rPr>
          <w:rFonts w:ascii="Amiri" w:hAnsi="Amiri" w:eastAsia="Amiri" w:cs="Amiri"/>
          <w:color w:val="111111"/>
          <w:sz w:val="28"/>
          <w:sz w:val="28"/>
          <w:szCs w:val="28"/>
          <w:rtl w:val="true"/>
          <w:lang w:bidi="ar-SA"/>
        </w:rPr>
        <w:t>، للأصل ، وعدم الدليل ، وعموم أدلّة النهي عن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والسرائر وفي الشرائع </w:t>
      </w:r>
      <w:r>
        <w:rPr>
          <w:rStyle w:val="FootnoteAnchor"/>
          <w:rtl w:val="true"/>
        </w:rPr>
        <w:footnoteReference w:id="1647"/>
      </w:r>
      <w:r>
        <w:rPr>
          <w:rFonts w:ascii="Amiri" w:hAnsi="Amiri" w:eastAsia="Amiri" w:cs="Amiri"/>
          <w:color w:val="111111"/>
          <w:sz w:val="28"/>
          <w:sz w:val="28"/>
          <w:szCs w:val="28"/>
          <w:rtl w:val="true"/>
          <w:lang w:bidi="ar-SA"/>
        </w:rPr>
        <w:t xml:space="preserve">وغيره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المشهور كما قيل </w:t>
      </w:r>
      <w:r>
        <w:rPr>
          <w:rStyle w:val="FootnoteAnchor"/>
          <w:rtl w:val="true"/>
        </w:rPr>
        <w:footnoteReference w:id="16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 لعموم الشهادة المنهيّة في المراسيل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تعدّيها بالنكاح مطلقا ظاهر في إرادة معنى الحضور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الاستمناء باليد أو التخيّل أو الملاعبة ، بلا ريب كما في المدارك </w:t>
      </w:r>
      <w:r>
        <w:rPr>
          <w:rStyle w:val="FootnoteAnchor"/>
          <w:rtl w:val="true"/>
        </w:rPr>
        <w:footnoteReference w:id="1650"/>
      </w:r>
      <w:r>
        <w:rPr>
          <w:rFonts w:ascii="Amiri" w:hAnsi="Amiri" w:eastAsia="Amiri" w:cs="Amiri"/>
          <w:color w:val="111111"/>
          <w:sz w:val="28"/>
          <w:sz w:val="28"/>
          <w:szCs w:val="28"/>
          <w:rtl w:val="true"/>
          <w:lang w:bidi="ar-SA"/>
        </w:rPr>
        <w:t xml:space="preserve">، بل بلا خلاف كما في المفاتيح وشرحه </w:t>
      </w:r>
      <w:r>
        <w:rPr>
          <w:rStyle w:val="FootnoteAnchor"/>
          <w:rtl w:val="true"/>
        </w:rPr>
        <w:footnoteReference w:id="1651"/>
      </w:r>
      <w:r>
        <w:rPr>
          <w:rFonts w:ascii="Amiri" w:hAnsi="Amiri" w:eastAsia="Amiri" w:cs="Amiri"/>
          <w:color w:val="111111"/>
          <w:sz w:val="28"/>
          <w:sz w:val="28"/>
          <w:szCs w:val="28"/>
          <w:rtl w:val="true"/>
          <w:lang w:bidi="ar-SA"/>
        </w:rPr>
        <w:t xml:space="preserve">، وغيرهما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يمني وهو محرم من غير جماع ، أو يفعل ذلك في شهر رمضان ، ما ذا عليهما؟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 جميعا الكفّارة مثل ما على الذي يجامع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ونحوها الأخرى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يعبث بأهله حتى يمني من غير جماع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عبث بذكره فأمنى؟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عليه مثل ما على من أتى أهله وهو محرم ، بدنة والحجّ من قابل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سمع كلام امرأة من خلف حائط وهو محرم فتشاهى حتى أنزل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استمع على رجل يجامع أهله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تنعت له المرأة الجميلة الخليقة فيمني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فمحمولة على عدم قصد الإمناء ، لكونها أعمّ منه ومن قصده ، وظهور الروايات الأولى في الثاني ، فتكون أخصّ مطلقا يحمل عليها الأعمّ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تحمل على عدم القصد موثّقة أبي بصير المتقدّمة في المسألة الأولى </w:t>
      </w:r>
      <w:r>
        <w:rPr>
          <w:rStyle w:val="FootnoteAnchor"/>
          <w:rtl w:val="true"/>
        </w:rPr>
        <w:footnoteReference w:id="1659"/>
      </w:r>
      <w:r>
        <w:rPr>
          <w:rFonts w:ascii="Amiri" w:hAnsi="Amiri" w:eastAsia="Amiri" w:cs="Amiri"/>
          <w:color w:val="111111"/>
          <w:sz w:val="28"/>
          <w:sz w:val="28"/>
          <w:szCs w:val="28"/>
          <w:rtl w:val="true"/>
          <w:lang w:bidi="ar-SA"/>
        </w:rPr>
        <w:t xml:space="preserve">، المتضمّنة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لم أجعل عليه ذلك من أجل </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يطلّق زوجته ، للأصل ورواية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يطلّق؟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يطلّق ولا يتزوّج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له مراجعة المطلّقة الرجعية بلا خلاف ، لأنّها ليست بالتزويج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شراء الإماء بلا خلاف أيضا ، للأصل وصحيحة سعد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يشتري الجواري ويبيع؟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النصّ وكلام الأصحاب يقتضي عدم الفرق في شراء الإماء بين أن يقصد به الخدمة أو التسرّي ، وهو كذلك وإن حرمت المباشرة ، للأصل والإطلاق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المباشرة حرم </w:t>
      </w:r>
      <w:r>
        <w:rPr>
          <w:rStyle w:val="FootnoteAnchor"/>
          <w:rtl w:val="true"/>
        </w:rPr>
        <w:footnoteReference w:id="1663"/>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المحرم لنفسه أو لغيره يكون نكاحه باطلا ، ويجب التفريق ، بالإجماع بين الأصحاب كما عن المنتهى </w:t>
      </w:r>
      <w:r>
        <w:rPr>
          <w:rStyle w:val="FootnoteAnchor"/>
          <w:rtl w:val="true"/>
        </w:rPr>
        <w:footnoteReference w:id="1664"/>
      </w:r>
      <w:r>
        <w:rPr>
          <w:rFonts w:ascii="Amiri" w:hAnsi="Amiri" w:eastAsia="Amiri" w:cs="Amiri"/>
          <w:color w:val="111111"/>
          <w:sz w:val="28"/>
          <w:sz w:val="28"/>
          <w:szCs w:val="28"/>
          <w:rtl w:val="true"/>
          <w:lang w:bidi="ar-SA"/>
        </w:rPr>
        <w:t xml:space="preserve">، وقد مرّ ما يدلّ عليه من الأخبار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رجل ملك </w:t>
      </w:r>
    </w:p>
    <w:p>
      <w:pPr>
        <w:pStyle w:val="BookText"/>
        <w:rPr/>
      </w:pPr>
      <w:r>
        <w:rPr>
          <w:rFonts w:ascii="Amiri" w:hAnsi="Amiri" w:eastAsia="Amiri" w:cs="Amiri"/>
          <w:color w:val="111111"/>
          <w:sz w:val="28"/>
          <w:sz w:val="28"/>
          <w:szCs w:val="28"/>
          <w:rtl w:val="true"/>
          <w:lang w:bidi="ar-SA"/>
        </w:rPr>
        <w:t xml:space="preserve">بضع امرأة وهو محرم قبل أن يحلّ ، فقضى أن يخلّي سبيلها ، ولم يجعل نكاحه شيئا حتى يحلّ ، فإذا حلّ خطبها إن شاء ، فإن شاء أهلها زوّجوه ، وإن شاءوا لم يزوّجوه </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عبد الرحمن بن أبي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الأنصار تزوّج وهو محرم فأبطل رسول اللّه صلی اللّه عليه وآله نكاحه </w:t>
      </w:r>
      <w:r>
        <w:rPr>
          <w:rFonts w:eastAsia="IRNazanin" w:cs="IRNazanin"/>
          <w:color w:val="111111"/>
          <w:sz w:val="28"/>
          <w:szCs w:val="28"/>
          <w:rtl w:val="true"/>
          <w:lang w:bidi="fa-IR"/>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تزوّج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نكاحه باطل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له تزويج هذه المعقودة بعد حصول الحلّ ، أم لا؟</w:t>
      </w:r>
    </w:p>
    <w:p>
      <w:pPr>
        <w:pStyle w:val="BookText"/>
        <w:rPr/>
      </w:pPr>
      <w:r>
        <w:rPr>
          <w:rFonts w:ascii="Amiri" w:hAnsi="Amiri" w:eastAsia="Amiri" w:cs="Amiri"/>
          <w:color w:val="111111"/>
          <w:sz w:val="28"/>
          <w:sz w:val="28"/>
          <w:szCs w:val="28"/>
          <w:rtl w:val="true"/>
          <w:lang w:bidi="ar-SA"/>
        </w:rPr>
        <w:t xml:space="preserve">مقتضى صحيحة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ولكن مدلول روايتي أديم بن الحرّ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والحرمة المؤبّدة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تزوّج وهو محرم فرّق بينهما ولا يتعاودان أبدا ، والذي يتزوّج ولها زوج يفرّق بينهما ولا يتعاودان أبدا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 وبمضمونها الثانية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المنتهى والتذكرة كون الحرمة المؤبّدة إجماعيّة في غير الجاهل </w:t>
      </w:r>
      <w:r>
        <w:rPr>
          <w:rStyle w:val="FootnoteAnchor"/>
          <w:rtl w:val="true"/>
        </w:rPr>
        <w:footnoteReference w:id="1671"/>
      </w:r>
      <w:r>
        <w:rPr>
          <w:rFonts w:ascii="Amiri" w:hAnsi="Amiri" w:eastAsia="Amiri" w:cs="Amiri"/>
          <w:color w:val="111111"/>
          <w:sz w:val="28"/>
          <w:sz w:val="28"/>
          <w:szCs w:val="28"/>
          <w:rtl w:val="true"/>
          <w:lang w:bidi="ar-SA"/>
        </w:rPr>
        <w:t xml:space="preserve">، وهو ظاهر المدارك أيضا في مسألة اختلاف الزوجين في وقوع </w:t>
      </w:r>
    </w:p>
    <w:p>
      <w:pPr>
        <w:pStyle w:val="BookText"/>
        <w:rPr/>
      </w:pPr>
      <w:r>
        <w:rPr>
          <w:rFonts w:ascii="IRNazanin" w:hAnsi="IRNazanin" w:eastAsia="IRNazanin"/>
          <w:color w:val="111111"/>
          <w:sz w:val="28"/>
          <w:sz w:val="28"/>
          <w:szCs w:val="28"/>
          <w:rtl w:val="true"/>
          <w:lang w:bidi="fa-IR"/>
        </w:rPr>
        <w:t xml:space="preserve">العقد محلا أو محرما </w:t>
      </w:r>
      <w:r>
        <w:rPr>
          <w:rStyle w:val="FootnoteAnchor"/>
          <w:rtl w:val="true"/>
        </w:rPr>
        <w:footnoteReference w:id="1672"/>
      </w:r>
      <w:r>
        <w:rPr>
          <w:rFonts w:ascii="Amiri" w:hAnsi="Amiri" w:eastAsia="Amiri" w:cs="Amiri"/>
          <w:color w:val="111111"/>
          <w:sz w:val="28"/>
          <w:sz w:val="28"/>
          <w:szCs w:val="28"/>
          <w:rtl w:val="true"/>
          <w:lang w:bidi="ar-SA"/>
        </w:rPr>
        <w:t xml:space="preserve">، ولذا حمل الشيخ الصحيحة على الجاهل </w:t>
      </w:r>
      <w:r>
        <w:rPr>
          <w:rStyle w:val="FootnoteAnchor"/>
          <w:rtl w:val="true"/>
        </w:rPr>
        <w:footnoteReference w:id="1673"/>
      </w:r>
      <w:r>
        <w:rPr>
          <w:rFonts w:ascii="Amiri" w:hAnsi="Amiri" w:eastAsia="Amiri" w:cs="Amiri"/>
          <w:color w:val="111111"/>
          <w:sz w:val="28"/>
          <w:sz w:val="28"/>
          <w:szCs w:val="28"/>
          <w:rtl w:val="true"/>
          <w:lang w:bidi="ar-SA"/>
        </w:rPr>
        <w:t>، ولكنّه حمل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باحتمال رجوع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يجعل نكاحه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المحرم المطلق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عليه السلام ،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إذا حلّ جاز له خطبة النساء ، أي من عدا من عقد عليها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لا يكون دليل على استثناء الجاهل أيضا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الروايتين إنّما هي بالجملة بالخبريّة المحتملة للكراهة ، فيقتصر في الحرمة على موضع الإجماع ، وهو العالم ، ولأجل ذلك لما قلنا فيه أيضا بالتأبيد لو لا مخالفة الإجماع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يحرم على المحرم والمحرمة في الجملة ، إجماعا محقّقا ومحكيّا </w:t>
      </w:r>
      <w:r>
        <w:rPr>
          <w:rStyle w:val="FootnoteAnchor"/>
          <w:rtl w:val="true"/>
        </w:rPr>
        <w:footnoteReference w:id="1674"/>
      </w:r>
      <w:r>
        <w:rPr>
          <w:rFonts w:ascii="Amiri" w:hAnsi="Amiri" w:eastAsia="Amiri" w:cs="Amiri"/>
          <w:color w:val="111111"/>
          <w:sz w:val="28"/>
          <w:sz w:val="28"/>
          <w:szCs w:val="28"/>
          <w:rtl w:val="true"/>
          <w:lang w:bidi="ar-SA"/>
        </w:rPr>
        <w:t xml:space="preserve">، إلاّ أنّهم اختلفوا في الطيب المحرّم عليهما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الأكثر كما قيل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والصدوق في المقنع والسيّد والحلبي والحلي </w:t>
      </w:r>
      <w:r>
        <w:rPr>
          <w:rStyle w:val="FootnoteAnchor"/>
          <w:rtl w:val="true"/>
        </w:rPr>
        <w:footnoteReference w:id="1676"/>
      </w:r>
      <w:r>
        <w:rPr>
          <w:rFonts w:ascii="Amiri" w:hAnsi="Amiri" w:eastAsia="Amiri" w:cs="Amiri"/>
          <w:color w:val="111111"/>
          <w:sz w:val="28"/>
          <w:sz w:val="28"/>
          <w:szCs w:val="28"/>
          <w:rtl w:val="true"/>
          <w:lang w:bidi="ar-SA"/>
        </w:rPr>
        <w:t xml:space="preserve">، وظاهر الإسكافي والعماني والشيخ في المبسوط </w:t>
      </w:r>
    </w:p>
    <w:p>
      <w:pPr>
        <w:pStyle w:val="BookText"/>
        <w:rPr/>
      </w:pPr>
      <w:r>
        <w:rPr>
          <w:rFonts w:ascii="Amiri" w:hAnsi="Amiri" w:eastAsia="Amiri" w:cs="Amiri"/>
          <w:color w:val="111111"/>
          <w:sz w:val="28"/>
          <w:sz w:val="28"/>
          <w:szCs w:val="28"/>
          <w:rtl w:val="true"/>
          <w:lang w:bidi="ar-SA"/>
        </w:rPr>
        <w:t xml:space="preserve">والمحقّق والفاضل في أكثر كتبه </w:t>
      </w:r>
      <w:r>
        <w:rPr>
          <w:rStyle w:val="FootnoteAnchor"/>
          <w:rtl w:val="true"/>
        </w:rPr>
        <w:footnoteReference w:id="1677"/>
      </w:r>
      <w:r>
        <w:rPr>
          <w:rFonts w:ascii="Amiri" w:hAnsi="Amiri" w:eastAsia="Amiri" w:cs="Amiri"/>
          <w:color w:val="111111"/>
          <w:sz w:val="28"/>
          <w:sz w:val="28"/>
          <w:szCs w:val="28"/>
          <w:rtl w:val="true"/>
          <w:lang w:bidi="ar-SA"/>
        </w:rPr>
        <w:t xml:space="preserve">، وجملة من المتأخّرين </w:t>
      </w:r>
      <w:r>
        <w:rPr>
          <w:rStyle w:val="FootnoteAnchor"/>
          <w:rtl w:val="true"/>
        </w:rPr>
        <w:footnoteReference w:id="1678"/>
      </w:r>
      <w:r>
        <w:rPr>
          <w:rFonts w:ascii="Amiri" w:hAnsi="Amiri" w:eastAsia="Amiri" w:cs="Amiri"/>
          <w:color w:val="111111"/>
          <w:sz w:val="28"/>
          <w:sz w:val="28"/>
          <w:szCs w:val="28"/>
          <w:rtl w:val="true"/>
          <w:lang w:bidi="ar-SA"/>
        </w:rPr>
        <w:t xml:space="preserve">، بل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التعميم بالنسبة إلى كلّ طيب ، عدا ما يأتي استثناؤه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المقنع أيضا والتهذيب والخلاف والنهاية والجمل والعقود والقاضي والوسيلة والغنية والمهذّب والإصباح والإشارة والجامع والذخيرة والكفاية وعن الخلاف والغنية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بما أقلّه أربعة </w:t>
      </w:r>
      <w:r>
        <w:rPr>
          <w:rStyle w:val="FootnoteAnchor"/>
          <w:rtl w:val="true"/>
        </w:rPr>
        <w:footnoteReference w:id="1679"/>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والعنبر والزعفران والورس </w:t>
      </w:r>
      <w:r>
        <w:rPr>
          <w:rStyle w:val="FootnoteAnchor"/>
          <w:rtl w:val="true"/>
        </w:rPr>
        <w:footnoteReference w:id="1680"/>
      </w:r>
      <w:r>
        <w:rPr>
          <w:rFonts w:ascii="Amiri" w:hAnsi="Amiri" w:eastAsia="Amiri" w:cs="Amiri"/>
          <w:color w:val="111111"/>
          <w:sz w:val="28"/>
          <w:sz w:val="28"/>
          <w:szCs w:val="28"/>
          <w:rtl w:val="true"/>
          <w:lang w:bidi="ar-SA"/>
        </w:rPr>
        <w:t>، كما عن التهذيب والمقنع والجامع وفي الذخيرة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وأكثره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الكافور 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والنهاية والوسيلة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ووسطه خمسة بإسقاط الورس عن الستّة ، كما في البواقي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الفاضل في الإرشاد </w:t>
      </w:r>
      <w:r>
        <w:rPr>
          <w:rStyle w:val="FootnoteAnchor"/>
          <w:rtl w:val="true"/>
        </w:rPr>
        <w:footnoteReference w:id="1683"/>
      </w:r>
      <w:r>
        <w:rPr>
          <w:rFonts w:ascii="Amiri" w:hAnsi="Amiri" w:eastAsia="Amiri" w:cs="Amiri"/>
          <w:color w:val="111111"/>
          <w:sz w:val="28"/>
          <w:sz w:val="28"/>
          <w:szCs w:val="28"/>
          <w:rtl w:val="true"/>
          <w:lang w:bidi="ar-SA"/>
        </w:rPr>
        <w:t xml:space="preserve">وطائفة من متأخّري المتأخّرين </w:t>
      </w:r>
      <w:r>
        <w:rPr>
          <w:rStyle w:val="FootnoteAnchor"/>
          <w:rtl w:val="true"/>
        </w:rPr>
        <w:footnoteReference w:id="1684"/>
      </w:r>
      <w:r>
        <w:rPr>
          <w:rFonts w:ascii="Amiri" w:hAnsi="Amiri" w:eastAsia="Amiri" w:cs="Amiri"/>
          <w:color w:val="111111"/>
          <w:sz w:val="28"/>
          <w:sz w:val="28"/>
          <w:szCs w:val="28"/>
          <w:rtl w:val="true"/>
          <w:lang w:bidi="ar-SA"/>
        </w:rPr>
        <w:t xml:space="preserve">التردّد </w:t>
      </w:r>
    </w:p>
    <w:p>
      <w:pPr>
        <w:pStyle w:val="BookText"/>
        <w:rPr/>
      </w:pPr>
      <w:r>
        <w:rPr>
          <w:rFonts w:ascii="Amiri" w:hAnsi="Amiri" w:eastAsia="Amiri" w:cs="Amiri"/>
          <w:color w:val="111111"/>
          <w:sz w:val="28"/>
          <w:sz w:val="28"/>
          <w:szCs w:val="28"/>
          <w:rtl w:val="true"/>
          <w:lang w:bidi="ar-SA"/>
        </w:rPr>
        <w:t>في التعميم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المرويّة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شيئا من الطيب ولا من الدهن في إحرامك ، واتّق الطيب في طعامك ، وأمسك على أنفك من الريح الطيّبة ، ولا تمسك عليه من الريح المنتنة ، فإنّه لا ينبغي للمحرم أن يتلذّذ بريح طيّبة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تجهّز إلى مكّة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تجعلوا في زادنا شيئا من الطيب ولا الزعفران نأكله أو نطعمه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المحرم شيئا من الطيب ولا الريحان ، ولا يتلذّذ به ولا بريح طيّبة ، فمن ابتلي بشي‌ء من ذلك فليتصدّق بقدر ما صنع قدر سعته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صحيحته </w:t>
      </w:r>
      <w:r>
        <w:rPr>
          <w:rStyle w:val="FootnoteAnchor"/>
          <w:rtl w:val="true"/>
        </w:rPr>
        <w:footnoteReference w:id="1688"/>
      </w:r>
      <w:r>
        <w:rPr>
          <w:rFonts w:ascii="Amiri" w:hAnsi="Amiri" w:eastAsia="Amiri" w:cs="Amiri"/>
          <w:color w:val="111111"/>
          <w:sz w:val="28"/>
          <w:sz w:val="28"/>
          <w:szCs w:val="28"/>
          <w:rtl w:val="true"/>
          <w:lang w:bidi="ar-SA"/>
        </w:rPr>
        <w:t xml:space="preserve">، إلاّ أنّه ليس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بريح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بقدر شبعه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زعفرانا متعمّدا أو طعاما فيه طيب فعليه دم ، وإن كان ناسيا فلا شي‌ء عليه ويستغفر اللّه عزّ وجلّ ويتوب إليه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يمسك على أنفه من الريح الطيّبة ، ولا يمسك على أنفه من الريح الكريهة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هشام ، وزاد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بالريح الطيّبة فيما بين الصفا والمروة من ريح العطّارين ، ولا يمسك على أنفه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الأشنان فيه الطيب أغسل به يدي وأنا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تصدّق بشي‌ء كفّارة للأشنان الذي غسلت به يدك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والأشنان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 ويقال له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وضّأني الغلام ولم أعلم بدستشان </w:t>
      </w:r>
      <w:r>
        <w:rPr>
          <w:rStyle w:val="FootnoteAnchor"/>
          <w:rtl w:val="true"/>
        </w:rPr>
        <w:footnoteReference w:id="1693"/>
      </w:r>
      <w:r>
        <w:rPr>
          <w:rFonts w:ascii="Amiri" w:hAnsi="Amiri" w:eastAsia="Amiri" w:cs="Amiri"/>
          <w:color w:val="111111"/>
          <w:sz w:val="28"/>
          <w:sz w:val="28"/>
          <w:szCs w:val="28"/>
          <w:rtl w:val="true"/>
          <w:lang w:bidi="ar-SA"/>
        </w:rPr>
        <w:t xml:space="preserve">فيه طيب ، فغلست يدي وأنا محرم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بشي‌ء لذلك </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للمحرم أن يأكل شيئا فيه زعفران ، ولا يطعم شيئا من الطيب </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يمسّ الطيب وهو نائم لا يعلم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وليس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المحرم يدهنه الحلال بالدهن الطيّب والمحرم لا يعلم ، ما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أيضا وليحذر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يأكل الأترج </w:t>
      </w:r>
      <w:r>
        <w:rPr>
          <w:rStyle w:val="FootnoteAnchor"/>
          <w:rtl w:val="true"/>
        </w:rPr>
        <w:footnoteReference w:id="16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رائحة طيّبة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الأترج طعام ليس هو من الطيب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 فإنّها تدلّ بالتعليل على أنّه لو كان طيبا لحكم بالاجتناب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وجه الدلالة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ليمسّه ويداوي به بعيره ، وما هو بطيب وما به بأس </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ثوبي الإحرام مع أثواب قد جمرت فأخذ من ريحها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فانشرها في الريح حتى يذهب ريحها </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المرويّة في التهذيب ، وهي كما مرّ عن الكافي ، إلاّ أنّ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ابتلي بشي‌ء من ذلك فليعد غسله ، وليتصدّق بقدر ما صنع ، وإنّما يحرم عليك من الطيب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 والعنبر ، والورس ، والزعفران ، غير أنّه كره للمحرم الأدهان الطيّبة الريح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صحيحته الأخرى المرويّة فيه أيضا بزيادة في آخرها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من الطيب أربعة أشياء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 </w:t>
      </w:r>
    </w:p>
    <w:p>
      <w:pPr>
        <w:pStyle w:val="BookText"/>
        <w:rPr/>
      </w:pPr>
      <w:r>
        <w:rPr>
          <w:rFonts w:ascii="Amiri" w:hAnsi="Amiri" w:eastAsia="Amiri" w:cs="Amiri"/>
          <w:color w:val="111111"/>
          <w:sz w:val="28"/>
          <w:sz w:val="28"/>
          <w:szCs w:val="28"/>
          <w:rtl w:val="true"/>
          <w:lang w:bidi="ar-SA"/>
        </w:rPr>
        <w:t xml:space="preserve">والعنبر ، والزعفران ، والورس ، وكان يكره من الأدهان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 والعنبر ، والزعفران ، والورس ، وخلوق الكعبة لا بأس به </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ابن أبي يعفور </w:t>
      </w:r>
      <w:r>
        <w:rPr>
          <w:rStyle w:val="FootnoteAnchor"/>
          <w:rtl w:val="true"/>
        </w:rPr>
        <w:footnoteReference w:id="1705"/>
      </w:r>
      <w:r>
        <w:rPr>
          <w:rFonts w:ascii="Amiri" w:hAnsi="Amiri" w:eastAsia="Amiri" w:cs="Amiri"/>
          <w:color w:val="111111"/>
          <w:sz w:val="28"/>
          <w:sz w:val="28"/>
          <w:szCs w:val="28"/>
          <w:rtl w:val="true"/>
          <w:lang w:bidi="ar-SA"/>
        </w:rPr>
        <w:t xml:space="preserve">، إلاّ أنّه بدّل الورس بالعود ، وليس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خلوق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أدلّة القول الأول وإن كان أكثرها قاصرة الدلالة ، إمّا باعتبار التضمّن للجملة الخبريّة ، أو لما يحتملها ، أو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كصدر صحيحة ابن عمّار وذيلها ومرسلة حريز وصحيحتي الحلبي وهشام ورواية سدير ، أو لغير ذلك كمرسلة الفقيه ، فإنّ نهيه عليه السلام عن جعل الطيب في زاده لا يدلّ على حرمته شرعا ، لجواز أن يكون ذلك لأجل أنّه أراد الاجتناب عن المكروه ، فله أن يأمر في ماله وينهى كيف يشاء ، والرواية الأخيرة لحسن بن زياد ، فإنّ عدم علمه بالطيب يمنع عن احتمال الحرمة ووجوب التصدّق ، وموثقة الساباطي وصحيحة ابن سنان ، فإنّ التعليل يمكن أن يكون لنفي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طائفة قليلة منها دالّة على المطلوب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أدلّة القول الثاني فهي أيضا كذلك ، لعدم دلالة مرسلة الفقيه على عدم كراهة غير الأربعة إلاّ بمفهوم العدد الذي ليس بحجّة ، وعدم دلالة الأخيرتين على حصر الطيب المحرّم على المحرم في ما ذكر ، وذكر بعض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1706"/>
      </w:r>
      <w:r>
        <w:rPr>
          <w:rFonts w:ascii="Amiri" w:hAnsi="Amiri" w:eastAsia="Amiri" w:cs="Amiri"/>
          <w:color w:val="111111"/>
          <w:sz w:val="28"/>
          <w:sz w:val="28"/>
          <w:szCs w:val="28"/>
          <w:rtl w:val="true"/>
          <w:lang w:bidi="ar-SA"/>
        </w:rPr>
        <w:t xml:space="preserve">الخبرين في ذلك الباب لا حجّية فيه ، وتأييد ذلك بما في آخر الأولى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وخلوق الكعبة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تتمّة الحديث ، بل هو من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حصر الطيب في الأشياء المذكورة يكفي في المطلوب ، إذ يستلزم ذلك أنّ الطيب المحرّم بعمومه يكون هذه الأشياء ، إذ غيرها لا يكون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جيّد ، لأنّ الحصر حينئذ يكون مجازيّا ، ضرورة عدم الانحصار ، فيمكن أن يكون المجاز هو أحسن أنواع الطيب أو الطيب الكامل ونحوهما ، فتبقى الصحيحتان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أنّهما لكونهما أخصّين مطلقا ممّا بقي من أدلّة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جميعها لو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يكفيان لتخصيصها ، ولا يضرّ اشتمالهما في الكفّارة على ما هو خلاف المجمع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وليتصدّق بقدر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خروج جزء من الحديث عن الحجّية لا يوجب خروج الباقي عنها ، ولا يلزم ارتكاب مجاز فيها بجعل الحصر إضافيّا ، لحرمة العود والكافور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فلصحيحة ابن أبي يعفور المتقدّمة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فلفحوى ما دلّ على منع الميّت المحرم عنه </w:t>
      </w:r>
      <w:r>
        <w:rPr>
          <w:rStyle w:val="FootnoteAnchor"/>
          <w:rtl w:val="true"/>
        </w:rPr>
        <w:footnoteReference w:id="1708"/>
      </w:r>
      <w:r>
        <w:rPr>
          <w:rFonts w:ascii="Amiri" w:hAnsi="Amiri" w:eastAsia="Amiri" w:cs="Amiri"/>
          <w:color w:val="111111"/>
          <w:sz w:val="28"/>
          <w:sz w:val="28"/>
          <w:szCs w:val="28"/>
          <w:rtl w:val="true"/>
          <w:lang w:bidi="ar-SA"/>
        </w:rPr>
        <w:t>، فالحيّ أولى ، لمنع لزوم جعل الحصر إضافيّا ، لما عرفت من عدم دلالة صحيحة ابن أبي يعفور على حرمة العود للمحرم إلاّ بالعموم اللازم تخصيصه بما ذكر ، ومنع الأولويّة المذكورة في الحيّ ، بل منع العلم بالمساواة أيضا</w:t>
      </w:r>
      <w:r>
        <w:rPr>
          <w:rFonts w:eastAsia="Amiri" w:cs="Amiri" w:ascii="Amiri" w:hAnsi="Amiri"/>
          <w:color w:val="111111"/>
          <w:sz w:val="28"/>
          <w:szCs w:val="28"/>
          <w:rtl w:val="true"/>
          <w:lang w:bidi="ar-SA"/>
        </w:rPr>
        <w:t xml:space="preserve">. </w:t>
      </w:r>
      <w:bookmarkStart w:id="200" w:name="pg11651_107974"/>
    </w:p>
    <w:p>
      <w:pPr>
        <w:pStyle w:val="BookText"/>
        <w:rPr/>
      </w:pPr>
      <w:bookmarkEnd w:id="200"/>
      <w:r>
        <w:rPr>
          <w:rFonts w:ascii="Amiri" w:hAnsi="Amiri" w:eastAsia="Amiri" w:cs="Amiri"/>
          <w:color w:val="111111"/>
          <w:sz w:val="28"/>
          <w:sz w:val="28"/>
          <w:szCs w:val="28"/>
          <w:rtl w:val="true"/>
          <w:lang w:bidi="ar-SA"/>
        </w:rPr>
        <w:t xml:space="preserve">فإذن الترجيح لقول الشيخ في التهذيب ومن تبعه </w:t>
      </w:r>
      <w:r>
        <w:rPr>
          <w:rStyle w:val="FootnoteAnchor"/>
          <w:rtl w:val="true"/>
        </w:rPr>
        <w:footnoteReference w:id="1709"/>
      </w:r>
      <w:r>
        <w:rPr>
          <w:rFonts w:ascii="Amiri" w:hAnsi="Amiri" w:eastAsia="Amiri" w:cs="Amiri"/>
          <w:color w:val="111111"/>
          <w:sz w:val="28"/>
          <w:sz w:val="28"/>
          <w:szCs w:val="28"/>
          <w:rtl w:val="true"/>
          <w:lang w:bidi="ar-SA"/>
        </w:rPr>
        <w:t xml:space="preserve">،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حرمة الطيب للمحرم بين ابتدائه بعد الإحرام واستدامته ، بأن يتطيّب قبله بما يبقى إلى ما بعده ، بلا خلاف يعرف ، ودلّت عليه رواية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ثوبي الإحرام مع أثواب قد جمرت فأخذ من ريحها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فانشرها في الريح حتى يذهب ريحها </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6172056_73709187"/>
      <w:bookmarkStart w:id="202" w:name="_Toc75"/>
      <w:bookmarkEnd w:id="201"/>
      <w:r>
        <w:rPr>
          <w:rtl w:val="true"/>
        </w:rPr>
        <w:t xml:space="preserve">فروع </w:t>
      </w:r>
      <w:r>
        <w:rPr>
          <w:rtl w:val="true"/>
        </w:rPr>
        <w:t>:</w:t>
      </w:r>
      <w:bookmarkEnd w:id="20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المحرّم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طيبا عرفا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الجسم ذو الريح الطيّبة يؤخذ للشمّ غالبا غير الرياحين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معظم الغرض منه التطيّب أو يظهر منه هذا الغرض ، لا مطلق ما له رائحة طيّبة ، كما تنطق به موثّقة الساباطي </w:t>
      </w:r>
      <w:r>
        <w:rPr>
          <w:rStyle w:val="FootnoteAnchor"/>
          <w:rtl w:val="true"/>
        </w:rPr>
        <w:footnoteReference w:id="1712"/>
      </w:r>
      <w:r>
        <w:rPr>
          <w:rFonts w:ascii="Amiri" w:hAnsi="Amiri" w:eastAsia="Amiri" w:cs="Amiri"/>
          <w:color w:val="111111"/>
          <w:sz w:val="28"/>
          <w:sz w:val="28"/>
          <w:szCs w:val="28"/>
          <w:rtl w:val="true"/>
          <w:lang w:bidi="ar-SA"/>
        </w:rPr>
        <w:t xml:space="preserve">وصحيحة ابن سنان </w:t>
      </w:r>
      <w:r>
        <w:rPr>
          <w:rStyle w:val="FootnoteAnchor"/>
          <w:rtl w:val="true"/>
        </w:rPr>
        <w:footnoteReference w:id="1713"/>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تشمّ الإذخر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والقيصوم </w:t>
      </w:r>
      <w:r>
        <w:rPr>
          <w:rStyle w:val="FootnoteAnchor"/>
          <w:rtl w:val="true"/>
        </w:rPr>
        <w:footnoteReference w:id="1715"/>
      </w:r>
      <w:r>
        <w:rPr>
          <w:rFonts w:ascii="IRNazanin" w:hAnsi="IRNazanin" w:eastAsia="IRNazanin"/>
          <w:color w:val="111111"/>
          <w:sz w:val="28"/>
          <w:sz w:val="28"/>
          <w:szCs w:val="28"/>
          <w:rtl w:val="true"/>
          <w:lang w:bidi="fa-IR"/>
        </w:rPr>
        <w:t xml:space="preserve">والخزامى </w:t>
      </w:r>
      <w:r>
        <w:rPr>
          <w:rStyle w:val="FootnoteAnchor"/>
          <w:rtl w:val="true"/>
        </w:rPr>
        <w:footnoteReference w:id="1716"/>
      </w:r>
      <w:r>
        <w:rPr>
          <w:rFonts w:ascii="Amiri" w:hAnsi="Amiri" w:eastAsia="Amiri" w:cs="Amiri"/>
          <w:color w:val="111111"/>
          <w:sz w:val="28"/>
          <w:sz w:val="28"/>
          <w:szCs w:val="28"/>
          <w:rtl w:val="true"/>
          <w:lang w:bidi="ar-SA"/>
        </w:rPr>
        <w:t xml:space="preserve">والشيخ </w:t>
      </w:r>
      <w:r>
        <w:rPr>
          <w:rStyle w:val="FootnoteAnchor"/>
          <w:rtl w:val="true"/>
        </w:rPr>
        <w:footnoteReference w:id="1717"/>
      </w:r>
      <w:r>
        <w:rPr>
          <w:rFonts w:ascii="IRNazanin" w:hAnsi="IRNazanin" w:eastAsia="IRNazanin"/>
          <w:color w:val="111111"/>
          <w:sz w:val="28"/>
          <w:sz w:val="28"/>
          <w:szCs w:val="28"/>
          <w:rtl w:val="true"/>
          <w:lang w:bidi="fa-IR"/>
        </w:rPr>
        <w:t xml:space="preserve">وأشباهه وأنت محرم </w:t>
      </w:r>
      <w:r>
        <w:rPr>
          <w:rFonts w:eastAsia="IRNazanin" w:cs="IRNazanin"/>
          <w:color w:val="111111"/>
          <w:sz w:val="28"/>
          <w:szCs w:val="28"/>
          <w:rtl w:val="true"/>
          <w:lang w:bidi="fa-IR"/>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والقيصوم 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بومادران ، والخزامى بالمعجمتين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البرّ ، والشيح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المعجمة وسكون المثنّاة التحتانيّة ثم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درمنه 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الطيب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خلوق الكعبة ، بلا خلاف يعرف ، بل عن بعضهم الإجماع عليه </w:t>
      </w:r>
      <w:r>
        <w:rPr>
          <w:rStyle w:val="FootnoteAnchor"/>
          <w:rtl w:val="true"/>
        </w:rPr>
        <w:footnoteReference w:id="1719"/>
      </w:r>
      <w:r>
        <w:rPr>
          <w:rFonts w:ascii="Amiri" w:hAnsi="Amiri" w:eastAsia="Amiri" w:cs="Amiri"/>
          <w:color w:val="111111"/>
          <w:sz w:val="28"/>
          <w:sz w:val="28"/>
          <w:szCs w:val="28"/>
          <w:rtl w:val="true"/>
          <w:lang w:bidi="ar-SA"/>
        </w:rPr>
        <w:t xml:space="preserve">، لرواية عبد الغفّار المتقدّمة </w:t>
      </w:r>
      <w:r>
        <w:rPr>
          <w:rStyle w:val="FootnoteAnchor"/>
          <w:rtl w:val="true"/>
        </w:rPr>
        <w:footnoteReference w:id="1720"/>
      </w:r>
      <w:r>
        <w:rPr>
          <w:rFonts w:ascii="Amiri" w:hAnsi="Amiri" w:eastAsia="Amiri" w:cs="Amiri"/>
          <w:color w:val="111111"/>
          <w:sz w:val="28"/>
          <w:sz w:val="28"/>
          <w:szCs w:val="28"/>
          <w:rtl w:val="true"/>
          <w:lang w:bidi="ar-SA"/>
        </w:rPr>
        <w:t xml:space="preserve">، وصحيحة يعقوب بن شعيب </w:t>
      </w:r>
      <w:r>
        <w:rPr>
          <w:rStyle w:val="FootnoteAnchor"/>
          <w:rtl w:val="true"/>
        </w:rPr>
        <w:footnoteReference w:id="1721"/>
      </w:r>
      <w:r>
        <w:rPr>
          <w:rFonts w:ascii="Amiri" w:hAnsi="Amiri" w:eastAsia="Amiri" w:cs="Amiri"/>
          <w:color w:val="111111"/>
          <w:sz w:val="28"/>
          <w:sz w:val="28"/>
          <w:szCs w:val="28"/>
          <w:rtl w:val="true"/>
          <w:lang w:bidi="ar-SA"/>
        </w:rPr>
        <w:t xml:space="preserve">، وصحيحتي ابن سنان </w:t>
      </w:r>
      <w:r>
        <w:rPr>
          <w:rStyle w:val="FootnoteAnchor"/>
          <w:rtl w:val="true"/>
        </w:rPr>
        <w:footnoteReference w:id="1722"/>
      </w:r>
      <w:r>
        <w:rPr>
          <w:rFonts w:ascii="Amiri" w:hAnsi="Amiri" w:eastAsia="Amiri" w:cs="Amiri"/>
          <w:color w:val="111111"/>
          <w:sz w:val="28"/>
          <w:sz w:val="28"/>
          <w:szCs w:val="28"/>
          <w:rtl w:val="true"/>
          <w:lang w:bidi="ar-SA"/>
        </w:rPr>
        <w:t xml:space="preserve">وحمّاد </w:t>
      </w:r>
      <w:r>
        <w:rPr>
          <w:rStyle w:val="FootnoteAnchor"/>
          <w:rtl w:val="true"/>
        </w:rPr>
        <w:footnoteReference w:id="1723"/>
      </w:r>
      <w:r>
        <w:rPr>
          <w:rFonts w:ascii="Amiri" w:hAnsi="Amiri" w:eastAsia="Amiri" w:cs="Amiri"/>
          <w:color w:val="111111"/>
          <w:sz w:val="28"/>
          <w:sz w:val="28"/>
          <w:szCs w:val="28"/>
          <w:rtl w:val="true"/>
          <w:lang w:bidi="ar-SA"/>
        </w:rPr>
        <w:t xml:space="preserve">، ومرسلة ابن أبي عمير </w:t>
      </w:r>
      <w:r>
        <w:rPr>
          <w:rStyle w:val="FootnoteAnchor"/>
          <w:rtl w:val="true"/>
        </w:rPr>
        <w:footnoteReference w:id="1724"/>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واشتمال الأربعة الأخيرة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على أنّ نفي البأس إنّما هو من جهة دفع توهّم النجاسة ، إلاّ أنّه يدلّ أيضا على أنّه </w:t>
      </w:r>
    </w:p>
    <w:p>
      <w:pPr>
        <w:pStyle w:val="BookText"/>
        <w:rPr/>
      </w:pPr>
      <w:r>
        <w:rPr>
          <w:rFonts w:ascii="Amiri" w:hAnsi="Amiri" w:eastAsia="Amiri" w:cs="Amiri"/>
          <w:color w:val="111111"/>
          <w:sz w:val="28"/>
          <w:sz w:val="28"/>
          <w:szCs w:val="28"/>
          <w:rtl w:val="true"/>
          <w:lang w:bidi="ar-SA"/>
        </w:rPr>
        <w:t>لا مانع غيره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7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طيب خاصّ ، فيكون المجوّز هو فقط ، فلو طيّب ثوب الكعبة بغيره ممّا يحرم على المحرم حرم ، كذا قيل </w:t>
      </w:r>
      <w:r>
        <w:rPr>
          <w:rStyle w:val="FootnoteAnchor"/>
          <w:rtl w:val="true"/>
        </w:rPr>
        <w:footnoteReference w:id="1727"/>
      </w:r>
      <w:r>
        <w:rPr>
          <w:rFonts w:ascii="Amiri" w:hAnsi="Amiri" w:eastAsia="Amiri" w:cs="Amiri"/>
          <w:color w:val="111111"/>
          <w:sz w:val="28"/>
          <w:sz w:val="28"/>
          <w:szCs w:val="28"/>
          <w:rtl w:val="true"/>
          <w:lang w:bidi="ar-SA"/>
        </w:rPr>
        <w:t>، ولا بأس به إن ثبت أنّ الخلوق هو أخلاط خاصّة ، وإلاّ فيكون مجملا ، ولا حجّية في العام المخصّص بالمجمل في موضع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أيضا ما يستشمّ من العطر في سوق العطّارين بين الصفا والمروة ، وتدلّ عليه صحيحة هشام المتقدّمة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من الطيب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شمّه وأكله واطلاؤه في البدن والثوب ، وتدلّ على الأول صحاح ابن عمّار </w:t>
      </w:r>
      <w:r>
        <w:rPr>
          <w:rStyle w:val="FootnoteAnchor"/>
          <w:rtl w:val="true"/>
        </w:rPr>
        <w:footnoteReference w:id="1729"/>
      </w:r>
      <w:r>
        <w:rPr>
          <w:rFonts w:ascii="Amiri" w:hAnsi="Amiri" w:eastAsia="Amiri" w:cs="Amiri"/>
          <w:color w:val="111111"/>
          <w:sz w:val="28"/>
          <w:sz w:val="28"/>
          <w:szCs w:val="28"/>
          <w:rtl w:val="true"/>
          <w:lang w:bidi="ar-SA"/>
        </w:rPr>
        <w:t xml:space="preserve">، وعلى الثاني هي أيضا وصحيحة زرارة </w:t>
      </w:r>
      <w:r>
        <w:rPr>
          <w:rStyle w:val="FootnoteAnchor"/>
          <w:rtl w:val="true"/>
        </w:rPr>
        <w:footnoteReference w:id="1730"/>
      </w:r>
      <w:r>
        <w:rPr>
          <w:rFonts w:ascii="Amiri" w:hAnsi="Amiri" w:eastAsia="Amiri" w:cs="Amiri"/>
          <w:color w:val="111111"/>
          <w:sz w:val="28"/>
          <w:sz w:val="28"/>
          <w:szCs w:val="28"/>
          <w:rtl w:val="true"/>
          <w:lang w:bidi="ar-SA"/>
        </w:rPr>
        <w:t xml:space="preserve">، وعلى الثالثة روايتا الحسن بن زياد </w:t>
      </w:r>
      <w:r>
        <w:rPr>
          <w:rStyle w:val="FootnoteAnchor"/>
          <w:rtl w:val="true"/>
        </w:rPr>
        <w:footnoteReference w:id="1731"/>
      </w:r>
      <w:r>
        <w:rPr>
          <w:rFonts w:ascii="Amiri" w:hAnsi="Amiri" w:eastAsia="Amiri" w:cs="Amiri"/>
          <w:color w:val="111111"/>
          <w:sz w:val="28"/>
          <w:sz w:val="28"/>
          <w:szCs w:val="28"/>
          <w:rtl w:val="true"/>
          <w:lang w:bidi="ar-SA"/>
        </w:rPr>
        <w:t xml:space="preserve">، وعلى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يأتي في الفرع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w:t>
      </w:r>
      <w:r>
        <w:rPr>
          <w:rStyle w:val="FootnoteAnchor"/>
          <w:rtl w:val="true"/>
        </w:rPr>
        <w:footnoteReference w:id="1732"/>
      </w:r>
      <w:r>
        <w:rPr>
          <w:rFonts w:ascii="Amiri" w:hAnsi="Amiri" w:eastAsia="Amiri" w:cs="Amiri"/>
          <w:color w:val="111111"/>
          <w:sz w:val="28"/>
          <w:sz w:val="28"/>
          <w:szCs w:val="28"/>
          <w:rtl w:val="true"/>
          <w:lang w:bidi="ar-SA"/>
        </w:rPr>
        <w:t>، المتقدّمة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الخلاف في شي‌ء منها أيضا ، بل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عليه </w:t>
      </w:r>
      <w:r>
        <w:rPr>
          <w:rStyle w:val="FootnoteAnchor"/>
          <w:rtl w:val="true"/>
        </w:rPr>
        <w:footnoteReference w:id="1733"/>
      </w:r>
      <w:r>
        <w:rPr>
          <w:rFonts w:ascii="Amiri" w:hAnsi="Amiri" w:eastAsia="Amiri" w:cs="Amiri"/>
          <w:color w:val="111111"/>
          <w:sz w:val="28"/>
          <w:sz w:val="28"/>
          <w:szCs w:val="28"/>
          <w:rtl w:val="true"/>
          <w:lang w:bidi="ar-SA"/>
        </w:rPr>
        <w:t xml:space="preserve">، وقيل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جميع أنحاء الاستعمالات الأخر أيضا ، فإن ثبت فيه إجماع أو حرم لأجل استلزامه الاستشمام ، وإلاّ فلا دليل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المحرم إلى مسّ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p>
    <w:p>
      <w:pPr>
        <w:pStyle w:val="BookText"/>
        <w:rPr/>
      </w:pPr>
      <w:r>
        <w:rPr>
          <w:rFonts w:ascii="Amiri" w:hAnsi="Amiri" w:eastAsia="Amiri" w:cs="Amiri"/>
          <w:color w:val="111111"/>
          <w:sz w:val="28"/>
          <w:sz w:val="28"/>
          <w:szCs w:val="28"/>
          <w:rtl w:val="true"/>
          <w:lang w:bidi="ar-SA"/>
        </w:rPr>
        <w:t xml:space="preserve">أكله ، قبض على أنفه وجوبا ، ونسب إلى الأصحاب مؤذنا بدعوى الإجماع </w:t>
      </w:r>
      <w:r>
        <w:rPr>
          <w:rStyle w:val="FootnoteAnchor"/>
          <w:rtl w:val="true"/>
        </w:rPr>
        <w:footnoteReference w:id="1735"/>
      </w:r>
      <w:r>
        <w:rPr>
          <w:rFonts w:ascii="Amiri" w:hAnsi="Amiri" w:eastAsia="Amiri" w:cs="Amiri"/>
          <w:color w:val="111111"/>
          <w:sz w:val="28"/>
          <w:sz w:val="28"/>
          <w:szCs w:val="28"/>
          <w:rtl w:val="true"/>
          <w:lang w:bidi="ar-SA"/>
        </w:rPr>
        <w:t xml:space="preserve">، ويدلّ عليه قوله في صحاح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 على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المعتضد بأخبار كثيرة أخرى ، كصحيحة الحلبي وهشام </w:t>
      </w:r>
      <w:r>
        <w:rPr>
          <w:rStyle w:val="FootnoteAnchor"/>
          <w:rtl w:val="true"/>
        </w:rPr>
        <w:footnoteReference w:id="1736"/>
      </w:r>
      <w:r>
        <w:rPr>
          <w:rFonts w:ascii="Amiri" w:hAnsi="Amiri" w:eastAsia="Amiri" w:cs="Amiri"/>
          <w:color w:val="111111"/>
          <w:sz w:val="28"/>
          <w:sz w:val="28"/>
          <w:szCs w:val="28"/>
          <w:rtl w:val="true"/>
          <w:lang w:bidi="ar-SA"/>
        </w:rPr>
        <w:t xml:space="preserve">ومرسلة حريز المتقدّمة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كشف بين يديه طيب لينظر إليه وهو محرم ، فأمسك على أنفه بثوبه من ريحه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استهلك الطيب في غيره فلم تبق له ريح ولا طعم ولا لون ، فالأقرب أنّه لا فدية فيه </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الاعتبار يقتضي إناطة حكم الجواز باستهلاك الرائحة لا مطلق الوصف ، والنهي عن التلذّذ بالرائحة الطيبة مشعر به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الجميع مطلقا </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عمران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الجرح فتداوى بدواء فيه زعفران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الزعفران الغالب على الدواء فلا ، وإن كانت الأدوية الغالب عليه فلا بأس </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الغلبة وإن كانت أعمّ من الغلبة في كلّ وصف إلاّ أنّ </w:t>
      </w:r>
    </w:p>
    <w:p>
      <w:pPr>
        <w:pStyle w:val="BookText"/>
        <w:rPr/>
      </w:pPr>
      <w:r>
        <w:rPr>
          <w:rFonts w:ascii="Amiri" w:hAnsi="Amiri" w:eastAsia="Amiri" w:cs="Amiri"/>
          <w:color w:val="111111"/>
          <w:sz w:val="28"/>
          <w:sz w:val="28"/>
          <w:szCs w:val="28"/>
          <w:rtl w:val="true"/>
          <w:lang w:bidi="ar-SA"/>
        </w:rPr>
        <w:t xml:space="preserve">الظاهر أنّ بعد المغلوبيّة في الريح يصير مغلوبا في سائر الأوصاف أيضا ، فلو أنيط بالغلبة والاستهلاك في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 مع أنّ بعد المغلوبيّة في الريح لا يصدق الريح الطيب ، مضافا إلى لزوم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عمران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خلافا بين الأصحاب في تحريم مسّ الطيب ، ولعلّ المستند قول أبي عبد اللّه عليه السلام </w:t>
      </w:r>
      <w:r>
        <w:rPr>
          <w:rStyle w:val="FootnoteAnchor"/>
          <w:rtl w:val="true"/>
        </w:rPr>
        <w:footnoteReference w:id="1742"/>
      </w:r>
      <w:r>
        <w:rPr>
          <w:rFonts w:ascii="Amiri" w:hAnsi="Amiri" w:eastAsia="Amiri" w:cs="Amiri"/>
          <w:color w:val="111111"/>
          <w:sz w:val="28"/>
          <w:sz w:val="28"/>
          <w:szCs w:val="28"/>
          <w:rtl w:val="true"/>
          <w:lang w:bidi="ar-SA"/>
        </w:rPr>
        <w:t xml:space="preserve">، ونقل صحيحة ابن عمّار </w:t>
      </w:r>
      <w:r>
        <w:rPr>
          <w:rStyle w:val="FootnoteAnchor"/>
          <w:rtl w:val="true"/>
        </w:rPr>
        <w:footnoteReference w:id="174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الإجماع ، وإلاّ في دلالة الصحيحة على الحرمة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لبس الثوب المطيّب ، سواء صبغ بالطيب أو غمس فيه </w:t>
      </w:r>
      <w:r>
        <w:rPr>
          <w:rStyle w:val="FootnoteAnchor"/>
          <w:rtl w:val="true"/>
        </w:rPr>
        <w:footnoteReference w:id="1744"/>
      </w:r>
      <w:r>
        <w:rPr>
          <w:rFonts w:ascii="Amiri" w:hAnsi="Amiri" w:eastAsia="Amiri" w:cs="Amiri"/>
          <w:color w:val="111111"/>
          <w:sz w:val="28"/>
          <w:sz w:val="28"/>
          <w:szCs w:val="28"/>
          <w:rtl w:val="true"/>
          <w:lang w:bidi="ar-SA"/>
        </w:rPr>
        <w:t xml:space="preserve">، وزاد في الذخيرة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مسّه طيب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ما يطيّب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علماء الأمصار على تحريم ثوب مسّه طيب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تحريمه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صحيحة حمّاد السالفة </w:t>
      </w:r>
      <w:r>
        <w:rPr>
          <w:rStyle w:val="FootnoteAnchor"/>
          <w:rtl w:val="true"/>
        </w:rPr>
        <w:footnoteReference w:id="1747"/>
      </w:r>
      <w:r>
        <w:rPr>
          <w:rFonts w:ascii="Amiri" w:hAnsi="Amiri" w:eastAsia="Amiri" w:cs="Amiri"/>
          <w:color w:val="111111"/>
          <w:sz w:val="28"/>
          <w:sz w:val="28"/>
          <w:szCs w:val="28"/>
          <w:rtl w:val="true"/>
          <w:lang w:bidi="ar-SA"/>
        </w:rPr>
        <w:t xml:space="preserve">، ومفهوم رواية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 المحرم يصيبه الزعفران ثم يغسل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ذهب ريحه </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وإسماعيل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الثوب قد أصابه الطيب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ريح الطيب فليلبسه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 المحرم طيب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الحلال بغسله أو يغسله بآلة </w:t>
      </w:r>
      <w:r>
        <w:rPr>
          <w:rStyle w:val="FootnoteAnchor"/>
          <w:rtl w:val="true"/>
        </w:rPr>
        <w:footnoteReference w:id="1750"/>
      </w:r>
      <w:r>
        <w:rPr>
          <w:rFonts w:ascii="Amiri" w:hAnsi="Amiri" w:eastAsia="Amiri" w:cs="Amiri"/>
          <w:color w:val="111111"/>
          <w:sz w:val="28"/>
          <w:sz w:val="28"/>
          <w:szCs w:val="28"/>
          <w:rtl w:val="true"/>
          <w:lang w:bidi="ar-SA"/>
        </w:rPr>
        <w:t xml:space="preserve">، 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إزالته بنفسه باليد </w:t>
      </w:r>
      <w:r>
        <w:rPr>
          <w:rStyle w:val="FootnoteAnchor"/>
          <w:rtl w:val="true"/>
        </w:rPr>
        <w:footnoteReference w:id="1751"/>
      </w:r>
      <w:r>
        <w:rPr>
          <w:rFonts w:ascii="Amiri" w:hAnsi="Amiri" w:eastAsia="Amiri" w:cs="Amiri"/>
          <w:color w:val="111111"/>
          <w:sz w:val="28"/>
          <w:sz w:val="28"/>
          <w:szCs w:val="28"/>
          <w:rtl w:val="true"/>
          <w:lang w:bidi="ar-SA"/>
        </w:rPr>
        <w:t xml:space="preserve">، وهو كذلك ، لمرسلة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أصابه طيب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يمسحه بيده ويغسله </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يصيب ثوبه الطيب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يغسله بيد نفسه </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المحرم إلى سعوط فيه مسك لا بأس بأن يتسعّط </w:t>
      </w:r>
      <w:r>
        <w:rPr>
          <w:rStyle w:val="FootnoteAnchor"/>
          <w:rtl w:val="true"/>
        </w:rPr>
        <w:footnoteReference w:id="1754"/>
      </w:r>
      <w:r>
        <w:rPr>
          <w:rFonts w:ascii="Amiri" w:hAnsi="Amiri" w:eastAsia="Amiri" w:cs="Amiri"/>
          <w:color w:val="111111"/>
          <w:sz w:val="28"/>
          <w:sz w:val="28"/>
          <w:szCs w:val="28"/>
          <w:rtl w:val="true"/>
          <w:lang w:bidi="ar-SA"/>
        </w:rPr>
        <w:t xml:space="preserve">، وهو كذلك ، لصحيحتي إسماعيل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تروك الإحرام 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شراء الطيب والنظر إليه بلا خلاف يعرف ،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756"/>
      </w:r>
      <w:r>
        <w:rPr>
          <w:rFonts w:ascii="Amiri" w:hAnsi="Amiri" w:eastAsia="Amiri" w:cs="Amiri"/>
          <w:color w:val="111111"/>
          <w:sz w:val="28"/>
          <w:sz w:val="28"/>
          <w:szCs w:val="28"/>
          <w:rtl w:val="true"/>
          <w:lang w:bidi="ar-SA"/>
        </w:rPr>
        <w:t xml:space="preserve">، ويدلّ عليه الأصل ، وصحيحة محمّد بن </w:t>
      </w:r>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1757"/>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افتراش المطيّب ولا الجلوس ولا النوم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لأجل استلزامه الاستشمام المحرّم أو المسّ المحرّم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فرش فوقه ثوب كثيف يمنع الرائحة والملامسة جاز الجلوس عليه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حرمته بنفسه ففيه نظر ، للأصل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روايتي معلّى </w:t>
      </w:r>
      <w:r>
        <w:rPr>
          <w:rStyle w:val="FootnoteAnchor"/>
          <w:rtl w:val="true"/>
        </w:rPr>
        <w:footnoteReference w:id="1758"/>
      </w:r>
      <w:r>
        <w:rPr>
          <w:rFonts w:ascii="Amiri" w:hAnsi="Amiri" w:eastAsia="Amiri" w:cs="Amiri"/>
          <w:color w:val="111111"/>
          <w:sz w:val="28"/>
          <w:sz w:val="28"/>
          <w:szCs w:val="28"/>
          <w:rtl w:val="true"/>
          <w:lang w:bidi="ar-SA"/>
        </w:rPr>
        <w:t xml:space="preserve">وأبي بصير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أن ينام المحرم على فراش أصفر ومرفقة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متمتّعا فلا تقربنّ شيئا فيه صفرة حتى تطوف بالبيت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بعض المتأخّرين الأصفر بما صبغ بالزعفران أو الورس أو شبههما ممّا له رائحة طيّبة </w:t>
      </w:r>
      <w:r>
        <w:rPr>
          <w:rStyle w:val="FootnoteAnchor"/>
          <w:rtl w:val="true"/>
        </w:rPr>
        <w:footnoteReference w:id="1761"/>
      </w:r>
      <w:r>
        <w:rPr>
          <w:rFonts w:ascii="Amiri" w:hAnsi="Amiri" w:eastAsia="Amiri" w:cs="Amiri"/>
          <w:color w:val="111111"/>
          <w:sz w:val="28"/>
          <w:sz w:val="28"/>
          <w:szCs w:val="28"/>
          <w:rtl w:val="true"/>
          <w:lang w:bidi="ar-SA"/>
        </w:rPr>
        <w:t xml:space="preserve">، والتفسير غير ثابت ، والروايات </w:t>
      </w:r>
      <w:r>
        <w:rPr>
          <w:rStyle w:val="FootnoteAnchor"/>
          <w:rtl w:val="true"/>
        </w:rPr>
        <w:footnoteReference w:id="1762"/>
      </w:r>
      <w:r>
        <w:rPr>
          <w:rFonts w:ascii="Amiri" w:hAnsi="Amiri" w:eastAsia="Amiri" w:cs="Amiri"/>
          <w:color w:val="111111"/>
          <w:sz w:val="28"/>
          <w:sz w:val="28"/>
          <w:szCs w:val="28"/>
          <w:rtl w:val="true"/>
          <w:lang w:bidi="ar-SA"/>
        </w:rPr>
        <w:t>على الحرمة غير 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محرّم على المحرم والمحرمة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حراما </w:t>
      </w:r>
    </w:p>
    <w:p>
      <w:pPr>
        <w:pStyle w:val="BookText"/>
        <w:rPr/>
      </w:pPr>
      <w:r>
        <w:rPr>
          <w:rFonts w:ascii="Amiri" w:hAnsi="Amiri" w:eastAsia="Amiri" w:cs="Amiri"/>
          <w:color w:val="111111"/>
          <w:sz w:val="28"/>
          <w:sz w:val="28"/>
          <w:szCs w:val="28"/>
          <w:rtl w:val="true"/>
          <w:lang w:bidi="ar-SA"/>
        </w:rPr>
        <w:t xml:space="preserve">بنفسه مطلقا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 والسنّة ، والإجماع المحكيّ </w:t>
      </w:r>
      <w:r>
        <w:rPr>
          <w:rStyle w:val="FootnoteAnchor"/>
          <w:rtl w:val="true"/>
        </w:rPr>
        <w:footnoteReference w:id="1763"/>
      </w:r>
      <w:r>
        <w:rPr>
          <w:rFonts w:ascii="Amiri" w:hAnsi="Amiri" w:eastAsia="Amiri" w:cs="Amiri"/>
          <w:color w:val="111111"/>
          <w:sz w:val="28"/>
          <w:sz w:val="28"/>
          <w:szCs w:val="28"/>
          <w:rtl w:val="true"/>
          <w:lang w:bidi="ar-SA"/>
        </w:rPr>
        <w:t>والمحقّق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 يتحقّق بالتلبّس بإحرامه ، بل بإحرام عمرة التمتّع ، لدخولها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تمام الحجّ والعمرة أن يحفظ المرء لسانه إلاّ من خير كما قال اللّه عزّ وجلّ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والسباب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واعلم أنّ الرجل إذا حلف بثلاثة أيمان ولاء في مقام واحد وهو محرم فقد جادل ، فعليه دم يهريقه ويتصدّق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حلف يمينا واحدة كاذبة فقد جادل ، وعليه دم يهريقه ويتصدّق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من الجدال ، إنّما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الجدال شاة ، وفي السباب والفسوق بقرة ، والرفث فساد الحجّ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الرفث والفسوق والجدال ما هو وما على من فعله؟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النساء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والمفاخرة ، </w:t>
      </w:r>
    </w:p>
    <w:p>
      <w:pPr>
        <w:pStyle w:val="BookText"/>
        <w:rPr/>
      </w:pPr>
      <w:r>
        <w:rPr>
          <w:rFonts w:ascii="IRNazanin" w:hAnsi="IRNazanin" w:eastAsia="IRNazanin"/>
          <w:color w:val="111111"/>
          <w:sz w:val="28"/>
          <w:sz w:val="28"/>
          <w:szCs w:val="28"/>
          <w:rtl w:val="true"/>
          <w:lang w:bidi="fa-IR"/>
        </w:rPr>
        <w:t xml:space="preserve">والجدال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 إلى غير ذلك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بالفسوق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مطلقا خاصّة عند الأكثر ، بل عن التبيان ومجمع البيان وروض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رواية الأصحاب مشعرين بدعوى الإجماع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ومقيّدا بالكذب على اللّه تعالى ورسوله أو أحد الأئمّة عليه وعليهم السلام ، في المحكيّ عن الغنية والمهذّب والمصباح </w:t>
      </w:r>
      <w:r>
        <w:rPr>
          <w:rStyle w:val="FootnoteAnchor"/>
          <w:rtl w:val="true"/>
        </w:rPr>
        <w:footnoteReference w:id="1770"/>
      </w:r>
      <w:r>
        <w:rPr>
          <w:rFonts w:ascii="Amiri" w:hAnsi="Amiri" w:eastAsia="Amiri" w:cs="Amiri"/>
          <w:color w:val="111111"/>
          <w:sz w:val="28"/>
          <w:sz w:val="28"/>
          <w:szCs w:val="28"/>
          <w:rtl w:val="true"/>
          <w:lang w:bidi="ar-SA"/>
        </w:rPr>
        <w:t xml:space="preserve">والإشارة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وبالكذب على اللّه خاصّة ، في المنقول عن الجمل والعقود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والكذب المطلق مع السباب ، عند السيّد والإسكافي والشهيدين </w:t>
      </w:r>
      <w:r>
        <w:rPr>
          <w:rStyle w:val="FootnoteAnchor"/>
          <w:rtl w:val="true"/>
        </w:rPr>
        <w:footnoteReference w:id="1773"/>
      </w:r>
      <w:r>
        <w:rPr>
          <w:rFonts w:ascii="Amiri" w:hAnsi="Amiri" w:eastAsia="Amiri" w:cs="Amiri"/>
          <w:color w:val="111111"/>
          <w:sz w:val="28"/>
          <w:sz w:val="28"/>
          <w:szCs w:val="28"/>
          <w:rtl w:val="true"/>
          <w:lang w:bidi="ar-SA"/>
        </w:rPr>
        <w:t xml:space="preserve">، وجمع آخر من المتأخّرين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المفاخرة عند بعض آخر ، كما يظهر من الذخيرة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البذاء ، على قول محكيّ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المفاخرة </w:t>
      </w:r>
      <w:r>
        <w:rPr>
          <w:rStyle w:val="FootnoteAnchor"/>
          <w:rtl w:val="true"/>
        </w:rPr>
        <w:footnoteReference w:id="177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لفظ قبيح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التبيان والراوندي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جميع المعاصي التي نهي المحرم عنها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بالكذب في الصحيحين المتقدّمين بلا معارض له ، فيجب الأخذ به ، وزيادة السباب في إحداهما يعارضها زيادة المفاخرة في الأخرى ، حيث إنّ الظاهر من التفسير هو تمام المعنى والحصر ، مع أنّ عطف الفسوق على السباب في صحيحة سليمان يفيد التغاير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ذكر المفاخرة في صحيحة ابن عمّار يفيده بينهما أيضا ، مضافا إلى الاقتصار بالتفسير بالكذب خاصّة في المرويّ في معاني الأخبار </w:t>
      </w:r>
      <w:r>
        <w:rPr>
          <w:rStyle w:val="FootnoteAnchor"/>
          <w:rtl w:val="true"/>
        </w:rPr>
        <w:footnoteReference w:id="1780"/>
      </w:r>
      <w:r>
        <w:rPr>
          <w:rFonts w:ascii="Amiri" w:hAnsi="Amiri" w:eastAsia="Amiri" w:cs="Amiri"/>
          <w:color w:val="111111"/>
          <w:sz w:val="28"/>
          <w:sz w:val="28"/>
          <w:szCs w:val="28"/>
          <w:rtl w:val="true"/>
          <w:lang w:bidi="ar-SA"/>
        </w:rPr>
        <w:t xml:space="preserve">وتفسير العيّاشي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المعارضة بأنّ غايتها بالعموم والخصوص المطلقين ، الواجب فيها حمل العام على الخاصّ ، إذ غاية ما يستفاد من التفسير بتمام المعنى والحصر هو نفي الغير مطلقا ، والمعارض أثبت فردا من الغير ، فيكون أخصّ مطلقا ، ويكفي في التغاير المفهوم من العطف الخصوصيّة والعموميّة ، فيكون من باب عطف العامّ على الخاصّ</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المتبادر من الأمر بالاتّقاء عن المفاخرة في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الفسوق بالكذب والسباب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 ومع ذلك فالصحيحة المفسّرة له بها للشهرة العظيمة مخالفة ، بل لم يظهر به قائل بخصوصه ، فلأجل ذلك يتّجه رفع اليد عن المفاخرة ، ثم بذلك تظهر حجّة من ضمّ السباب أو المفاخرة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باقي الأقوال فبين تخصيص بلا مخصّص ، أو تعميم بلا معمّم ، سوى ما قيل للثاني من دعوى الإجماع في الغنية </w:t>
      </w:r>
      <w:r>
        <w:rPr>
          <w:rStyle w:val="FootnoteAnchor"/>
          <w:rtl w:val="true"/>
        </w:rPr>
        <w:footnoteReference w:id="1782"/>
      </w:r>
      <w:r>
        <w:rPr>
          <w:rFonts w:ascii="Amiri" w:hAnsi="Amiri" w:eastAsia="Amiri" w:cs="Amiri"/>
          <w:color w:val="111111"/>
          <w:sz w:val="28"/>
          <w:sz w:val="28"/>
          <w:szCs w:val="28"/>
          <w:rtl w:val="true"/>
          <w:lang w:bidi="ar-SA"/>
        </w:rPr>
        <w:t>، وهي أيضا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 تظهر قوّة قول السيّد ، فهو الجيّد ، واللّه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لا ثمرة معتدّ بها بعد ظهور حرمة الجميع بنفسها ، وعدم وجوب كفّارة فيها سوى الاستغفار ، وعدم إفساده الإحرام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وحرمته من حيث الإحرام ثابتة ، وإنّما الخلاف في المراد منه ، ولا بدّ أولا من ذكر الأخبار المفسّرة له حتى تظهر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الصحيحتان المتقدّمتان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ثلاث أيمان متتابعات جادل صادقا فقد جادل وعليه دم ، وإذا حلف بيمين واحدة كاذبا فقد جادل وعليه دم </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 وقريبة منها صحيحته الأخرى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أن يعمل العمل فيقول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تعمله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لأعملنّه ، فيحالفه مرارا ، يلزمه ما يلزم صاحب الجدال؟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أراد بهذا إكرام أخيه ، إنّما ذلك ما كان لله فيه </w:t>
      </w:r>
    </w:p>
    <w:p>
      <w:pPr>
        <w:pStyle w:val="BookText"/>
        <w:rPr/>
      </w:pP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الحديث أنّ المراد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إكرام صاحبه ، وبما كانت فيه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فيه غرض ديني ، فإنّ ذلك دخول في نهيه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 وورد في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حلف باللّه كاذبا كفر ومن حلف باللّه صادقا أثم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حلف ثلاثة أيمان في مقام ولاء وهو محرم فقد جادل ، وعليه حدّ الجدال دم يهريقه ويتصدّق به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بالجدال ، إنّما الجدال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الجدال في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على مرّتين فقد وقع عليه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يجادل وهو صادق؟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شاة ، والكاذب عليه بقرة </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وهو صادق ، عليه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المستفاد من تلك الأخبار بكلّيتها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الجدال هنا هو اليمين ، فلا محيص عن القول به ورفض قول من جعل الجدال مطلق الخصومة على ما هو مقتضى اللغة وإن لم ينقل به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مسبوقيّتها بالخصومة ، كما حكي عن السيّد الإجماع عليه </w:t>
      </w:r>
      <w:r>
        <w:rPr>
          <w:rStyle w:val="FootnoteAnchor"/>
          <w:rtl w:val="true"/>
        </w:rPr>
        <w:footnoteReference w:id="1793"/>
      </w:r>
      <w:r>
        <w:rPr>
          <w:rFonts w:ascii="Amiri" w:hAnsi="Amiri" w:eastAsia="Amiri" w:cs="Amiri"/>
          <w:color w:val="111111"/>
          <w:sz w:val="28"/>
          <w:sz w:val="28"/>
          <w:szCs w:val="28"/>
          <w:rtl w:val="true"/>
          <w:lang w:bidi="ar-SA"/>
        </w:rPr>
        <w:t>،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ذلك من الصحيحة الثالثة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إذ مدلولها اشتراط عدم كون اليمين في الإكرام ، لا اشتراط كونها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عدم كونها في الإكرام وطاعة اللّه ، كما هو المحكيّ عن الإسكافي والفاضل والجعفي </w:t>
      </w:r>
      <w:r>
        <w:rPr>
          <w:rStyle w:val="FootnoteAnchor"/>
          <w:rtl w:val="true"/>
        </w:rPr>
        <w:footnoteReference w:id="1795"/>
      </w:r>
      <w:r>
        <w:rPr>
          <w:rFonts w:ascii="Amiri" w:hAnsi="Amiri" w:eastAsia="Amiri" w:cs="Amiri"/>
          <w:color w:val="111111"/>
          <w:sz w:val="28"/>
          <w:sz w:val="28"/>
          <w:szCs w:val="28"/>
          <w:rtl w:val="true"/>
          <w:lang w:bidi="ar-SA"/>
        </w:rPr>
        <w:t>، لتلك الصحيحة ، وبها تقيّد الأخبار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كونها في المعصية أو غيرها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آخر تلك الصحيحة ، إذ لم يقيّد فيه بما كان في المعصية ، بل بما كانت فيه المعصية ، وكلّ ما لم يكن في الطاعة كانت فيه المعصية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خروج ما توقّف عليه استنقاذ الحقّ أو دفع الدعوى الباطلة عن الجدال ، كما حكي عن الشهيدين </w:t>
      </w:r>
      <w:r>
        <w:rPr>
          <w:rStyle w:val="FootnoteAnchor"/>
          <w:rtl w:val="true"/>
        </w:rPr>
        <w:footnoteReference w:id="1796"/>
      </w:r>
      <w:r>
        <w:rPr>
          <w:rFonts w:ascii="Amiri" w:hAnsi="Amiri" w:eastAsia="Amiri" w:cs="Amiri"/>
          <w:color w:val="111111"/>
          <w:sz w:val="28"/>
          <w:sz w:val="28"/>
          <w:szCs w:val="28"/>
          <w:rtl w:val="true"/>
          <w:lang w:bidi="ar-SA"/>
        </w:rPr>
        <w:t xml:space="preserve">وغيرهما من المتأخّرين </w:t>
      </w:r>
      <w:r>
        <w:rPr>
          <w:rStyle w:val="FootnoteAnchor"/>
          <w:rtl w:val="true"/>
        </w:rPr>
        <w:footnoteReference w:id="1797"/>
      </w:r>
      <w:r>
        <w:rPr>
          <w:rFonts w:ascii="Amiri" w:hAnsi="Amiri" w:eastAsia="Amiri" w:cs="Amiri"/>
          <w:color w:val="111111"/>
          <w:sz w:val="28"/>
          <w:sz w:val="28"/>
          <w:szCs w:val="28"/>
          <w:rtl w:val="true"/>
          <w:lang w:bidi="ar-SA"/>
        </w:rPr>
        <w:t>، لخروجه عن المعصية بأدلّة نفي الضرر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يشترط كونها حلفا باللّه ، للأخبار المتقدّمة الحاصرة لها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المؤيّدة بالمصرّحة بعدم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عدم الاختصاص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التعدّي إلى كلّ ما يؤدّي هذا المعنى ، كالرحمن والخالق ونحوهما ، وبالفارسية وغيرها من اللغات ، إذ الأصل في الألفاظ إرادة معانيها دون خصوص اللفظ ، فالمراد باللّه معناه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التكرار ثلاثا في الصادقة ، وأمّا الكاذبة فتكفي الواحدة ، للأخبار المتقدّمة الدالّة بالمفهوم أو التفصيل القاطع للشركة على انتفاء الجدال بالأقلّ من الثلاث في الصادقة ، وبها تقيّد المطلقة ، وعليها تحمل الموثّقة الأخيرة بحملها على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الأخبار المتضمّنة للثلاث على بيان ما يوجب الكفّارة خاصّة خلاف الظاهر من الأكثر ، سيّما الصحيحة الأولى لابن عمّار ، حيث رتّبت تحقّق الجدال على الثلاثة ، وفرّعت وجوب الدم على الجدال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المتضمّنة للثلاثة مطلقة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معا ، أو يكفي أحدهما مكرّرا في الصادقة وغير مكرّر في الكاذبة؟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وفاقا للأكثر ، لأنّ النفي والإثبات لا يجتمعان غالبا ، فالمراد بيان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هوام الجسد والثوب من القملة والبرغوث ونحوهما ، وإلقاؤها عنهما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فحرمته على المحرم والمحرمة هي المشهورة بين </w:t>
      </w:r>
    </w:p>
    <w:p>
      <w:pPr>
        <w:pStyle w:val="BookText"/>
        <w:rPr/>
      </w:pPr>
      <w:r>
        <w:rPr>
          <w:rFonts w:ascii="Amiri" w:hAnsi="Amiri" w:eastAsia="Amiri" w:cs="Amiri"/>
          <w:color w:val="111111"/>
          <w:sz w:val="28"/>
          <w:sz w:val="28"/>
          <w:szCs w:val="28"/>
          <w:rtl w:val="true"/>
          <w:lang w:bidi="ar-SA"/>
        </w:rPr>
        <w:t xml:space="preserve">الأصحاب ، كما صرّح به جماعة </w:t>
      </w:r>
      <w:r>
        <w:rPr>
          <w:rStyle w:val="FootnoteAnchor"/>
          <w:rtl w:val="true"/>
        </w:rPr>
        <w:footnoteReference w:id="1798"/>
      </w:r>
      <w:r>
        <w:rPr>
          <w:rFonts w:ascii="Amiri" w:hAnsi="Amiri" w:eastAsia="Amiri" w:cs="Amiri"/>
          <w:color w:val="111111"/>
          <w:sz w:val="28"/>
          <w:sz w:val="28"/>
          <w:szCs w:val="28"/>
          <w:rtl w:val="true"/>
          <w:lang w:bidi="ar-SA"/>
        </w:rPr>
        <w:t xml:space="preserve">، لصحيحة ابن عمّار المتقدّمة ،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قتل الدواب كلّها </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 الشاملة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قملة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فداؤها؟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فداء لها </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المعتضدتين بصحيحة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هل يحكّ رأسه ويغتسل بالماء؟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 رأسه ما لم يتعمّد قتل دابّة </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وبحسنة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ينزع القملة من جسده ولا من ثوبه متعمّدا ، وإن قتل شيئا من ذلك خطأ فليطعم مكانها طعاما قبضة بيده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وبسائر ما دلّ على المنع من نزع القملة وإبانتها وإلقائها </w:t>
      </w:r>
      <w:r>
        <w:rPr>
          <w:rStyle w:val="FootnoteAnchor"/>
          <w:rtl w:val="true"/>
        </w:rPr>
        <w:footnoteReference w:id="1803"/>
      </w:r>
      <w:r>
        <w:rPr>
          <w:rFonts w:ascii="Amiri" w:hAnsi="Amiri" w:eastAsia="Amiri" w:cs="Amiri"/>
          <w:color w:val="111111"/>
          <w:sz w:val="28"/>
          <w:sz w:val="28"/>
          <w:szCs w:val="28"/>
          <w:rtl w:val="true"/>
          <w:lang w:bidi="ar-SA"/>
        </w:rPr>
        <w:t>، فإنّ القتل متضمّن لبعض ذلك ، بل يمكن التعدّي منها إلى القتل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بإزاء الروايتين روايات أخرى مخالفة لهما ظاهرا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قتل قملة؟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w:t>
      </w:r>
    </w:p>
    <w:p>
      <w:pPr>
        <w:pStyle w:val="BookText"/>
        <w:rPr/>
      </w:pPr>
      <w:r>
        <w:rPr>
          <w:rFonts w:ascii="Amiri" w:hAnsi="Amiri" w:eastAsia="Amiri" w:cs="Amiri"/>
          <w:color w:val="111111"/>
          <w:sz w:val="28"/>
          <w:sz w:val="28"/>
          <w:szCs w:val="28"/>
          <w:rtl w:val="true"/>
          <w:lang w:bidi="ar-SA"/>
        </w:rPr>
        <w:t xml:space="preserve">في القملة ، ولا ينبغي أن يتعمّد قتلها </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 حيث إنّ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وعموم الشي‌ء المنفيّ وشموله للعقاب ، ظاهران في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بقتل القملة في الحرم وغيره </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بقتل البرغوث والقملة والبقّة في الحرم </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يقتل البقّة والبرغوث إذا أراده؟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 ، ونحوها المرويّ في مستطرفات السرائر صحيحا </w:t>
      </w:r>
      <w:r>
        <w:rPr>
          <w:rStyle w:val="FootnoteAnchor"/>
          <w:rtl w:val="true"/>
        </w:rPr>
        <w:footnoteReference w:id="1808"/>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آذاه ،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الأخيرة لا تعارض رواية أبي الجارود ، لاختلاف الموضوع ، وأخصّ مطلقا من الصحيحة الأولى ، لاختصاصها بالبقّة والبرغوث ، ومنهما بصورة إرادة الأذى للمحرم ، ومقتضى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هذه الصورة من الحرمة ، فهي خارجة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الروايات الثلاث الأخرى أعمّ من وجه من الصحيحة ، لعموميّة الأولى من الثلاثة من جهة الشي‌ء ، والباقيتين من حيث إنّهما يشملان المحرم وغيره ، وعموميّة الصحيحة بالنسبة إلى الدواب ، 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هوام الجسد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الأصل ، وهو جواز القتل ، سيّما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للعامّة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رواية أبي الجارود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لقلنا بذلك </w:t>
      </w:r>
    </w:p>
    <w:p>
      <w:pPr>
        <w:pStyle w:val="BookText"/>
        <w:rPr/>
      </w:pPr>
      <w:r>
        <w:rPr>
          <w:rFonts w:ascii="Amiri" w:hAnsi="Amiri" w:eastAsia="Amiri" w:cs="Amiri"/>
          <w:color w:val="111111"/>
          <w:sz w:val="28"/>
          <w:sz w:val="28"/>
          <w:szCs w:val="28"/>
          <w:rtl w:val="true"/>
          <w:lang w:bidi="ar-SA"/>
        </w:rPr>
        <w:t xml:space="preserve">في جميع الهوام ، كما هو ظاهر جماعة من القدماء </w:t>
      </w:r>
      <w:r>
        <w:rPr>
          <w:rStyle w:val="FootnoteAnchor"/>
          <w:rtl w:val="true"/>
        </w:rPr>
        <w:footnoteReference w:id="1810"/>
      </w:r>
      <w:r>
        <w:rPr>
          <w:rFonts w:ascii="Amiri" w:hAnsi="Amiri" w:eastAsia="Amiri" w:cs="Amiri"/>
          <w:color w:val="111111"/>
          <w:sz w:val="28"/>
          <w:sz w:val="28"/>
          <w:szCs w:val="28"/>
          <w:rtl w:val="true"/>
          <w:lang w:bidi="ar-SA"/>
        </w:rPr>
        <w:t>، حيث لم يذكروا إلاّ الإزالة عن نفسه والإلقاء دون قتله ، إلاّ أنّ هذه الرواية أخصّ مطلقا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تعارضها الأخيرة ، لعدم تعرّضها للقملة ، فإذن الحقّ حرمة قتل القملة للمحرم مطلقا دون غيرها من هوام الجسد ، وفاقا لكلّ من خصّ الذكر بالقمل ، ونسب ذلك إلى الأكثر </w:t>
      </w:r>
      <w:r>
        <w:rPr>
          <w:rStyle w:val="FootnoteAnchor"/>
          <w:rtl w:val="true"/>
        </w:rPr>
        <w:footnoteReference w:id="1811"/>
      </w:r>
      <w:r>
        <w:rPr>
          <w:rFonts w:ascii="Amiri" w:hAnsi="Amiri" w:eastAsia="Amiri" w:cs="Amiri"/>
          <w:color w:val="111111"/>
          <w:sz w:val="28"/>
          <w:sz w:val="28"/>
          <w:szCs w:val="28"/>
          <w:rtl w:val="true"/>
          <w:lang w:bidi="ar-SA"/>
        </w:rPr>
        <w:t xml:space="preserve">، وقوّاه بعض مشايخنا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ابن حمزة ، فجوّز قتل قمل البدن خاصّة دون الثوب </w:t>
      </w:r>
      <w:r>
        <w:rPr>
          <w:rStyle w:val="FootnoteAnchor"/>
          <w:rtl w:val="true"/>
        </w:rPr>
        <w:footnoteReference w:id="1813"/>
      </w:r>
      <w:r>
        <w:rPr>
          <w:rFonts w:ascii="Amiri" w:hAnsi="Amiri" w:eastAsia="Amiri" w:cs="Amiri"/>
          <w:color w:val="111111"/>
          <w:sz w:val="28"/>
          <w:sz w:val="28"/>
          <w:szCs w:val="28"/>
          <w:rtl w:val="true"/>
          <w:lang w:bidi="ar-SA"/>
        </w:rPr>
        <w:t xml:space="preserve">، وعن بعض المحدّثين ، فجوّز قتل القمّل مطلقا على كراهة </w:t>
      </w:r>
      <w:r>
        <w:rPr>
          <w:rStyle w:val="FootnoteAnchor"/>
          <w:rtl w:val="true"/>
        </w:rPr>
        <w:footnoteReference w:id="1814"/>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وعن الدليل التامّ خاليان ، وإن كان في الشذوذ نظر ، لما مرّ من عدم تعرّض جماعة من القدماء للقتل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حرمته جماعة </w:t>
      </w:r>
      <w:r>
        <w:rPr>
          <w:rStyle w:val="FootnoteAnchor"/>
          <w:rtl w:val="true"/>
        </w:rPr>
        <w:footnoteReference w:id="1816"/>
      </w:r>
      <w:r>
        <w:rPr>
          <w:rFonts w:ascii="Amiri" w:hAnsi="Amiri" w:eastAsia="Amiri" w:cs="Amiri"/>
          <w:color w:val="111111"/>
          <w:sz w:val="28"/>
          <w:sz w:val="28"/>
          <w:szCs w:val="28"/>
          <w:rtl w:val="true"/>
          <w:lang w:bidi="ar-SA"/>
        </w:rPr>
        <w:t xml:space="preserve">، وقيل باتّفاق الأصحاب ظاهرا على حرمته في القملة </w:t>
      </w:r>
      <w:r>
        <w:rPr>
          <w:rStyle w:val="FootnoteAnchor"/>
          <w:rtl w:val="true"/>
        </w:rPr>
        <w:footnoteReference w:id="1817"/>
      </w:r>
      <w:r>
        <w:rPr>
          <w:rFonts w:ascii="Amiri" w:hAnsi="Amiri" w:eastAsia="Amiri" w:cs="Amiri"/>
          <w:color w:val="111111"/>
          <w:sz w:val="28"/>
          <w:sz w:val="28"/>
          <w:szCs w:val="28"/>
          <w:rtl w:val="true"/>
          <w:lang w:bidi="ar-SA"/>
        </w:rPr>
        <w:t xml:space="preserve">،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له بحسنة ابن أبي العلاء المتقدّمة ، وقريبة منها الأخرى </w:t>
      </w:r>
      <w:r>
        <w:rPr>
          <w:rStyle w:val="FootnoteAnchor"/>
          <w:rtl w:val="true"/>
        </w:rPr>
        <w:footnoteReference w:id="1819"/>
      </w:r>
      <w:r>
        <w:rPr>
          <w:rFonts w:ascii="Amiri" w:hAnsi="Amiri" w:eastAsia="Amiri" w:cs="Amiri"/>
          <w:color w:val="111111"/>
          <w:sz w:val="28"/>
          <w:sz w:val="28"/>
          <w:szCs w:val="28"/>
          <w:rtl w:val="true"/>
          <w:lang w:bidi="ar-SA"/>
        </w:rPr>
        <w:t xml:space="preserve">،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قبضة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يبين القملة عن جسده فيلقيها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يطعم مكانها طعاما </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 ونحوها صحيحة محمّد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يحكّ رأسه فتسقط القملة والثنتان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 ولا يعيدها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يلقي عنه الدواب كلّها إلاّ القملة فإنّها من جسده ، فإذا أراد أن يحوّل قملة من مكان إلى مكان فلا يضرّه </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ينزع الحملة من البعير؟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هي بمنزلة القملة من جسدك </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القراد ليس من البعير ، والحلمة من البعير بمنزلة القملة من جسدك ، فلا تلقها وألق القراد </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تلك الروايات بأسرها خالية عن ذكر غير القملة خصوصا أو عموما ، وصحيحة ابن عمّار الثانية ناصّة على جواز إلقاء غير القملة من الدواب ، ولم يذكره أيضا كثير من قدماء الأصحاب ، فالقول بالجواز فيه خال عن الارتياب ، كما اختاره صريحا بعض المتأخّرين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الاستدلال لمنع إلقاء مثل البرغوث والبقّة بصحيحة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وجدت عليّ قرادا أو حلمة أطرحهما؟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وصغارا لهما ، إنّهما رقيا في غير مرقاهما </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 كما صدر عن بعضهم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جيد جدّا ، لأنّ غايتها أنّ الارتقاء في غير المرقى يرجّح الاطراح ، ولا دلالة على أنّ الارتقاء في المرقى يمنع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القملة وإن وردت في الأخبار المذكورة إلاّ أنّ صحيحتي حمّاد ومحمّد لا تشتملان على منع إنشائي أو إخباري ، وإنّما تتضمّنان الكفّارة ، وهي غير حرمة الفعل ، مع أنّ وجوبها أيضا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صحيحة ابن عمّار الأولى ، لرجوع 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القملة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يعيدها إلى موضعها ، فهي بنفي الشي‌ء الشامل للعقاب أيضا على خلاف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التحريم قاصرة ، لمكان الجملة الخبريّة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والأخيرة وإن كانت ظاهرة في التحريم إلاّ أنّها لرواية مرّة معارضة </w:t>
      </w:r>
      <w:r>
        <w:rPr>
          <w:rFonts w:eastAsia="Amiri" w:cs="Amiri" w:ascii="Amiri" w:hAnsi="Amiri"/>
          <w:color w:val="111111"/>
          <w:sz w:val="28"/>
          <w:szCs w:val="28"/>
          <w:rtl w:val="true"/>
          <w:lang w:bidi="ar-SA"/>
        </w:rPr>
        <w:t xml:space="preserve">: </w:t>
      </w:r>
      <w:bookmarkStart w:id="203" w:name="pg11651_107993"/>
    </w:p>
    <w:p>
      <w:pPr>
        <w:pStyle w:val="BookText"/>
        <w:rPr/>
      </w:pPr>
      <w:bookmarkEnd w:id="203"/>
      <w:r>
        <w:rPr>
          <w:rFonts w:ascii="Amiri" w:hAnsi="Amiri" w:eastAsia="Amiri" w:cs="Amiri"/>
          <w:color w:val="111111"/>
          <w:sz w:val="28"/>
          <w:sz w:val="28"/>
          <w:szCs w:val="28"/>
          <w:rtl w:val="true"/>
          <w:lang w:bidi="ar-SA"/>
        </w:rPr>
        <w:t xml:space="preserve">عن المحرم يلقي القملة؟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ألقوها ، أبعدها اللّه غير محمودة ولا مفقودة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لعموم صحيحة ابن عمّار الأولى المتقدّمة ، وبهما أيضا يعارض سائر الأخبار المذكورة لو جعلناها على الحرمة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الجواز في الجميع أقوى مع الكراهة في القملة ، بل في البواقي أيضا ، لفتوى جماعة ، كما اختاره بعض مشايخنا ونقله عن بعض المحدّثين أيضا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6172058_73709187"/>
      <w:bookmarkStart w:id="205" w:name="_Toc76"/>
      <w:bookmarkEnd w:id="204"/>
      <w:r>
        <w:rPr>
          <w:rtl w:val="true"/>
        </w:rPr>
        <w:t xml:space="preserve">فرعان </w:t>
      </w:r>
      <w:r>
        <w:rPr>
          <w:rtl w:val="true"/>
        </w:rPr>
        <w:t>:</w:t>
      </w:r>
      <w:bookmarkEnd w:id="2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القملة وغيرها من مكان من الجسد إلى آخر ولو قلنا في الإلقاء بالحرمة ، بلا خلاف فيه بين الطائفة كما ذكره بعض الأجلّة </w:t>
      </w:r>
      <w:r>
        <w:rPr>
          <w:rStyle w:val="FootnoteAnchor"/>
          <w:rtl w:val="true"/>
        </w:rPr>
        <w:footnoteReference w:id="1831"/>
      </w:r>
      <w:r>
        <w:rPr>
          <w:rFonts w:ascii="Amiri" w:hAnsi="Amiri" w:eastAsia="Amiri" w:cs="Amiri"/>
          <w:color w:val="111111"/>
          <w:sz w:val="28"/>
          <w:sz w:val="28"/>
          <w:szCs w:val="28"/>
          <w:rtl w:val="true"/>
          <w:lang w:bidi="ar-SA"/>
        </w:rPr>
        <w:t xml:space="preserve">، لصحيحة ابن عمّار الثانية ، ومقتضى إطلاقها عدم اشتراط كون المنقول إليه مساويا أو أحرز ، فالقول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المحقّق الشيخ عليّ </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بلا مقيّد ، إلاّ أن يكون مراده عدم كونه معرضا للسقوط قطعا أو غالبا ، وحينئذ فلا بأس به ، لأنّه في معنى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إلقاء القراد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القراد أو 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بلا خلاف ، للأصل ، وصحيحة ابن سنان المتقدّمة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يجوز إلقاء الأول من البعير بلا خلاف ، لصحيحة حريز المتقدّمة </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إلقاء الحلمة عنها ، وفاقا لجماعة </w:t>
      </w:r>
      <w:r>
        <w:rPr>
          <w:rStyle w:val="FootnoteAnchor"/>
          <w:rtl w:val="true"/>
        </w:rPr>
        <w:footnoteReference w:id="1834"/>
      </w:r>
      <w:r>
        <w:rPr>
          <w:rFonts w:ascii="Amiri" w:hAnsi="Amiri" w:eastAsia="Amiri" w:cs="Amiri"/>
          <w:color w:val="111111"/>
          <w:sz w:val="28"/>
          <w:sz w:val="28"/>
          <w:szCs w:val="28"/>
          <w:rtl w:val="true"/>
          <w:lang w:bidi="ar-SA"/>
        </w:rPr>
        <w:t xml:space="preserve">، للصحيحة المذكورة وغيرها من الروايات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 بعد الإحرام مطلقا ، وبالدهن المطيّب بعده وقبله إذا كان ريحه يبقى إلى الإحرام ، ويجوز بغير المطيّب قبل الإحرام ولو بقي أثره إلى ما بعده ، وكذا بعده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فحرمته هي الأقوى الأشهر ، لصحيحة ابن عمّار المتقدّمة في صدر مسألة حرمة الطيب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تدهن حين تريد أن تحرم بدهن فيه مسك أو عنبر ، من أجل أنّ رائحته تبقى في رأسك بعد ما تحرم ، وأدهن بما شئت من الدهن حين تريد أن تحرم ، فإذا أحرمت فقد حرم عليك الدهن حتى تحلّ </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xml:space="preserve">، وقريبة منها مضمرة عليّ بن أبي حمزة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للمفيد والعماني والديلمي والحلبي </w:t>
      </w:r>
      <w:r>
        <w:rPr>
          <w:rStyle w:val="FootnoteAnchor"/>
          <w:rtl w:val="true"/>
        </w:rPr>
        <w:footnoteReference w:id="1839"/>
      </w:r>
      <w:r>
        <w:rPr>
          <w:rFonts w:ascii="Amiri" w:hAnsi="Amiri" w:eastAsia="Amiri" w:cs="Amiri"/>
          <w:color w:val="111111"/>
          <w:sz w:val="28"/>
          <w:sz w:val="28"/>
          <w:szCs w:val="28"/>
          <w:rtl w:val="true"/>
          <w:lang w:bidi="ar-SA"/>
        </w:rPr>
        <w:t xml:space="preserve">، فجوّزوه على كراهة ، </w:t>
      </w:r>
    </w:p>
    <w:p>
      <w:pPr>
        <w:pStyle w:val="BookText"/>
        <w:rPr/>
      </w:pPr>
      <w:r>
        <w:rPr>
          <w:rFonts w:ascii="Amiri" w:hAnsi="Amiri" w:eastAsia="Amiri" w:cs="Amiri"/>
          <w:color w:val="111111"/>
          <w:sz w:val="28"/>
          <w:sz w:val="28"/>
          <w:szCs w:val="28"/>
          <w:rtl w:val="true"/>
          <w:lang w:bidi="ar-SA"/>
        </w:rPr>
        <w:t xml:space="preserve">جمعا بين الأخبار المانعة والناصّة على الجواز بعد الغسل قبل الإحرام ، كصحاح محمّد </w:t>
      </w:r>
      <w:r>
        <w:rPr>
          <w:rStyle w:val="FootnoteAnchor"/>
          <w:rtl w:val="true"/>
        </w:rPr>
        <w:footnoteReference w:id="1840"/>
      </w:r>
      <w:r>
        <w:rPr>
          <w:rFonts w:ascii="Amiri" w:hAnsi="Amiri" w:eastAsia="Amiri" w:cs="Amiri"/>
          <w:color w:val="111111"/>
          <w:sz w:val="28"/>
          <w:sz w:val="28"/>
          <w:szCs w:val="28"/>
          <w:rtl w:val="true"/>
          <w:lang w:bidi="ar-SA"/>
        </w:rPr>
        <w:t xml:space="preserve">وابن أبي العلاء </w:t>
      </w:r>
      <w:r>
        <w:rPr>
          <w:rStyle w:val="FootnoteAnchor"/>
          <w:rtl w:val="true"/>
        </w:rPr>
        <w:footnoteReference w:id="1841"/>
      </w:r>
      <w:r>
        <w:rPr>
          <w:rFonts w:ascii="IRNazanin" w:hAnsi="IRNazanin" w:eastAsia="IRNazanin"/>
          <w:color w:val="111111"/>
          <w:sz w:val="28"/>
          <w:sz w:val="28"/>
          <w:szCs w:val="28"/>
          <w:rtl w:val="true"/>
          <w:lang w:bidi="fa-IR"/>
        </w:rPr>
        <w:t xml:space="preserve">وهشام بن سالم </w:t>
      </w:r>
      <w:r>
        <w:rPr>
          <w:rStyle w:val="FootnoteAnchor"/>
          <w:rtl w:val="true"/>
        </w:rPr>
        <w:footnoteReference w:id="1842"/>
      </w:r>
      <w:r>
        <w:rPr>
          <w:rFonts w:ascii="Amiri" w:hAnsi="Amiri" w:eastAsia="Amiri" w:cs="Amiri"/>
          <w:color w:val="111111"/>
          <w:sz w:val="28"/>
          <w:sz w:val="28"/>
          <w:szCs w:val="28"/>
          <w:rtl w:val="true"/>
          <w:lang w:bidi="ar-SA"/>
        </w:rPr>
        <w:t xml:space="preserve">وغيرها </w:t>
      </w:r>
      <w:r>
        <w:rPr>
          <w:rStyle w:val="FootnoteAnchor"/>
          <w:rtl w:val="true"/>
        </w:rPr>
        <w:footnoteReference w:id="1843"/>
      </w:r>
      <w:r>
        <w:rPr>
          <w:rFonts w:ascii="Amiri" w:hAnsi="Amiri" w:eastAsia="Amiri" w:cs="Amiri"/>
          <w:color w:val="111111"/>
          <w:sz w:val="28"/>
          <w:sz w:val="28"/>
          <w:szCs w:val="28"/>
          <w:rtl w:val="true"/>
          <w:lang w:bidi="ar-SA"/>
        </w:rPr>
        <w:t>، حيث إنّ الظاهر بقاؤه عليه إلى ما بعد الإحرام ، وتساوي الابتداء والاستدامة ، والأمران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بالأخبار المرخّصة له حال الضرورة </w:t>
      </w:r>
      <w:r>
        <w:rPr>
          <w:rStyle w:val="FootnoteAnchor"/>
          <w:rtl w:val="true"/>
        </w:rPr>
        <w:footnoteReference w:id="1844"/>
      </w:r>
      <w:r>
        <w:rPr>
          <w:rFonts w:ascii="Amiri" w:hAnsi="Amiri" w:eastAsia="Amiri" w:cs="Amiri"/>
          <w:color w:val="111111"/>
          <w:sz w:val="28"/>
          <w:sz w:val="28"/>
          <w:szCs w:val="28"/>
          <w:rtl w:val="true"/>
          <w:lang w:bidi="ar-SA"/>
        </w:rPr>
        <w:t>، وهو غير جيّد ، لخروجه عن المسألة ، لأنّ المفروض غير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فحرّمه الأكثر أيضا ، لما دلّ على المنع عن الطيب ولو استدامة ، كما مرّ في مسألة الطيب ، لصحيحة الحلبي ورواية علي بن أبي حمزة وغيرهما من الصحاح وغيرها الواردة في ذلك المضمار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ابن حمزة </w:t>
      </w:r>
      <w:r>
        <w:rPr>
          <w:rStyle w:val="FootnoteAnchor"/>
          <w:rtl w:val="true"/>
        </w:rPr>
        <w:footnoteReference w:id="1846"/>
      </w:r>
      <w:r>
        <w:rPr>
          <w:rFonts w:ascii="Amiri" w:hAnsi="Amiri" w:eastAsia="Amiri" w:cs="Amiri"/>
          <w:color w:val="111111"/>
          <w:sz w:val="28"/>
          <w:sz w:val="28"/>
          <w:szCs w:val="28"/>
          <w:rtl w:val="true"/>
          <w:lang w:bidi="ar-SA"/>
        </w:rPr>
        <w:t xml:space="preserve">وجماعة </w:t>
      </w:r>
      <w:r>
        <w:rPr>
          <w:rStyle w:val="FootnoteAnchor"/>
          <w:rtl w:val="true"/>
        </w:rPr>
        <w:footnoteReference w:id="1847"/>
      </w:r>
      <w:r>
        <w:rPr>
          <w:rFonts w:ascii="Amiri" w:hAnsi="Amiri" w:eastAsia="Amiri" w:cs="Amiri"/>
          <w:color w:val="111111"/>
          <w:sz w:val="28"/>
          <w:sz w:val="28"/>
          <w:szCs w:val="28"/>
          <w:rtl w:val="true"/>
          <w:lang w:bidi="ar-SA"/>
        </w:rPr>
        <w:t xml:space="preserve">، فكرّهوه ، للأصل ، وإطلاق جملة من الصحاح بجواز الادهان قبل الإحرام ،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يدهن الرجل قبل أن يغتسل للإحرام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يكره الدهن الخاثر الذي يبقى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يدفع بما مرّ ، والمطلق يقيّد به ، والكراهة تستعمل بمعنى الحرمة أيضا أو أعمّ منها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المذكورة فكلّها واردة بالجملة الخبريّة أو ما يحتملها ، ودلالة مثلها على الحرمة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حرمة استدامة الطيب فهو يعارض أخبار جواز الادهان قبل الإحرام بالعموم من وجه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الصحيحة فلا تتضمّن إلاّ الكراهة التي هي أعمّ من الحرمة ، فقول ابن حمزة لا يخلو من قوّة ، والاجتناب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فجوازه ممّا لا خلاف فيه كما قيل </w:t>
      </w:r>
      <w:r>
        <w:rPr>
          <w:rStyle w:val="FootnoteAnchor"/>
          <w:rtl w:val="true"/>
        </w:rPr>
        <w:footnoteReference w:id="1849"/>
      </w:r>
      <w:r>
        <w:rPr>
          <w:rFonts w:ascii="Amiri" w:hAnsi="Amiri" w:eastAsia="Amiri" w:cs="Amiri"/>
          <w:color w:val="111111"/>
          <w:sz w:val="28"/>
          <w:sz w:val="28"/>
          <w:szCs w:val="28"/>
          <w:rtl w:val="true"/>
          <w:lang w:bidi="ar-SA"/>
        </w:rPr>
        <w:t xml:space="preserve">، وعن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850"/>
      </w:r>
      <w:r>
        <w:rPr>
          <w:rFonts w:ascii="Amiri" w:hAnsi="Amiri" w:eastAsia="Amiri" w:cs="Amiri"/>
          <w:color w:val="111111"/>
          <w:sz w:val="28"/>
          <w:sz w:val="28"/>
          <w:szCs w:val="28"/>
          <w:rtl w:val="true"/>
          <w:lang w:bidi="ar-SA"/>
        </w:rPr>
        <w:t xml:space="preserve">، والصحاح به مع ذلك مستفيضة </w:t>
      </w:r>
      <w:r>
        <w:rPr>
          <w:rStyle w:val="FootnoteAnchor"/>
          <w:rtl w:val="true"/>
        </w:rPr>
        <w:footnoteReference w:id="1851"/>
      </w:r>
      <w:r>
        <w:rPr>
          <w:rFonts w:ascii="Amiri" w:hAnsi="Amiri" w:eastAsia="Amiri" w:cs="Amiri"/>
          <w:color w:val="111111"/>
          <w:sz w:val="28"/>
          <w:sz w:val="28"/>
          <w:szCs w:val="28"/>
          <w:rtl w:val="true"/>
          <w:lang w:bidi="ar-SA"/>
        </w:rPr>
        <w:t>، وليس في شي‌ء منها اشتراط عدم بقاء عينه بعد الإحرام مع مخالفته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باشتراطه </w:t>
      </w:r>
      <w:r>
        <w:rPr>
          <w:rStyle w:val="FootnoteAnchor"/>
          <w:rtl w:val="true"/>
        </w:rPr>
        <w:footnoteReference w:id="1852"/>
      </w:r>
      <w:r>
        <w:rPr>
          <w:rFonts w:ascii="Amiri" w:hAnsi="Amiri" w:eastAsia="Amiri" w:cs="Amiri"/>
          <w:color w:val="111111"/>
          <w:sz w:val="28"/>
          <w:sz w:val="28"/>
          <w:szCs w:val="28"/>
          <w:rtl w:val="true"/>
          <w:lang w:bidi="ar-SA"/>
        </w:rPr>
        <w:t>، ولا وجه له ، وصحيحة محمّد المتقدّمة لا تفيد أزيد من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موضع وفاق ، وفي المدارك </w:t>
      </w:r>
      <w:r>
        <w:rPr>
          <w:rStyle w:val="FootnoteAnchor"/>
          <w:rtl w:val="true"/>
        </w:rPr>
        <w:footnoteReference w:id="1853"/>
      </w:r>
      <w:r>
        <w:rPr>
          <w:rFonts w:ascii="Amiri" w:hAnsi="Amiri" w:eastAsia="Amiri" w:cs="Amiri"/>
          <w:color w:val="111111"/>
          <w:sz w:val="28"/>
          <w:sz w:val="28"/>
          <w:szCs w:val="28"/>
          <w:rtl w:val="true"/>
          <w:lang w:bidi="ar-SA"/>
        </w:rPr>
        <w:t xml:space="preserve">وغيره </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والأخبار به مستفيضة من الصحاح وغيرها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قليله وكثيره عن الرأس واللحية وسائر البدن ، بحلق أو نتف أو </w:t>
      </w:r>
    </w:p>
    <w:p>
      <w:pPr>
        <w:pStyle w:val="BookText"/>
        <w:rPr/>
      </w:pPr>
      <w:r>
        <w:rPr>
          <w:rFonts w:ascii="Amiri" w:hAnsi="Amiri" w:eastAsia="Amiri" w:cs="Amiri"/>
          <w:color w:val="111111"/>
          <w:sz w:val="28"/>
          <w:sz w:val="28"/>
          <w:szCs w:val="28"/>
          <w:rtl w:val="true"/>
          <w:lang w:bidi="ar-SA"/>
        </w:rPr>
        <w:t xml:space="preserve">غيرهما بالاختيار ، إجماعا محقّقا ومحكيّا </w:t>
      </w:r>
      <w:r>
        <w:rPr>
          <w:rStyle w:val="FootnoteAnchor"/>
          <w:rtl w:val="true"/>
        </w:rPr>
        <w:footnoteReference w:id="1856"/>
      </w:r>
      <w:r>
        <w:rPr>
          <w:rFonts w:ascii="Amiri" w:hAnsi="Amiri" w:eastAsia="Amiri" w:cs="Amiri"/>
          <w:color w:val="111111"/>
          <w:sz w:val="28"/>
          <w:sz w:val="28"/>
          <w:szCs w:val="28"/>
          <w:rtl w:val="true"/>
          <w:lang w:bidi="ar-SA"/>
        </w:rPr>
        <w:t xml:space="preserve">مستفيضا ، له ، ولقوله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تَحْلِقُوا رُؤُسَكُمْ </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يحتجم المحرم ما لم يحلق أو يقطع الشعر </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بحكّ الرأس واللحية ما لم يلق الشعر ، ويحكّ الجسد ما لم يدمه </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دلّتا بمفهوم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أقوى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الحلق أو قطع الشعر ، المؤيّد جميعا بالأخبار المستفيضة بل المتواترة معنى ، الآمرة بالفداء أو المانعة بالجملة الخبريّة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وتجوز الإزالة للضرورة ، للإجماع ، والأصل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61"/>
      </w:r>
      <w:r>
        <w:rPr>
          <w:rFonts w:ascii="Amiri" w:hAnsi="Amiri" w:eastAsia="Amiri" w:cs="Amiri"/>
          <w:color w:val="111111"/>
          <w:sz w:val="28"/>
          <w:sz w:val="28"/>
          <w:szCs w:val="28"/>
          <w:rtl w:val="true"/>
          <w:lang w:bidi="ar-SA"/>
        </w:rPr>
        <w:t xml:space="preserve">، وصحيحة حريز </w:t>
      </w:r>
      <w:r>
        <w:rPr>
          <w:rStyle w:val="FootnoteAnchor"/>
          <w:rtl w:val="true"/>
        </w:rPr>
        <w:footnoteReference w:id="1862"/>
      </w:r>
      <w:r>
        <w:rPr>
          <w:rFonts w:ascii="Amiri" w:hAnsi="Amiri" w:eastAsia="Amiri" w:cs="Amiri"/>
          <w:color w:val="111111"/>
          <w:sz w:val="28"/>
          <w:sz w:val="28"/>
          <w:szCs w:val="28"/>
          <w:rtl w:val="true"/>
          <w:lang w:bidi="ar-SA"/>
        </w:rPr>
        <w:t>الواردة في سبب نزول الآية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للمحرم حلق رأس المحرم إجماعا ، وفي حلق رأس المحلّ قولان ، الأصل يجوّزه ، وصحيحة معاوية بن وهب </w:t>
      </w:r>
      <w:r>
        <w:rPr>
          <w:rStyle w:val="FootnoteAnchor"/>
          <w:rtl w:val="true"/>
        </w:rPr>
        <w:footnoteReference w:id="1863"/>
      </w:r>
      <w:r>
        <w:rPr>
          <w:rFonts w:ascii="IRNazanin" w:hAnsi="IRNazanin" w:eastAsia="IRNazanin"/>
          <w:color w:val="111111"/>
          <w:sz w:val="28"/>
          <w:sz w:val="28"/>
          <w:szCs w:val="28"/>
          <w:rtl w:val="true"/>
          <w:lang w:bidi="fa-IR"/>
        </w:rPr>
        <w:t xml:space="preserve">تمنعه </w:t>
      </w:r>
      <w:r>
        <w:rPr>
          <w:rStyle w:val="FootnoteAnchor"/>
          <w:rtl w:val="true"/>
        </w:rPr>
        <w:footnoteReference w:id="1864"/>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بالجملة الخبريّة ، فالأجود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الأظفار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قطعها بأيّ نحو كان ، للإجماع المؤيّد بالأخبار المستفيضة </w:t>
      </w:r>
      <w:r>
        <w:rPr>
          <w:rStyle w:val="FootnoteAnchor"/>
          <w:rtl w:val="true"/>
        </w:rPr>
        <w:footnoteReference w:id="1865"/>
      </w:r>
      <w:r>
        <w:rPr>
          <w:rFonts w:ascii="Amiri" w:hAnsi="Amiri" w:eastAsia="Amiri" w:cs="Amiri"/>
          <w:color w:val="111111"/>
          <w:sz w:val="28"/>
          <w:sz w:val="28"/>
          <w:szCs w:val="28"/>
          <w:rtl w:val="true"/>
          <w:lang w:bidi="ar-SA"/>
        </w:rPr>
        <w:t>المانعة عنه بالجمل الخبريّة أو المثبتة للفداء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وتجوز إزالتها مع الاضطرار ، بأن ينكسر ويتضرّر ببقائه ، بلا خلاف فيه ، كما عن المنتهى والتذكرة </w:t>
      </w:r>
      <w:r>
        <w:rPr>
          <w:rStyle w:val="FootnoteAnchor"/>
          <w:rtl w:val="true"/>
        </w:rPr>
        <w:footnoteReference w:id="1866"/>
      </w:r>
      <w:r>
        <w:rPr>
          <w:rFonts w:ascii="Amiri" w:hAnsi="Amiri" w:eastAsia="Amiri" w:cs="Amiri"/>
          <w:color w:val="111111"/>
          <w:sz w:val="28"/>
          <w:sz w:val="28"/>
          <w:szCs w:val="28"/>
          <w:rtl w:val="true"/>
          <w:lang w:bidi="ar-SA"/>
        </w:rPr>
        <w:t xml:space="preserve">، لصريح صحيحة ابن عمّار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تؤذيه فليقصها </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الشجر والحشيش النابتين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يحرم على المحرم والمحرمة ، إجماعا محقّقا ومحكيّا </w:t>
      </w:r>
      <w:r>
        <w:rPr>
          <w:rStyle w:val="FootnoteAnchor"/>
          <w:rtl w:val="true"/>
        </w:rPr>
        <w:footnoteReference w:id="1868"/>
      </w:r>
      <w:r>
        <w:rPr>
          <w:rFonts w:ascii="Amiri" w:hAnsi="Amiri" w:eastAsia="Amiri" w:cs="Amiri"/>
          <w:color w:val="111111"/>
          <w:sz w:val="28"/>
          <w:sz w:val="28"/>
          <w:szCs w:val="28"/>
          <w:rtl w:val="true"/>
          <w:lang w:bidi="ar-SA"/>
        </w:rPr>
        <w:t>مستفيضا ، له ، وللنصوص المتكثّرة المحرّمة للقطع ، أو المانعة عنه بالجمل الخبريّة أو مفهوم الوصف أو إثبات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ينبت في الحرم فهو حرام على الناس أجمعين إلاّ ما أنبتّه أنت أو غرسته </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شجرة أصلها في الحرم وفرعه في الحلّ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فرعها لمكان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أصلها في الحلّ وفرعها في الحرم؟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أصلها لمكان فرعها </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حرمه بريدا في بريد أن يختلى خلاه أو يعضد شجره إلاّ الإذخر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والاختلاء 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اليابس ، كما قاله الجوهري </w:t>
      </w:r>
      <w:r>
        <w:rPr>
          <w:rStyle w:val="FootnoteAnchor"/>
          <w:rtl w:val="true"/>
        </w:rPr>
        <w:footnoteReference w:id="1872"/>
      </w:r>
      <w:r>
        <w:rPr>
          <w:rFonts w:ascii="Amiri" w:hAnsi="Amiri" w:eastAsia="Amiri" w:cs="Amiri"/>
          <w:color w:val="111111"/>
          <w:sz w:val="28"/>
          <w:sz w:val="28"/>
          <w:szCs w:val="28"/>
          <w:rtl w:val="true"/>
          <w:lang w:bidi="ar-SA"/>
        </w:rPr>
        <w:t xml:space="preserve">، أو الرطب كما ذكره في القاموس وابن الأثير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يقلعها الرجل من منزله في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بنى المنزل والشجرة فيه فليس له أن يقلعها ، وإن كانت نبتت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 فليقلعها </w:t>
      </w:r>
      <w:r>
        <w:rPr>
          <w:rFonts w:eastAsia="Amiri" w:cs="Amiri" w:ascii="Amiri" w:hAnsi="Amiri"/>
          <w:color w:val="111111"/>
          <w:sz w:val="28"/>
          <w:szCs w:val="28"/>
          <w:rtl w:val="true"/>
          <w:lang w:bidi="ar-SA"/>
        </w:rPr>
        <w:t xml:space="preserve">] »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يقطع الشجرة من مضربه أو داره في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الشجرة لم تزل قبل أن يبني الدار أو يتّخذ المضرب فليس له أن يقلعها ، وإن كانت طريّة عليها فله أن يقلعها </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الثانية مرسلة عبد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ينزع من شجر مكّة إلاّ النخيل وشجر الفواكه </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 وبمضمونها مع زيادة موثّقة سليمان بن خالد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ينزع الحشيش من غير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جميل بن درّاج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رآني علي بن الحسين عليه السلام وأنا أقلع الحشيش من حول الفساطيط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هذا لا يقلع </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مكّة فيقطع من شجرها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 ما كان داخلا عليك ولا تقطع ما لم يدخل منزلك عليك </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النبت الذي في أرض الحرم أينزع؟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شي‌ء يأكله الإبل فليس به بأس أن تنزعه </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يأكل في الحرم ما شاء </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رسول اللّه صلی اللّه عليه وآله في قطع عودي المحالة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البكرة التي يستقى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 الحرم والإذخر </w:t>
      </w:r>
      <w:r>
        <w:rPr>
          <w:rFonts w:eastAsia="IRNazanin" w:cs="IRNazanin"/>
          <w:color w:val="111111"/>
          <w:sz w:val="28"/>
          <w:szCs w:val="28"/>
          <w:rtl w:val="true"/>
          <w:lang w:bidi="fa-IR"/>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دار الرجل شجرة من شجر الحرم لم تنزع فإن أراد نزعها كفّر بذبح بقرة يتصدّق بلحمها على المساكين </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حريز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مكّة يوم خلق السماوات والأرض ، فهي حرام بحرام اللّه إلى يوم القيامة ، لا ينفّر صيدها ولا يقطع شجرها ولا يختلى خلاها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الإذخر </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 وبمضمونها مرسلة الفقيه </w:t>
      </w:r>
      <w:r>
        <w:rPr>
          <w:rStyle w:val="FootnoteAnchor"/>
          <w:rtl w:val="true"/>
        </w:rPr>
        <w:footnoteReference w:id="188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حرمة هذا القطع لا تخصّ بالمحرم ، بل هي من خصائص الحرم ، فعدّه من تروك الإحرام غير جيّد ، ولذا جعله في الدروس مسألة برأسها </w:t>
      </w:r>
      <w:r>
        <w:rPr>
          <w:rStyle w:val="FootnoteAnchor"/>
          <w:rtl w:val="true"/>
        </w:rPr>
        <w:footnoteReference w:id="1887"/>
      </w:r>
      <w:r>
        <w:rPr>
          <w:rFonts w:ascii="Amiri" w:hAnsi="Amiri" w:eastAsia="Amiri" w:cs="Amiri"/>
          <w:color w:val="111111"/>
          <w:sz w:val="28"/>
          <w:sz w:val="28"/>
          <w:szCs w:val="28"/>
          <w:rtl w:val="true"/>
          <w:lang w:bidi="ar-SA"/>
        </w:rPr>
        <w:t>، واقتفينا نحن أثر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استثنوا من ذلك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في ملك الإنسان ، لموثّقتي حمّاد ورواية إسحاق ، وهي أخصّ من المدّعى ، لاختصاصها بالدار والمنزل والمضرب وبالشجر ، ودعوى الإجماع ممنوعة ، ولذا استشكل فيها في الذخيرة </w:t>
      </w:r>
      <w:r>
        <w:rPr>
          <w:rStyle w:val="FootnoteAnchor"/>
          <w:rtl w:val="true"/>
        </w:rPr>
        <w:footnoteReference w:id="1888"/>
      </w:r>
      <w:r>
        <w:rPr>
          <w:rFonts w:ascii="Amiri" w:hAnsi="Amiri" w:eastAsia="Amiri" w:cs="Amiri"/>
          <w:color w:val="111111"/>
          <w:sz w:val="28"/>
          <w:sz w:val="28"/>
          <w:szCs w:val="28"/>
          <w:rtl w:val="true"/>
          <w:lang w:bidi="ar-SA"/>
        </w:rPr>
        <w:t xml:space="preserve">، ومنعها بعض مشايخنا السادة </w:t>
      </w:r>
      <w:r>
        <w:rPr>
          <w:rStyle w:val="FootnoteAnchor"/>
          <w:rtl w:val="true"/>
        </w:rPr>
        <w:footnoteReference w:id="1889"/>
      </w:r>
      <w:r>
        <w:rPr>
          <w:rFonts w:ascii="IRNazanin" w:hAnsi="IRNazanin" w:eastAsia="IRNazanin"/>
          <w:color w:val="111111"/>
          <w:sz w:val="28"/>
          <w:sz w:val="28"/>
          <w:szCs w:val="28"/>
          <w:rtl w:val="true"/>
          <w:lang w:bidi="fa-IR"/>
        </w:rPr>
        <w:t>، فالأحوط الاقتصار على موردها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استشكل بعضهم في أصل الاستثناء </w:t>
      </w:r>
      <w:r>
        <w:rPr>
          <w:rStyle w:val="FootnoteAnchor"/>
          <w:rtl w:val="true"/>
        </w:rPr>
        <w:footnoteReference w:id="1890"/>
      </w:r>
      <w:r>
        <w:rPr>
          <w:rFonts w:ascii="Amiri" w:hAnsi="Amiri" w:eastAsia="Amiri" w:cs="Amiri"/>
          <w:color w:val="111111"/>
          <w:sz w:val="28"/>
          <w:sz w:val="28"/>
          <w:szCs w:val="28"/>
          <w:rtl w:val="true"/>
          <w:lang w:bidi="ar-SA"/>
        </w:rPr>
        <w:t>، لضعف الروايات ، وهو عندي غير جيّد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غرسه الإنسان وأنبته بنفسه ، سواء كان في ملكه أو غيره ، وهو كذلك ، وفاقا للمحكيّ عن المبسوط والنهاية والسرائر والنزهة </w:t>
      </w:r>
    </w:p>
    <w:p>
      <w:pPr>
        <w:pStyle w:val="BookText"/>
        <w:rPr/>
      </w:pPr>
      <w:r>
        <w:rPr>
          <w:rFonts w:ascii="Amiri" w:hAnsi="Amiri" w:eastAsia="Amiri" w:cs="Amiri"/>
          <w:color w:val="111111"/>
          <w:sz w:val="28"/>
          <w:sz w:val="28"/>
          <w:szCs w:val="28"/>
          <w:rtl w:val="true"/>
          <w:lang w:bidi="ar-SA"/>
        </w:rPr>
        <w:t xml:space="preserve">والمنتهى والتذكرة </w:t>
      </w:r>
      <w:r>
        <w:rPr>
          <w:rStyle w:val="FootnoteAnchor"/>
          <w:rtl w:val="true"/>
        </w:rPr>
        <w:footnoteReference w:id="1891"/>
      </w:r>
      <w:r>
        <w:rPr>
          <w:rFonts w:ascii="Amiri" w:hAnsi="Amiri" w:eastAsia="Amiri" w:cs="Amiri"/>
          <w:color w:val="111111"/>
          <w:sz w:val="28"/>
          <w:sz w:val="28"/>
          <w:szCs w:val="28"/>
          <w:rtl w:val="true"/>
          <w:lang w:bidi="ar-SA"/>
        </w:rPr>
        <w:t xml:space="preserve">، ونفى عنه الريب في المدارك </w:t>
      </w:r>
      <w:r>
        <w:rPr>
          <w:rStyle w:val="FootnoteAnchor"/>
          <w:rtl w:val="true"/>
        </w:rPr>
        <w:footnoteReference w:id="1892"/>
      </w:r>
      <w:r>
        <w:rPr>
          <w:rFonts w:ascii="Amiri" w:hAnsi="Amiri" w:eastAsia="Amiri" w:cs="Amiri"/>
          <w:color w:val="111111"/>
          <w:sz w:val="28"/>
          <w:sz w:val="28"/>
          <w:szCs w:val="28"/>
          <w:rtl w:val="true"/>
          <w:lang w:bidi="ar-SA"/>
        </w:rPr>
        <w:t xml:space="preserve">، لصحيحة حريز الأولى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للمنقول عن القاضي وابن زهرة والكيدري </w:t>
      </w:r>
      <w:r>
        <w:rPr>
          <w:rStyle w:val="FootnoteAnchor"/>
          <w:rtl w:val="true"/>
        </w:rPr>
        <w:footnoteReference w:id="1894"/>
      </w:r>
      <w:r>
        <w:rPr>
          <w:rFonts w:ascii="Amiri" w:hAnsi="Amiri" w:eastAsia="Amiri" w:cs="Amiri"/>
          <w:color w:val="111111"/>
          <w:sz w:val="28"/>
          <w:sz w:val="28"/>
          <w:szCs w:val="28"/>
          <w:rtl w:val="true"/>
          <w:lang w:bidi="ar-SA"/>
        </w:rPr>
        <w:t xml:space="preserve">، فقيّدوه بملكه ، ولا وجه له ، ويشعر بعض كلمات صاحب المدارك بجواز قطع ما أنبته الآدمي مطلقا </w:t>
      </w:r>
      <w:r>
        <w:rPr>
          <w:rStyle w:val="FootnoteAnchor"/>
          <w:rtl w:val="true"/>
        </w:rPr>
        <w:footnoteReference w:id="1895"/>
      </w:r>
      <w:r>
        <w:rPr>
          <w:rFonts w:ascii="Amiri" w:hAnsi="Amiri" w:eastAsia="Amiri" w:cs="Amiri"/>
          <w:color w:val="111111"/>
          <w:sz w:val="28"/>
          <w:sz w:val="28"/>
          <w:szCs w:val="28"/>
          <w:rtl w:val="true"/>
          <w:lang w:bidi="ar-SA"/>
        </w:rPr>
        <w:t>، سواء كان نفس القالع أو غيره ،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الفواكه والنخيل ، سواء أنبته اللّه تعالى أو الآدمي ، وعلى استثنائه دعوى الإجماع عن الخلاف </w:t>
      </w:r>
      <w:r>
        <w:rPr>
          <w:rStyle w:val="FootnoteAnchor"/>
          <w:rtl w:val="true"/>
        </w:rPr>
        <w:footnoteReference w:id="1896"/>
      </w:r>
      <w:r>
        <w:rPr>
          <w:rFonts w:ascii="IRNazanin" w:hAnsi="IRNazanin" w:eastAsia="IRNazanin"/>
          <w:color w:val="111111"/>
          <w:sz w:val="28"/>
          <w:sz w:val="28"/>
          <w:szCs w:val="28"/>
          <w:rtl w:val="true"/>
          <w:lang w:bidi="fa-IR"/>
        </w:rPr>
        <w:t xml:space="preserve">والاتّفاق عن المنتهى </w:t>
      </w:r>
      <w:r>
        <w:rPr>
          <w:rStyle w:val="FootnoteAnchor"/>
          <w:rtl w:val="true"/>
        </w:rPr>
        <w:footnoteReference w:id="1897"/>
      </w:r>
      <w:r>
        <w:rPr>
          <w:rFonts w:ascii="Amiri" w:hAnsi="Amiri" w:eastAsia="Amiri" w:cs="Amiri"/>
          <w:color w:val="111111"/>
          <w:sz w:val="28"/>
          <w:sz w:val="28"/>
          <w:szCs w:val="28"/>
          <w:rtl w:val="true"/>
          <w:lang w:bidi="ar-SA"/>
        </w:rPr>
        <w:t xml:space="preserve">، ونسبه في المدارك والذخيرة إلى قطع الأصحاب به </w:t>
      </w:r>
      <w:r>
        <w:rPr>
          <w:rStyle w:val="FootnoteAnchor"/>
          <w:rtl w:val="true"/>
        </w:rPr>
        <w:footnoteReference w:id="1898"/>
      </w:r>
      <w:r>
        <w:rPr>
          <w:rFonts w:ascii="Amiri" w:hAnsi="Amiri" w:eastAsia="Amiri" w:cs="Amiri"/>
          <w:color w:val="111111"/>
          <w:sz w:val="28"/>
          <w:sz w:val="28"/>
          <w:szCs w:val="28"/>
          <w:rtl w:val="true"/>
          <w:lang w:bidi="ar-SA"/>
        </w:rPr>
        <w:t xml:space="preserve">، وتدلّ على استثنائها المرسلة والموثّقة المتقدّمتين </w:t>
      </w:r>
      <w:r>
        <w:rPr>
          <w:rStyle w:val="FootnoteAnchor"/>
          <w:rtl w:val="true"/>
        </w:rPr>
        <w:footnoteReference w:id="1899"/>
      </w:r>
      <w:r>
        <w:rPr>
          <w:rFonts w:ascii="Amiri" w:hAnsi="Amiri" w:eastAsia="Amiri" w:cs="Amiri"/>
          <w:color w:val="111111"/>
          <w:sz w:val="28"/>
          <w:sz w:val="28"/>
          <w:szCs w:val="28"/>
          <w:rtl w:val="true"/>
          <w:lang w:bidi="ar-SA"/>
        </w:rPr>
        <w:t>، فلا محيص عنه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الإذخر ، وصرّح جماعة بعدم معرفة الخلاف في استثنائه </w:t>
      </w:r>
      <w:r>
        <w:rPr>
          <w:rStyle w:val="FootnoteAnchor"/>
          <w:rtl w:val="true"/>
        </w:rPr>
        <w:footnoteReference w:id="1900"/>
      </w:r>
      <w:r>
        <w:rPr>
          <w:rFonts w:ascii="Amiri" w:hAnsi="Amiri" w:eastAsia="Amiri" w:cs="Amiri"/>
          <w:color w:val="111111"/>
          <w:sz w:val="28"/>
          <w:sz w:val="28"/>
          <w:szCs w:val="28"/>
          <w:rtl w:val="true"/>
          <w:lang w:bidi="ar-SA"/>
        </w:rPr>
        <w:t xml:space="preserve">،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901"/>
      </w:r>
      <w:r>
        <w:rPr>
          <w:rFonts w:ascii="Amiri" w:hAnsi="Amiri" w:eastAsia="Amiri" w:cs="Amiri"/>
          <w:color w:val="111111"/>
          <w:sz w:val="28"/>
          <w:sz w:val="28"/>
          <w:szCs w:val="28"/>
          <w:rtl w:val="true"/>
          <w:lang w:bidi="ar-SA"/>
        </w:rPr>
        <w:t xml:space="preserve">، وتدلّ عليه طائفة من الأخبار </w:t>
      </w:r>
      <w:r>
        <w:rPr>
          <w:rStyle w:val="FootnoteAnchor"/>
          <w:rtl w:val="true"/>
        </w:rPr>
        <w:footnoteReference w:id="1902"/>
      </w:r>
      <w:bookmarkStart w:id="206" w:name="pg11651_108003"/>
    </w:p>
    <w:p>
      <w:pPr>
        <w:pStyle w:val="BookText"/>
        <w:rPr/>
      </w:pPr>
      <w:bookmarkEnd w:id="206"/>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المحالة بفتح الميم ، والمحالة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 العظيمة يستقى بها ، وتدلّ على استثنائها 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من الشجر والحشيش ، استثناه في المنتهى والتذكرة والتحرير واللمعتين والدروس </w:t>
      </w:r>
      <w:r>
        <w:rPr>
          <w:rStyle w:val="FootnoteAnchor"/>
          <w:rtl w:val="true"/>
        </w:rPr>
        <w:footnoteReference w:id="1903"/>
      </w:r>
      <w:r>
        <w:rPr>
          <w:rFonts w:ascii="Amiri" w:hAnsi="Amiri" w:eastAsia="Amiri" w:cs="Amiri"/>
          <w:color w:val="111111"/>
          <w:sz w:val="28"/>
          <w:sz w:val="28"/>
          <w:szCs w:val="28"/>
          <w:rtl w:val="true"/>
          <w:lang w:bidi="ar-SA"/>
        </w:rPr>
        <w:t>، للأصل ، ولأنّ الخلا الممنوع من قطعه هو الرطب من النبات ، ولأنّ اليابس لا 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ضعيف ، لأنّ الأصل مدفوع بالإطلاقات والعمومات </w:t>
      </w:r>
      <w:r>
        <w:rPr>
          <w:rStyle w:val="FootnoteAnchor"/>
          <w:rtl w:val="true"/>
        </w:rPr>
        <w:footnoteReference w:id="1904"/>
      </w:r>
      <w:r>
        <w:rPr>
          <w:rFonts w:ascii="Amiri" w:hAnsi="Amiri" w:eastAsia="Amiri" w:cs="Amiri"/>
          <w:color w:val="111111"/>
          <w:sz w:val="28"/>
          <w:sz w:val="28"/>
          <w:szCs w:val="28"/>
          <w:rtl w:val="true"/>
          <w:lang w:bidi="ar-SA"/>
        </w:rPr>
        <w:t xml:space="preserve">، والخلا وارد في بعض الروايات </w:t>
      </w:r>
      <w:r>
        <w:rPr>
          <w:rStyle w:val="FootnoteAnchor"/>
          <w:rtl w:val="true"/>
        </w:rPr>
        <w:footnoteReference w:id="1905"/>
      </w:r>
      <w:r>
        <w:rPr>
          <w:rFonts w:ascii="Amiri" w:hAnsi="Amiri" w:eastAsia="Amiri" w:cs="Amiri"/>
          <w:color w:val="111111"/>
          <w:sz w:val="28"/>
          <w:sz w:val="28"/>
          <w:szCs w:val="28"/>
          <w:rtl w:val="true"/>
          <w:lang w:bidi="ar-SA"/>
        </w:rPr>
        <w:t xml:space="preserve">، وتخصيصه بالذكر فيه لا ينفي الحكم عن غيره ، مع أنّ الخلا مفسّر عند بعض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باليابس ، وعليه فيفيد ضدّ المطلوب ، وضعف التعليل ظاهر ، فعدم الاستثناء أقوى</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172060_73709187"/>
      <w:bookmarkStart w:id="208" w:name="_Toc77"/>
      <w:bookmarkEnd w:id="207"/>
      <w:r>
        <w:rPr>
          <w:rtl w:val="true"/>
        </w:rPr>
        <w:t xml:space="preserve">فروع </w:t>
      </w:r>
      <w:r>
        <w:rPr>
          <w:rtl w:val="true"/>
        </w:rPr>
        <w:t>:</w:t>
      </w:r>
      <w:bookmarkEnd w:id="20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يتناول القطع والانتفاع مطلقا ، فلو انكسر غصن أو سقط ورق لم يجز الانتفاع به ، سواء كان ذلك بفعل الآدمي أو غيره </w:t>
      </w:r>
      <w:r>
        <w:rPr>
          <w:rStyle w:val="FootnoteAnchor"/>
          <w:rtl w:val="true"/>
        </w:rPr>
        <w:footnoteReference w:id="1906"/>
      </w:r>
      <w:r>
        <w:rPr>
          <w:rFonts w:ascii="Amiri" w:hAnsi="Amiri" w:eastAsia="Amiri" w:cs="Amiri"/>
          <w:color w:val="111111"/>
          <w:sz w:val="28"/>
          <w:sz w:val="28"/>
          <w:szCs w:val="28"/>
          <w:rtl w:val="true"/>
          <w:lang w:bidi="ar-SA"/>
        </w:rPr>
        <w:t xml:space="preserve">، وفي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جواز الانتفاع في الساقط بفعل غير الآدمي ، واستقرب الجواز في الساقط بفعل الآدمي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بالقطع ، لأنّه المتبادر من التحريم المطلق في </w:t>
      </w:r>
    </w:p>
    <w:p>
      <w:pPr>
        <w:pStyle w:val="BookText"/>
        <w:rPr/>
      </w:pPr>
      <w:r>
        <w:rPr>
          <w:rFonts w:ascii="Amiri" w:hAnsi="Amiri" w:eastAsia="Amiri" w:cs="Amiri"/>
          <w:color w:val="111111"/>
          <w:sz w:val="28"/>
          <w:sz w:val="28"/>
          <w:szCs w:val="28"/>
          <w:rtl w:val="true"/>
          <w:lang w:bidi="ar-SA"/>
        </w:rPr>
        <w:t xml:space="preserve">هذا المقام ، ولو منع لكان مجملا ، فيجب الاقتصار فيه على المقطوع به ، وهو القطع المصرّح به في سائر الأخبار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يترك إبله ودابّته في الحرم ليرعى في الحشيش وإن حرم قطعه ، للأصل ، وصحيحة حريز السالفة </w:t>
      </w:r>
      <w:r>
        <w:rPr>
          <w:rStyle w:val="FootnoteAnchor"/>
          <w:rtl w:val="true"/>
        </w:rPr>
        <w:footnoteReference w:id="1909"/>
      </w:r>
      <w:r>
        <w:rPr>
          <w:rFonts w:ascii="Amiri" w:hAnsi="Amiri" w:eastAsia="Amiri" w:cs="Amiri"/>
          <w:color w:val="111111"/>
          <w:sz w:val="28"/>
          <w:sz w:val="28"/>
          <w:szCs w:val="28"/>
          <w:rtl w:val="true"/>
          <w:lang w:bidi="ar-SA"/>
        </w:rPr>
        <w:t xml:space="preserve">، بل جوّز في المدارك نزعه للإبل </w:t>
      </w:r>
      <w:r>
        <w:rPr>
          <w:rStyle w:val="FootnoteAnchor"/>
          <w:rtl w:val="true"/>
        </w:rPr>
        <w:footnoteReference w:id="1910"/>
      </w:r>
      <w:r>
        <w:rPr>
          <w:rFonts w:ascii="Amiri" w:hAnsi="Amiri" w:eastAsia="Amiri" w:cs="Amiri"/>
          <w:color w:val="111111"/>
          <w:sz w:val="28"/>
          <w:sz w:val="28"/>
          <w:szCs w:val="28"/>
          <w:rtl w:val="true"/>
          <w:lang w:bidi="ar-SA"/>
        </w:rPr>
        <w:t xml:space="preserve">، لصحيحة جميل ومحمّد بن حمران </w:t>
      </w:r>
      <w:r>
        <w:rPr>
          <w:rStyle w:val="FootnoteAnchor"/>
          <w:rtl w:val="true"/>
        </w:rPr>
        <w:footnoteReference w:id="1911"/>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يأخذ الكمأة </w:t>
      </w:r>
      <w:r>
        <w:rPr>
          <w:rStyle w:val="FootnoteAnchor"/>
          <w:rtl w:val="true"/>
        </w:rPr>
        <w:footnoteReference w:id="1912"/>
      </w:r>
      <w:r>
        <w:rPr>
          <w:rFonts w:ascii="Amiri" w:hAnsi="Amiri" w:eastAsia="Amiri" w:cs="Amiri"/>
          <w:color w:val="111111"/>
          <w:sz w:val="28"/>
          <w:sz w:val="28"/>
          <w:szCs w:val="28"/>
          <w:rtl w:val="true"/>
          <w:lang w:bidi="ar-SA"/>
        </w:rPr>
        <w:t xml:space="preserve">من الحرم ، لأنّه ليس بحشيش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صدق الحشيش ، سلّمنا ولكن يصدق عليه النبات والشي‌ء النابت المعنون في بعض الأخبار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لو أخذها بعد انكسارها أو قلعها للدابّة لم يكن به بأس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الحشيش والنبت والشجر الممنوع عن قطعها يعمّ الشوك وشبهه من الأشجار المؤذية ، فيحرم قطعها كما هو ظاهر الخلاف </w:t>
      </w:r>
      <w:r>
        <w:rPr>
          <w:rStyle w:val="FootnoteAnchor"/>
          <w:rtl w:val="true"/>
        </w:rPr>
        <w:footnoteReference w:id="1915"/>
      </w:r>
      <w:r>
        <w:rPr>
          <w:rFonts w:ascii="Amiri" w:hAnsi="Amiri" w:eastAsia="Amiri" w:cs="Amiri"/>
          <w:color w:val="111111"/>
          <w:sz w:val="28"/>
          <w:sz w:val="28"/>
          <w:szCs w:val="28"/>
          <w:rtl w:val="true"/>
          <w:lang w:bidi="ar-SA"/>
        </w:rPr>
        <w:t xml:space="preserve">وصريح التذكرة </w:t>
      </w:r>
      <w:r>
        <w:rPr>
          <w:rStyle w:val="FootnoteAnchor"/>
          <w:rtl w:val="true"/>
        </w:rPr>
        <w:footnoteReference w:id="1916"/>
      </w:r>
      <w:r>
        <w:rPr>
          <w:rFonts w:ascii="Amiri" w:hAnsi="Amiri" w:eastAsia="Amiri" w:cs="Amiri"/>
          <w:color w:val="111111"/>
          <w:sz w:val="28"/>
          <w:sz w:val="28"/>
          <w:szCs w:val="28"/>
          <w:rtl w:val="true"/>
          <w:lang w:bidi="ar-SA"/>
        </w:rPr>
        <w:t xml:space="preserve">، وعن الشافعي </w:t>
      </w:r>
      <w:r>
        <w:rPr>
          <w:rStyle w:val="FootnoteAnchor"/>
          <w:rtl w:val="true"/>
        </w:rPr>
        <w:footnoteReference w:id="1917"/>
      </w:r>
      <w:r>
        <w:rPr>
          <w:rFonts w:ascii="Amiri" w:hAnsi="Amiri" w:eastAsia="Amiri" w:cs="Amiri"/>
          <w:color w:val="111111"/>
          <w:sz w:val="28"/>
          <w:sz w:val="28"/>
          <w:szCs w:val="28"/>
          <w:rtl w:val="true"/>
          <w:lang w:bidi="ar-SA"/>
        </w:rPr>
        <w:t xml:space="preserve">وطائفة </w:t>
      </w:r>
      <w:r>
        <w:rPr>
          <w:rStyle w:val="FootnoteAnchor"/>
          <w:rtl w:val="true"/>
        </w:rPr>
        <w:footnoteReference w:id="1918"/>
      </w:r>
      <w:r>
        <w:rPr>
          <w:rFonts w:ascii="Amiri" w:hAnsi="Amiri" w:eastAsia="Amiri" w:cs="Amiri"/>
          <w:color w:val="111111"/>
          <w:sz w:val="28"/>
          <w:sz w:val="28"/>
          <w:szCs w:val="28"/>
          <w:rtl w:val="true"/>
          <w:lang w:bidi="ar-SA"/>
        </w:rPr>
        <w:t>من العامّة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التأييد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وتحريمه هو المشهور بين الأصحاب ، وهو الأقوى ، لمفهوم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يحرم الرجل وعليه سلاحه إذا خاف العدو </w:t>
      </w:r>
      <w:r>
        <w:rPr>
          <w:rFonts w:eastAsia="Amiri" w:cs="Amiri" w:ascii="Amiri" w:hAnsi="Amiri"/>
          <w:color w:val="111111"/>
          <w:sz w:val="28"/>
          <w:szCs w:val="28"/>
          <w:rtl w:val="true"/>
          <w:lang w:bidi="ar-SA"/>
        </w:rPr>
        <w:t xml:space="preserve">» </w:t>
      </w:r>
      <w:r>
        <w:rPr>
          <w:rStyle w:val="FootnoteAnchor"/>
          <w:rtl w:val="true"/>
        </w:rPr>
        <w:footnoteReference w:id="1919"/>
      </w:r>
      <w:r>
        <w:rPr>
          <w:rFonts w:ascii="IRNazanin" w:hAnsi="IRNazanin" w:eastAsia="IRNazanin"/>
          <w:color w:val="111111"/>
          <w:sz w:val="28"/>
          <w:sz w:val="28"/>
          <w:szCs w:val="28"/>
          <w:rtl w:val="true"/>
          <w:lang w:bidi="fa-IR"/>
        </w:rPr>
        <w:t xml:space="preserve">، أثبت البأس مع عدم الخوف ، والبأس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وتؤيّده المستفيضة من الصحاح وغيرها الواردة بالجملة الخبريّة والمثبتة للكفّارة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للشرائع والنافع والإرشاد </w:t>
      </w:r>
      <w:r>
        <w:rPr>
          <w:rStyle w:val="FootnoteAnchor"/>
          <w:rtl w:val="true"/>
        </w:rPr>
        <w:footnoteReference w:id="1921"/>
      </w:r>
      <w:r>
        <w:rPr>
          <w:rFonts w:ascii="Amiri" w:hAnsi="Amiri" w:eastAsia="Amiri" w:cs="Amiri"/>
          <w:color w:val="111111"/>
          <w:sz w:val="28"/>
          <w:sz w:val="28"/>
          <w:szCs w:val="28"/>
          <w:rtl w:val="true"/>
          <w:lang w:bidi="ar-SA"/>
        </w:rPr>
        <w:t>، فكرّهوه ، ويظهر من الأولين وجود قائل غيرهما به أيضا ، للأصل ، وتضعيف المفهوم ، وجوابهما ظاهر</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1651_108007"/>
      <w:bookmarkStart w:id="210" w:name="pg11651_108007"/>
      <w:bookmarkEnd w:id="210"/>
    </w:p>
    <w:p>
      <w:pPr>
        <w:pStyle w:val="Heading2"/>
        <w:numPr>
          <w:ilvl w:val="1"/>
          <w:numId w:val="1"/>
        </w:numPr>
        <w:rPr/>
      </w:pPr>
      <w:bookmarkStart w:id="211" w:name="pg11651_108007"/>
      <w:bookmarkStart w:id="212" w:name="__RefHeading___Toc6172062_73709187"/>
      <w:bookmarkStart w:id="213" w:name="_Toc78"/>
      <w:bookmarkEnd w:id="211"/>
      <w:bookmarkEnd w:id="212"/>
      <w:r>
        <w:rPr>
          <w:rtl w:val="true"/>
        </w:rPr>
        <w:t>فهرس الموضوعات</w:t>
      </w:r>
      <w:bookmarkEnd w:id="213"/>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IRNazanin" w:hAnsi="IRNazanin" w:eastAsia="IRNazanin"/>
          <w:color w:val="111111"/>
          <w:sz w:val="28"/>
          <w:sz w:val="28"/>
          <w:szCs w:val="28"/>
          <w:rtl w:val="true"/>
          <w:lang w:bidi="fa-IR"/>
        </w:rPr>
        <w:t>الحج الواجب</w:t>
      </w:r>
    </w:p>
    <w:p>
      <w:pPr>
        <w:pStyle w:val="BookText"/>
        <w:rPr/>
      </w:pPr>
      <w:r>
        <w:rPr>
          <w:rFonts w:ascii="Amiri" w:hAnsi="Amiri" w:eastAsia="Amiri" w:cs="Amiri"/>
          <w:color w:val="111111"/>
          <w:sz w:val="28"/>
          <w:sz w:val="28"/>
          <w:szCs w:val="28"/>
          <w:rtl w:val="true"/>
          <w:lang w:bidi="ar-SA"/>
        </w:rPr>
        <w:t>حجة الاسلام</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حجة الاسلام على جامع الشرائط مرة واحدة في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وجوب المبادرة إلى حجة الاسلام في أول عام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الشرائط</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هل يشترط إذن الولي في صحة حج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فيمن يباشر الحج بغير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شمول الشرطين للصبية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هل يلحق المجنون بالصبي؟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إجزاء حج الصبي والمجنون عن حجة الاسلام لو استجمعا الشرائط بعد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المولى ملزم بما أصابه العبد المأذون حين إحرامه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الاستطاعة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وجوب إبقاء فاضل من الزاد والراحلة بقدر ما يكفي عياله الواجبي النفقة حتى يعود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اشتراط العود إلى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اختصاص اشتراط العود إلى كفاية بمن كانت استطاعته بماله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ما لا يجب بيعة لنفقة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وجوب الحج على من كان قادرا على اقتضاء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هل يجب الحج على المديون؟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تحقق الاستطاعة ببذل الزاد والراحلة ومؤنة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بيان المراد ببذل الزاد والراحلة والمؤنة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لو وهب له مالا ليحج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لو بذل له مالا ، أو وهب له على الاطلاق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الدين المعجل لا يمنع وجوب الحج على تقدير البذل أو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عدم وجوب إعادة الحج على المبذول له بعد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عدم اشتراط رجوع المبذول له إلى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وجوب الحج على الأجير لو تمكن من نفقة الحج والعيال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عدم وجوب بذل الولد المال لوالده للحج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هل يجوز صرف المال في النكاح بعد تعلق وجوب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الاستطاعة السربية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كفاية سلامة بعض الطرق عدو لا يندفع إلا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لو كان في الطريق عدو لا يندفع إلا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بيان المراد بتخلية السرب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إعادة الحج لمن ارتضى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اشتراط خلو السرب عن العدو وسائر الموانع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الاستطاعة البدنية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الاستطاعة الزمانية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وجوب الحج مشروط بعدم ترتب ضرر على المكلف أو غيره بالخروج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عدم اعتبار تحقق الاستطاعة من بلد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عدم إجزاء الحج تسكعا أو بمشقة شديدة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عدم إجزاء الحج تسكعا أو بنفقة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عدم إجزاء الحج نيابة عن المستطيع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لو استطاع ماليا ومنعه كبر أو مرض أو عدو أو سلطان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وجوب الحج ثانيا بزوال عذر المنوب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عدم اختصاص أحكام الاستنابة بحجة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وجوب القضاء عمن استقر الحج في ذمته فأهمل حتى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وجوب قضاء الحج من أصل تركة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تقدم إخراج مؤنة الحج على الميراث وسائر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من أي الأماكن يقضى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لو لم يخلف من استقر الحج في ذمته شيئا ، أو خلف ولكن لم يف بقضاء مجموع أفعال الحج والعمرة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التخيير بين الحج وأداء الدين لو لم يف المال إلا بأحدهما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 يتحقق به استقرار الحج في ذمة الميت المستلزم لقضائه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لو مات المستطيع في طريق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وجوب الحج على الكافر وعدم صحته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لا إعادة على المخالف لو حج بلا إخلال بالأركان ثم استبصر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استطاعة المرأة غير متوقفة على وجوب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عدم اشتراط إذن الزوج للزوجة في الحج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حكم المعتدة الرجعية حكم ذات البعل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المشي أفضل أم 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 النذر وشبهه</w:t>
      </w:r>
    </w:p>
    <w:p>
      <w:pPr>
        <w:pStyle w:val="BookText"/>
        <w:rPr/>
      </w:pPr>
      <w:r>
        <w:rPr>
          <w:rFonts w:ascii="Amiri" w:hAnsi="Amiri" w:eastAsia="Amiri" w:cs="Amiri"/>
          <w:color w:val="111111"/>
          <w:sz w:val="28"/>
          <w:sz w:val="28"/>
          <w:szCs w:val="28"/>
          <w:rtl w:val="true"/>
          <w:lang w:bidi="ar-SA"/>
        </w:rPr>
        <w:t>انعقاد نذر الحج وعهده ويمينه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لا قضاء لو نذر الحج ولم يتمكن من أدائه ثم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حكم ما لو نذر الحج وهو معضوب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لو نذر الحج فنوى حجة الاسلام ، أو غيرها ، أو أطلق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لو نذر الحج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مبدأ المشي ومنتهاه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عدم جواز ركوب البحر لمن نذر الحج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عدم تحقق الاتيان بالمنذور لو ركب ناذر المشي بعض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لو عجز ناذر الحج ماشيا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حج النيابة</w:t>
      </w:r>
    </w:p>
    <w:p>
      <w:pPr>
        <w:pStyle w:val="BookText"/>
        <w:rPr/>
      </w:pPr>
      <w:r>
        <w:rPr>
          <w:rFonts w:ascii="Amiri" w:hAnsi="Amiri" w:eastAsia="Amiri" w:cs="Amiri"/>
          <w:color w:val="111111"/>
          <w:sz w:val="28"/>
          <w:sz w:val="28"/>
          <w:szCs w:val="28"/>
          <w:rtl w:val="true"/>
          <w:lang w:bidi="ar-SA"/>
        </w:rPr>
        <w:t xml:space="preserve">شروط النيابة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بأفعال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السير واتيان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المنوب عنه أو عجزه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الذمة من الحج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المولى لو كان النائب 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عدم صحة النيابة عن الكافر والمسلم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تجب نية النيابة وتعيين المنوب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جواز نيابة كل من الرجل والمرأة عن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مات النائب قبل إتمام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مات النائب قبل العمل المبرئ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لو نسي كيفية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بيان كيفية الاستعادة بالنسبة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هل يعتبر في صحة الإجارة تعيين نوع المستأجر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عدم جواز العدول لو وقعت الإجارة على العمل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هل يجوز عدول الأجير عن الطريق المعين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هل يجوز عدول الأجير مع ضيق الوقت عن حج التمتع إلى الافراد؟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عدم جواز إجارة الأجير نفسه مرتين في نفس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عدم جواز استنابة النائب غيره إلا مع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صد الأجير قبل إكمال العمل المستأجر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عدم جواز النيابة عن اثنين في عام واحد في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عدم جواز النيابة في الطواف الواجب عن المتمكن الحاضر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صحة جواز المتبرع عن ميت وجب عليه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كفارات جنايات الاحرام من مال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وجوب الاتمام والقضاء على الأجير لو أفسد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جواز استئجار شخصين في عام واحد لحجين واجبين مع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استحباب ذكر النائب المنوب عنه باسمه في المواطن والافعال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انصراف الوصية بالحج إلى الحج من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لو أوصى بالحج عنه ندبا وعلم مراده من المرة أو التكرار أو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لو أوصى بالحج عنه سنين متعددة فقصر ما لكل سنة عن حجتها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استحقاق الأجير مال الإجارة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هل يستأجر المستودع عمن مات وعليه حج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وجوب الاستئجار على المستودع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لو علم الوارث بالوديعة أو جهلها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هل يعتبر في استئجار المستودع إذن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يختص الحكم بالوديعة أم يتعدى إلى سائر الحقوق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يتعين الحج على المستودع أم يجوز له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أنكر الوارث وجوب الحج أو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تعدد من عنده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لو عين الموصي الأجرة أو لو يعينها ، وكان الحج واجبا أو ندبا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بطلان الوصية بالحج لو كانت الأجرة بقدر لا يقبل بها أجير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لو احتمل رغبة الأجير بالحج في بعض الأعوام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اختصاص الرجوع للوارث بالحج المندوب وما زاد في الواجب من الحجة الميقاتية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لو كان لقدر الأجرة الذي لا يرغب فيه أجير نماء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الحج المندوب</w:t>
      </w:r>
    </w:p>
    <w:p>
      <w:pPr>
        <w:pStyle w:val="BookText"/>
        <w:rPr/>
      </w:pPr>
      <w:r>
        <w:rPr>
          <w:rFonts w:ascii="Amiri" w:hAnsi="Amiri" w:eastAsia="Amiri" w:cs="Amiri"/>
          <w:color w:val="111111"/>
          <w:sz w:val="28"/>
          <w:sz w:val="28"/>
          <w:szCs w:val="28"/>
          <w:rtl w:val="true"/>
          <w:lang w:bidi="ar-SA"/>
        </w:rPr>
        <w:t>أقسام العمرة وبعض أحكامها</w:t>
      </w:r>
    </w:p>
    <w:p>
      <w:pPr>
        <w:pStyle w:val="BookText"/>
        <w:rPr/>
      </w:pPr>
      <w:r>
        <w:rPr>
          <w:rFonts w:ascii="Amiri" w:hAnsi="Amiri" w:eastAsia="Amiri" w:cs="Amiri"/>
          <w:color w:val="111111"/>
          <w:sz w:val="28"/>
          <w:sz w:val="28"/>
          <w:szCs w:val="28"/>
          <w:rtl w:val="true"/>
          <w:lang w:bidi="ar-SA"/>
        </w:rPr>
        <w:t>فورية العمرة ووجوبها مرة في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وجوب العمرة متوقف على تحقق استطاعتها لا استطاعة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إجزاء عمرة التمتع عن العمرة المفردة المفروضة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وجوب العمرة بالنذر وشبهه والاستئجار والافساد وفوات الحج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مقدار الفترة الفاصلة بين عمرة مفردة مستحبة وأخرى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المواقيت وأحكامها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هل يحرم الجنب أو الحائض من خارج مسجد الشجرة لو تعذر الاحرام بدون اللبث فيه ، أو يؤخرانه إلى الجحفة؟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في أبعد المواقيت عن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من كان منزله أقرب من المواقيت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تساوي الحج العمرة في المواقيت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حج أو أعتمر على طريق فميقات أهل ذلك الطريق ميقاته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عدم انعقاد الاحرام بالاحرام قبل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عدم جواز تأخير الاحرام عن الميقات لمريد النسك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لو منعه العذر من الاحرام في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حكم من لم يحرم من الميقات لمانع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تعذر رجوع الناسي أو الجاهل إلى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حكم ذي المانع من الاحرام في الميقات في الحرم ومن لا يريد النسك أولا وتارك الاحرام عمدا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حكم من كان منزله دون الميقات في مجاوزة منزله إلى ما يلي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لو نسي الاحرام أو جهله حتى قضى المناسك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وجوب إحرام المكي من المواقيت الافاقية بحجة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أقسام الحج والعمرة وكيفيتهما</w:t>
      </w:r>
    </w:p>
    <w:p>
      <w:pPr>
        <w:pStyle w:val="BookText"/>
        <w:rPr/>
      </w:pPr>
      <w:r>
        <w:rPr>
          <w:rFonts w:ascii="Amiri" w:hAnsi="Amiri" w:eastAsia="Amiri" w:cs="Amiri"/>
          <w:color w:val="111111"/>
          <w:sz w:val="28"/>
          <w:sz w:val="28"/>
          <w:szCs w:val="28"/>
          <w:rtl w:val="true"/>
          <w:lang w:bidi="ar-SA"/>
        </w:rPr>
        <w:t>الحج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العمرة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حج التمتع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حج الافراد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حج القران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حج التمتع</w:t>
      </w:r>
    </w:p>
    <w:p>
      <w:pPr>
        <w:pStyle w:val="BookText"/>
        <w:rPr/>
      </w:pPr>
      <w:r>
        <w:rPr>
          <w:rFonts w:ascii="Amiri" w:hAnsi="Amiri" w:eastAsia="Amiri" w:cs="Amiri"/>
          <w:color w:val="111111"/>
          <w:sz w:val="28"/>
          <w:sz w:val="28"/>
          <w:szCs w:val="28"/>
          <w:rtl w:val="true"/>
          <w:lang w:bidi="ar-SA"/>
        </w:rPr>
        <w:t>شرائط حج التمتع وأحكامه</w:t>
      </w:r>
    </w:p>
    <w:p>
      <w:pPr>
        <w:pStyle w:val="BookText"/>
        <w:rPr/>
      </w:pPr>
      <w:r>
        <w:rPr>
          <w:rFonts w:ascii="Amiri" w:hAnsi="Amiri" w:eastAsia="Amiri" w:cs="Amiri"/>
          <w:color w:val="111111"/>
          <w:sz w:val="28"/>
          <w:sz w:val="28"/>
          <w:szCs w:val="28"/>
          <w:rtl w:val="true"/>
          <w:lang w:bidi="ar-SA"/>
        </w:rPr>
        <w:t>اشتراط البعد عن مكة في وجوب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حد البعد الموجوب للتمتع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عدول من كان فرضه التمتع إلى غيره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العدول مع الضرورة ، التي من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إدراك أفعال الحج لو أتم العمرة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بيان الأقوال الواردة في حد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بيان الأقوال في ما لو منع الحيض أو النفاس المرأة المتمتعة من الطواف وسائر أفعال العمرة لضيق الوقت عن التربص إلى الطهر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مناط الحائض والنفساء مناط من ضاق وقته من عدم إدراك زوال الشمس يوم عرفة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اتفق الحيض أو النفاس أثناء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صحة المتعة لو حصل الحيض بعد الطواف وصلاة الركعتين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تعين المتمتع للبعيد مختص بحجة الاسلام دون التطوع والمنذور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شروط التمتع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بمجموع الحج وعمرته في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بالحج وعمرته في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بالحج من بطن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لو أحرم بحج التمتع من غير مكة عمدا اختيارا ، أو تعذر الرجوع إليها ، أو ترك الاحرام منها جهلا ، أو نسي الاحرام بالحج حتى عاد إلى بلده ، أو أحرام من غيرها جهلا أو نسيانا ثم علم أو 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حكم خروج المتمتع من مكة بعد إتمام أفعال العمرة وقبل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عدم إجزاء عمرة التمتع عن 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اختصاص حج التمتع بوجوب تقديم الطواف والسعي على الوقوفين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أفعال حج التمتع</w:t>
      </w:r>
    </w:p>
    <w:p>
      <w:pPr>
        <w:pStyle w:val="BookText"/>
        <w:rPr/>
      </w:pPr>
      <w:r>
        <w:rPr>
          <w:rFonts w:ascii="Amiri" w:hAnsi="Amiri" w:eastAsia="Amiri" w:cs="Amiri"/>
          <w:color w:val="111111"/>
          <w:sz w:val="28"/>
          <w:sz w:val="28"/>
          <w:szCs w:val="28"/>
          <w:rtl w:val="true"/>
          <w:lang w:bidi="ar-SA"/>
        </w:rPr>
        <w:t>أفعال عمرة حج التمتع</w:t>
      </w:r>
    </w:p>
    <w:p>
      <w:pPr>
        <w:pStyle w:val="BookText"/>
        <w:rPr/>
      </w:pPr>
      <w:r>
        <w:rPr>
          <w:rFonts w:ascii="IRNazanin" w:hAnsi="IRNazanin" w:eastAsia="IRNazanin"/>
          <w:color w:val="111111"/>
          <w:sz w:val="28"/>
          <w:sz w:val="28"/>
          <w:szCs w:val="28"/>
          <w:rtl w:val="true"/>
          <w:lang w:bidi="fa-IR"/>
        </w:rPr>
        <w:t>الاحرام</w:t>
      </w:r>
    </w:p>
    <w:p>
      <w:pPr>
        <w:pStyle w:val="BookText"/>
        <w:rPr/>
      </w:pPr>
      <w:r>
        <w:rPr>
          <w:rFonts w:ascii="Amiri" w:hAnsi="Amiri" w:eastAsia="Amiri" w:cs="Amiri"/>
          <w:color w:val="111111"/>
          <w:sz w:val="28"/>
          <w:sz w:val="28"/>
          <w:szCs w:val="28"/>
          <w:rtl w:val="true"/>
          <w:lang w:bidi="ar-SA"/>
        </w:rPr>
        <w:t>معنى الاحرام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مقدمات الاحرام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شعر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الأظفار وأخذ الشارب وإزالة شعر الإبط والعانة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إعادة الغسل بأكل أو لبس ما لا يجوز للمحرم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استحباب إعادة الغسل مع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مكان الغسل هو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إجزاء غسل النهار الليل لهما مع عدم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لو أحرم بغير غسل أو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عقيب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واجبات الاحرام</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ما يستحب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بيان المراد بالثوبين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المعتبر من الرداء والإزار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كيفية لبس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عدم وجوب استدامة اللبس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هل يشترط كون الثوبين مما يصح 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لبس الحرير المحض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جواز لبس المحرم أكثر من 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جواز إبدال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حكم لبس القباء مع عدم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ما يكره ويستحب في ثوبي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تعين وجوب التلبيات مختص بالمفرد والمتمتع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عدم لزوم مقارنة نية الاحرام للتلبية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تلبية الأخرس والأعجمي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وقت التلبية لو تم تأخيرها عن نية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استحباب الجهر بالتلبية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الواجب في التلبي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استحباب تكرار المعتمر التلبية حتى يشاهد بيوت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جملة من أحكام الاحرام عدم انعقاد الاحرام الثاني عمدا بدون الحل من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يختلف فيه إحرام الصبي وحجة عن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مساواة إحرام المرأة لا حرام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تروك الاحرام</w:t>
      </w:r>
    </w:p>
    <w:p>
      <w:pPr>
        <w:pStyle w:val="BookText"/>
        <w:rPr/>
      </w:pPr>
      <w:r>
        <w:rPr>
          <w:rFonts w:ascii="IRNazanin" w:hAnsi="IRNazanin" w:eastAsia="IRNazanin"/>
          <w:color w:val="111111"/>
          <w:sz w:val="28"/>
          <w:sz w:val="28"/>
          <w:szCs w:val="28"/>
          <w:rtl w:val="true"/>
          <w:lang w:bidi="fa-IR"/>
        </w:rPr>
        <w:t>المحرمات</w:t>
      </w:r>
    </w:p>
    <w:p>
      <w:pPr>
        <w:pStyle w:val="BookText"/>
        <w:rPr/>
      </w:pPr>
      <w:r>
        <w:rPr>
          <w:rFonts w:ascii="Amiri" w:hAnsi="Amiri" w:eastAsia="Amiri" w:cs="Amiri"/>
          <w:color w:val="111111"/>
          <w:sz w:val="28"/>
          <w:sz w:val="28"/>
          <w:szCs w:val="28"/>
          <w:rtl w:val="true"/>
          <w:lang w:bidi="ar-SA"/>
        </w:rPr>
        <w:t xml:space="preserve">ما يشترك فيه الرجل والمرأة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حرمة فرخ الصيد وبيضه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صاد المحرم صيدا وقتله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شمول الصيد المحرم لكل حيوان ممتنع بالأصالة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اختصاص الحرمة بصيد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ميزان الفرق بين صيد البر والبحر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حكم 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جواز رمي الغراب والحدأة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حكم قتل البرغوث والبقة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جواز أكل المحرم الصيد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نظر المحرم بشهوة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حكم شهادة المحرم على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الاستمناء والتخيل والملاعبة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جواز الطلاق وشراء الإماء</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بطلان النكاح بعقد المحرم لنفسه أو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بيان المراد بالطيب المحرم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استثناء خلوق الكعبة من الطيب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استثناء ما يستشم من العطر في سوق العطارين بين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ما يحرم من الطيب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لو اضطر المحرم إلى مس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لو استهلك الطيب في غيره فذهب ريحه وطعمه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حكم مس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حرمة لبس الثوب المطيب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لو أصاب ثوب المحرم 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جواز شراء الطيب والنظر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افتراش المطيب والجلوس والنوم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الجسد والثوب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جواز نقل القملة وغيرها من مكان من الجسد إلى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جواز إلقاء القراد والحلم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الأظفار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شجر وحشيش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ما يستثنى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يشمل التحريم الانتفاع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رعي إبل المحرم ودوابة في حشيش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جواز أخذ المحرم الكمأة من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حكم الشوك وشبهه من الأشجار المؤذية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وشرائطها ، وهو واجب وندب ، وكلّ منهما إمّا تمتع أو قران أو إفراد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نعثر عليه في جامع المقاصد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وما أثبتناه من المصادر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ويؤتى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قرية كبيرة ذات منبر على طريق المدينة من مكّة على أربع مراحل ، وهي ميقات أهل مصر والشام إن لم يمرّوا على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 وما أثبتناه موافق للمصادر ، وهو من نواحي مكّة ، عنده يجتمع وادي النخلتين فيصيران واديا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حج الرجل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جامعة في واد من نواحي الطائف ، في أول تهامة ، وتقع في بلاد 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وتوابعها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وتوابعها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ولكنّا لم نجده في العلل ، وهو موجود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بين المعقوفين أضفناه من المصادر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عنده ما يركب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الجواليق بكسر الجيم واللاّم وبضم الجيم وفتح اللاّم وكسرها ، وجمعه 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إليهما أعلاه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يسوؤني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يسرّني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يشتري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يمكن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اللوامع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لمفهوم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الأكثر ،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 الحديث 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يعنيان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أنّ الأخيرة ليست في قضية واقعة بل متضمّنة للسؤال ب التي ترك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ويستأجر للنيابة عنه من ميقات الإحرام بدليل إجماع الطائفة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وما أثبتناه موافق للمصادر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مع غير ولي ،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الحرّة تحجّ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عرفتني بعملي وتأتيني أعرفها بإسلامها وحبها إيّاكم ، وولايتها لكم ، ليس لها محرم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جاءت المرأة المسلمة فاحملها ، فإنّ المؤمن محرم المؤمنة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 في فصول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الذي لا حراك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أوان الأفعال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أفعال ، والأولى ما أثبتناه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وجوب الإكمال سياق البدنة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الحذاء ، 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نوادر ابن عيسى ، 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المنصوص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 والأنسب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تقدمتا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طوافه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أفعاله ،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عيسى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المصادر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وأنفقه ، والصواب ما أثبتناه بالاستفادة من المصادر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 وما أثبتناه من المصادر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 صحيحة العجلي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والشهيد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فخر المحققين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يجازي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يحاذي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 وما أثبتناه من 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بريد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عليه في الخلاف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وما أثبتناه من المصادر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 والظاهر ما أثبتناه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الجعفي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 وهو ميقات أهل نجد ، ومنه أويس القرنيّ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فليخرج ، وما أثبتناه من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البجلي ،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 لكنّه موجود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المفيد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فيه جميل بن صالح الفضيل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الفضيل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الفضيل ، والأنسب ما أثبتناه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الإستبصار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طاف وسعى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يجزئه عنه ، وما أثبتناه من المصادر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على ستّة أميال من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وتسعة واثني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مرّ 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مرحلة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روض الجنان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للكيدري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طوافا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مفردة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مفردة ، وفي التهذيب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بن آدم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تيسّر 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المحرم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الحجّ</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تحققته من عدّة قرائن أنّ راوي هذا الحديث محمّد بن جزك</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ويحرم بحجّته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مسرور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سرو</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حاضت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رأت الدم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تمّت متعتها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قضت متعتها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التهذيب والوسائل بتفاوت يسير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ينوي العمرة </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الرفضاء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 ، ولم نعثر عليهما في معجم البلدان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رجع تبّع من قتال أهل المدينة يريد مكّة نزل بالروحاء فأقام بها وأراح فسمّاها الروحاء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ردم بني جمح بمكّة ، وسمّي كذلك بما ردم منهم يوم التقوا بني محارب واقتتلوا قتالا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إلى مكّة وإلى منى ، لأنّ المسافة بينه وبينهما واحدة ، وربّما كان إلى منى أقرب ، ونقل بعضهم أنّه إنّما سمّي أبطح لأنّ آدم عليه السلام بطّح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أشهرا ، وما أثبتناه من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أشهرا ، وما أثبتناه من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مؤدّاه 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 في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لوقوع ، والظاهر ما أثبتناه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فتبين فائدة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وسبطه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 وما أثبتناه من المصادر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الحج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يعمل لليدين ويحشى بقطن ويكون له إزار تزرّ على الساعد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أصفر يزرع باليمن ، ويصبغ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الخالص الذي لم يشبه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وتكره الصلاة في الثوب المصبوغ وأشدّ كراهة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يجوز أن يكونا ممّا لا يجوز الصلاة فيه ويكره أن يكونا ممّا تكره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دون الرّدم ، ويسمّى مدعا ، ومدعى الأقوام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قبائلهم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وادي مكة ، وهو مسيل واسع فيه الحصى ، أوله عند منقطع الشعب بين وادي منى ، وآخره متصل بالمقبرة التي تسمى بالمعلّى عند أهل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نقل بعض الأجلّة ، وقد نقله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فيها ،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أبي 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 يقال فيه مدفن آمنة بنت وهب أمّ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مكاوحة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مختصر المصباح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 للعمرة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الفقيه والديلمي والحلّي والقواعد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تأخذ خرقة طويلة عريضة تشدّ أحد طرفيها من قدّام وتخرجها من بين فخذيها وتشدّ طرفها الآخر من وراء بعد أن تحتشي بشي‌ء من القطن ليمتنع به من سيلان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الحيّات وفيه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يصيد الجرذان ، ويقال إنّها كانت تصيد لسليمان بن داود وكانت أصيد الطير ، فانقطع عنه الصيد لدعوة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والقمل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وتوابعها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صحيحتي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وتوابعها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الأم للشافعي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 ، أضفناها لاستقامة العبارة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فقط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شجرة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أمنى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والمعاني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يزرع باليمن ويصبغ به ، وقيل صنف من الكركم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ويتوب إليه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الحلبي ومحمّد بن مسلم ، وفي الجميع بتفاوت يسير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غسول اليد ، وليست الكلمة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فاكهة معروفة ، طعمها طيب ورائحتها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وخلوق الكعبة لا بأس به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والخاء ، نبات معروف ذكيّ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السهل ، طيب الرائحة من رياحين البرّ ، وورقه هدب ، وله نورة 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نبات البادية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طيبة الرائحة ، لها نور كنور البنفسج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سهليّ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رائحة طيبة وطعم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الحديث فقط ،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روض الجنان لأبي الفتوح الرازي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المصباح ونسبه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الإصباح ، ولعله وقع هنا تصحيف من كتّاب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صحيحة ابن عمار وصحيحة علي 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حمزة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أو معاوية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الحشيش</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له فله أن يقلعها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فهي له أن يقلعها ، وما أثبتناه من المصادر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ليست في النسخ ، أضفناها من المصادر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الكيدري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مرسلة عبد الكريم ، وموثقة سليمان بن خالد ، 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كموثقة زرارة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أبيض مثل الشحم ، ينبت من الأرض ، يقال له شحم الأرض ، واحدها كم والجمع أكمؤ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103650</Words>
  <Characters>369798</Characters>
  <CharactersWithSpaces>470455</CharactersWithSpaces>
  <Paragraphs>5323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2026-08-22T03:46:33Z</dcterms:created>
  <dc:creator>ghaemiyeh.com</dc:creator>
  <dc:description/>
  <dc:language>en-US</dc:language>
  <cp:lastModifiedBy/>
  <dcterms:modified xsi:type="dcterms:W3CDTF">2026-08-22T07:16:52Z</dcterms:modified>
  <cp:revision>1</cp:revision>
  <dc:subject/>
  <dc:title>مستند الشیعه جلد 11</dc:title>
</cp:coreProperties>
</file>

<file path=docProps/custom.xml><?xml version="1.0" encoding="utf-8"?>
<Properties xmlns="http://schemas.openxmlformats.org/officeDocument/2006/custom-properties" xmlns:vt="http://schemas.openxmlformats.org/officeDocument/2006/docPropsVTypes"/>
</file>